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060" w:right="2400" w:hanging="4052"/>
        <w:spacing w:after="0" w:line="289"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75"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20" w:type="dxa"/>
            <w:vAlign w:val="bottom"/>
            <w:gridSpan w:val="5"/>
          </w:tcPr>
          <w:p>
            <w:pPr>
              <w:jc w:val="center"/>
              <w:ind w:right="727"/>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2"/>
                <w:szCs w:val="22"/>
                <w:color w:val="auto"/>
              </w:rPr>
            </w:pPr>
          </w:p>
        </w:tc>
        <w:tc>
          <w:tcPr>
            <w:tcW w:w="184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5280" w:type="dxa"/>
            <w:vAlign w:val="bottom"/>
            <w:gridSpan w:val="5"/>
          </w:tcPr>
          <w:p>
            <w:pPr>
              <w:jc w:val="center"/>
              <w:ind w:left="3579"/>
              <w:spacing w:after="0"/>
              <w:rPr>
                <w:sz w:val="20"/>
                <w:szCs w:val="20"/>
                <w:color w:val="auto"/>
              </w:rPr>
            </w:pPr>
            <w:r>
              <w:rPr>
                <w:rFonts w:ascii="Arial" w:cs="Arial" w:eastAsia="Arial" w:hAnsi="Arial"/>
                <w:sz w:val="18"/>
                <w:szCs w:val="18"/>
                <w:b w:val="1"/>
                <w:bCs w:val="1"/>
                <w:color w:val="auto"/>
                <w:w w:val="89"/>
              </w:rPr>
              <w:t>80-0743202</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jc w:val="center"/>
              <w:ind w:left="11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2"/>
          </w:tcPr>
          <w:p>
            <w:pPr>
              <w:jc w:val="center"/>
              <w:ind w:left="48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20" w:type="dxa"/>
            <w:vAlign w:val="bottom"/>
            <w:gridSpan w:val="3"/>
          </w:tcPr>
          <w:p>
            <w:pPr>
              <w:jc w:val="center"/>
              <w:ind w:left="1180"/>
              <w:spacing w:after="0"/>
              <w:rPr>
                <w:sz w:val="20"/>
                <w:szCs w:val="20"/>
                <w:color w:val="auto"/>
              </w:rPr>
            </w:pPr>
            <w:r>
              <w:rPr>
                <w:rFonts w:ascii="Arial" w:cs="Arial" w:eastAsia="Arial" w:hAnsi="Arial"/>
                <w:sz w:val="14"/>
                <w:szCs w:val="14"/>
                <w:b w:val="1"/>
                <w:bCs w:val="1"/>
                <w:color w:val="auto"/>
                <w:w w:val="88"/>
              </w:rPr>
              <w:t>incorporation or organization)</w:t>
            </w:r>
          </w:p>
        </w:tc>
        <w:tc>
          <w:tcPr>
            <w:tcW w:w="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gridSpan w:val="2"/>
          </w:tcPr>
          <w:p>
            <w:pPr>
              <w:jc w:val="center"/>
              <w:ind w:left="487"/>
              <w:spacing w:after="0"/>
              <w:rPr>
                <w:sz w:val="20"/>
                <w:szCs w:val="20"/>
                <w:color w:val="auto"/>
              </w:rPr>
            </w:pPr>
            <w:r>
              <w:rPr>
                <w:rFonts w:ascii="Arial" w:cs="Arial" w:eastAsia="Arial" w:hAnsi="Arial"/>
                <w:sz w:val="14"/>
                <w:szCs w:val="14"/>
                <w:b w:val="1"/>
                <w:bCs w:val="1"/>
                <w:color w:val="auto"/>
                <w:w w:val="89"/>
              </w:rPr>
              <w:t>Identification No.)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3"/>
          </w:tcPr>
          <w:p>
            <w:pPr>
              <w:jc w:val="center"/>
              <w:ind w:right="1807"/>
              <w:spacing w:after="0"/>
              <w:rPr>
                <w:sz w:val="20"/>
                <w:szCs w:val="20"/>
                <w:color w:val="auto"/>
              </w:rPr>
            </w:pPr>
            <w:r>
              <w:rPr>
                <w:rFonts w:ascii="Arial" w:cs="Arial" w:eastAsia="Arial" w:hAnsi="Arial"/>
                <w:sz w:val="18"/>
                <w:szCs w:val="18"/>
                <w:b w:val="1"/>
                <w:bCs w:val="1"/>
                <w:color w:val="auto"/>
                <w:w w:val="87"/>
              </w:rPr>
              <w:t>141 Needham Street</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3"/>
          </w:tcPr>
          <w:p>
            <w:pPr>
              <w:jc w:val="center"/>
              <w:ind w:right="1787"/>
              <w:spacing w:after="0"/>
              <w:rPr>
                <w:sz w:val="20"/>
                <w:szCs w:val="20"/>
                <w:color w:val="auto"/>
              </w:rPr>
            </w:pPr>
            <w:r>
              <w:rPr>
                <w:rFonts w:ascii="Arial" w:cs="Arial" w:eastAsia="Arial" w:hAnsi="Arial"/>
                <w:sz w:val="18"/>
                <w:szCs w:val="18"/>
                <w:b w:val="1"/>
                <w:bCs w:val="1"/>
                <w:color w:val="auto"/>
                <w:w w:val="91"/>
              </w:rPr>
              <w:t>Newton, MA 02464</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0" w:type="dxa"/>
            <w:vAlign w:val="bottom"/>
            <w:gridSpan w:val="4"/>
          </w:tcPr>
          <w:p>
            <w:pPr>
              <w:jc w:val="center"/>
              <w:ind w:right="1447"/>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20" w:type="dxa"/>
            <w:vAlign w:val="bottom"/>
            <w:gridSpan w:val="5"/>
          </w:tcPr>
          <w:p>
            <w:pPr>
              <w:jc w:val="center"/>
              <w:ind w:right="747"/>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720" w:type="dxa"/>
            <w:vAlign w:val="bottom"/>
            <w:gridSpan w:val="2"/>
          </w:tcPr>
          <w:p>
            <w:pPr>
              <w:jc w:val="center"/>
              <w:ind w:left="259"/>
              <w:spacing w:after="0"/>
              <w:rPr>
                <w:sz w:val="20"/>
                <w:szCs w:val="20"/>
                <w:color w:val="auto"/>
              </w:rPr>
            </w:pPr>
            <w:r>
              <w:rPr>
                <w:rFonts w:ascii="Arial" w:cs="Arial" w:eastAsia="Arial" w:hAnsi="Arial"/>
                <w:sz w:val="18"/>
                <w:szCs w:val="18"/>
                <w:b w:val="1"/>
                <w:bCs w:val="1"/>
                <w:color w:val="auto"/>
                <w:w w:val="89"/>
              </w:rPr>
              <w:t>(617) 670-6300</w:t>
            </w: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20" w:type="dxa"/>
            <w:vAlign w:val="bottom"/>
            <w:gridSpan w:val="5"/>
          </w:tcPr>
          <w:p>
            <w:pPr>
              <w:jc w:val="center"/>
              <w:ind w:right="74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80" w:type="dxa"/>
            <w:vAlign w:val="bottom"/>
          </w:tcPr>
          <w:p>
            <w:pPr>
              <w:spacing w:after="0"/>
              <w:rPr>
                <w:sz w:val="17"/>
                <w:szCs w:val="17"/>
                <w:color w:val="auto"/>
              </w:rPr>
            </w:pPr>
          </w:p>
        </w:tc>
        <w:tc>
          <w:tcPr>
            <w:tcW w:w="1840" w:type="dxa"/>
            <w:vAlign w:val="bottom"/>
            <w:gridSpan w:val="2"/>
          </w:tcPr>
          <w:p>
            <w:pPr>
              <w:jc w:val="center"/>
              <w:ind w:right="652"/>
              <w:spacing w:after="0"/>
              <w:rPr>
                <w:sz w:val="20"/>
                <w:szCs w:val="20"/>
                <w:color w:val="auto"/>
              </w:rPr>
            </w:pPr>
            <w:r>
              <w:rPr>
                <w:rFonts w:ascii="Arial" w:cs="Arial" w:eastAsia="Arial" w:hAnsi="Arial"/>
                <w:sz w:val="14"/>
                <w:szCs w:val="14"/>
                <w:b w:val="1"/>
                <w:bCs w:val="1"/>
                <w:color w:val="auto"/>
                <w:w w:val="84"/>
              </w:rPr>
              <w:t>Title of each class:</w:t>
            </w:r>
          </w:p>
        </w:tc>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1980" w:type="dxa"/>
            <w:vAlign w:val="bottom"/>
          </w:tcPr>
          <w:p>
            <w:pPr>
              <w:ind w:left="1360"/>
              <w:spacing w:after="0"/>
              <w:rPr>
                <w:sz w:val="20"/>
                <w:szCs w:val="20"/>
                <w:color w:val="auto"/>
              </w:rPr>
            </w:pPr>
            <w:r>
              <w:rPr>
                <w:rFonts w:ascii="Arial" w:cs="Arial" w:eastAsia="Arial" w:hAnsi="Arial"/>
                <w:sz w:val="18"/>
                <w:szCs w:val="18"/>
                <w:color w:val="auto"/>
                <w:w w:val="82"/>
              </w:rPr>
              <w:t>Common</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Stock, $0.001</w:t>
            </w:r>
          </w:p>
        </w:tc>
        <w:tc>
          <w:tcPr>
            <w:tcW w:w="720" w:type="dxa"/>
            <w:vAlign w:val="bottom"/>
          </w:tcPr>
          <w:p>
            <w:pPr>
              <w:spacing w:after="0"/>
              <w:rPr>
                <w:sz w:val="20"/>
                <w:szCs w:val="20"/>
                <w:color w:val="auto"/>
              </w:rPr>
            </w:pPr>
            <w:r>
              <w:rPr>
                <w:rFonts w:ascii="Arial" w:cs="Arial" w:eastAsia="Arial" w:hAnsi="Arial"/>
                <w:sz w:val="18"/>
                <w:szCs w:val="18"/>
                <w:color w:val="auto"/>
                <w:w w:val="94"/>
              </w:rPr>
              <w:t>par value</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1"/>
                <w:szCs w:val="21"/>
                <w:color w:val="auto"/>
              </w:rPr>
            </w:pPr>
          </w:p>
        </w:tc>
        <w:tc>
          <w:tcPr>
            <w:tcW w:w="6440" w:type="dxa"/>
            <w:vAlign w:val="bottom"/>
            <w:gridSpan w:val="6"/>
          </w:tcPr>
          <w:p>
            <w:pPr>
              <w:jc w:val="center"/>
              <w:ind w:left="23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160" w:type="dxa"/>
            <w:vAlign w:val="bottom"/>
            <w:gridSpan w:val="4"/>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80" w:type="dxa"/>
            <w:vAlign w:val="bottom"/>
            <w:gridSpan w:val="2"/>
          </w:tcPr>
          <w:p>
            <w:pPr>
              <w:spacing w:after="0"/>
              <w:rPr>
                <w:sz w:val="13"/>
                <w:szCs w:val="1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4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600" w:type="dxa"/>
            <w:vAlign w:val="bottom"/>
            <w:gridSpan w:val="2"/>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4">
            <w:col w:w="1580" w:space="340"/>
            <w:col w:w="6340" w:space="720"/>
            <w:col w:w="1940" w:space="340"/>
            <w:col w:w="16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80"/>
            <w:col w:w="260" w:space="80"/>
            <w:col w:w="160" w:space="180"/>
            <w:col w:w="220" w:space="80"/>
            <w:col w:w="1940"/>
          </w:cols>
          <w:pgMar w:left="240" w:top="230" w:right="239" w:bottom="1440" w:gutter="0" w:footer="0" w:header="0"/>
          <w:type w:val="continuous"/>
        </w:sectPr>
      </w:pPr>
    </w:p>
    <w:p>
      <w:pPr>
        <w:jc w:val="both"/>
        <w:ind w:right="160" w:firstLine="342"/>
        <w:spacing w:after="0" w:line="259"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as of the last business day of the registrant’s most recently completed second fiscal quarter was $6,817,578,784 based on the closing price on NASDAQ on such date. For the purpose of the foregoing calculation only, all directors and executive officers of the registrant are assumed to be affiliates of the registrant.</w:t>
      </w:r>
    </w:p>
    <w:p>
      <w:pPr>
        <w:spacing w:after="0" w:line="15"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0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87"/>
              </w:rPr>
              <w:t>Outstanding Shares at</w:t>
            </w:r>
          </w:p>
        </w:tc>
      </w:tr>
      <w:tr>
        <w:trPr>
          <w:trHeight w:val="168"/>
        </w:trPr>
        <w:tc>
          <w:tcPr>
            <w:tcW w:w="318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February 6, 2014</w:t>
            </w:r>
          </w:p>
        </w:tc>
        <w:tc>
          <w:tcPr>
            <w:tcW w:w="280" w:type="dxa"/>
            <w:vAlign w:val="bottom"/>
          </w:tcPr>
          <w:p>
            <w:pPr>
              <w:spacing w:after="0"/>
              <w:rPr>
                <w:sz w:val="14"/>
                <w:szCs w:val="14"/>
                <w:color w:val="auto"/>
              </w:rPr>
            </w:pPr>
          </w:p>
        </w:tc>
      </w:tr>
      <w:tr>
        <w:trPr>
          <w:trHeight w:val="216"/>
        </w:trPr>
        <w:tc>
          <w:tcPr>
            <w:tcW w:w="618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87"/>
              </w:rPr>
              <w:t>Common Stock, $0.001 par value per share</w:t>
            </w:r>
          </w:p>
        </w:tc>
        <w:tc>
          <w:tcPr>
            <w:tcW w:w="2500" w:type="dxa"/>
            <w:vAlign w:val="bottom"/>
            <w:gridSpan w:val="3"/>
            <w:shd w:val="clear" w:color="auto" w:fill="CCEEFF"/>
          </w:tcPr>
          <w:p>
            <w:pPr>
              <w:jc w:val="center"/>
              <w:ind w:left="819"/>
              <w:spacing w:after="0"/>
              <w:rPr>
                <w:sz w:val="20"/>
                <w:szCs w:val="20"/>
                <w:color w:val="auto"/>
              </w:rPr>
            </w:pPr>
            <w:r>
              <w:rPr>
                <w:rFonts w:ascii="Arial" w:cs="Arial" w:eastAsia="Arial" w:hAnsi="Arial"/>
                <w:sz w:val="18"/>
                <w:szCs w:val="18"/>
                <w:color w:val="auto"/>
                <w:w w:val="85"/>
              </w:rPr>
              <w:t>129,432,796 shares</w:t>
            </w:r>
          </w:p>
        </w:tc>
      </w:tr>
      <w:tr>
        <w:trPr>
          <w:trHeight w:val="222"/>
        </w:trPr>
        <w:tc>
          <w:tcPr>
            <w:tcW w:w="61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Class B Common Stock, $0.001 par value per share</w:t>
            </w:r>
          </w:p>
        </w:tc>
        <w:tc>
          <w:tcPr>
            <w:tcW w:w="2500" w:type="dxa"/>
            <w:vAlign w:val="bottom"/>
            <w:gridSpan w:val="3"/>
          </w:tcPr>
          <w:p>
            <w:pPr>
              <w:jc w:val="center"/>
              <w:ind w:left="819"/>
              <w:spacing w:after="0"/>
              <w:rPr>
                <w:sz w:val="20"/>
                <w:szCs w:val="20"/>
                <w:color w:val="auto"/>
              </w:rPr>
            </w:pPr>
            <w:r>
              <w:rPr>
                <w:rFonts w:ascii="Arial" w:cs="Arial" w:eastAsia="Arial" w:hAnsi="Arial"/>
                <w:sz w:val="18"/>
                <w:szCs w:val="18"/>
                <w:color w:val="auto"/>
                <w:w w:val="85"/>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420" w:firstLine="342"/>
        <w:spacing w:after="0" w:line="332" w:lineRule="auto"/>
        <w:rPr>
          <w:sz w:val="20"/>
          <w:szCs w:val="20"/>
          <w:color w:val="auto"/>
        </w:rPr>
      </w:pPr>
      <w:r>
        <w:rPr>
          <w:rFonts w:ascii="Arial" w:cs="Arial" w:eastAsia="Arial" w:hAnsi="Arial"/>
          <w:sz w:val="16"/>
          <w:szCs w:val="16"/>
          <w:color w:val="auto"/>
        </w:rPr>
        <w:t>The registrant intends to file a proxy statement pursuant to Regulation 14A not later than 120 days after the close of the fiscal year ended December 31, 2013.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940" w:type="dxa"/>
            <w:vAlign w:val="bottom"/>
            <w:gridSpan w:val="9"/>
          </w:tcPr>
          <w:p>
            <w:pPr>
              <w:jc w:val="center"/>
              <w:ind w:right="462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17"/>
                <w:szCs w:val="17"/>
                <w:color w:val="auto"/>
              </w:rPr>
            </w:pPr>
          </w:p>
        </w:tc>
      </w:tr>
      <w:tr>
        <w:trPr>
          <w:trHeight w:val="37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700" w:type="dxa"/>
            <w:vAlign w:val="bottom"/>
            <w:gridSpan w:val="5"/>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w:t>
            </w:r>
          </w:p>
        </w:tc>
        <w:tc>
          <w:tcPr>
            <w:tcW w:w="976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888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Unresolved Staff Comments</w:t>
              </w:r>
            </w:hyperlink>
          </w:p>
        </w:tc>
        <w:tc>
          <w:tcPr>
            <w:tcW w:w="77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46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4.</w:t>
            </w:r>
          </w:p>
        </w:tc>
        <w:tc>
          <w:tcPr>
            <w:tcW w:w="976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PART II</w:t>
              </w:r>
            </w:hyperlink>
          </w:p>
        </w:tc>
        <w:tc>
          <w:tcPr>
            <w:tcW w:w="64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6.</w:t>
            </w:r>
          </w:p>
        </w:tc>
        <w:tc>
          <w:tcPr>
            <w:tcW w:w="976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7A.</w:t>
            </w:r>
          </w:p>
        </w:tc>
        <w:tc>
          <w:tcPr>
            <w:tcW w:w="976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55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9A.</w:t>
            </w:r>
          </w:p>
        </w:tc>
        <w:tc>
          <w:tcPr>
            <w:tcW w:w="9760" w:type="dxa"/>
            <w:vAlign w:val="bottom"/>
            <w:gridSpan w:val="2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804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24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Directors, Executive Officers and Corporate Governance</w:t>
              </w:r>
            </w:hyperlink>
          </w:p>
        </w:tc>
        <w:tc>
          <w:tcPr>
            <w:tcW w:w="576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15">
              <w:r>
                <w:rPr>
                  <w:rFonts w:ascii="Arial" w:cs="Arial" w:eastAsia="Arial" w:hAnsi="Arial"/>
                  <w:sz w:val="18"/>
                  <w:szCs w:val="18"/>
                  <w:color w:val="0000EE"/>
                  <w:w w:val="87"/>
                </w:rPr>
                <w:t>Executive Compensation</w:t>
              </w:r>
            </w:hyperlink>
          </w:p>
        </w:tc>
        <w:tc>
          <w:tcPr>
            <w:tcW w:w="800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15">
              <w:r>
                <w:rPr>
                  <w:rFonts w:ascii="Arial" w:cs="Arial" w:eastAsia="Arial" w:hAnsi="Arial"/>
                  <w:sz w:val="18"/>
                  <w:szCs w:val="18"/>
                  <w:color w:val="0000EE"/>
                  <w:w w:val="87"/>
                </w:rPr>
                <w:t>Certain Relationships and Related Transactions, and Director Independence</w:t>
              </w:r>
            </w:hyperlink>
          </w:p>
        </w:tc>
        <w:tc>
          <w:tcPr>
            <w:tcW w:w="444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14.</w:t>
            </w:r>
          </w:p>
        </w:tc>
        <w:tc>
          <w:tcPr>
            <w:tcW w:w="9760" w:type="dxa"/>
            <w:vAlign w:val="bottom"/>
            <w:gridSpan w:val="2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PART IV</w:t>
              </w:r>
            </w:hyperlink>
          </w:p>
        </w:tc>
        <w:tc>
          <w:tcPr>
            <w:tcW w:w="58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15.</w:t>
            </w:r>
          </w:p>
        </w:tc>
        <w:tc>
          <w:tcPr>
            <w:tcW w:w="9760" w:type="dxa"/>
            <w:vAlign w:val="bottom"/>
            <w:gridSpan w:val="2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Exhibits;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r>
      <w:tr>
        <w:trPr>
          <w:trHeight w:val="304"/>
        </w:trPr>
        <w:tc>
          <w:tcPr>
            <w:tcW w:w="1240" w:type="dxa"/>
            <w:vAlign w:val="bottom"/>
            <w:gridSpan w:val="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7"/>
          </w:tcPr>
          <w:p>
            <w:pPr>
              <w:jc w:val="center"/>
              <w:ind w:right="506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principally, but not only, in the sections entitled “Risk Factors” and “Management’s Discussion and Analysis of Financial Condition and Results of Operations.” We caution investors that any forward-looking statements in this report, or which management may make orally or in writing from time to time, are based on management’s beliefs and on assumptions made by, and information currently available to, management. When used, the words “anticipate,” “believe,” “could,” “estimate,” “expect,” “intend,” “may,” “might,” “plan,” “project,” “result” “should,” “will,”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differ materially from those anticipated, estimated or projected by the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 Accordingly, investors should use caution in relying on past forward-looking statements, which are based on results and trends at the time they are made, to anticipate future results or trends.</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51" w:lineRule="exact"/>
        <w:rPr>
          <w:sz w:val="20"/>
          <w:szCs w:val="20"/>
          <w:color w:val="auto"/>
        </w:rPr>
      </w:pPr>
    </w:p>
    <w:p>
      <w:pPr>
        <w:ind w:left="900" w:right="3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to increase visitors to our websites and to cost-effectively convert these visitors into repeat users or contributors, our advertising revenue could decline.</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or disruptions in the travel industry, as a result of global economic conditions or otherwise, could adversely affect our businesses and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we derive substantially all of our revenue from advertising, any significant reduction in spending by advertisers could harm our business.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we rely on a relatively small number of significant advertisers, including Expedia and Priceline (and their subsidiaries), any reduction in spending by or loss of those advertisers could seriously harm our business.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the use of TripAdvisor through smartphones as a substitute for use on personal computers and tablets may negatively affect our revenue and financial results.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value of our brand and consumer trust in our brand, and the costs of maintaining and enhancing brand awareness, including through social and traditional media, are increasing.</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competition from companies and websites that collect travel-related content, which could divert traffic from our websites causing financial harm to us.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customers, including some of our click-based advertising partners, are also our competitors, and the consolidation of our competitors and our partners may affect our competitiveness and partner relationships.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upon the quality of traffic in our network to provide value to advertisers, and any failure in quality control could have a material adverse effect on the value of our websites to our advertisers and adversely affect our revenue.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risks set forth above are not exhaustive. Please refer to the section entitled “Part I, Item 1A. Risk Factors.” Moreover, we operate in a very competitive and rapidly changing environment. New risk factors emerge from time to time and it is not possible for management to predict all such risk factors, nor can we assess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quarterly reports on Form 10-Q for future periods and current reports on Form 8-K as we file them with the Securities and Exchange Commission, or the SEC, and to other materials we may furnish to the public from time to time through Form 8-Ks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TripAdvisor is the world’s largest online travel company. Our mission is to help people around the world plan and have the perfect trip by giving them access to the reviews and opinions of the millions of travelers who make up our global online community. TripAdvisor aggregates reviews and opinions about destinations, accommodations (including hotels, B&amp;Bs, specialty lodging and vacation rentals), restaurants and activities throughout the world. Our platform also enables consumers to book hotels, vacation rentals, airline tickets, vacation packages, destination services and even cruises.</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TripAdvisor was co-founded in February 2000 by Stephen Kaufer, our current President and Chief Executive Officer. TripAdvisor was acquired by IAC/InterActiveCorp, or IAC, in April 2004. In August 2005, IAC spun-off its portfolio of travel brands, including TripAdvisor, into a separate newly-formed Delaware corporation, called Expedia, Inc., or Expedia. On December 20, 2011, Expedia completed the spin-off of TripAdvisor into a separate publicly traded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Highlights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some business highlights for fiscal 2013</w:t>
      </w:r>
      <w:r>
        <w:rPr>
          <w:rFonts w:ascii="Arial" w:cs="Arial" w:eastAsia="Arial" w:hAnsi="Arial"/>
          <w:sz w:val="18"/>
          <w:szCs w:val="18"/>
          <w:b w:val="1"/>
          <w:bCs w:val="1"/>
          <w:color w:val="auto"/>
        </w:rPr>
        <w:t>:</w:t>
      </w:r>
    </w:p>
    <w:p>
      <w:pPr>
        <w:spacing w:after="0" w:line="96" w:lineRule="exact"/>
        <w:rPr>
          <w:sz w:val="20"/>
          <w:szCs w:val="20"/>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introduced hotel metasearch functionality on our TripAdvisor-branded websites to provide consumers with real-time online hotel availability and pricing information from multiple sources without requiring the user to visit another website.</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launched points of sale in Venezuela, Peru, Chile, and Columbia, bringing our total TripAdvisor-branded websites to 34, which includes tripadvisor.com in the United States and daodao.com in China.</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completed six acquisitions during 2013: TinyPost, the developer of a product that enables users to embed text over photos and turn them into stories; Jetsetter, a members-only private sale site for hotel bookings; CruiseWise, a cruise research and planning site; Niumba, a Spain-based vacation rental site; GateGuru, a mobile app with flight and airport information around the world; and Oyster, a hotel review website featuring expert reviews and photos covering approximately 150 cities.</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now manage and operate 20 travel media brands in addition to our flagship TripAdvisor brand, all of which are connected by the common goal of providing comprehensive travel planning resources across the travel sector.</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websites globally reached more than 260 million monthly unique visitors during the year ended December 31, 2013, according to Google Analytics. At approximately 11% of the world’s monthly unique visitors in online travel, TripAdvisor remains the largest travel website in the world at December 31, 2013 according to comScore Media Metrix.</w:t>
      </w:r>
    </w:p>
    <w:p>
      <w:pPr>
        <w:spacing w:after="0" w:line="59"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Cumulative downloads of TripAdvisor’s apps—including TripAdvisor, City Guides, SeatGuru, Jetsetter and GateGuru—reached 82 million and average monthly unique visitors via smartphone and tablet devices grew over 170% year-over-year to approximately 87 million for the year ended December 31, 2013, according to company logs.</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feature over 125 million reviews and opinions on more than 775,000 hotels and accommodations and approximately 550,000 vacation rentals— as well as more than 2 million restaurants and 400,000 attractions in 139,000 destinations throughout the world.</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an agreement with Samsung to pre-install TripAdvisor’s market-leading mobile application onto the new Samsung GALAXY S4. In addition to pre-installing TripAdvisor’s industry-leading app, Samsung is using TripAdvisor’s user content to power its Travel Widget, Lock Screen Slideshow and City Information in Samsung Story Album.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launched our first-ever major onsite affinity partnership with American Express in multiple key markets as well as an innovative digital travel magazine created in partnership with Axel Springer, a leading integrated multimedia company in Europe.</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released new technology and product initiatives such as native apps on iOS and Android; TripConnect, a platform that enables independent hoteliers to purchase leads from TripAdvisor and Delayed Ad Call functionality for our Display-based advertising product, a first for the travel advertising industry, which charges customers only when the ad unit is in a users’ 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Flagship TripAdvisor-Branded Websites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Since the initial launch of the U.S.-based tripadvisor.com website in November 2000, TripAdvisor-branded websites have been added in the following locations in the languages described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Website</w:t>
            </w:r>
          </w:p>
        </w:tc>
        <w:tc>
          <w:tcPr>
            <w:tcW w:w="3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w w:val="91"/>
              </w:rPr>
              <w:t>Target Location</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4"/>
              </w:rPr>
              <w:t>Language</w:t>
            </w:r>
          </w:p>
        </w:tc>
        <w:tc>
          <w:tcPr>
            <w:tcW w:w="1780" w:type="dxa"/>
            <w:vAlign w:val="bottom"/>
          </w:tcPr>
          <w:p>
            <w:pPr>
              <w:spacing w:after="0"/>
              <w:rPr>
                <w:sz w:val="14"/>
                <w:szCs w:val="14"/>
                <w:color w:val="auto"/>
              </w:rPr>
            </w:pPr>
          </w:p>
        </w:tc>
        <w:tc>
          <w:tcPr>
            <w:tcW w:w="2020" w:type="dxa"/>
            <w:vAlign w:val="bottom"/>
            <w:gridSpan w:val="3"/>
          </w:tcPr>
          <w:p>
            <w:pPr>
              <w:ind w:left="880"/>
              <w:spacing w:after="0"/>
              <w:rPr>
                <w:sz w:val="20"/>
                <w:szCs w:val="20"/>
                <w:color w:val="auto"/>
              </w:rPr>
            </w:pPr>
            <w:r>
              <w:rPr>
                <w:rFonts w:ascii="Arial" w:cs="Arial" w:eastAsia="Arial" w:hAnsi="Arial"/>
                <w:sz w:val="14"/>
                <w:szCs w:val="14"/>
                <w:b w:val="1"/>
                <w:bCs w:val="1"/>
                <w:color w:val="auto"/>
              </w:rPr>
              <w:t>Launch Date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line="20" w:lineRule="exact"/>
              <w:rPr>
                <w:sz w:val="1"/>
                <w:szCs w:val="1"/>
                <w:color w:val="auto"/>
              </w:rPr>
            </w:pPr>
          </w:p>
        </w:tc>
      </w:tr>
      <w:tr>
        <w:trPr>
          <w:trHeight w:val="201"/>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tripadvisor.com.ve</w:t>
            </w:r>
          </w:p>
        </w:tc>
        <w:tc>
          <w:tcPr>
            <w:tcW w:w="980" w:type="dxa"/>
            <w:vAlign w:val="bottom"/>
          </w:tcPr>
          <w:p>
            <w:pPr>
              <w:spacing w:after="0" w:line="201" w:lineRule="exact"/>
              <w:rPr>
                <w:sz w:val="20"/>
                <w:szCs w:val="20"/>
                <w:color w:val="auto"/>
              </w:rPr>
            </w:pPr>
            <w:r>
              <w:rPr>
                <w:rFonts w:ascii="Arial" w:cs="Arial" w:eastAsia="Arial" w:hAnsi="Arial"/>
                <w:sz w:val="18"/>
                <w:szCs w:val="18"/>
                <w:color w:val="auto"/>
              </w:rPr>
              <w:t>Venezuela</w:t>
            </w:r>
          </w:p>
        </w:tc>
        <w:tc>
          <w:tcPr>
            <w:tcW w:w="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w w:val="86"/>
              </w:rPr>
              <w:t>Spanish</w:t>
            </w:r>
          </w:p>
        </w:tc>
        <w:tc>
          <w:tcPr>
            <w:tcW w:w="17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80" w:type="dxa"/>
            <w:vAlign w:val="bottom"/>
          </w:tcPr>
          <w:p>
            <w:pPr>
              <w:spacing w:after="0" w:line="201" w:lineRule="exact"/>
              <w:rPr>
                <w:sz w:val="20"/>
                <w:szCs w:val="20"/>
                <w:color w:val="auto"/>
              </w:rPr>
            </w:pPr>
            <w:r>
              <w:rPr>
                <w:rFonts w:ascii="Arial" w:cs="Arial" w:eastAsia="Arial" w:hAnsi="Arial"/>
                <w:sz w:val="18"/>
                <w:szCs w:val="18"/>
                <w:color w:val="auto"/>
                <w:w w:val="86"/>
              </w:rPr>
              <w:t>September</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tripadvisor.com.pe</w:t>
            </w:r>
          </w:p>
        </w:tc>
        <w:tc>
          <w:tcPr>
            <w:tcW w:w="1500" w:type="dxa"/>
            <w:vAlign w:val="bottom"/>
            <w:gridSpan w:val="2"/>
          </w:tcPr>
          <w:p>
            <w:pPr>
              <w:spacing w:after="0"/>
              <w:rPr>
                <w:sz w:val="20"/>
                <w:szCs w:val="20"/>
                <w:color w:val="auto"/>
              </w:rPr>
            </w:pPr>
            <w:r>
              <w:rPr>
                <w:rFonts w:ascii="Arial" w:cs="Arial" w:eastAsia="Arial" w:hAnsi="Arial"/>
                <w:sz w:val="18"/>
                <w:szCs w:val="18"/>
                <w:color w:val="auto"/>
              </w:rPr>
              <w:t>Peru</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4"/>
              </w:rPr>
              <w:t>September 2013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tripadvisor.cl</w:t>
            </w:r>
          </w:p>
        </w:tc>
        <w:tc>
          <w:tcPr>
            <w:tcW w:w="1500" w:type="dxa"/>
            <w:vAlign w:val="bottom"/>
            <w:gridSpan w:val="2"/>
          </w:tcPr>
          <w:p>
            <w:pPr>
              <w:spacing w:after="0"/>
              <w:rPr>
                <w:sz w:val="20"/>
                <w:szCs w:val="20"/>
                <w:color w:val="auto"/>
              </w:rPr>
            </w:pPr>
            <w:r>
              <w:rPr>
                <w:rFonts w:ascii="Arial" w:cs="Arial" w:eastAsia="Arial" w:hAnsi="Arial"/>
                <w:sz w:val="18"/>
                <w:szCs w:val="18"/>
                <w:color w:val="auto"/>
              </w:rPr>
              <w:t>Chile</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4"/>
              </w:rPr>
              <w:t>September 2013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w:t>
            </w:r>
          </w:p>
        </w:tc>
        <w:tc>
          <w:tcPr>
            <w:tcW w:w="1500" w:type="dxa"/>
            <w:vAlign w:val="bottom"/>
            <w:gridSpan w:val="2"/>
          </w:tcPr>
          <w:p>
            <w:pPr>
              <w:spacing w:after="0"/>
              <w:rPr>
                <w:sz w:val="20"/>
                <w:szCs w:val="20"/>
                <w:color w:val="auto"/>
              </w:rPr>
            </w:pPr>
            <w:r>
              <w:rPr>
                <w:rFonts w:ascii="Arial" w:cs="Arial" w:eastAsia="Arial" w:hAnsi="Arial"/>
                <w:sz w:val="18"/>
                <w:szCs w:val="18"/>
                <w:color w:val="auto"/>
              </w:rPr>
              <w:t>Columbia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4"/>
              </w:rPr>
              <w:t>September 2013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tripadvisor.com.eg</w:t>
            </w:r>
          </w:p>
        </w:tc>
        <w:tc>
          <w:tcPr>
            <w:tcW w:w="1500" w:type="dxa"/>
            <w:vAlign w:val="bottom"/>
            <w:gridSpan w:val="2"/>
          </w:tcPr>
          <w:p>
            <w:pPr>
              <w:spacing w:after="0"/>
              <w:rPr>
                <w:sz w:val="20"/>
                <w:szCs w:val="20"/>
                <w:color w:val="auto"/>
              </w:rPr>
            </w:pPr>
            <w:r>
              <w:rPr>
                <w:rFonts w:ascii="Arial" w:cs="Arial" w:eastAsia="Arial" w:hAnsi="Arial"/>
                <w:sz w:val="18"/>
                <w:szCs w:val="18"/>
                <w:color w:val="auto"/>
              </w:rPr>
              <w:t>Egypt</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Arabic</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June 2011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tripadvisor.com.my</w:t>
            </w:r>
          </w:p>
        </w:tc>
        <w:tc>
          <w:tcPr>
            <w:tcW w:w="1500" w:type="dxa"/>
            <w:vAlign w:val="bottom"/>
            <w:gridSpan w:val="2"/>
          </w:tcPr>
          <w:p>
            <w:pPr>
              <w:spacing w:after="0"/>
              <w:rPr>
                <w:sz w:val="20"/>
                <w:szCs w:val="20"/>
                <w:color w:val="auto"/>
              </w:rPr>
            </w:pPr>
            <w:r>
              <w:rPr>
                <w:rFonts w:ascii="Arial" w:cs="Arial" w:eastAsia="Arial" w:hAnsi="Arial"/>
                <w:sz w:val="18"/>
                <w:szCs w:val="18"/>
                <w:color w:val="auto"/>
              </w:rPr>
              <w:t>Malaysia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March 2011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tripadvisor.tw</w:t>
            </w:r>
          </w:p>
        </w:tc>
        <w:tc>
          <w:tcPr>
            <w:tcW w:w="1500" w:type="dxa"/>
            <w:vAlign w:val="bottom"/>
            <w:gridSpan w:val="2"/>
          </w:tcPr>
          <w:p>
            <w:pPr>
              <w:spacing w:after="0"/>
              <w:rPr>
                <w:sz w:val="20"/>
                <w:szCs w:val="20"/>
                <w:color w:val="auto"/>
              </w:rPr>
            </w:pPr>
            <w:r>
              <w:rPr>
                <w:rFonts w:ascii="Arial" w:cs="Arial" w:eastAsia="Arial" w:hAnsi="Arial"/>
                <w:sz w:val="18"/>
                <w:szCs w:val="18"/>
                <w:color w:val="auto"/>
              </w:rPr>
              <w:t>Taiwan</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Chinese (Traditional)</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95"/>
              </w:rPr>
              <w:t>February 2011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tripadvisor.com.ar</w:t>
            </w:r>
          </w:p>
        </w:tc>
        <w:tc>
          <w:tcPr>
            <w:tcW w:w="15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December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tripadvisor.co.id</w:t>
            </w:r>
          </w:p>
        </w:tc>
        <w:tc>
          <w:tcPr>
            <w:tcW w:w="1500" w:type="dxa"/>
            <w:vAlign w:val="bottom"/>
            <w:gridSpan w:val="2"/>
          </w:tcPr>
          <w:p>
            <w:pPr>
              <w:spacing w:after="0"/>
              <w:rPr>
                <w:sz w:val="20"/>
                <w:szCs w:val="20"/>
                <w:color w:val="auto"/>
              </w:rPr>
            </w:pPr>
            <w:r>
              <w:rPr>
                <w:rFonts w:ascii="Arial" w:cs="Arial" w:eastAsia="Arial" w:hAnsi="Arial"/>
                <w:sz w:val="18"/>
                <w:szCs w:val="18"/>
                <w:color w:val="auto"/>
              </w:rPr>
              <w:t>Indonesia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Bahasa</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November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tripadvisor.gr</w:t>
            </w:r>
          </w:p>
        </w:tc>
        <w:tc>
          <w:tcPr>
            <w:tcW w:w="150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Greek</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tripadvisor.ru</w:t>
            </w:r>
          </w:p>
        </w:tc>
        <w:tc>
          <w:tcPr>
            <w:tcW w:w="1500" w:type="dxa"/>
            <w:vAlign w:val="bottom"/>
            <w:gridSpan w:val="2"/>
          </w:tcPr>
          <w:p>
            <w:pPr>
              <w:spacing w:after="0"/>
              <w:rPr>
                <w:sz w:val="20"/>
                <w:szCs w:val="20"/>
                <w:color w:val="auto"/>
              </w:rPr>
            </w:pPr>
            <w:r>
              <w:rPr>
                <w:rFonts w:ascii="Arial" w:cs="Arial" w:eastAsia="Arial" w:hAnsi="Arial"/>
                <w:sz w:val="18"/>
                <w:szCs w:val="18"/>
                <w:color w:val="auto"/>
              </w:rPr>
              <w:t>Russia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Russian</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October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th.tripadvisor.com</w:t>
            </w:r>
          </w:p>
        </w:tc>
        <w:tc>
          <w:tcPr>
            <w:tcW w:w="1500" w:type="dxa"/>
            <w:vAlign w:val="bottom"/>
            <w:gridSpan w:val="2"/>
          </w:tcPr>
          <w:p>
            <w:pPr>
              <w:spacing w:after="0"/>
              <w:rPr>
                <w:sz w:val="20"/>
                <w:szCs w:val="20"/>
                <w:color w:val="auto"/>
              </w:rPr>
            </w:pPr>
            <w:r>
              <w:rPr>
                <w:rFonts w:ascii="Arial" w:cs="Arial" w:eastAsia="Arial" w:hAnsi="Arial"/>
                <w:sz w:val="18"/>
                <w:szCs w:val="18"/>
                <w:color w:val="auto"/>
              </w:rPr>
              <w:t>Thailand</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Thai</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August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tripadvisor.co.kr</w:t>
            </w:r>
          </w:p>
        </w:tc>
        <w:tc>
          <w:tcPr>
            <w:tcW w:w="150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Korean</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August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tripadvisor.com.sg</w:t>
            </w:r>
          </w:p>
        </w:tc>
        <w:tc>
          <w:tcPr>
            <w:tcW w:w="150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August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pl.tripadvisor.com</w:t>
            </w:r>
          </w:p>
        </w:tc>
        <w:tc>
          <w:tcPr>
            <w:tcW w:w="15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Polish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March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no.tripadvisor.com</w:t>
            </w:r>
          </w:p>
        </w:tc>
        <w:tc>
          <w:tcPr>
            <w:tcW w:w="1500" w:type="dxa"/>
            <w:vAlign w:val="bottom"/>
            <w:gridSpan w:val="2"/>
          </w:tcPr>
          <w:p>
            <w:pPr>
              <w:spacing w:after="0"/>
              <w:rPr>
                <w:sz w:val="20"/>
                <w:szCs w:val="20"/>
                <w:color w:val="auto"/>
              </w:rPr>
            </w:pPr>
            <w:r>
              <w:rPr>
                <w:rFonts w:ascii="Arial" w:cs="Arial" w:eastAsia="Arial" w:hAnsi="Arial"/>
                <w:sz w:val="18"/>
                <w:szCs w:val="18"/>
                <w:color w:val="auto"/>
              </w:rPr>
              <w:t>Norway</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Norwegian</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March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tripadvisor.com.au</w:t>
            </w:r>
          </w:p>
        </w:tc>
        <w:tc>
          <w:tcPr>
            <w:tcW w:w="150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March 2010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tripadvisor.com.tr</w:t>
            </w:r>
          </w:p>
        </w:tc>
        <w:tc>
          <w:tcPr>
            <w:tcW w:w="1500" w:type="dxa"/>
            <w:vAlign w:val="bottom"/>
            <w:gridSpan w:val="2"/>
          </w:tcPr>
          <w:p>
            <w:pPr>
              <w:spacing w:after="0"/>
              <w:rPr>
                <w:sz w:val="20"/>
                <w:szCs w:val="20"/>
                <w:color w:val="auto"/>
              </w:rPr>
            </w:pPr>
            <w:r>
              <w:rPr>
                <w:rFonts w:ascii="Arial" w:cs="Arial" w:eastAsia="Arial" w:hAnsi="Arial"/>
                <w:sz w:val="18"/>
                <w:szCs w:val="18"/>
                <w:color w:val="auto"/>
              </w:rPr>
              <w:t>Turkey</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Turkish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December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tripadvisor.com.mx</w:t>
            </w:r>
          </w:p>
        </w:tc>
        <w:tc>
          <w:tcPr>
            <w:tcW w:w="150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December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tripadvisor.dk</w:t>
            </w:r>
          </w:p>
        </w:tc>
        <w:tc>
          <w:tcPr>
            <w:tcW w:w="150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December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tripadvisor.ca</w:t>
            </w:r>
          </w:p>
        </w:tc>
        <w:tc>
          <w:tcPr>
            <w:tcW w:w="15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August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tripadvisor.se</w:t>
            </w:r>
          </w:p>
        </w:tc>
        <w:tc>
          <w:tcPr>
            <w:tcW w:w="150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Swedish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April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tripadvisor.nl</w:t>
            </w:r>
          </w:p>
        </w:tc>
        <w:tc>
          <w:tcPr>
            <w:tcW w:w="150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Dutch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April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daodao.com</w:t>
            </w:r>
          </w:p>
        </w:tc>
        <w:tc>
          <w:tcPr>
            <w:tcW w:w="1500" w:type="dxa"/>
            <w:vAlign w:val="bottom"/>
            <w:gridSpan w:val="2"/>
          </w:tcPr>
          <w:p>
            <w:pPr>
              <w:spacing w:after="0"/>
              <w:rPr>
                <w:sz w:val="20"/>
                <w:szCs w:val="20"/>
                <w:color w:val="auto"/>
              </w:rPr>
            </w:pPr>
            <w:r>
              <w:rPr>
                <w:rFonts w:ascii="Arial" w:cs="Arial" w:eastAsia="Arial" w:hAnsi="Arial"/>
                <w:sz w:val="18"/>
                <w:szCs w:val="18"/>
                <w:color w:val="auto"/>
              </w:rPr>
              <w:t>China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Chinese (Simplified)</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April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tripadvisor.com.br</w:t>
            </w:r>
          </w:p>
        </w:tc>
        <w:tc>
          <w:tcPr>
            <w:tcW w:w="150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Portuguese</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April 2009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tripadvisor.jp</w:t>
            </w:r>
          </w:p>
        </w:tc>
        <w:tc>
          <w:tcPr>
            <w:tcW w:w="1500" w:type="dxa"/>
            <w:vAlign w:val="bottom"/>
            <w:gridSpan w:val="2"/>
          </w:tcPr>
          <w:p>
            <w:pPr>
              <w:spacing w:after="0"/>
              <w:rPr>
                <w:sz w:val="20"/>
                <w:szCs w:val="20"/>
                <w:color w:val="auto"/>
              </w:rPr>
            </w:pPr>
            <w:r>
              <w:rPr>
                <w:rFonts w:ascii="Arial" w:cs="Arial" w:eastAsia="Arial" w:hAnsi="Arial"/>
                <w:sz w:val="18"/>
                <w:szCs w:val="18"/>
                <w:color w:val="auto"/>
              </w:rPr>
              <w:t>Japan</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Japanese</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October 2008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tripadvisor.in</w:t>
            </w:r>
          </w:p>
        </w:tc>
        <w:tc>
          <w:tcPr>
            <w:tcW w:w="1500" w:type="dxa"/>
            <w:vAlign w:val="bottom"/>
            <w:gridSpan w:val="2"/>
          </w:tcPr>
          <w:p>
            <w:pPr>
              <w:spacing w:after="0"/>
              <w:rPr>
                <w:sz w:val="20"/>
                <w:szCs w:val="20"/>
                <w:color w:val="auto"/>
              </w:rPr>
            </w:pPr>
            <w:r>
              <w:rPr>
                <w:rFonts w:ascii="Arial" w:cs="Arial" w:eastAsia="Arial" w:hAnsi="Arial"/>
                <w:sz w:val="18"/>
                <w:szCs w:val="18"/>
                <w:color w:val="auto"/>
              </w:rPr>
              <w:t>India</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August 2008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tripadvisor.es</w:t>
            </w:r>
          </w:p>
        </w:tc>
        <w:tc>
          <w:tcPr>
            <w:tcW w:w="1500" w:type="dxa"/>
            <w:vAlign w:val="bottom"/>
            <w:gridSpan w:val="2"/>
          </w:tcPr>
          <w:p>
            <w:pPr>
              <w:spacing w:after="0"/>
              <w:rPr>
                <w:sz w:val="20"/>
                <w:szCs w:val="20"/>
                <w:color w:val="auto"/>
              </w:rPr>
            </w:pPr>
            <w:r>
              <w:rPr>
                <w:rFonts w:ascii="Arial" w:cs="Arial" w:eastAsia="Arial" w:hAnsi="Arial"/>
                <w:sz w:val="18"/>
                <w:szCs w:val="18"/>
                <w:color w:val="auto"/>
              </w:rPr>
              <w:t>Spain</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Spanish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tripadvisor.it</w:t>
            </w:r>
          </w:p>
        </w:tc>
        <w:tc>
          <w:tcPr>
            <w:tcW w:w="1500" w:type="dxa"/>
            <w:vAlign w:val="bottom"/>
            <w:gridSpan w:val="2"/>
          </w:tcPr>
          <w:p>
            <w:pPr>
              <w:spacing w:after="0"/>
              <w:rPr>
                <w:sz w:val="20"/>
                <w:szCs w:val="20"/>
                <w:color w:val="auto"/>
              </w:rPr>
            </w:pPr>
            <w:r>
              <w:rPr>
                <w:rFonts w:ascii="Arial" w:cs="Arial" w:eastAsia="Arial" w:hAnsi="Arial"/>
                <w:sz w:val="18"/>
                <w:szCs w:val="18"/>
                <w:color w:val="auto"/>
              </w:rPr>
              <w:t>Italy</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Italian</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tripadvisor.de</w:t>
            </w:r>
          </w:p>
        </w:tc>
        <w:tc>
          <w:tcPr>
            <w:tcW w:w="15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German</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tripadvisor.fr</w:t>
            </w:r>
          </w:p>
        </w:tc>
        <w:tc>
          <w:tcPr>
            <w:tcW w:w="15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French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tripadvisor.co.uk</w:t>
            </w:r>
          </w:p>
        </w:tc>
        <w:tc>
          <w:tcPr>
            <w:tcW w:w="15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1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November 2005</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tripadvisor.ie</w:t>
            </w:r>
          </w:p>
        </w:tc>
        <w:tc>
          <w:tcPr>
            <w:tcW w:w="150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1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English</w:t>
            </w:r>
          </w:p>
        </w:tc>
        <w:tc>
          <w:tcPr>
            <w:tcW w:w="2020" w:type="dxa"/>
            <w:vAlign w:val="bottom"/>
            <w:gridSpan w:val="3"/>
          </w:tcPr>
          <w:p>
            <w:pPr>
              <w:ind w:left="880"/>
              <w:spacing w:after="0"/>
              <w:rPr>
                <w:sz w:val="20"/>
                <w:szCs w:val="20"/>
                <w:color w:val="auto"/>
              </w:rPr>
            </w:pPr>
            <w:r>
              <w:rPr>
                <w:rFonts w:ascii="Arial" w:cs="Arial" w:eastAsia="Arial" w:hAnsi="Arial"/>
                <w:sz w:val="18"/>
                <w:szCs w:val="18"/>
                <w:color w:val="auto"/>
                <w:w w:val="87"/>
              </w:rPr>
              <w:t>November 2005</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Travel Brands and Websites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flagship TripAdvisor-branded websites, we have also acquired and launched numerous other travel brands, all of which are connected by the common goal of providing travelers with valuable resources across the travel sector, including resources for planning your trip as well as making the appropriate booking arrangements. These brands have expanded our reach, product breadth and appeal to domestic and international advertisers.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Brands acquired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Date Acquired</w:t>
            </w:r>
          </w:p>
        </w:tc>
        <w:tc>
          <w:tcPr>
            <w:tcW w:w="374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160" w:type="dxa"/>
            <w:vAlign w:val="bottom"/>
          </w:tcPr>
          <w:p>
            <w:pPr>
              <w:spacing w:after="0"/>
              <w:rPr>
                <w:sz w:val="14"/>
                <w:szCs w:val="14"/>
                <w:color w:val="auto"/>
              </w:rPr>
            </w:pP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oyster.com</w:t>
            </w:r>
          </w:p>
        </w:tc>
        <w:tc>
          <w:tcPr>
            <w:tcW w:w="16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October 2013</w:t>
            </w:r>
          </w:p>
        </w:tc>
        <w:tc>
          <w:tcPr>
            <w:tcW w:w="752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Hotel review website featuring expert reviews and photos covering about 150 cities.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gateguru.com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June 2013</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Mobile resource for up-to-date flight and airport information around the world.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niumba.com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May 2013</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2"/>
              </w:rPr>
              <w:t>A Spanish-based vacation rental site, featuring properties listed globally and the world’s largest</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collection of Spanish vacation rentals.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jetsetter.com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April 2013</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9"/>
              </w:rPr>
              <w:t>Members-only private sale site providing insider access, expert knowledge and exclusive deals for</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vacations around the world.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everytrail.com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February 2011</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8"/>
              </w:rPr>
              <w:t>Mobile application and website for collecting and sharing geo-tagged user-generated travel content,</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such as walking tours, road trips, sight-seeing tours and sailing trips.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holidaylettings.co.uk</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June 2010</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0"/>
              </w:rPr>
              <w:t>A leading U.K.-based vacation rental site, featuring residential properties globally listed for rental,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enabling users to live like a local while on holiday.</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kuxun.cn</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October 2009</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Travel metasearch engine, much like TripAdvisor, operating in China.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flipkey.com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August 2008</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8"/>
              </w:rPr>
              <w:t>A vacation rental website featuring a large collection of vacation rental guest reviews on residential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properties listed for vacation rental around the world.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onetime.com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0"/>
              </w:rPr>
              <w:t>Comparison shopping travel website that allows travel shoppers to conduct itinerary-based, multi-</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site searches for flights, hotels, cruises, vacations, and car rentals.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virtualtourist.com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9"/>
              </w:rPr>
              <w:t>Travel-oriented community website featuring user-contributed travel guides for locations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worldwide.</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airfarewatchdog.com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March 2008</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1"/>
              </w:rPr>
              <w:t>Provides up-to-date airline deals that have been researched and verified by a team of dedicated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airfare experts.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holidaywatchdog.com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January 2008</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9"/>
              </w:rPr>
              <w:t>U.K.-based website for traveler reviews on hotels and destinations focusing on the Mediterranean.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cruisecritic.com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9"/>
              </w:rPr>
              <w:t>A community of avid and first-time cruisers who enjoy the fun of planning, researching and sharing</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5"/>
              </w:rPr>
              <w:t>their passion for cruising. Cruise Critic offers objective cruise reviews written by expert travel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writers and members.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independenttraveler.com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4"/>
              </w:rPr>
              <w:t>A traveler’s exchange that features practical travel resources for a community of international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travelers who enjoy the adventure of independent travel.</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seatguru.com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March 2007</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95"/>
              </w:rPr>
              <w:t>Features aircraft seat maps, seat reviews, and a color-coded system to identify superior and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substandard airline seats.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bookingbuddy.com</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February 2007</w:t>
            </w: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w w:val="87"/>
              </w:rPr>
              <w:t>Travel shopping website that gives travelers easy access to airfare, hotel, car rental, cruise, vacation</w:t>
            </w:r>
          </w:p>
        </w:tc>
      </w:tr>
      <w:tr>
        <w:trPr>
          <w:trHeight w:val="222"/>
        </w:trPr>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520" w:type="dxa"/>
            <w:vAlign w:val="bottom"/>
            <w:gridSpan w:val="3"/>
          </w:tcPr>
          <w:p>
            <w:pPr>
              <w:ind w:left="520"/>
              <w:spacing w:after="0"/>
              <w:rPr>
                <w:sz w:val="20"/>
                <w:szCs w:val="20"/>
                <w:color w:val="auto"/>
              </w:rPr>
            </w:pPr>
            <w:r>
              <w:rPr>
                <w:rFonts w:ascii="Arial" w:cs="Arial" w:eastAsia="Arial" w:hAnsi="Arial"/>
                <w:sz w:val="18"/>
                <w:szCs w:val="18"/>
                <w:color w:val="auto"/>
              </w:rPr>
              <w:t>rental, and vacation deals, plus prices from selected travel sites.</w:t>
            </w:r>
          </w:p>
        </w:tc>
      </w:tr>
      <w:tr>
        <w:trPr>
          <w:trHeight w:val="365"/>
        </w:trPr>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40" w:type="dxa"/>
            <w:vAlign w:val="bottom"/>
          </w:tcPr>
          <w:p>
            <w:pPr>
              <w:ind w:left="184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Date Acquired</w:t>
            </w:r>
          </w:p>
        </w:tc>
        <w:tc>
          <w:tcPr>
            <w:tcW w:w="374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120" w:type="dxa"/>
            <w:vAlign w:val="bottom"/>
          </w:tcPr>
          <w:p>
            <w:pPr>
              <w:spacing w:after="0"/>
              <w:rPr>
                <w:sz w:val="14"/>
                <w:szCs w:val="14"/>
                <w:color w:val="auto"/>
              </w:rPr>
            </w:pP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smartertravel.com</w:t>
            </w:r>
          </w:p>
        </w:tc>
        <w:tc>
          <w:tcPr>
            <w:tcW w:w="164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February 2007</w:t>
            </w:r>
          </w:p>
        </w:tc>
        <w:tc>
          <w:tcPr>
            <w:tcW w:w="7480" w:type="dxa"/>
            <w:vAlign w:val="bottom"/>
            <w:gridSpan w:val="3"/>
          </w:tcPr>
          <w:p>
            <w:pPr>
              <w:ind w:left="520"/>
              <w:spacing w:after="0" w:line="201" w:lineRule="exact"/>
              <w:rPr>
                <w:sz w:val="20"/>
                <w:szCs w:val="20"/>
                <w:color w:val="auto"/>
              </w:rPr>
            </w:pPr>
            <w:r>
              <w:rPr>
                <w:rFonts w:ascii="Arial" w:cs="Arial" w:eastAsia="Arial" w:hAnsi="Arial"/>
                <w:sz w:val="18"/>
                <w:szCs w:val="18"/>
                <w:color w:val="auto"/>
                <w:w w:val="89"/>
              </w:rPr>
              <w:t>One of the largest online travel resources for independent expert advice for the budget-conscious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w w:val="91"/>
              </w:rPr>
              <w:t>traveler. The SmarterTravel editorial staff provides advice and analysis to help travelers find the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best deals and get the most value from their trips.</w:t>
            </w: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travelpod.com</w:t>
            </w:r>
          </w:p>
        </w:tc>
        <w:tc>
          <w:tcPr>
            <w:tcW w:w="1640" w:type="dxa"/>
            <w:vAlign w:val="bottom"/>
            <w:gridSpan w:val="3"/>
          </w:tcPr>
          <w:p>
            <w:pPr>
              <w:ind w:left="440"/>
              <w:spacing w:after="0"/>
              <w:rPr>
                <w:sz w:val="20"/>
                <w:szCs w:val="20"/>
                <w:color w:val="auto"/>
              </w:rPr>
            </w:pPr>
            <w:r>
              <w:rPr>
                <w:rFonts w:ascii="Arial" w:cs="Arial" w:eastAsia="Arial" w:hAnsi="Arial"/>
                <w:sz w:val="18"/>
                <w:szCs w:val="18"/>
                <w:color w:val="auto"/>
                <w:w w:val="92"/>
              </w:rPr>
              <w:t>December 2006</w:t>
            </w: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Pioneering travel blog website.</w:t>
            </w:r>
          </w:p>
        </w:tc>
      </w:tr>
      <w:tr>
        <w:trPr>
          <w:trHeight w:val="459"/>
        </w:trPr>
        <w:tc>
          <w:tcPr>
            <w:tcW w:w="3840" w:type="dxa"/>
            <w:vAlign w:val="bottom"/>
            <w:gridSpan w:val="5"/>
          </w:tcPr>
          <w:p>
            <w:pPr>
              <w:spacing w:after="0"/>
              <w:rPr>
                <w:sz w:val="20"/>
                <w:szCs w:val="20"/>
                <w:color w:val="auto"/>
              </w:rPr>
            </w:pPr>
            <w:r>
              <w:rPr>
                <w:rFonts w:ascii="Arial" w:cs="Arial" w:eastAsia="Arial" w:hAnsi="Arial"/>
                <w:sz w:val="18"/>
                <w:szCs w:val="18"/>
                <w:color w:val="auto"/>
                <w:w w:val="94"/>
              </w:rPr>
              <w:t>Brands developed internally and launched include:</w:t>
            </w:r>
          </w:p>
        </w:tc>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5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Date Launched</w:t>
            </w:r>
          </w:p>
        </w:tc>
        <w:tc>
          <w:tcPr>
            <w:tcW w:w="374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120" w:type="dxa"/>
            <w:vAlign w:val="bottom"/>
          </w:tcPr>
          <w:p>
            <w:pPr>
              <w:spacing w:after="0"/>
              <w:rPr>
                <w:sz w:val="24"/>
                <w:szCs w:val="24"/>
                <w:color w:val="auto"/>
              </w:rPr>
            </w:pPr>
          </w:p>
        </w:tc>
      </w:tr>
      <w:tr>
        <w:trPr>
          <w:trHeight w:val="309"/>
        </w:trPr>
        <w:tc>
          <w:tcPr>
            <w:tcW w:w="2200" w:type="dxa"/>
            <w:vAlign w:val="bottom"/>
            <w:gridSpan w:val="2"/>
          </w:tcPr>
          <w:p>
            <w:pPr>
              <w:spacing w:after="0"/>
              <w:rPr>
                <w:sz w:val="20"/>
                <w:szCs w:val="20"/>
                <w:color w:val="auto"/>
              </w:rPr>
            </w:pPr>
            <w:r>
              <w:rPr>
                <w:rFonts w:ascii="Arial" w:cs="Arial" w:eastAsia="Arial" w:hAnsi="Arial"/>
                <w:sz w:val="18"/>
                <w:szCs w:val="18"/>
                <w:color w:val="auto"/>
              </w:rPr>
              <w:t>tingo.com</w:t>
            </w:r>
          </w:p>
        </w:tc>
        <w:tc>
          <w:tcPr>
            <w:tcW w:w="1640" w:type="dxa"/>
            <w:vAlign w:val="bottom"/>
            <w:gridSpan w:val="3"/>
          </w:tcPr>
          <w:p>
            <w:pPr>
              <w:ind w:left="540"/>
              <w:spacing w:after="0"/>
              <w:rPr>
                <w:sz w:val="20"/>
                <w:szCs w:val="20"/>
                <w:color w:val="auto"/>
              </w:rPr>
            </w:pPr>
            <w:r>
              <w:rPr>
                <w:rFonts w:ascii="Arial" w:cs="Arial" w:eastAsia="Arial" w:hAnsi="Arial"/>
                <w:sz w:val="18"/>
                <w:szCs w:val="18"/>
                <w:color w:val="auto"/>
              </w:rPr>
              <w:t>March 2012</w:t>
            </w: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w w:val="88"/>
              </w:rPr>
              <w:t>The first hotel booking site that automatically rebooks hotel rooms at a lower price if the rate drops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and automatically refunds the difference to the travelers’ credit cards.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familyvacationcritic.com</w:t>
            </w:r>
          </w:p>
        </w:tc>
        <w:tc>
          <w:tcPr>
            <w:tcW w:w="1640" w:type="dxa"/>
            <w:vAlign w:val="bottom"/>
            <w:gridSpan w:val="3"/>
          </w:tcPr>
          <w:p>
            <w:pPr>
              <w:ind w:left="540"/>
              <w:spacing w:after="0"/>
              <w:rPr>
                <w:sz w:val="20"/>
                <w:szCs w:val="20"/>
                <w:color w:val="auto"/>
              </w:rPr>
            </w:pPr>
            <w:r>
              <w:rPr>
                <w:rFonts w:ascii="Arial" w:cs="Arial" w:eastAsia="Arial" w:hAnsi="Arial"/>
                <w:sz w:val="18"/>
                <w:szCs w:val="18"/>
                <w:color w:val="auto"/>
              </w:rPr>
              <w:t>June 2009</w:t>
            </w: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w w:val="93"/>
              </w:rPr>
              <w:t>Reviews of family-friendly hotels, resorts, destinations and attractions, written by experienced</w:t>
            </w:r>
          </w:p>
        </w:tc>
      </w:tr>
      <w:tr>
        <w:trPr>
          <w:trHeight w:val="222"/>
        </w:trPr>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family travel experts.</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Additional brands which are no longer being developed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Date Acquired/</w:t>
            </w:r>
          </w:p>
        </w:tc>
        <w:tc>
          <w:tcPr>
            <w:tcW w:w="3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Launched</w:t>
            </w:r>
          </w:p>
        </w:tc>
        <w:tc>
          <w:tcPr>
            <w:tcW w:w="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220" w:type="dxa"/>
            <w:vAlign w:val="bottom"/>
          </w:tcPr>
          <w:p>
            <w:pPr>
              <w:spacing w:after="0"/>
              <w:rPr>
                <w:sz w:val="14"/>
                <w:szCs w:val="14"/>
                <w:color w:val="auto"/>
              </w:rPr>
            </w:pPr>
          </w:p>
        </w:tc>
      </w:tr>
      <w:tr>
        <w:trPr>
          <w:trHeight w:val="309"/>
        </w:trPr>
        <w:tc>
          <w:tcPr>
            <w:tcW w:w="1980" w:type="dxa"/>
            <w:vAlign w:val="bottom"/>
            <w:gridSpan w:val="2"/>
          </w:tcPr>
          <w:p>
            <w:pPr>
              <w:spacing w:after="0"/>
              <w:rPr>
                <w:sz w:val="20"/>
                <w:szCs w:val="20"/>
                <w:color w:val="auto"/>
              </w:rPr>
            </w:pPr>
            <w:r>
              <w:rPr>
                <w:rFonts w:ascii="Arial" w:cs="Arial" w:eastAsia="Arial" w:hAnsi="Arial"/>
                <w:sz w:val="18"/>
                <w:szCs w:val="18"/>
                <w:color w:val="auto"/>
              </w:rPr>
              <w:t>cruisewise.com</w:t>
            </w: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May 2013</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88"/>
              </w:rPr>
              <w:t>A cruise research and planning site. This business was successfully integrated into our Cruise Critic</w:t>
            </w:r>
          </w:p>
        </w:tc>
      </w:tr>
      <w:tr>
        <w:trPr>
          <w:trHeight w:val="216"/>
        </w:trPr>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rPr>
              <w:t>travel brand during 2013.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tinypost.co</w:t>
            </w: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March 2013</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94"/>
              </w:rPr>
              <w:t>The developer of a product that enabled users to write over photos and turn them into stories.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whereivebeen.com</w:t>
            </w: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July 2011</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91"/>
              </w:rPr>
              <w:t>Website and social platform with a detailed interactive world map that let users share where they</w:t>
            </w:r>
          </w:p>
        </w:tc>
      </w:tr>
      <w:tr>
        <w:trPr>
          <w:trHeight w:val="216"/>
        </w:trPr>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rPr>
              <w:t>have been, lived, and want to go. This website is no longer operating.</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sniqueaway.com</w:t>
            </w: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September 2010</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88"/>
              </w:rPr>
              <w:t>U.S.-based members-only flash sale website, developed internally, which provided exclusive limited</w:t>
            </w:r>
          </w:p>
        </w:tc>
      </w:tr>
      <w:tr>
        <w:trPr>
          <w:trHeight w:val="216"/>
        </w:trPr>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89"/>
              </w:rPr>
              <w:t>time access to deals on top hotels at deep discounts. The functionality of this site was successfully</w:t>
            </w:r>
          </w:p>
        </w:tc>
      </w:tr>
      <w:tr>
        <w:trPr>
          <w:trHeight w:val="216"/>
        </w:trPr>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rPr>
              <w:t>integrated into our Jetsetter travel brand during 2013.</w:t>
            </w: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color w:val="auto"/>
              </w:rPr>
              <w:t>travel-library.com</w:t>
            </w: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September 2006</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rPr>
              <w:t>Travel website with user-generated reviews.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in the online advertising sector of the global travel industry. As a result, we are impacted by trends in the global travel industry, the online travel market and online advertising.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Travel Industry</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According to the PhoCusWright, gross bookings in the global travel industry are expected to be greater than $1.3 trillion in 2014. Recent historical trends show that, each year, an increasing percentage of global travel spending has been conducted online through supplier websites and online travel agencies. We believe that this trend will continue as online penetration continues to grow, as more consumers gain broadband access to the Internet, as smartphone, tablets and other mobile computing devices continue to proliferate, and as travel activity increases along with an expanding middle class in certain developing countries like China and India.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Travel Market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 to the International Data Corporation, or IDC, New Media Market Model, only 26% of the approximately $51 billion that is expected to be spent on travel advertising will be spent online in 2016. We believe that the Internet will continue to become even more integral to the travel-planning process due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increasing worldwide online penetration, particularly given the capabilities that the Internet provides travelers, including the ability to refine searches, compare destinations and view real-time pricing.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Advertising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According to the IDC New Media Market Model, the global online advertising market is growing and is projected to exceed $165 billion by 2016, as more and more advertisers continue to shift their spending from offline to online channels, mirroring the trend in consumer media consumption generally. Given the size of the online advertising market, we believe that travel providers and travel related advertisers are, and will continue to be, motivated to devote significant resources to advertise their travel products and services. In addition, as more and more travel transactions are conducted online generally, we believe that an increasing amount of travel advertising spending will migrate from traditional offline advertising channels to online advertising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Prior to 2000, travel research and planning was largely conducted with the assistance and guidance of a personal travel agent or advice from friends and family. Consumers had no single resource to access recent and comprehensive destination, lodging, restaurant and attraction feedback and information. We were founded with the goal of providing an online resource based on user-generated content to prospective travelers. We have democratized the travel research and planning process by using the power of the Internet to create transparency in the travel planning process with a comprehensive online resource for travel information. We provide the ability and information to plan and have the perfect trip for any customer with access to the Internet, whether through their desktop, smartphone or tablet devices.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order to achieve our goals, we leverage our key assets—a robust travel community, rich user-generated content, continuous technological innovation and global reach—as follows:</w:t>
      </w:r>
    </w:p>
    <w:p>
      <w:pPr>
        <w:spacing w:after="0" w:line="51" w:lineRule="exact"/>
        <w:rPr>
          <w:sz w:val="20"/>
          <w:szCs w:val="20"/>
          <w:color w:val="auto"/>
        </w:rPr>
      </w:pPr>
    </w:p>
    <w:p>
      <w:pPr>
        <w:ind w:left="900" w:hanging="325"/>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Robust Travel Community</w:t>
      </w:r>
      <w:r>
        <w:rPr>
          <w:rFonts w:ascii="Arial" w:cs="Arial" w:eastAsia="Arial" w:hAnsi="Arial"/>
          <w:sz w:val="16"/>
          <w:szCs w:val="16"/>
          <w:color w:val="auto"/>
        </w:rPr>
        <w:t>. We believe that we have the largest breadth of content in our markets, and that, because of this breadth, travelers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gravitate to TripAdvisor-branded websites to research their travel plans. By providing an interactive forum to share travel experiences, we allow the voice of our large and highly engaged community of travelers to influence decision-making during the travel planning phase. To facilitate planning, we enable consumers to research pricing and availability from third-party travel booking sites. To encourage better travel experiences for consumers and to create a feedback loop between the hospitality industry and individual travelers, we allow hospitality management representatives to respond to reviews of their properties on our website. After completing their trip, consumers can return to our websites to write reviews to give back to the community that helped them plan their trip. Through this cycle, more content is generated, which drives community, traffic, loyalty and higher search engine rankings, all of which lead to further content creation. We believe that the volume of reviews generated on TripAdvisor-branded websites and the robust feedback loop created on TripAdvisor-branded websites provides us with a significant advantage over our competitors.</w:t>
      </w:r>
    </w:p>
    <w:p>
      <w:pPr>
        <w:spacing w:after="0" w:line="38"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 User-Generated Content. </w:t>
      </w:r>
      <w:r>
        <w:rPr>
          <w:rFonts w:ascii="Arial" w:cs="Arial" w:eastAsia="Arial" w:hAnsi="Arial"/>
          <w:sz w:val="16"/>
          <w:szCs w:val="16"/>
          <w:color w:val="auto"/>
        </w:rPr>
        <w:t>We believe that the best travel content comes from the wisdom and insight of a robust community of travelers.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user-generated content to power travel planning by allowing members to create reviews and share opinions on hundreds of thousands of accommodations, destinations, attractions and restaurants. As evidenced by the growth of our business, this type of travel planning has been embraced by travelers. To promote an enthusiastic reviewer community and brand affiliation, we have launched several programs to recognize reviewer contributions, including site badges, helpful vote recognition, and other community-focused features, all of which highlight the current and helpful reviews and opinions available throughout the TripAdvisor community and promote brand affiliation.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and Innovation</w:t>
      </w:r>
      <w:r>
        <w:rPr>
          <w:rFonts w:ascii="Arial" w:cs="Arial" w:eastAsia="Arial" w:hAnsi="Arial"/>
          <w:sz w:val="16"/>
          <w:szCs w:val="16"/>
          <w:color w:val="auto"/>
        </w:rPr>
        <w:t>. We focus heavily on speed-to-market and product innovation in order to create a richer experience for travelers,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deploys weekly engineering releases with new products and features. Some recent examples of this product innovation include: our development and launch of hotel metasearch functionality, which makes it even easier for users to research and plan their perfect trip on TripAdvisor; TripConnect, a platform that enables independent hoteliers to purchase leads from TripAdvisor; the release of new native mobile apps on iOS and Android; and a roll out of a major iPad app refresh. We are also continuing to invest heavily in the rapidly growing mobile channel by providing 80 mobile city guides of the most popular cities globally, adding menus to restaurant pages, displaying bookable tickets to attractions pages, releasing hotel pricing and availability improvements, and integrating Facebook login into our industry-leading mobile websites as well as tablet and smartphone applications that are currently available in 21 languages. Our ongoing commitment to innovation also extends to content syndication and review collection partnerships, as we leverage our technology and content for the benefit of other websites. In addition, we expend significant effort with respect to manual and electronic fraud detection in order to maintain the quality and authenticity of user reviews, and have clear posting guidelines for user content submission.</w:t>
      </w:r>
    </w:p>
    <w:p>
      <w:pPr>
        <w:spacing w:after="0" w:line="46" w:lineRule="exact"/>
        <w:rPr>
          <w:rFonts w:ascii="Arial" w:cs="Arial" w:eastAsia="Arial" w:hAnsi="Arial"/>
          <w:sz w:val="16"/>
          <w:szCs w:val="16"/>
          <w:color w:val="auto"/>
        </w:rPr>
      </w:pPr>
    </w:p>
    <w:p>
      <w:pPr>
        <w:ind w:left="900" w:right="160" w:hanging="325"/>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Global Reach</w:t>
      </w:r>
      <w:r>
        <w:rPr>
          <w:rFonts w:ascii="Arial" w:cs="Arial" w:eastAsia="Arial" w:hAnsi="Arial"/>
          <w:sz w:val="16"/>
          <w:szCs w:val="16"/>
          <w:color w:val="auto"/>
        </w:rPr>
        <w:t>. We are a global company, both through the reach of our portfolio of branded websites and through our in-market staffing in fifteen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countries. As of December 31, 2013, we had TripAdvisor branded websites in 34 countries and 21 languages, including a local language website in China under the brand daodao.com. We have over 300 million review translations, and are committed to continuing to improve the in-country user experience and the local content coverage for all of our points-of-sale. As of December 31, 2013, we had approximately 871 employees based outside of the United States. We believe that the universally-relevant content and community of our core TripAdvisor platform and other brands uniquely position us to appeal to travelers throughout the world.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To expand our global reach, we leverage significant investments in technology, operations, brand-building, and relationships with advertisers and other partners. These investments have enabled us to, among other things, aggregate a large base of consumer reviews, in a variety of languages, across our global platform of TripAdvisor-branded websites. We plan to continue leveraging these investments through the following:</w:t>
      </w:r>
    </w:p>
    <w:p>
      <w:pPr>
        <w:spacing w:after="0" w:line="26" w:lineRule="exact"/>
        <w:rPr>
          <w:sz w:val="20"/>
          <w:szCs w:val="20"/>
          <w:color w:val="auto"/>
        </w:rPr>
      </w:pPr>
    </w:p>
    <w:p>
      <w:pPr>
        <w:jc w:val="both"/>
        <w:ind w:left="900" w:right="2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in Technology. </w:t>
      </w:r>
      <w:r>
        <w:rPr>
          <w:rFonts w:ascii="Arial" w:cs="Arial" w:eastAsia="Arial" w:hAnsi="Arial"/>
          <w:sz w:val="16"/>
          <w:szCs w:val="16"/>
          <w:color w:val="auto"/>
        </w:rPr>
        <w:t>We believe that our ability to continue to innovate by providing additional functionality to our main Internet sites, while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time continuing to extend that functionality to additional platforms such as smartphones and tablets, will enable us to continue providing an industry-leading user experience. We have a strong culture of speed-to-market with our innovations. By innovating and releasing updates quickly, we believe that we can continue to grow our site visitors, reviews and opinions, increase revenue and effectively compete with our competitors.</w:t>
      </w:r>
    </w:p>
    <w:p>
      <w:pPr>
        <w:spacing w:after="0" w:line="31" w:lineRule="exact"/>
        <w:rPr>
          <w:rFonts w:ascii="Arial" w:cs="Arial" w:eastAsia="Arial" w:hAnsi="Arial"/>
          <w:sz w:val="16"/>
          <w:szCs w:val="16"/>
          <w:color w:val="auto"/>
        </w:rPr>
      </w:pPr>
    </w:p>
    <w:p>
      <w:pPr>
        <w:ind w:left="900" w:right="38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Our Social and Personalization Platform. </w:t>
      </w:r>
      <w:r>
        <w:rPr>
          <w:rFonts w:ascii="Arial" w:cs="Arial" w:eastAsia="Arial" w:hAnsi="Arial"/>
          <w:sz w:val="16"/>
          <w:szCs w:val="16"/>
          <w:color w:val="auto"/>
        </w:rPr>
        <w:t>In addition to member acquisition efforts on social media channels, including Facebook,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Twitter and other social sharing platforms, we intend to continue to expand our social integration and personalization efforts. We believe these initiatives will enable us to continue to grow and maintain engagement with our user base and increase our content. To date, we have leveraged Facebook Connect to allow users to share their reviews and ratings with their friends and publish their travel activity to their timelines on Facebook. We are increasingly able to offer personalized recommendations to users based on friend’s reviews and ratings as well as information collected about a user’s preferences in selecting hotels.</w:t>
      </w:r>
    </w:p>
    <w:p>
      <w:pPr>
        <w:spacing w:after="0" w:line="39"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Improving the Hotel Shopper Experience. </w:t>
      </w:r>
      <w:r>
        <w:rPr>
          <w:rFonts w:ascii="Arial" w:cs="Arial" w:eastAsia="Arial" w:hAnsi="Arial"/>
          <w:sz w:val="18"/>
          <w:szCs w:val="18"/>
          <w:color w:val="auto"/>
        </w:rPr>
        <w:t>We continue to invest in user experience enhancements that improve the hotel shopping experience.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offered a flight metasearch product that displays availability and pricing information from multiple sources since 2009, expanding internationally to 19 points of sale in 2012 and increasing to 29 points of sale as of December 31, 2013. In 2012, we introduced hotel metasearch to our global smartphone traffic and in June 2013, we completed the process of fully implementing hotel metasearch functionality onto our desktop and tablet platforms. In addition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metasearch, we continue to offer and improve features such as user reviews, photos, mapping, and filtering to assist users in finding the right hotel for their trip.</w:t>
      </w:r>
    </w:p>
    <w:p>
      <w:pPr>
        <w:spacing w:after="0" w:line="51" w:lineRule="exact"/>
        <w:rPr>
          <w:sz w:val="20"/>
          <w:szCs w:val="20"/>
          <w:color w:val="auto"/>
        </w:rPr>
      </w:pPr>
    </w:p>
    <w:p>
      <w:pPr>
        <w:ind w:left="900" w:hanging="325"/>
        <w:spacing w:after="0" w:line="287"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in Traffic Growth. </w:t>
      </w:r>
      <w:r>
        <w:rPr>
          <w:rFonts w:ascii="Arial" w:cs="Arial" w:eastAsia="Arial" w:hAnsi="Arial"/>
          <w:sz w:val="16"/>
          <w:szCs w:val="16"/>
          <w:color w:val="auto"/>
        </w:rPr>
        <w:t>Attracting more visitors to our sites is at the core of our strategic plan and we dedicate significant time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towards amplifying our global brand. We do this through online and offline marketing channels to maximize the number of users who navigate to our site either directly, also known as domain direct traffic, or from the marketing channel directly. Offline advertising channels we have used in the past to amplify our brands include: permanent branding campaigns such as TripAdvisor-branded travel awards, certificates, stickers and badges and television advertising. Online advertising channels we have used in the past to amplify our brand include, but are not limited to: customer relationship management email campaigns, or CRM; social networks; organic search through search engine optimization, or SEO; paid search through search engine marketing, or SEM; and referrals from partners whose sites contain links to TripAdvisor content, badges or widgets. At approximately 11% of global online travel uniques, according to comScore Media Metrix, we believe that we have a large opportunity to continue growing visitors. In order to achieve this objective, we intend to invest in the aforementioned channels, as well as any new channels that we may identify in the future.</w:t>
      </w:r>
    </w:p>
    <w:p>
      <w:pPr>
        <w:spacing w:after="0" w:line="41"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Enhancing International Offerings</w:t>
      </w:r>
      <w:r>
        <w:rPr>
          <w:rFonts w:ascii="Arial" w:cs="Arial" w:eastAsia="Arial" w:hAnsi="Arial"/>
          <w:sz w:val="18"/>
          <w:szCs w:val="18"/>
          <w:color w:val="auto"/>
        </w:rPr>
        <w:t>. We are focused on strengthening our broad global footprint as we believe that international markets represent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strategic opportunity for us. We are continuing to improve localization and grow our user base in Europe, Asia and South America, especially in emerging markets, such as Brazil, Russia and China. In addition, we currently have two lead product offerings in the Chinese market— DaoDao and Kuxun—both headquartered in Beijing. We continue to invest heavily and operate at a loss in the Chinese market and will continue to enhance our international offerings.</w:t>
      </w:r>
    </w:p>
    <w:p>
      <w:pPr>
        <w:spacing w:after="0" w:line="61" w:lineRule="exact"/>
        <w:rPr>
          <w:rFonts w:ascii="Arial" w:cs="Arial" w:eastAsia="Arial" w:hAnsi="Arial"/>
          <w:sz w:val="18"/>
          <w:szCs w:val="18"/>
          <w:color w:val="auto"/>
        </w:rPr>
      </w:pPr>
    </w:p>
    <w:p>
      <w:pPr>
        <w:ind w:left="900" w:right="22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Growth through Strategic Acquisitions</w:t>
      </w:r>
      <w:r>
        <w:rPr>
          <w:rFonts w:ascii="Arial" w:cs="Arial" w:eastAsia="Arial" w:hAnsi="Arial"/>
          <w:sz w:val="18"/>
          <w:szCs w:val="18"/>
          <w:color w:val="auto"/>
        </w:rPr>
        <w:t>. We have a history of successfully acquiring and integrating companies that expand our footprint either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or in market sectors that are complementary to our flagship properties. We intend to continue to grow our business and expand our product and service offerings through acquisitions that either complement our existing businesses or provide additional resources, products and/or services that will improve the user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platforms connect users wishing to plan and have the best travel experiences with providers of travel accommodations and travel services around the world. We derive substantially all of our revenue from the sale of advertising, primarily through click-based advertising and, to a lesser extent, display-based advertising. The remainder of our revenue is generated through a combination of subscription-based offerings, allowing users to book room nights on our transactional sites, and other revenue including content licensing.</w:t>
      </w:r>
    </w:p>
    <w:p>
      <w:pPr>
        <w:spacing w:after="0" w:line="62" w:lineRule="exact"/>
        <w:rPr>
          <w:sz w:val="20"/>
          <w:szCs w:val="20"/>
          <w:color w:val="auto"/>
        </w:rPr>
      </w:pPr>
    </w:p>
    <w:p>
      <w:pPr>
        <w:ind w:left="900" w:right="16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links to our partners’ booking sites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 links. Our click-based advertising partners are predominantly online travel agencies and direct suppliers in the hotel, airline and cruise product categories. Click-based advertising is generally priced on a cost-per-click, or CPC, basis, with payments from advertisers based on the number of users who click on each type of link. Most of our click-based advertising contracts can be terminated by the advertisers at will or on short notice. For the years ended December 31, 2013, 2012 and 2011, we earned $696 million, $588 million and $500 million, respectively, of revenue from click-based advertising.</w:t>
      </w:r>
    </w:p>
    <w:p>
      <w:pPr>
        <w:spacing w:after="0" w:line="39"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Display-Based Advertising Revenue</w:t>
      </w:r>
      <w:r>
        <w:rPr>
          <w:rFonts w:ascii="Arial" w:cs="Arial" w:eastAsia="Arial" w:hAnsi="Arial"/>
          <w:sz w:val="18"/>
          <w:szCs w:val="18"/>
          <w:color w:val="auto"/>
        </w:rPr>
        <w:t>. We earn revenue from a variety of display-based advertising placements on our websites through which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partners can promote their brands in a contextually-relevant manner. While our display-based advertising clients are predominately direct suppliers in the hotel, airline and cruise categories and online travel agencies, we also accept display advertising from destination marketing organizations, casinos, resorts and attractions, as well as advertisers from non-travel categories. We generally sell our display-based advertising on a cost per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98" w:lineRule="auto"/>
        <w:rPr>
          <w:sz w:val="20"/>
          <w:szCs w:val="20"/>
          <w:color w:val="auto"/>
        </w:rPr>
      </w:pPr>
      <w:r>
        <w:rPr>
          <w:rFonts w:ascii="Arial" w:cs="Arial" w:eastAsia="Arial" w:hAnsi="Arial"/>
          <w:sz w:val="16"/>
          <w:szCs w:val="16"/>
          <w:color w:val="auto"/>
        </w:rPr>
        <w:t>thousand impressions, or CPM, basis. Our display-based advertising products also include a number of custom-built products including the sponsorship of certain site features and functionality, for example, Delayed Ad Call, which charges customers only when the ad unit is in a users’ view, as well as certain customized co-branded features. For the years ended December 31, 2013, 2012 and 2011, we earned $119 million, $94 million and $86 million, respectively, in revenue from display-based advertising.</w:t>
      </w:r>
    </w:p>
    <w:p>
      <w:pPr>
        <w:spacing w:after="0" w:line="32" w:lineRule="exact"/>
        <w:rPr>
          <w:sz w:val="20"/>
          <w:szCs w:val="20"/>
          <w:color w:val="auto"/>
        </w:rPr>
      </w:pPr>
    </w:p>
    <w:p>
      <w:pPr>
        <w:ind w:left="900" w:hanging="325"/>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Subscription-Based, Transaction and Other Revenue</w:t>
      </w:r>
      <w:r>
        <w:rPr>
          <w:rFonts w:ascii="Arial" w:cs="Arial" w:eastAsia="Arial" w:hAnsi="Arial"/>
          <w:sz w:val="16"/>
          <w:szCs w:val="16"/>
          <w:color w:val="auto"/>
        </w:rPr>
        <w:t>. Business Listings, is a subscription-based advertising product offered to hotels, B&amp;Bs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specialty lodging properties. Managed by our TripAdvisor for Business team, this advertising product is sold for a flat fee per time period and allows subscribers to list a website URL, email address and phone number on TripAdvisor-branded websites as well as to post special offers for travelers. Our Vacation Rentals business consists of our U.S.-based TripAdvisor Vacation Rentals and FlipKey brands as well as our Europe-based Holiday Lettings, and Niumba brands. This product is sold to individual vacation property owners and property managers, either as a flat subscription fee per time period or as a free-to-list commission-based model, to list properties on our websites. Other revenue consists of making hotel room nights available for booking on our transactional sites, including our Jetsetter and Tingo brands, as well as content licensing arrangements with third-party sites. For the years ended December 31, 2013, 2012 and 2011 we earned $130 million, $81 million and $51 million, respectively, in revenue from subscription-based, transaction and other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Click-Based Advertisers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click-based advertising relationships with the vast majority of the leading online travel agencies as well as a variety of other travel suppliers pursuant to which these companies purchase traveler leads from us, generally on a CPC basis. For the year ended December 31, 2013, our two most significant advertising customers, Expedia and Priceline (and their subsidiaries), each accounted for more than 10% of our total revenue and combined accounted for 47% of total revenue. These and our other click-based advertising relationships are strategically important to us and most can be terminated by the advertiser at will or on short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Content-Related Partnerships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a content licensing program utilized by over 850 partners across the world, including hotel chains, online travel agents, tourist boards, airlines and media sites. TripAdvisor also distributes its content through self-service HTML widgets, which are used on the websites of hotels, restaurants, attractions and destination marketing organizations. These products, which are available at no cost in the TripAdvisor Management Center, allow businesses and destinations to promote themselves by displaying their TripAdvisor ratings, reviews and awards. TripAdvisor widgets are presently found on more than 100,000 unique domains around the globe, reaching over 500 million people per month. Partners benefit from our user-generated content, such as reviews, ratings, photos and traveler forums. In addition, we power review collection for a growing number of partners, such as Accor Hotels, Wyndham Hotel Group, Best Western and Easytobook.com, enabling them to proactively collect reviews from their own customers post-stay in their own branded environment. We have also developed partnerships with mobile carriers and device manufacturers.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Syndication Partners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also syndicate our click-based advertising to third-party websites. The largest such syndication relationship is with Yahoo! Travel Guides, pursuant to which we provide “show prices” advertising on the Yahoo! Travel Guides’ hotel pages. Other syndication partners include Bing and Axel Springer.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established widely used and recognized brands through marketing and promotion campaigns. We continue to aggressively promote our brands, particularly our flagship brand TripAdvisor. Our marketing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programs are intended to build and maintain the value of our brands, promote consumer engagement and contributions, drive qualified clicks to our partners and strategically position our brands in the market. Our long-term success depends on our continued ability to maintain and increase the overall number of consumers flowing through our brand in a cost-effective manner, as well as our ability to attract consumers who will share their own content from their trips. Our marketing channels include SEM and SEO. We also reach consumers across the web through our online marketing program, and offline through our more recent offline brand campaigns. We also utilize CRM in which we send relevant and engaging traveler communications to our members via email. We have a robust global public relations program that yields placements on a constant basis in major print and online publications. We continue to look for new ways to build brand awareness and expand new channels, which may include traditional media and social media channels including Facebook and Twitter to deepen customer engagement. We syndicate our content so that other sites can feature TripAdvisor branding and content. Lastly, marketing and product development initiatives are closely tied. We are constantly creating helpful features and functionality so that our consumers can discover more relevant travel and review content that they want to talk about and share with their friends.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 The TripAdvisor-branded websites are powered primarily using Java programming language.</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systems infrastructure, web and database servers for TripAdvisor-branded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our subsidiaries in China, have their own data infrastructure and technology teams.</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Widespread adoption of mobile devices such as iPhone, Android-enabled smart phones and tablets such as the iPad, coupled with the improved web browsing functionality and development of thousands of useful apps available on these devices, is driving substantial traffic and commerce activity to mobile platforms. We have seen tremendous growth in the adoption of mobile platforms, as have our advertising partners. Advertising opportunities may be more limited on mobile devices given their small screen sizes. Further, given the size and technical limitations of tablets and smartphones, mobile consumers may not be willing to download multiple apps from multiple travel service providers and instead prefer to use one or a limited number of apps for their mobile travel activity. As a result, the consumer experience with mobile apps (as well as brand recognition and loyalty) is becoming increasingly important and we make significant investments in this area.</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mobile bookings present an opportunity for growth and are necessary to maintain and grow our business as consumers increasingly turn to mobile devices and mobile applications. If we are unable to continue to rapidly innovate and create new, user-friendly and differentiated mobile offerings and efficiently and effectively advertise and distribute on these platforms, or if our mobile apps are not downloaded and used by travel consumers, we could lose market share to existing or new entrants and our future growth and results of operations could be adversely effected. As a result, we have made significant progress creating mobile offerings which have received strong reviews, solid download trends and are driving a material and increasing share of our business. Our smartphone monetization strategies are still developing, as smartphone monetization was less than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20% of desktop monetization of hotel shoppers during the year ended December 31, 2013, while tablets monetize more closely to desktops.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face competition for users, advertisers and travel reviews. Our primary competitors include large online portals, social networking sites and search engines, such as Google, Microsoft’s Bing (including Bing Travel), Yahoo! (including Yahoo! Travel) and Baidu. We face competition from online travel agencies (such as Expedia and Priceline and their respective subsidiaries), as well as wholesalers, tour operators and traditional offline travel agencies. We also compete with a wide range of other companies, including Airbnb, Inc., Ctrip.com International, Ltd., HolidayCheck AG, HomeAway, Inc., and Yelp,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Content and Travel Reviews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the world’s largest global platform for travel-related reviews and opinions and we face competition in the travel review space from online travel agencies, such as Expedia and Priceline and their respective subsidiaries, which solicit reviews from travelers who book travel on their websites. Moreover, networks with significant installed user bases such as Google (for example, via Google + Local and Google Hotel Finder) have begun to compete more directly with us by attracting and accumulating user-generated travel reviews and opinions or may pursue the acquisition of travel-related content directly from consumers, and other networks and channels, like Facebook, could choose to do the same.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Users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 competition to attract users, we rely on our ability to acquire traffic through offline brand recognition and brand-direct efforts such as television, email and online search, whether unpaid or paid. Unpaid search is sometimes referred to as search engine optimization, or SEO, which is the practice of developing websites with relevant and current content that rank well in “organic,” or unpaid, search engine results. SEO can be affected by a number of factors including competitive site content, changes to our website architecture and page designs, changes to search engine ranking algorithms, or changes to display ordering in search engine results such as preferred placement for internal products offered by search engines. SEM is a form of Internet marketing that involves the promotion of websites by increasing their visibility in search engine results pages through the use of paid placement, contextual advertising, and paid inclusion. SEM is a competitive marketplace with competitors continually updating their traffic acquisition strategies and economic models across a large number of keywords and markets.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Advertisers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compete for travel-related advertising budgets with large, established search engines with significantly greater resources than we have, such as Google, Bing, and Yahoo!, as well as online media companies and ad networks, offline advertising sources, such as television and print media. These competitors have large client bases and significantly greater resources than we have and expertise in developing online commerce and facilitating internet traffic are creating inroads into online travel. Competition from these parties could cause us to lose advertising customers or shares of advertising expenditures. For example, Google has launched “Hotel Finder”, a search tool that enables users to search and compare hotel accommodations based on parameters set by users and has, at times, placed the Google supplier websites or its own search engine at or near the top of hotel-related search results. In addition, Microsoft has launched Bing Travel, which searches for hotel reservations and air fares online and predicts the best time to purchase them. If Google, Bing or any other leading search engines refer significant traffic to these or other travel services that they develop in the future, or otherwise favor supplier websites or other travel service websites over other online travel sites, including us, it would likely become more difficult and expensive for us to generate traffic to our websites and therefore maintain or grow our market share.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Certain of the companies we do business with are also our competitors. The consolidation of our competitors and partners, including Expedia (through its investment in Trivago) and Priceline (through its acquisition of Kayak), may affect our competitiveness and partner relationships. As the market evolves for online travel content and the technology supporting it, including new platforms such as smartphone and tablet computing devices, we anticipate that the existing competitive landscape will change and new competitors may emerge.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our use of the intellectual property.</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such as TripAdvisor and the Owl Logo,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an enforcement program and the use of intellectual property licenses.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w:t>
      </w:r>
    </w:p>
    <w:p>
      <w:pPr>
        <w:spacing w:after="0" w:line="108"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United States federal, state and foreign governments are also considering alternative legislative and regulatory proposals that would increase regulation on Internet advertising. It is impossible to predict whether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Areas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have one operating and reportable segment. The segment is determined based on how our chief operating decision maker manages our business, makes operating decisions, evaluates operating performance and allocates resources. The chief operating decision maker for the Company is our Chief Executive Officer.</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361"/>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2"/>
              </w:rPr>
              <w:t>$ 462,920</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$ 386,211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$ 348,066</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119,041</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110,213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99,646</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All other countries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362,700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266,542</w:t>
            </w: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189,351</w:t>
            </w:r>
          </w:p>
        </w:tc>
      </w:tr>
      <w:tr>
        <w:trPr>
          <w:trHeight w:val="27"/>
        </w:trPr>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$ 944,661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$ 762,966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$ 637,063</w:t>
            </w:r>
          </w:p>
        </w:tc>
      </w:tr>
      <w:tr>
        <w:trPr>
          <w:trHeight w:val="20"/>
        </w:trPr>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property and equipment, net for the United States and all other countries based on the geographic location of the assets for the periods presented: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$67,275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14,253</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81,528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43,802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31, 2013, we had approximately 2,017 employees. Of these employees, approximately 1,146 were based in the United States. None of our employees are represented by a labor union or are subject to a collective bargaining agreement. We believe that relations with our employees are good.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Website and Public Filings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maintain a corporate website at www.tripadvisor.com.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i w:val="1"/>
          <w:iCs w:val="1"/>
          <w:color w:val="auto"/>
        </w:rPr>
        <w:t>You should consider carefully the risks described below together with all of the other information included in this Annual Report.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or contributors, our advertising revenue could decline.</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primary asset that we use to attract traffic to our websites and convert these visitors into repeat users is the content created by users of our websites, particularly such content’s volume, unique nature and organization. Our success in attracting users depends, in part, upon our continued ability to collect, create, organize and distribute high-quality, commercially valuable content in a cost-effective manner at a scale that connects consumers with content that meets their specific interests and enables them to share and interact with the content and supporting communities. If people do not perceive our products to be useful, reliable and trustworthy, we may not be able to attract or retain users or otherwise maintain or increase the frequency and duration of their engagement. There can be no assurances that we will continue to obtain content in a cost-effective manner or in a manner that timely meets rapidly changing consumer demand. Any failure to obtain such content or organize and distribute such content in any manner that will engage users could adversely affect user experiences and reduce traffic driven to our websites, which would make our websites less attractive to advertisers. Any change in the cost structure pursuant to which we obtain our content currently, or in travelers’ relative appreciation of user-based versus expert content or our user-based content versus other sites’ user-based content, could negatively impact our business and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substantially all of our revenue from advertising and any significant reduction in spending by advertisers could harm our business.</w:t>
      </w:r>
    </w:p>
    <w:p>
      <w:pPr>
        <w:spacing w:after="0" w:line="11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derive substantially all of our revenue from the sale of advertising, primarily through click-based advertising and, to a lesser extent, display-based advertising. Most of our advertisers can terminate their contracts with us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or if we do not deliver advertisements in an effective manner. If we are unable to remain competitive and provide value to our advertisers, they will likely stop placing ads on our websites, which would harm our revenues and business. In addition, we cannot guarantee that our current advertisers will fulfill their obligations under existing contracts, continue to advertise beyond the terms of existing contracts or enter into any additional contracts with us.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Click-based advertising accounts for the majority of our advertising revenue. Any changes we make to our business model may impact our advertising revenue in ways that we do not expect. If our partners do not receive the benefits they expect from their advertising spend with us, they may reduce their spending. In addition, if new, more effective advertising models were to emerge, there can be no assurance that we will have the ability to offer these models, or offer them in an effective manner. To the extent new technology platforms, such as smartphone and tablet computing, begin to take market share from established platforms, there can be no assurance that our existing advertising models will operate successfully on these new platforms, or work as effectively as on the desktop computer platform.</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CPCs which would, in turn, have an adverse effect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search engine algorithms and dynamics, or search engine disintermediation.</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heavily on Internet search engines such as Google on desktop, tablet and mobile devices, including through the purchase of travel-related keywords, to generate traffic to our websites. We obtain a significant amount of traffic via search engines and, therefore, utilize techniques such as SEO and SEM to improve our placement in relevant search queries. Search engines, including Google, frequently update and change the logic that determines the placement and display of results of a user’s search, such that the purchased or algorithmic placement of links to our websites can be negatively affected. Moreover, a search engine could, for competitive or other purposes, alter its search algorithms or results causing our websites to place lower in search query results. If a major search engine changes its algorithms in a manner that negatively affects our paid or unpaid search ranking, or if competitive dynamics impact the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2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In addition, to the extent that Google (including Google + Local and Google Hotel Finder) and Bing (including Bing Travel), or other leading search or metasearch engines that have a significant presence in our key markets, disintermediate online travel agencies or travel content providers by offering comprehensive travel planning or shopping capabilities, or refer those leads to suppliers directly, or to other favored partners, there could be a material adverse impact on our business and financial performance. For example, during 2011, Google completed its acquisition of flight search technology company ITA Software and separately made changes to its hotel search results, including both expanding and promoting the use of Google + Local. To the extent these actions have a negative effect on our search traffic, whether on desktop, tablet or mobile devices, our business and financial performance could be adversely affected.</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advertisers and any reduction in spending by or loss of those advertisers could seriously harm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 a substantial portion of our revenue from a relatively small number of significant advertisers. For example, for the year ended December 31, 2013, our two most significant advertising customers, Expedia and Priceline (and their subsidiaries), accounted for a combined 47% of total revenue. If any of our significant advertisers were to cease or significantly curtail advertising on our websites, we could experience a rapid decline in our revenue over a relatively short period of time.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upon the acceptance, and successful measurement, of online advertising as an alternative to offline advertising.</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a significant discrepancy exists between the percentage of the advertising market allocated to online advertising and the percentage of consumer time spent on online media consumption as opposed to offline advertising and media consumption. Long-term growth of our business will depend heavily on this distinction between online and offline advertising narrowing or being eliminated, which may not happen in a manner or to the extent that we currently expect. We compete with traditional media for advertising dollars, in addition to websites with higher levels of traffic. If online advertising ceases to be an acceptable alternative to offline advertising then our business, financial condition and results of operations will be negatively impacted.</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Because the online marketing industry is relatively new and rapidly evolving, it uses different methods than traditional media to gauge its effectiveness. Some of our potential customers have little or no experience using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Internet for advertising and marketing purposes and have allocated only limited portions of their advertising and marketing budgets to the Internet. The adoption of Internet advertising, particularly by those entities that have historically relied upon traditional media for advertising, requires the acceptance of a new way of conducting business, exchanging information and evaluating new advertising and marketing technologies and services. As a result, we are continually evaluating changes to aspects of our business model to keep pace with the expectations of users and advertisers, and these changes may not yield the benefits we expect. In particular, we are dependent on our clients’ adoption of new metrics to measure the success of online marketing campaigns. We may also experience resistance from traditional advertising agencies who may be advising our clients. Any lack of growth in the market for various online advertising models could have an adverse effect on our business, financial condition and results of operations.</w:t>
      </w:r>
    </w:p>
    <w:p>
      <w:pPr>
        <w:spacing w:after="0" w:line="118"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addition, if advertisers materially change their transaction attribution models or their return on investment calculations and/or increase their return on investment targets with respect to online advertising in general, or TripAdvisor traffic in particular, they might reduce the prices they are willing to pay for our advertising products, which would have an adverse effect on our business, financial condition and results of operations.</w:t>
      </w:r>
    </w:p>
    <w:p>
      <w:pPr>
        <w:spacing w:after="0" w:line="18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Growth in the use of TripAdvisor through smartphones as a substitute for use on personal computers and tablets may negatively affect our revenue and financial results.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general, our content was originally designed for users accessing the Internet on a desktop or laptop computer. The number of people who access the Internet through devices other than personal computers, such as smartphones and tablets, has increased substantially in the last few years and we anticipate that the rate of use of smartphone computing devices will continue to grow. Although the substantial majority of smartphone users also access and engage with our websites on personal computers and/or tablets, our users could decide to increasingly access our products primarily through smartphone devices. We have developed services and applications to address limitations of these smaller devices and our advertising revenues continue to grow, however, we monetize users of smartphone computing devices at a lower rate compared to users who access our websites through personal computers and the efficacy of the smartphone advertising market and our smartphone monetizing strategies are still developing.</w:t>
      </w:r>
    </w:p>
    <w:p>
      <w:pPr>
        <w:spacing w:after="0" w:line="11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Additionally, as new devices and new platforms are continually being released, it is difficult to predict the challenges that we may encounter in developing versions of our offerings for use on these alternative devices, and we may need to devote significant resources to the creation, support, and maintenance of our services on such devices. If users continue to increasingly access our smartphone products as a substitute for access through personal computers and/or tablets, and if we are unable to successfully improve monetization strategies for our smartphone users, our revenue and financial results may be negatively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or disruptions in the travel industry could adversely affect our businesses and financial performance.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businesses and financial performance are affected by the health of the worldwide travel industry. Travel expenditures are sensitive to personal and business discretionary spending levels and tend to decline or grow more slowly during economic downturns. Decreased travel expenditures could reduce the demand for our services, thereby causing a reduction in revenue.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2008, domestic and global economic conditions deteriorated rapidly, resulting in increased unemployment and a reduction in available budgets for both business and leisure travelers, which slowed spending on the services that we provide. The global economy remains in a fragile state and may be adversely impacted by a number of negative economic developments including defaults on government debt, significant increases in fuel and energy costs, tax increases and other matters that could reduce discretionary spending, continued tightening of credit markets, further declines in consumer confidence, and policy missteps. Further weakness in the global economy could create uncertainty for travelers and suppliers, and result in reduced spending by advertisers. These conditions could have a material adverse impact on our business and financial performance.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the TripAdvisor brand has contributed significantly to our success and that maintaining and enhancing our brand is critical to expanding our base of users, creating content and attracting advertisers. As a result, we invest significantly in brand marketing including, most recently, television.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receive significant media coverage in our various geographic markets. Unfavorable publicity regarding, for example, our privacy practices, product changes, the accuracy of user-generated content, product quality, litigation or regulatory activity could adversely affect our reputation with our site users and our advertisers. Such negative publicity also could have an adverse effect on the size, engagement, and loyalty of our user base and result in decreased revenue, which could adversely affect our business and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Intense competition could reduce our market share and harm our financial performance.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market for the travel services we offer is intensely competitive. We face competition from a number of different sources and many of our competitors have significantly greater and more diversified resources than we do and may be able to leverage other aspects of their business to enable them to compete more effectively against us. More specifically:</w:t>
      </w:r>
    </w:p>
    <w:p>
      <w:pPr>
        <w:spacing w:after="0" w:line="59" w:lineRule="exact"/>
        <w:rPr>
          <w:sz w:val="20"/>
          <w:szCs w:val="20"/>
          <w:color w:val="auto"/>
        </w:rPr>
      </w:pPr>
    </w:p>
    <w:p>
      <w:pPr>
        <w:ind w:left="900" w:right="2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face competition from travel service providers such as major hotel companies, airlines and rental car companies, many of which have their own websites to which they drive business. For example, several major hotel companies launched an online hotel reservation service with a stated goal of driving consumers directly to their brand websites thereby reducing the share receive by online travel agents. They may also attempt to improve their competitive position by offering lower room rates, better room availability or additional features or amenities through this reservation service than are available through services like ours.</w:t>
      </w:r>
    </w:p>
    <w:p>
      <w:pPr>
        <w:spacing w:after="0" w:line="61"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currently face competition from online travel agents, such as Expedia and Priceline (and their subsidiaries), and this competition may increase to the extent that these online travel agents accumulate and develop a comprehensive offering of travel-related reviews and resources. The barriers to entry for these companies may be limited given their access to travel-related information and relationships with consumers.</w:t>
      </w:r>
    </w:p>
    <w:p>
      <w:pPr>
        <w:spacing w:after="0" w:line="25" w:lineRule="exact"/>
        <w:rPr>
          <w:rFonts w:ascii="Arial" w:cs="Arial" w:eastAsia="Arial" w:hAnsi="Arial"/>
          <w:sz w:val="16"/>
          <w:szCs w:val="16"/>
          <w:color w:val="auto"/>
        </w:rPr>
      </w:pPr>
    </w:p>
    <w:p>
      <w:pPr>
        <w:ind w:left="900" w:right="14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face increased competition from the large search engines and social networking sites, companies, such as Google and Facebook, or other companies, which competition will only increase should they chose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39"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also face competition from travel agencies, wholesalers and travel operators as well as operators of travel industry reservation databases such as Galileo, Travelport, Amadeus and Sabre.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addition, we compete with newspapers, magazines and other traditional media companies that provide offline and online advertising opportunities.</w:t>
      </w:r>
    </w:p>
    <w:p>
      <w:pPr>
        <w:spacing w:after="0" w:line="124"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our vacation rental business, we also face competition from several companies, including HomeAway and Airbnb, some of whom have a larger inventory of rooms available than we do.</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Certain of the companies we do business with, including some of our click-based advertising partners, are also our competitors. The consolidation of our competitors and partners, including Expedia (through its investment in Trivago) and Priceline (through its acquisition of Kayak),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(through its launch of Google Hotel Finder, evolution and expansion of Google + Local and preferred top placement of Places results in Google organic travel search results) and Microsoft’s Bing (through its launch of Bing Travel), have each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As a distributor and host of Internet content, we face potential liability and expense for legal claims based on the nature and content of the materials that we distribute or create, or that are accessible via our websites.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distributor and host of original content and user-generated content, we face potential liability based on a variety of theories, including defamation, libel, negligence, copyright or trademark infringement or other legal theories based on the nature, creation or distribution of this information, and under various laws, including the Lanham Act, the Copyright Act, the Federal Trade Commission Act, and the Digital Millennium Copyright Act. We may also be exposed to similar liability in connection with content that users post to our websites through forums, blogs, comments, and other social media features. In addition, it is possible that visitors to our websites could make claims against us for losses incurred in reliance upon information provided via our websites. These claims, whether brought in the United States or abroad, could divert management time and attention away from our business and result in significant costs to investigate and defend, regardless of the merit of these claims. If we become subject to these or similar claims and are not successful in our defense, we may be forced to pay substantial damages. There is no guarantee that we will avoid future liability and potential expenses for legal claims based on the content available on our websites. Should the content distributed through our websites violate the rights of others or otherwise give rise to claims against us, we could be subject to substantial liability, which could have a negative impact on our business and financial performance.</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Loss of trust in our brand would harm our reputation and adversely affect our business, financial condition and results of operations. Our success depends on attracting a large number of users to our websites, and retaining such users, and providing leads and clicks to advertisers. In order to attract and retain users, we must remain a valuable source of travel advice. Because of our reliance on user-generated content, we must continually manage and monitor our content and detect incorrect or fraudulent information. For example, hotels, hotel competitors, or others, in an attempt to improperly influence a hotel’s reviews and rankings, sometimes write and submit fraudulent or otherwise misleading reviews. If a significant amount of inaccurate or fraudulent information were not detected and removed by us in a timely manner, or if a significant amount of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was deemed by users or the media to be inaccurate or fraudulent, our brand, business and reputation could be harmed. Any damage to our reputation could harm our ability to attract and retain users, employees and advertisers, which would adversely affect our business and financial performance. In addition, significant adverse news reports or media, industry or consumer coverage of us would reflect poorly on our brands and could have an adverse effect on our business and financial performance.</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use technology and processes to monitor the quality of and to identify any anomalous metrics associated with, the Internet traffic that we deliver to online advertisers. These metrics may be indicative of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rely on assumptions and estimates and data from third parties to calculate certain of our key metrics, and real or perceived inaccuracies in such metrics may harm our reputation and negatively affect our business.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key metrics, such as the number of our active users, unique visitors, total traffic and number of reviews and opinions, are calculated, in some cases, using internal company data and, in other cases, relying on data from third parties. While these numbers are based on what we believe to be reasonable calculations for the applicable periods of measurement, there are inherent challenges in measuring usage and user engagement across our large user base around the world. For example, a single person or user may have multiple accounts or browse the internet on multiple browsers, some mobile applications automatically contact our servers for regular updates with no user action and we are not able to capture user information on all of our platforms. As such, the calculations of our active users and unique visitors may not accurately reflect the number of people actually using our platforms. In addition, our measures of user growth and user engagement may differ from estimates published by third parties or from similar metrics of our competitors due to differences in methodologies utilized by us and the third parties for which we rely on this data.</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are continually seeking to improve our ability to estimate these key metrics. We regularly review and adjust our processes for calculating our internal metrics to improve their accuracy. If our users, advertisers, partners and shareholders do not perceive our metrics to be accurate representations or if we discover material inaccuracies in our user metrics, our reputation may be harmed. In which case, users may not use our products and services and advertisers and partners may be less willing to allocate their budgets to our products and services which could negatively affect our business and operating results.</w:t>
      </w:r>
    </w:p>
    <w:p>
      <w:pPr>
        <w:spacing w:after="0" w:line="19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any failure to adapt to technological developments or industry trends could harm our businesses.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1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success depends in part on continued innovation to provide features and services that make our websites and smartphone and tablet computing applications useful for travelers. Our competitors are continually developing innovations in online travel-related services and features. As a result, we are continually working to improve our business model and user experience in order to drive user 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a competitor’s offerings and we may be unable to attract additional users, which could adversely affect our business and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could block our ads, which would harm our business.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Technologies have been developed that can block the display of online ads and that provide tools to users to opt out of some web-based advertising products. We derive most of our revenues from fees paid to us by advertisers in connection with the display of ads on web pages for our users. As a result, these technologies and tools could adversely affect our business and financial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and/or conversion rates and CPC pricing, and will thereby improve our financial performance over the long-term. The short-term reductions in revenue or profitability could be more severe than we anticipate. These decisions may not produce the long-term benefits that we expect, in which case our user growth and engagement, our relationships with users and advertisers, and our business and results of operations could be harmed.</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offer vacation rental services through our U.S.-based FlipKey and European-based Holiday Lettings and Niumba businesses, as well through various partnerships. The online vacation rental market is relatively new and rapidly evolving in many respects, including acceptance of the business model by travelers, property owners and property managers;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vacation rental business, revenue is generated when either owners or managers of vacation rental properties pay us fees to list and market vacation rental properties to users who visit the websites comprising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marketplace or owners and/or travelers pay us fees upon booking a transaction. As a result, our 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A larger competitor already exists in the vacation rental space, with significantly more users and listed properties, and new competitors with significant financial resources are continually emerging.</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which claims can be extremely costly to defend and could require us to pay significant damages and limit our ability to operate.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intellectual property rights. We have received in the past, and may in the future receive, notices that claim we have misappropriated or misused other parties’ intellectual property rights. There may be intellectual property rights held by others, including patents, copyrighted works and/or trademarks, which cover significant aspects of our technologies or content. Any intellectual property claim against us, regardless of merit, could be time 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party to a term loan in the amount of $400 million, as well as a revolving credit facility of $200 million. These arrangements may limit our ability to secure significant additional financing in the future on favorable terms or our operating cash flow may be insufficient to satisfy our financial obligations under indebtedness outstanding from time to time.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 If financing is not available when needed or is not available on favorable terms, we may be unable to issue or develop new or enhanced existing services, complete acquisitions, repurchase equity or otherwise take advantage of business opportunities, any of which could have a material adverse effect on our business, financial condition and results of operations. If we raise additional funds through the issuance of equity securities, our stockholders may experience significant dilution.</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 which could adversely affect our business and financial condition.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face value of our term loan totals $400 million. Risks relating to our indebtedness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finds acceptable;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Exposing us to the risk of increased interest rates because our outstanding debt is expected to be subject to variable rates of interest.</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term loan and revolving credit facility will allow us to incur additional debt subject to certain limitations. If new debt is added to current debt levels, the risks described above could intensify.</w:t>
      </w:r>
    </w:p>
    <w:p>
      <w:pPr>
        <w:spacing w:after="0" w:line="221"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The agreements that govern our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ind w:right="80" w:firstLine="456"/>
        <w:spacing w:after="0" w:line="259" w:lineRule="auto"/>
        <w:rPr>
          <w:sz w:val="20"/>
          <w:szCs w:val="20"/>
          <w:color w:val="auto"/>
        </w:rPr>
      </w:pPr>
      <w:r>
        <w:rPr>
          <w:rFonts w:ascii="Arial" w:cs="Arial" w:eastAsia="Arial" w:hAnsi="Arial"/>
          <w:sz w:val="18"/>
          <w:szCs w:val="18"/>
          <w:color w:val="auto"/>
        </w:rPr>
        <w:t>We are party to a credit agreement providing for a revolving credit facility with a borrowing capacity of $200 million and a term of five years, as well as a five-year, $400 million term loan to TripAdvisor Holdings, LLC. The agreements that govern the term loan and revolving credit facility contain various covenants, including those that limit our ability to, among other things:</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covenants may limit our ability to optimally operate our business. In addition, our term loan and revolving credit facility require that we meet certain financial tests, including an interest coverage test and a leverage ratio test. Any failure to comply with the restrictions of our term loan credit facility may result in an event of default under the agreements governing such facilities. Such default may allow the creditors to accelerate the debt incurred under thereunder. In addition, lenders may be able to terminate any commitments they had made to supply us with further funds (including periodic rollovers of existing borrowings).</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If the Spin-Off, together with certain related transactions, were to fail to qualify as a transaction that is generally tax free for U.S. federal income tax purposes, we could be subject to significant tax liabilities.</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condition to the completion of the Spin-Off, Expedia obtained a private letter ruling from the Internal Revenue Service, or the IRS, along with an opinion of counsel, satisfactory to the Expedia Board of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regarding the qualification of the Spin-Off, together with certain related transactions, as a transaction that is generally tax free for U.S. federal income tax purposes under Sections 355 and 368(a) (1) (D) of the Internal Revenue Code of 1986, as amended, or the Code. The IRS private letter ruling and the opinion of counsel were based on, among other things, certain facts, assumptions as well as the accuracy of certain representations, statements and undertakings that Expedia and we made to the IRS and to counsel. If any of these representations, statements or undertakings are, or become, inaccurate or incomplete, or if we or Expedia breach any of the covenants, the IRS private letter ruling and the opinions of counsel may be invalid.</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IRS private letter ruling does not address all the issues that are relevant to determining whether the Spin-Off qualifies as a transaction that is generally tax free for U.S. federal income tax purposes. Notwithstanding the IRS private letter ruling and/or the opinion of counsel, the IRS could determine that the Spin-Off should be treated as a taxable transaction if it determines that any of the representations, assumptions or undertakings that were included in the request for the IRS private letter ruling or on which the opinion of counsel was based is false or has been violated or if it disagrees with the conclusions in the opinion of counsel that are not covered by any IRS ruling.</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experienced rapid growth in our headcount and operations, which places substantial demands on management and our operational infrastructure. We have also consummated a number of acquisitions which have increased our headcount, operations and locations. We intend to make substantial investments in our technology, sales and marketing and community management organizations. We also intend to continue to explore acquisitions.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additional risks and our exposure to these risks will increase as our business expands globally.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operate in a number of jurisdictions outside of the United States and intend to continue to expand our international operations. To achieve widespread acceptance in new countries and markets, we must continue to tailor our services and business model to the unique circumstances of such countries and markets, which can be difficult, costly and divert management and personnel resources. Failure to adapt practices and models effectively to each country into which we expand could slow our international growth.</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businesses operating in China, which create particular risks and uncertainties relating to the laws in China. We operate in China under the brands daodao.com and kuxun.cn. The success of these businesses, and of any future investments in China, is subject to risks and uncertainties regarding the application, development and interpretation of China’s laws and regulations.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laws and regulations of China restrict foreign investment in areas including air-ticketing and travel agency services, Internet content provision, mobile communication and related businesses. Although we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established effective control of our Chinese businesses through a series of agreements, future developments in the interpretation or enforcement of Chinese laws and regulations or a dispute relating to these agreements could restrict our ability to operate or restructure these businesses or to engage in strategic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risks faced by us as a result of our international operations, including our operations in China,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 including the Foreign Corrupt Practices Act and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Ability to comply with additional U.S. laws applicable to U.S. companies operating internationally as well as local laws and regulations;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preferences by local populations for local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restrictions, particularly conversion of the U.S. dollar into Chinese renminbi;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Slower adoption of the Internet as an advertising, broadcast and commerce medium in certain of those markets as compared to the United States;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staffing and operations due to distance, time zones, language and cultural differences;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1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rules and regulations and legal uncertainties may adversely affect our business or financial performance.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and privacy. Unfavorable changes could decrease demand for products and services, limit marketing methods and capabilities, increase costs and/or subject us to additional liabilities.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currently is a controlling shareholder.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Liberty Interactive Corporation, or Liberty,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Liberty’s control of us, as well as the existing provisions of our organizational documents and Delaware law, may discourage or prevent a change of control of us, which may reduce the market price of our common stock.</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By virtue of our previously filed separate company and consolidated income tax returns with Expedia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Additionally, we earn an increasing portion of our income, and accumulate a greater portion of cash flow, in foreign jurisdictions.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trademark, copyright, patent and trade secret protection may not be available in every jurisdiction in which our services are made available, and policing unauthorized use of our proprietary technology, content and brands is difficult and expensive. Therefore, in certain jurisdictions, we may be unable to protect our proprietary technology, content and brands adequately against unauthorized third-party copying or use, which could adversely affect our business or ability to compete. We cannot be sure that the steps we have taken will prevent misappropriation or infringement of proprietary technology, content or brands. Any misappropriation or violation of our rights could have a material adverse effect on our business. Furthermore, we may need to go to court or other tribunals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 a significant and growing portion of our business outside the United States. As a result, we face exposure to movements in currency exchange rates, particularly those related to the Euro, British pound sterling, Singapore dollar and Chinese renminbi. These exposures include, but are not limited to re-measurement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rely on computer systems to deliver content and services. We have experienced and may in the future experience system interruptions that make some or all of these systems unavailable or prevent us from efficiently fulfilling orders or providing content and services to users and third parties. Significant interruptions, outages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delays in internal systems, or systems of third parties that we rely upon including multiple co-location providers for data centers and network access,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reputations and brand could be harmed.</w:t>
      </w:r>
    </w:p>
    <w:p>
      <w:pPr>
        <w:spacing w:after="0" w:line="11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we lack backup systems or contingency plans for certain critical aspects of our operations or business processes. Many other systems are not fully redundant and their disaster recovery or business continuity planning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processing, storage and use personal information and other data exposes us to risks stemming external and internal security breaches and failure to comply with governmental regulation, which could give rise to liabilities.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w:t>
      </w:r>
    </w:p>
    <w:p>
      <w:pPr>
        <w:spacing w:after="0" w:line="118"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may need to expend significant resources to protect against security breaches or to address problems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face risks associated with security breaches affecting third parties conducting business over the Internet. Much of our business is conducted with third party marketing affiliates, which may generate travel reservations through our infrastructure or through our systems.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the businesses we have acquired or invested in do not perform as expected or we are unable to effective integrate acquired businesses, our operating results and prospects could be harmed.</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Certain financial and operational risks related to acquisitions that may have a material impact on our business are:</w:t>
      </w:r>
    </w:p>
    <w:p>
      <w:pPr>
        <w:spacing w:after="0" w:line="59" w:lineRule="exact"/>
        <w:rPr>
          <w:sz w:val="20"/>
          <w:szCs w:val="20"/>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may limit other potential uses of our cash, including stock repurchases, dividend payments and retirement of outstanding indebtedness;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may limit other potential uses of our cash, including stock repurchases, dividend payments and retirement of outstanding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relationships with employees, suppliers and affiliates of our business and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of the acquired company to achieve anticipated traffic, revenues, earnings or cash flows or to retain key management or employees;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creation,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2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2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The NASDAQ Global Select Market or any other securities exchange on which we are then listed.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General market conditions and other factors, including factors related to our operating performance or the operating performance of our competitors.</w:t>
      </w:r>
    </w:p>
    <w:p>
      <w:pPr>
        <w:spacing w:after="0" w:line="20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 the public market, or the perception that such sales may occur, may depress our stock price.</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period ended December 31, 2013, the average daily trading volume of our common stock on The NASDAQ Global Select Market was approximately 1.9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Liberty or some other stockholder sells substantial amounts of our common stock in the public market, or if there is a perception in the public market that Liberty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certificate of incorporation and bylaws contain provisions that could delay or prevent a change of control of our company or changes in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that our stockholders might consider favorable. Some of these provisions:</w:t>
      </w:r>
    </w:p>
    <w:p>
      <w:pPr>
        <w:spacing w:after="0" w:line="84" w:lineRule="exact"/>
        <w:rPr>
          <w:sz w:val="20"/>
          <w:szCs w:val="20"/>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We currently lease approximately 119,000 square feet for our corporate headquarters in Newton, Massachusetts, pursuant to a lease with an expiration date of April 2015. In addition, in June 2013 we entered into an additional lease for an approximately 280,000 square foot rental building which will be built in Needham, Massachusetts by the lessor and will serve as our new corporate headquarters in conjunction with the expiration of our current lease. Refer to “Note 12</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and combined financial statements for further information on our future corporate headquarters.</w:t>
      </w:r>
    </w:p>
    <w:p>
      <w:pPr>
        <w:spacing w:after="0" w:line="13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also lease an aggregate of approximately 382,000 square feet at approximately 30 other locations across North America, Europe and Asia Pacific, primarily for our international management teams, sales offices, and subsidiary headquarters, pursuant to leases with expiration dates through December 2030.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believe that our current facilities are adequate for our current operations and that additional leased space can be obtained on reasonable terms if needed.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legally own any real estate as of December 31, 2013.</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quoted on the Nasdaq Global Select Market, or NASDAQ, under the ticker symbol “TRIP.” On February 6, 2014, the closing price of our common stock reported on NASDAQ was $77.14 per share.</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Class B common stock is not listed and there is no established public trading market for that security. As of February 6, 2014, all of our Class B common stock was held by Liberty.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 prices per share of our common stock as reported on NASDAQ during the period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w:t>
            </w:r>
          </w:p>
        </w:tc>
        <w:tc>
          <w:tcPr>
            <w:tcW w:w="466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46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2013:</w:t>
            </w:r>
          </w:p>
        </w:tc>
        <w:tc>
          <w:tcPr>
            <w:tcW w:w="5720" w:type="dxa"/>
            <w:vAlign w:val="bottom"/>
            <w:gridSpan w:val="3"/>
            <w:shd w:val="clear" w:color="auto" w:fill="CCEEFF"/>
          </w:tcPr>
          <w:p>
            <w:pPr>
              <w:jc w:val="center"/>
              <w:ind w:left="4012"/>
              <w:spacing w:after="0"/>
              <w:rPr>
                <w:sz w:val="20"/>
                <w:szCs w:val="20"/>
                <w:color w:val="auto"/>
              </w:rPr>
            </w:pPr>
            <w:r>
              <w:rPr>
                <w:rFonts w:ascii="Arial" w:cs="Arial" w:eastAsia="Arial" w:hAnsi="Arial"/>
                <w:sz w:val="18"/>
                <w:szCs w:val="18"/>
                <w:color w:val="auto"/>
                <w:w w:val="90"/>
              </w:rPr>
              <w:t>$90.43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$ 68.11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Third Quarter 2013:</w:t>
            </w:r>
          </w:p>
        </w:tc>
        <w:tc>
          <w:tcPr>
            <w:tcW w:w="5720" w:type="dxa"/>
            <w:vAlign w:val="bottom"/>
            <w:gridSpan w:val="3"/>
          </w:tcPr>
          <w:p>
            <w:pPr>
              <w:jc w:val="center"/>
              <w:ind w:left="4012"/>
              <w:spacing w:after="0"/>
              <w:rPr>
                <w:sz w:val="20"/>
                <w:szCs w:val="20"/>
                <w:color w:val="auto"/>
              </w:rPr>
            </w:pPr>
            <w:r>
              <w:rPr>
                <w:rFonts w:ascii="Arial" w:cs="Arial" w:eastAsia="Arial" w:hAnsi="Arial"/>
                <w:sz w:val="18"/>
                <w:szCs w:val="18"/>
                <w:color w:val="auto"/>
                <w:w w:val="90"/>
              </w:rPr>
              <w:t>$82.19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2013:</w:t>
            </w:r>
          </w:p>
        </w:tc>
        <w:tc>
          <w:tcPr>
            <w:tcW w:w="5720" w:type="dxa"/>
            <w:vAlign w:val="bottom"/>
            <w:gridSpan w:val="3"/>
            <w:shd w:val="clear" w:color="auto" w:fill="CCEEFF"/>
          </w:tcPr>
          <w:p>
            <w:pPr>
              <w:jc w:val="center"/>
              <w:ind w:left="4012"/>
              <w:spacing w:after="0"/>
              <w:rPr>
                <w:sz w:val="20"/>
                <w:szCs w:val="20"/>
                <w:color w:val="auto"/>
              </w:rPr>
            </w:pPr>
            <w:r>
              <w:rPr>
                <w:rFonts w:ascii="Arial" w:cs="Arial" w:eastAsia="Arial" w:hAnsi="Arial"/>
                <w:sz w:val="18"/>
                <w:szCs w:val="18"/>
                <w:color w:val="auto"/>
                <w:w w:val="90"/>
              </w:rPr>
              <w:t>$65.41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First Quarter 2013:</w:t>
            </w:r>
          </w:p>
        </w:tc>
        <w:tc>
          <w:tcPr>
            <w:tcW w:w="5720" w:type="dxa"/>
            <w:vAlign w:val="bottom"/>
            <w:gridSpan w:val="3"/>
          </w:tcPr>
          <w:p>
            <w:pPr>
              <w:jc w:val="center"/>
              <w:ind w:left="4012"/>
              <w:spacing w:after="0"/>
              <w:rPr>
                <w:sz w:val="20"/>
                <w:szCs w:val="20"/>
                <w:color w:val="auto"/>
              </w:rPr>
            </w:pPr>
            <w:r>
              <w:rPr>
                <w:rFonts w:ascii="Arial" w:cs="Arial" w:eastAsia="Arial" w:hAnsi="Arial"/>
                <w:sz w:val="18"/>
                <w:szCs w:val="18"/>
                <w:color w:val="auto"/>
                <w:w w:val="90"/>
              </w:rPr>
              <w:t>$53.73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4"/>
                <w:szCs w:val="14"/>
                <w:b w:val="1"/>
                <w:bCs w:val="1"/>
                <w:color w:val="auto"/>
              </w:rPr>
              <w:t>Year ended December 31, 2012:</w:t>
            </w:r>
          </w:p>
        </w:tc>
        <w:tc>
          <w:tcPr>
            <w:tcW w:w="4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2012:</w:t>
            </w:r>
          </w:p>
        </w:tc>
        <w:tc>
          <w:tcPr>
            <w:tcW w:w="5720" w:type="dxa"/>
            <w:vAlign w:val="bottom"/>
            <w:gridSpan w:val="3"/>
            <w:shd w:val="clear" w:color="auto" w:fill="CCEEFF"/>
          </w:tcPr>
          <w:p>
            <w:pPr>
              <w:jc w:val="center"/>
              <w:ind w:left="4012"/>
              <w:spacing w:after="0"/>
              <w:rPr>
                <w:sz w:val="20"/>
                <w:szCs w:val="20"/>
                <w:color w:val="auto"/>
              </w:rPr>
            </w:pPr>
            <w:r>
              <w:rPr>
                <w:rFonts w:ascii="Arial" w:cs="Arial" w:eastAsia="Arial" w:hAnsi="Arial"/>
                <w:sz w:val="18"/>
                <w:szCs w:val="18"/>
                <w:color w:val="auto"/>
                <w:w w:val="90"/>
              </w:rPr>
              <w:t>$47.00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Third Quarter 2012:</w:t>
            </w:r>
          </w:p>
        </w:tc>
        <w:tc>
          <w:tcPr>
            <w:tcW w:w="5720" w:type="dxa"/>
            <w:vAlign w:val="bottom"/>
            <w:gridSpan w:val="3"/>
          </w:tcPr>
          <w:p>
            <w:pPr>
              <w:jc w:val="center"/>
              <w:ind w:left="4012"/>
              <w:spacing w:after="0"/>
              <w:rPr>
                <w:sz w:val="20"/>
                <w:szCs w:val="20"/>
                <w:color w:val="auto"/>
              </w:rPr>
            </w:pPr>
            <w:r>
              <w:rPr>
                <w:rFonts w:ascii="Arial" w:cs="Arial" w:eastAsia="Arial" w:hAnsi="Arial"/>
                <w:sz w:val="18"/>
                <w:szCs w:val="18"/>
                <w:color w:val="auto"/>
                <w:w w:val="90"/>
              </w:rPr>
              <w:t>$47.81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2012:</w:t>
            </w:r>
          </w:p>
        </w:tc>
        <w:tc>
          <w:tcPr>
            <w:tcW w:w="5720" w:type="dxa"/>
            <w:vAlign w:val="bottom"/>
            <w:gridSpan w:val="3"/>
            <w:shd w:val="clear" w:color="auto" w:fill="CCEEFF"/>
          </w:tcPr>
          <w:p>
            <w:pPr>
              <w:jc w:val="center"/>
              <w:ind w:left="4012"/>
              <w:spacing w:after="0"/>
              <w:rPr>
                <w:sz w:val="20"/>
                <w:szCs w:val="20"/>
                <w:color w:val="auto"/>
              </w:rPr>
            </w:pPr>
            <w:r>
              <w:rPr>
                <w:rFonts w:ascii="Arial" w:cs="Arial" w:eastAsia="Arial" w:hAnsi="Arial"/>
                <w:sz w:val="18"/>
                <w:szCs w:val="18"/>
                <w:color w:val="auto"/>
                <w:w w:val="90"/>
              </w:rPr>
              <w:t>$46.30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First Quarter 2012:</w:t>
            </w:r>
          </w:p>
        </w:tc>
        <w:tc>
          <w:tcPr>
            <w:tcW w:w="5720" w:type="dxa"/>
            <w:vAlign w:val="bottom"/>
            <w:gridSpan w:val="3"/>
          </w:tcPr>
          <w:p>
            <w:pPr>
              <w:jc w:val="center"/>
              <w:ind w:left="4012"/>
              <w:spacing w:after="0"/>
              <w:rPr>
                <w:sz w:val="20"/>
                <w:szCs w:val="20"/>
                <w:color w:val="auto"/>
              </w:rPr>
            </w:pPr>
            <w:r>
              <w:rPr>
                <w:rFonts w:ascii="Arial" w:cs="Arial" w:eastAsia="Arial" w:hAnsi="Arial"/>
                <w:sz w:val="18"/>
                <w:szCs w:val="18"/>
                <w:color w:val="auto"/>
                <w:w w:val="90"/>
              </w:rPr>
              <w:t>$36.86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260" w:type="dxa"/>
            <w:vAlign w:val="bottom"/>
          </w:tcPr>
          <w:p>
            <w:pPr>
              <w:spacing w:after="0"/>
              <w:rPr>
                <w:sz w:val="24"/>
                <w:szCs w:val="24"/>
                <w:color w:val="auto"/>
              </w:rPr>
            </w:pPr>
          </w:p>
        </w:tc>
        <w:tc>
          <w:tcPr>
            <w:tcW w:w="4660" w:type="dxa"/>
            <w:vAlign w:val="bottom"/>
          </w:tcPr>
          <w:p>
            <w:pPr>
              <w:jc w:val="right"/>
              <w:ind w:right="2952"/>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Comparison Graph</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graph provides a comparison of the total stockholder return from December 21, 2011 to December 31, 2013 of an investment of $100 in cash on December 21, 2011 for TripAdvisor, Inc. common stock and an investment of $100 in cash on November 30, 2011 for (i) the Standard and Poor’s 500 Index (the “S&amp;P 500 Index”), (ii) the NASDAQ Composite Index, ,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107315</wp:posOffset>
            </wp:positionV>
            <wp:extent cx="4116705" cy="3147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6705"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Securities and Exchange Commission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February 6, 2014, there were 129,432,796 outstanding shares of our common stock held by 3,150 stockholders of record, and 12,799,999 outstanding shares of our Class B common stock held by one stockholder of record: Liberty.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never declared or paid dividends and do not expect to pay any dividends for the foreseeable future. Our ability to pay dividends is limited by the terms of a credit agreement, dated as of December 20, 2011, that provides for a revolving credit facility and a term loan.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 ended December 31, 2013, we did not issue or sell any shares of our common stock or other equity securities pursuant to unregistered transactions in reliance upon an exemption from the registration requirements of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2013, we announced that our Board of Directors authorized the repurchase of $250 million of shares of our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December 31, 2013, we repurchased 37,000 shares of outstanding common stock under the share repurchase program at an average price of $78.35 per share. Below is a summary of our common stock repurchases during the fourth quarter of 2013, the average price paid as well as the U.S. dollar value of shares that may still be purchased as of December 31, 2013:</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Purchased</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as Part of</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Publicly</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Price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Under the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20" w:type="dxa"/>
            <w:vAlign w:val="bottom"/>
            <w:vMerge w:val="restart"/>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of Shares</w:t>
            </w:r>
          </w:p>
        </w:tc>
        <w:tc>
          <w:tcPr>
            <w:tcW w:w="56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Paid per</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Plans or</w:t>
            </w: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6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Purchased</w:t>
            </w:r>
          </w:p>
        </w:tc>
        <w:tc>
          <w:tcPr>
            <w:tcW w:w="560" w:type="dxa"/>
            <w:vAlign w:val="bottom"/>
          </w:tcPr>
          <w:p>
            <w:pPr>
              <w:spacing w:after="0"/>
              <w:rPr>
                <w:sz w:val="14"/>
                <w:szCs w:val="14"/>
                <w:color w:val="auto"/>
              </w:rPr>
            </w:pPr>
          </w:p>
        </w:tc>
        <w:tc>
          <w:tcPr>
            <w:tcW w:w="11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Share (1)</w:t>
            </w:r>
          </w:p>
        </w:tc>
        <w:tc>
          <w:tcPr>
            <w:tcW w:w="9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Programs</w:t>
            </w:r>
          </w:p>
        </w:tc>
        <w:tc>
          <w:tcPr>
            <w:tcW w:w="300" w:type="dxa"/>
            <w:vAlign w:val="bottom"/>
          </w:tcPr>
          <w:p>
            <w:pPr>
              <w:spacing w:after="0"/>
              <w:rPr>
                <w:sz w:val="14"/>
                <w:szCs w:val="14"/>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to October 31</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37,000</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$ 78.35</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37,000</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$104,779,230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November 1 to November 30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104,779,230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104,779,230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420" w:type="dxa"/>
            <w:vAlign w:val="bottom"/>
          </w:tcPr>
          <w:p>
            <w:pPr>
              <w:ind w:left="4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37,000</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37,000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amounts include fees and commissions associated with the share repurchase.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derived the following selected financial data presented below from our consolidated and combined financial statements and related notes. The information set forth below is not necessarily indicative of future results and should be read in conjunction with the consolidated and combined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 The financial statements and related financial information pertaining to the periods preceding December 21, 2011 have been presented on a combined basis and reflect the results of TripAdvisor that were ultimately transferred to us as part of the Spin-Off.</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416"/>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9"/>
          </w:tcPr>
          <w:p>
            <w:pPr>
              <w:jc w:val="right"/>
              <w:ind w:right="96"/>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and Combined Statements of Operations Data:</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6"/>
          </w:tcPr>
          <w:p>
            <w:pPr>
              <w:jc w:val="right"/>
              <w:ind w:right="40"/>
              <w:spacing w:after="0"/>
              <w:rPr>
                <w:sz w:val="20"/>
                <w:szCs w:val="20"/>
                <w:color w:val="auto"/>
              </w:rPr>
            </w:pPr>
            <w:r>
              <w:rPr>
                <w:rFonts w:ascii="Arial" w:cs="Arial" w:eastAsia="Arial" w:hAnsi="Arial"/>
                <w:sz w:val="18"/>
                <w:szCs w:val="18"/>
                <w:color w:val="auto"/>
              </w:rPr>
              <w:t>$ 727,236</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$ 559,215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426,045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313,525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212,375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Expedia</w:t>
            </w:r>
          </w:p>
        </w:tc>
        <w:tc>
          <w:tcPr>
            <w:tcW w:w="1360" w:type="dxa"/>
            <w:vAlign w:val="bottom"/>
            <w:gridSpan w:val="3"/>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217,425</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203,751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139,714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360" w:type="dxa"/>
            <w:vAlign w:val="bottom"/>
            <w:gridSpan w:val="3"/>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944,661</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762,966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637,063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484,635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352,089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294,574</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296,296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272,757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6"/>
          </w:tcPr>
          <w:p>
            <w:pPr>
              <w:jc w:val="right"/>
              <w:ind w:right="40"/>
              <w:spacing w:after="0"/>
              <w:rPr>
                <w:sz w:val="20"/>
                <w:szCs w:val="20"/>
                <w:color w:val="auto"/>
              </w:rPr>
            </w:pPr>
            <w:r>
              <w:rPr>
                <w:rFonts w:ascii="Arial" w:cs="Arial" w:eastAsia="Arial" w:hAnsi="Arial"/>
                <w:sz w:val="18"/>
                <w:szCs w:val="18"/>
                <w:color w:val="auto"/>
              </w:rPr>
              <w:t>205,443</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194,588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138,954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102,215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2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205,443</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194,069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177,677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138,776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102,427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Arial" w:cs="Arial" w:eastAsia="Arial" w:hAnsi="Arial"/>
                <w:sz w:val="18"/>
                <w:szCs w:val="18"/>
                <w:color w:val="auto"/>
              </w:rPr>
              <w:t>Net income per share attributable to TripAdvisor, Inc. available to common shareholders: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(1)</w:t>
            </w:r>
          </w:p>
        </w:tc>
        <w:tc>
          <w:tcPr>
            <w:tcW w:w="1680" w:type="dxa"/>
            <w:vAlign w:val="bottom"/>
            <w:gridSpan w:val="4"/>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1.39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Diluted (1)</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per share:</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Basic (1)</w:t>
            </w:r>
          </w:p>
        </w:tc>
        <w:tc>
          <w:tcPr>
            <w:tcW w:w="2100" w:type="dxa"/>
            <w:vAlign w:val="bottom"/>
            <w:gridSpan w:val="6"/>
          </w:tcPr>
          <w:p>
            <w:pPr>
              <w:jc w:val="right"/>
              <w:ind w:right="40"/>
              <w:spacing w:after="0"/>
              <w:rPr>
                <w:sz w:val="20"/>
                <w:szCs w:val="20"/>
                <w:color w:val="auto"/>
              </w:rPr>
            </w:pPr>
            <w:r>
              <w:rPr>
                <w:rFonts w:ascii="Arial" w:cs="Arial" w:eastAsia="Arial" w:hAnsi="Arial"/>
                <w:sz w:val="18"/>
                <w:szCs w:val="18"/>
                <w:color w:val="auto"/>
              </w:rPr>
              <w:t>142,854</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139,462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133,461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(1)</w:t>
            </w:r>
          </w:p>
        </w:tc>
        <w:tc>
          <w:tcPr>
            <w:tcW w:w="2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145,263</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141,341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134,865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5"/>
          </w:tcPr>
          <w:p>
            <w:pPr>
              <w:jc w:val="right"/>
              <w:ind w:right="27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w w:val="95"/>
              </w:rPr>
              <w:t>Cash and cash equivalents, short and long term marketable securities (2)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  670,706</w:t>
            </w:r>
          </w:p>
        </w:tc>
        <w:tc>
          <w:tcPr>
            <w:tcW w:w="320" w:type="dxa"/>
            <w:vAlign w:val="bottom"/>
          </w:tcPr>
          <w:p>
            <w:pPr>
              <w:spacing w:after="0"/>
              <w:rPr>
                <w:sz w:val="18"/>
                <w:szCs w:val="18"/>
                <w:color w:val="auto"/>
              </w:rPr>
            </w:pPr>
          </w:p>
        </w:tc>
        <w:tc>
          <w:tcPr>
            <w:tcW w:w="980" w:type="dxa"/>
            <w:vAlign w:val="bottom"/>
            <w:gridSpan w:val="4"/>
          </w:tcPr>
          <w:p>
            <w:pPr>
              <w:jc w:val="right"/>
              <w:ind w:right="72"/>
              <w:spacing w:after="0"/>
              <w:rPr>
                <w:sz w:val="20"/>
                <w:szCs w:val="20"/>
                <w:color w:val="auto"/>
              </w:rPr>
            </w:pPr>
            <w:r>
              <w:rPr>
                <w:rFonts w:ascii="Arial" w:cs="Arial" w:eastAsia="Arial" w:hAnsi="Arial"/>
                <w:sz w:val="18"/>
                <w:szCs w:val="18"/>
                <w:color w:val="auto"/>
                <w:w w:val="96"/>
              </w:rPr>
              <w:t>$  585,733</w:t>
            </w:r>
          </w:p>
        </w:tc>
        <w:tc>
          <w:tcPr>
            <w:tcW w:w="1220" w:type="dxa"/>
            <w:vAlign w:val="bottom"/>
            <w:gridSpan w:val="5"/>
          </w:tcPr>
          <w:p>
            <w:pPr>
              <w:jc w:val="right"/>
              <w:ind w:right="194"/>
              <w:spacing w:after="0"/>
              <w:rPr>
                <w:sz w:val="20"/>
                <w:szCs w:val="20"/>
                <w:color w:val="auto"/>
              </w:rPr>
            </w:pPr>
            <w:r>
              <w:rPr>
                <w:rFonts w:ascii="Arial" w:cs="Arial" w:eastAsia="Arial" w:hAnsi="Arial"/>
                <w:sz w:val="18"/>
                <w:szCs w:val="18"/>
                <w:color w:val="auto"/>
              </w:rPr>
              <w:t>$183,532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w w:val="83"/>
              </w:rPr>
              <w:t>93,133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 (2)(3)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387,396</w:t>
            </w:r>
          </w:p>
        </w:tc>
        <w:tc>
          <w:tcPr>
            <w:tcW w:w="3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436,854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4"/>
              <w:spacing w:after="0"/>
              <w:rPr>
                <w:sz w:val="20"/>
                <w:szCs w:val="20"/>
                <w:color w:val="auto"/>
              </w:rPr>
            </w:pPr>
            <w:r>
              <w:rPr>
                <w:rFonts w:ascii="Arial" w:cs="Arial" w:eastAsia="Arial" w:hAnsi="Arial"/>
                <w:sz w:val="18"/>
                <w:szCs w:val="18"/>
                <w:color w:val="auto"/>
                <w:w w:val="89"/>
              </w:rPr>
              <w:t>151,792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3"/>
              </w:rPr>
              <w:t>34,112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(78,560)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assets (2)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1,473,014</w:t>
            </w:r>
          </w:p>
        </w:tc>
        <w:tc>
          <w:tcPr>
            <w:tcW w:w="320" w:type="dxa"/>
            <w:vAlign w:val="bottom"/>
          </w:tcPr>
          <w:p>
            <w:pPr>
              <w:spacing w:after="0"/>
              <w:rPr>
                <w:sz w:val="18"/>
                <w:szCs w:val="18"/>
                <w:color w:val="auto"/>
              </w:rPr>
            </w:pPr>
          </w:p>
        </w:tc>
        <w:tc>
          <w:tcPr>
            <w:tcW w:w="980" w:type="dxa"/>
            <w:vAlign w:val="bottom"/>
            <w:gridSpan w:val="4"/>
          </w:tcPr>
          <w:p>
            <w:pPr>
              <w:jc w:val="right"/>
              <w:ind w:right="72"/>
              <w:spacing w:after="0"/>
              <w:rPr>
                <w:sz w:val="20"/>
                <w:szCs w:val="20"/>
                <w:color w:val="auto"/>
              </w:rPr>
            </w:pPr>
            <w:r>
              <w:rPr>
                <w:rFonts w:ascii="Arial" w:cs="Arial" w:eastAsia="Arial" w:hAnsi="Arial"/>
                <w:sz w:val="18"/>
                <w:szCs w:val="18"/>
                <w:color w:val="auto"/>
              </w:rPr>
              <w:t>1,299,194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94"/>
              <w:spacing w:after="0"/>
              <w:rPr>
                <w:sz w:val="20"/>
                <w:szCs w:val="20"/>
                <w:color w:val="auto"/>
              </w:rPr>
            </w:pPr>
            <w:r>
              <w:rPr>
                <w:rFonts w:ascii="Arial" w:cs="Arial" w:eastAsia="Arial" w:hAnsi="Arial"/>
                <w:sz w:val="18"/>
                <w:szCs w:val="18"/>
                <w:color w:val="auto"/>
                <w:w w:val="89"/>
              </w:rPr>
              <w:t>835,886</w:t>
            </w:r>
          </w:p>
        </w:tc>
        <w:tc>
          <w:tcPr>
            <w:tcW w:w="200" w:type="dxa"/>
            <w:vAlign w:val="bottom"/>
          </w:tcPr>
          <w:p>
            <w:pPr>
              <w:spacing w:after="0"/>
              <w:rPr>
                <w:sz w:val="18"/>
                <w:szCs w:val="18"/>
                <w:color w:val="auto"/>
              </w:rPr>
            </w:pPr>
          </w:p>
        </w:tc>
        <w:tc>
          <w:tcPr>
            <w:tcW w:w="700" w:type="dxa"/>
            <w:vAlign w:val="bottom"/>
            <w:gridSpan w:val="2"/>
          </w:tcPr>
          <w:p>
            <w:pPr>
              <w:jc w:val="right"/>
              <w:ind w:right="36"/>
              <w:spacing w:after="0"/>
              <w:rPr>
                <w:sz w:val="20"/>
                <w:szCs w:val="20"/>
                <w:color w:val="auto"/>
              </w:rPr>
            </w:pPr>
            <w:r>
              <w:rPr>
                <w:rFonts w:ascii="Arial" w:cs="Arial" w:eastAsia="Arial" w:hAnsi="Arial"/>
                <w:sz w:val="18"/>
                <w:szCs w:val="18"/>
                <w:color w:val="auto"/>
                <w:w w:val="86"/>
              </w:rPr>
              <w:t>722,889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574,826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 (4)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340,000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4"/>
              <w:spacing w:after="0"/>
              <w:rPr>
                <w:sz w:val="20"/>
                <w:szCs w:val="20"/>
                <w:color w:val="auto"/>
              </w:rPr>
            </w:pPr>
            <w:r>
              <w:rPr>
                <w:rFonts w:ascii="Arial" w:cs="Arial" w:eastAsia="Arial" w:hAnsi="Arial"/>
                <w:sz w:val="18"/>
                <w:szCs w:val="18"/>
                <w:color w:val="auto"/>
                <w:w w:val="89"/>
              </w:rPr>
              <w:t>380,000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long-term obligations under build to suit lease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7,877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and invested equity (5)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864,480</w:t>
            </w:r>
          </w:p>
        </w:tc>
        <w:tc>
          <w:tcPr>
            <w:tcW w:w="3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726,968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4"/>
              <w:spacing w:after="0"/>
              <w:rPr>
                <w:sz w:val="20"/>
                <w:szCs w:val="20"/>
                <w:color w:val="auto"/>
              </w:rPr>
            </w:pPr>
            <w:r>
              <w:rPr>
                <w:rFonts w:ascii="Arial" w:cs="Arial" w:eastAsia="Arial" w:hAnsi="Arial"/>
                <w:sz w:val="18"/>
                <w:szCs w:val="18"/>
                <w:color w:val="auto"/>
                <w:w w:val="89"/>
              </w:rPr>
              <w:t>293,537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86"/>
              </w:rPr>
              <w:t>539,632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780" w:type="dxa"/>
            <w:vAlign w:val="bottom"/>
            <w:tcBorders>
              <w:bottom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Adjusted EBITDA (6)</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$ 378,753</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$ 352,474</w:t>
            </w:r>
          </w:p>
        </w:tc>
        <w:tc>
          <w:tcPr>
            <w:tcW w:w="1220" w:type="dxa"/>
            <w:vAlign w:val="bottom"/>
            <w:gridSpan w:val="5"/>
          </w:tcPr>
          <w:p>
            <w:pPr>
              <w:jc w:val="right"/>
              <w:ind w:right="134"/>
              <w:spacing w:after="0"/>
              <w:rPr>
                <w:sz w:val="20"/>
                <w:szCs w:val="20"/>
                <w:color w:val="auto"/>
              </w:rPr>
            </w:pPr>
            <w:r>
              <w:rPr>
                <w:rFonts w:ascii="Arial" w:cs="Arial" w:eastAsia="Arial" w:hAnsi="Arial"/>
                <w:sz w:val="18"/>
                <w:szCs w:val="18"/>
                <w:color w:val="auto"/>
              </w:rPr>
              <w:t>$ 322,918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260,963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197,219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the consolidated and combined financial statements in Item 8 below regarding our calculation of earnings per share numbers.</w:t>
      </w:r>
    </w:p>
    <w:p>
      <w:pPr>
        <w:ind w:left="460" w:right="2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one-time exercise proceeds of $215 million related to stock warrant exercises for the year ended December 31, 2012. See “Note 4—</w:t>
      </w:r>
      <w:r>
        <w:rPr>
          <w:rFonts w:ascii="Arial" w:cs="Arial" w:eastAsia="Arial" w:hAnsi="Arial"/>
          <w:sz w:val="18"/>
          <w:szCs w:val="18"/>
          <w:i w:val="1"/>
          <w:iCs w:val="1"/>
          <w:color w:val="auto"/>
        </w:rPr>
        <w:t>Stock 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 and Other Equity Instruments</w:t>
      </w:r>
      <w:r>
        <w:rPr>
          <w:rFonts w:ascii="Arial" w:cs="Arial" w:eastAsia="Arial" w:hAnsi="Arial"/>
          <w:sz w:val="18"/>
          <w:szCs w:val="18"/>
          <w:color w:val="auto"/>
        </w:rPr>
        <w:t>” in the notes to the consolidated and combined financial statements in Item 8 below for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based instruments.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does not include available for sale long-term marketable securities of $188 million and $99 million, as of December 31, 2013 and 2012, respectively.</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8—</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and combined financial statements for information regarding our long-term debt.</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our consolidated and combined statements of changes in stockholders’ equity and “Note 14—</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the consolidated and combined financial statements in Item 8 below for additional information on changes to our stockholders’ equity and invested capital.</w:t>
      </w:r>
    </w:p>
    <w:p>
      <w:pPr>
        <w:spacing w:after="0" w:line="1"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provide investors with additional information regarding our financial results, we have disclosed Adjusted EBITDA, a non-GAAP financial measure, within this Annual Report on Form 10-K. Adjusted EBITDA is the primary metric by which management evaluates the performance of our business and on which internal budgets are based. We define Adjusted EBITDA as net income (loss) plus: (1) provision for income taxes; (2) other (income) expense, net;</w:t>
      </w:r>
    </w:p>
    <w:p>
      <w:pPr>
        <w:spacing w:after="0" w:line="2" w:lineRule="exact"/>
        <w:rPr>
          <w:rFonts w:ascii="Arial" w:cs="Arial" w:eastAsia="Arial" w:hAnsi="Arial"/>
          <w:sz w:val="16"/>
          <w:szCs w:val="16"/>
          <w:color w:val="auto"/>
        </w:rPr>
      </w:pPr>
    </w:p>
    <w:p>
      <w:pPr>
        <w:ind w:left="460" w:right="60"/>
        <w:spacing w:after="0" w:line="302" w:lineRule="auto"/>
        <w:rPr>
          <w:rFonts w:ascii="Arial" w:cs="Arial" w:eastAsia="Arial" w:hAnsi="Arial"/>
          <w:sz w:val="16"/>
          <w:szCs w:val="16"/>
          <w:color w:val="auto"/>
        </w:rPr>
      </w:pPr>
      <w:r>
        <w:rPr>
          <w:rFonts w:ascii="Arial" w:cs="Arial" w:eastAsia="Arial" w:hAnsi="Arial"/>
          <w:sz w:val="16"/>
          <w:szCs w:val="16"/>
          <w:color w:val="auto"/>
        </w:rPr>
        <w:t>(3) depreciation of property and equipment, including internal use software and website development; (4) amortization of intangible assets; (5) stock-based compensation; and (6) non-recurring expenses. Such amounts are detailed below. See a discussion of “Adjusted EBITDA” in Item 7. “Management’s Discussion and Analysis of Financial Condition and Results of Operations” within this Annual Report on Form 10-K.</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provided a reconciliation below of Adjusted EBITDA to net income, the most directly comparable GAAP financial measure.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23"/>
        </w:trPr>
        <w:tc>
          <w:tcPr>
            <w:tcW w:w="6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$378,753</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$352,474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$322,918</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$260,963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$197,219</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Depreciation (1)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(29,495)</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(19,966)</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(18,362)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(12,871)</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(9,330)</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(5,731)</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(6,110)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(7,523)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(13,806)</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(48,953)</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(30,102)</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(17,344)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(7,183)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(5,905)</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Spin-Off costs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(6,932)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Other expense, net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(9,872)</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(14,321)</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(863)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(1,885)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(1,638)</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(79,259)</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(87,387)</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(94,103)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(85,461)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(64,325)</w:t>
            </w: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205,443</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194,588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177,791</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138,954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102,215</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5480" w:hanging="5612"/>
        <w:spacing w:after="0" w:line="408" w:lineRule="auto"/>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amortization of internal use software and website development costs. 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TripAdvisor is the world’s largest online travel company. Our mission is to help people around the world plan and have the perfect trip by giving them access to the reviews and opinions of the millions of travelers who make up our global online community. TripAdvisor aggregates reviews and opinions about destinations, accommodations (including hotels, B&amp;Bs, specialty lodging and vacation rentals), restaurants and activities throughout the world. Our platform also enables consumers to book hotels, vacation rentals, airline tickets, vacation packages, destination services and even cruises.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branded websites include tripadvisor.com in the United States and localized versions of the website in 33 other countries, including China under the brand daodao.com. Our TripAdvisor-branded websites globally reached more than 260 million monthly unique visitors during the year ended December 31, 2013, according to Google Analytics. We feature over 125 million reviews and opinions on more than 775,000 hotels and accommodations and approximately 550,000 vacation rentals—as well as more than 2 million restaurants and 400,000 attractions in 139,000 destinations throughout the world. Beyond travel-related content, our websites also include links to the websites of our customers, including travel advertisers, allowing travelers to directly book their travel arrangements. In addition to the flagship TripAdvisor brand, we now manage and operate 20 other travel media brands, connected by the common goal of providing comprehensive travel planning resources across the travel sector.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present, our financial results are principally dependent on our ability to grow click-based advertising revenue. We continue to invest in areas of potential click-based revenue growth, including international and mobile initiatives, while also investing in our Display-based advertising, Business Listings and Vacation Rentals businesses. We aim to leverage our position as the largest online travel company to become an increasingly important partner for advertisers—including hoteliers, online travel agencies and other travel-related service providers—by providing our customers with access to a large audience of highly-qualified, highly-engaged users. The key drivers of our click-based and display-based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right="200" w:firstLine="456"/>
        <w:spacing w:after="0" w:line="357" w:lineRule="auto"/>
        <w:rPr>
          <w:sz w:val="20"/>
          <w:szCs w:val="20"/>
          <w:color w:val="auto"/>
        </w:rPr>
      </w:pPr>
      <w:r>
        <w:rPr>
          <w:rFonts w:ascii="Arial" w:cs="Arial" w:eastAsia="Arial" w:hAnsi="Arial"/>
          <w:sz w:val="15"/>
          <w:szCs w:val="15"/>
          <w:color w:val="auto"/>
        </w:rPr>
        <w:t>For the years ended December 31, 2013, 2012 and 2011, 74%, 77% and 79%, respectively, of our total revenue came from our core CPC-based lead generation product. The key drivers of our click-based advertising revenue include the growth in monthly unique hotel shoppers and revenue per hotel shopper.</w:t>
      </w:r>
    </w:p>
    <w:p>
      <w:pPr>
        <w:ind w:left="900" w:hanging="325"/>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Hotel shoppers: </w:t>
      </w:r>
      <w:r>
        <w:rPr>
          <w:rFonts w:ascii="Arial" w:cs="Arial" w:eastAsia="Arial" w:hAnsi="Arial"/>
          <w:sz w:val="16"/>
          <w:szCs w:val="16"/>
          <w:color w:val="auto"/>
        </w:rPr>
        <w:t>Total traffic growth, or growth in monthly visits from unique visitors, is reflective of our overall brand growth. We track and analyze</w:t>
      </w:r>
      <w:r>
        <w:rPr>
          <w:rFonts w:ascii="Arial" w:cs="Arial" w:eastAsia="Arial" w:hAnsi="Arial"/>
          <w:sz w:val="16"/>
          <w:szCs w:val="16"/>
          <w:i w:val="1"/>
          <w:iCs w:val="1"/>
          <w:color w:val="auto"/>
        </w:rPr>
        <w:t xml:space="preserve"> </w:t>
      </w:r>
      <w:r>
        <w:rPr>
          <w:rFonts w:ascii="Arial" w:cs="Arial" w:eastAsia="Arial" w:hAnsi="Arial"/>
          <w:sz w:val="16"/>
          <w:szCs w:val="16"/>
          <w:color w:val="auto"/>
        </w:rPr>
        <w:t>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36% for the year ended December 31, 2013 over 2012 and increased 32% for the year ended December 31, 2012 over 2011, according to our log files.</w:t>
      </w:r>
    </w:p>
    <w:p>
      <w:pPr>
        <w:spacing w:after="0" w:line="34"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Revenue per hotel shopper: </w:t>
      </w:r>
      <w:r>
        <w:rPr>
          <w:rFonts w:ascii="Arial" w:cs="Arial" w:eastAsia="Arial" w:hAnsi="Arial"/>
          <w:sz w:val="16"/>
          <w:szCs w:val="16"/>
          <w:color w:val="auto"/>
        </w:rPr>
        <w:t>Revenue per hotel shopper is a metric we use to analyze how effectively we are able to monetize hotel shoppers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combination of user conversion and pricing. User conversion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property, allowing the user to shop for the best price. Pricing is the effective CPC that online travel agencies and hoteliers are willing to pay us for a hotel shopper lead. Revenue per hotel shopper decreased 13% for the year ended December 31, 2013 in comparison to 2012, and decreased 8% for the year ended December 31, 2012 in comparison to 2011, according to our log files.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has the benefit of pricing and availability from multiple sources and what our customers are willing to pay us for the lead.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years ended December 31, 2013, 2012 and 2011, 13%, 12% and 13%, respectively, of our total revenue came from our display-based advertising product. The key drivers of our display-based advertising revenue include the growth in number of impressions, or the number of times an ad is displayed on our site, and the cost per thousand impressions, or CPM. Our number of impressions sold increased 34% for the year ended December 31, 2013 over 2012 and increased 6% for the year ended December 31, 2012 over 2011, while pricing decreased 5% for the year ended December 31, 2013 over 2012 and increased 1% for the years ended December 31, 2012 over 2011, according to our customer logs.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Business Listings and Vacation Rentals products.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Mobile</w:t>
      </w:r>
      <w:r>
        <w:rPr>
          <w:rFonts w:ascii="Arial" w:cs="Arial" w:eastAsia="Arial" w:hAnsi="Arial"/>
          <w:sz w:val="18"/>
          <w:szCs w:val="18"/>
          <w:color w:val="auto"/>
        </w:rPr>
        <w:t>. Mobile is an investment area that is geared towards creating a more complete user experience by reinforcing the TripAdvisor brand when users are</w:t>
      </w:r>
      <w:r>
        <w:rPr>
          <w:rFonts w:ascii="Arial" w:cs="Arial" w:eastAsia="Arial" w:hAnsi="Arial"/>
          <w:sz w:val="18"/>
          <w:szCs w:val="18"/>
          <w:i w:val="1"/>
          <w:iCs w:val="1"/>
          <w:color w:val="auto"/>
        </w:rPr>
        <w:t xml:space="preserve"> </w:t>
      </w:r>
      <w:r>
        <w:rPr>
          <w:rFonts w:ascii="Arial" w:cs="Arial" w:eastAsia="Arial" w:hAnsi="Arial"/>
          <w:sz w:val="18"/>
          <w:szCs w:val="18"/>
          <w:color w:val="auto"/>
        </w:rPr>
        <w:t>in-market. In the year ended December 31, 2013, we saw strong mobile user uptake, as aggregate downloads of our TripAdvisor, City Guides, SeatGuru, Jetsetter and GateGuru mobile apps reached 82 million downloads and average monthly unique visitors via smartphone and tablet devices grew over 170% year-over-year from 32 million to 87 million, according to company logs. We believe that travelers will increasingly use mobile devices, including smartphones and tablets, to conduct travel research and planning.</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We believe that having a strong social presence improves</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on our sites and improves the sites’ “stickiness” amongst the users. As a result, we continue to deepen our integration with Facebook. As of December 31, 2013, and according to AppData, an independent application tracking traffic service, TripAdvisor has averaged over 36 million monthly Facebook users via its TripAdvisor Facebook application. We offer these Facebook users a more personalized and social travel planning experience that enables travelers to engage with their own Facebook friends’ reviews and opinions when planning their perfect trip on TripAdvisor.</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Created in early 2010, our Business Listings product enables hotel and accommodation owners to list pertinent property information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TripAdvisor, bringing them closer to potential customers and thereby increasing direct bookings. In the year ended December 31, 2013, we grew our Business Listings customer base over 38% to 69,000 subscribers, representing approximately 9% of our current hotel and accommodation listings on TripAdvisor branded sites. We continue to expand our sales force and improve features to grow our subscriber base.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Vacation Rentals</w:t>
      </w:r>
      <w:r>
        <w:rPr>
          <w:rFonts w:ascii="Arial" w:cs="Arial" w:eastAsia="Arial" w:hAnsi="Arial"/>
          <w:sz w:val="18"/>
          <w:szCs w:val="18"/>
          <w:color w:val="auto"/>
        </w:rPr>
        <w:t>. As of December 31, 2013, we had amassed an inventory of approximately 550,000 properties, up more than 80% during the year, across</w:t>
      </w:r>
      <w:r>
        <w:rPr>
          <w:rFonts w:ascii="Arial" w:cs="Arial" w:eastAsia="Arial" w:hAnsi="Arial"/>
          <w:sz w:val="18"/>
          <w:szCs w:val="18"/>
          <w:i w:val="1"/>
          <w:iCs w:val="1"/>
          <w:color w:val="auto"/>
        </w:rPr>
        <w:t xml:space="preserve"> </w:t>
      </w:r>
      <w:r>
        <w:rPr>
          <w:rFonts w:ascii="Arial" w:cs="Arial" w:eastAsia="Arial" w:hAnsi="Arial"/>
          <w:sz w:val="18"/>
          <w:szCs w:val="18"/>
          <w:color w:val="auto"/>
        </w:rPr>
        <w:t>our TripAdvisor Vacation Rentals, U.S.-based FlipKey, and European-based Holiday Lettings and Niumba.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continue to be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 Refer to our discussion above in “—Competition” in Item 1 “Business” section for additional information on our competition.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Increasing Use of Internet and Social Media to Access Travel Information. </w:t>
      </w:r>
      <w:r>
        <w:rPr>
          <w:rFonts w:ascii="Arial" w:cs="Arial" w:eastAsia="Arial" w:hAnsi="Arial"/>
          <w:sz w:val="16"/>
          <w:szCs w:val="16"/>
          <w:color w:val="auto"/>
        </w:rPr>
        <w:t>Commerce, information and advertising continue to migrate to the Internet and</w:t>
      </w:r>
      <w:r>
        <w:rPr>
          <w:rFonts w:ascii="Arial" w:cs="Arial" w:eastAsia="Arial" w:hAnsi="Arial"/>
          <w:sz w:val="16"/>
          <w:szCs w:val="16"/>
          <w:i w:val="1"/>
          <w:iCs w:val="1"/>
          <w:color w:val="auto"/>
        </w:rPr>
        <w:t xml:space="preserve"> </w:t>
      </w:r>
      <w:r>
        <w:rPr>
          <w:rFonts w:ascii="Arial" w:cs="Arial" w:eastAsia="Arial" w:hAnsi="Arial"/>
          <w:sz w:val="16"/>
          <w:szCs w:val="16"/>
          <w:color w:val="auto"/>
        </w:rPr>
        <w:t>away from traditional media outlets. We believe that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2013, we completed the process of implementing hotel metasearch functionality on our desktop and tablet platforms. Refer to our metasearch discussion above under “Improving the Hotel Shopper Experience” in the “Our Strategy” section in Item 1 “Business” for additional information on our hotel metasearch transition.</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Users are increasingly using smartphone and tablet computing devices to access the Internet. To address these growing user</w:t>
      </w:r>
      <w:r>
        <w:rPr>
          <w:rFonts w:ascii="Arial" w:cs="Arial" w:eastAsia="Arial" w:hAnsi="Arial"/>
          <w:sz w:val="16"/>
          <w:szCs w:val="16"/>
          <w:i w:val="1"/>
          <w:iCs w:val="1"/>
          <w:color w:val="auto"/>
        </w:rPr>
        <w:t xml:space="preserve"> </w:t>
      </w:r>
      <w:r>
        <w:rPr>
          <w:rFonts w:ascii="Arial" w:cs="Arial" w:eastAsia="Arial" w:hAnsi="Arial"/>
          <w:sz w:val="16"/>
          <w:szCs w:val="16"/>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access our products primarily through smartphone devices. We have just begun to display graphic advertising on smartphones, however, our smartphone monetization strategies are still developing, as smartphone monetization was less than 20% of desktop monetization of hotel shoppers during the year ended December 31, 2013 while tablets monetize more closely to desktops. Mobile growth and development remains a key strategy and we will continue to invest and innovate in this growing platform to help us maintain and grow our user base, engagement and monetization over the long term.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above under “Improving the Hotel Shopper Experience” in the “Our Strategy” section in Item 1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2011, Expedia, Inc., or Expedia, announced its plan to separate into two independent public companies in order to better achieve certain strategic objectives of its various businesses. We refer to this transaction as the “Spin-Off.” On December 20, 2011, following the close of trading on the NASDAQ Global Select Market (“NASDAQ”), the Spin-Off was completed, and TripAdvisor began trading as an independent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In connection with the Spin-Off, Expedia contributed or transferred all of the subsidiaries and assets relating to Expedia’s TripAdvisor Media Group to TripAdvisor and TripAdvisor assumed all of the liabilities relating to Expedia’s TripAdvisor Media Group.</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have entered into various agreements, including, among others, the Separation Agreement, the Tax Sharing Agreement, the Employee Matters Agreement and Transition Services Agreement, and commercial agreements. The full texts of the Separation Agreement, the Tax Sharing Agreement, the Employee Matters Agreement and the Transition Services Agreement are incorporated by reference in this Annual Report on Form 10-K as Exhibits 2.1, 10.2, 10.3 and 10.4. TripAdvisor has satisfied its obligations under the Separation Agreement, the Employee Matters Agreement and the Transition Services Agreement. TripAdvisor continues to be subject to certain post-spin obligations under the Tax Sharing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We have one operating and reportable segment. The segment is determined based on how our chief operating decision maker manages our business, makes operating decisions, evaluates operating performance and allocates resources. The chief operating decision maker for the company is our Chief Executive Officer.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5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727,236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559,215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426,045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 from Expedia</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217,425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203,751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211,018</w:t>
            </w:r>
          </w:p>
        </w:tc>
        <w:tc>
          <w:tcPr>
            <w:tcW w:w="4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944,661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762,966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637,063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Selling and marketing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368,353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266,239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209,176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130,673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57,448</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44,770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18,362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7,523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Shared services fee with Expedia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9,222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Spin-off costs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4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650,087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466,670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364,306</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294,574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296,296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272,757</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808</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241%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(10,074)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(11,381)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(1,254)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(14,321)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284,702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281,975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271,894</w:t>
            </w:r>
          </w:p>
        </w:tc>
        <w:tc>
          <w:tcPr>
            <w:tcW w:w="4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(79,259)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(87,387)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(94,103)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205,443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194,588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177,791</w:t>
            </w:r>
          </w:p>
        </w:tc>
        <w:tc>
          <w:tcPr>
            <w:tcW w:w="4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color w:val="auto"/>
              </w:rPr>
              <w:t>Net income attributable to TripAdvisor, Inc.</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205,443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194,069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177,677</w:t>
            </w:r>
          </w:p>
        </w:tc>
        <w:tc>
          <w:tcPr>
            <w:tcW w:w="4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attributable to TripAdvisor, Inc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139,462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133,461</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145,263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141,341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134,865</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Adjusted EBITDA (3)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378,753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352,474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322,918</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4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 Excludes amortization as follows:</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Amortization of acquired technology included in amortization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578</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w w:val="93"/>
              </w:rPr>
              <w:t>Amortization of website development costs included in depreciation</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12,438</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13,016</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(2) Includes stock-based compensation as follows: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3,216</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Technology and content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3,931</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10,197</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“Adjusted EBITDA” discussion below for more information and for a reconciliation of Adjusted EBITDA to net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this Annual Report on Form 10-K, a non-GAAP financial measure. We have provided reconciliations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non-recurring expenses,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359"/>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56"/>
        </w:trPr>
        <w:tc>
          <w:tcPr>
            <w:tcW w:w="6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$378,753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$352,474</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$322,918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Depreciation (1)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(29,495)</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(19,966)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(18,362)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(5,731)</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(6,110)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(48,953)</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(30,102)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(17,344)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Spin-off costs</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(6,932)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expense, net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(9,872)</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(14,321)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(863)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(79,259)</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(87,387)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(94,103)</w:t>
            </w: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205,443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194,588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177,791</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amortization of internal use software and website development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Certain reclassifications have been made to conform the prior period’s data to the current format. These reclassifications had no net effect on our consolidated and combined financial statements and were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and other revenue including content licensing.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0" w:type="dxa"/>
            <w:vAlign w:val="bottom"/>
          </w:tcPr>
          <w:p>
            <w:pPr>
              <w:spacing w:after="0"/>
              <w:rPr>
                <w:sz w:val="12"/>
                <w:szCs w:val="12"/>
                <w:color w:val="auto"/>
              </w:rPr>
            </w:pPr>
          </w:p>
        </w:tc>
        <w:tc>
          <w:tcPr>
            <w:tcW w:w="960" w:type="dxa"/>
            <w:vAlign w:val="bottom"/>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$ 696</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$ 500</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86</w:t>
            </w:r>
          </w:p>
        </w:tc>
        <w:tc>
          <w:tcPr>
            <w:tcW w:w="1500" w:type="dxa"/>
            <w:vAlign w:val="bottom"/>
            <w:gridSpan w:val="2"/>
          </w:tcPr>
          <w:p>
            <w:pPr>
              <w:jc w:val="right"/>
              <w:ind w:right="512"/>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2"/>
            <w:vMerge w:val="restart"/>
          </w:tcPr>
          <w:p>
            <w:pPr>
              <w:jc w:val="right"/>
              <w:ind w:right="512"/>
              <w:spacing w:after="0"/>
              <w:rPr>
                <w:sz w:val="20"/>
                <w:szCs w:val="20"/>
                <w:color w:val="auto"/>
              </w:rPr>
            </w:pPr>
            <w:r>
              <w:rPr>
                <w:rFonts w:ascii="Arial" w:cs="Arial" w:eastAsia="Arial" w:hAnsi="Arial"/>
                <w:sz w:val="18"/>
                <w:szCs w:val="18"/>
                <w:color w:val="auto"/>
              </w:rPr>
              <w:t>24%</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$ 945</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$ 763</w:t>
            </w:r>
          </w:p>
        </w:tc>
        <w:tc>
          <w:tcPr>
            <w:tcW w:w="58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$ 637</w:t>
            </w:r>
          </w:p>
        </w:tc>
        <w:tc>
          <w:tcPr>
            <w:tcW w:w="1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Revenue increased $182 million during the year ended December 31, 2013 when compared to the same period in 2012, primarily due to an increase in click-based advertising revenue of $108 million. The primary driver of the increase in click-based advertising revenue was an increase in hotel shoppers of 36% for the year ended December 31, 2013, partially offset by lower revenue per hotel shopper of 13% for the year ended December 31, 2013, primarily due to a combination of lower user conversion related to our transition to hotel metasearch, growth in hotel shoppers on smartphones, which have a lower monetization rate than desktops and tablets, and growth in emerging international markets that are currently monetizing at lower levels than our mature markets. Display-based advertising increased by $25 million during the year ended December 31, 2013, primarily as a result of a 34% increase in the number of impressions sold due to increased sales productivity coupled with our new Delayed Ad Call product, and worldwide growth particularly in emerging markets when compared to the same period in 2012, partially offset by a decrease in pricing by 5% for the year ended December 31, 2013. Subscription, transaction and other revenue increased by $49 million during the year ended December 31, 2013, primarily due to growth in our Business Listings and Vacation Rentals products.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Revenue increased $126 million during the year ended December 31, 2012 when compared to the same period in 2011, primarily due to an increase in click-based advertising revenue of $88 million. The primary driver of the increase in click-based advertising revenue was an increase in hotel shoppers during the year ended December 31, 2012, when compared to the same period for 2011, of 32%, partially offset by lower revenue per hotel shopper of 8% for the year ended December 31, 2012, primarily due to lower clicks per hotel shopper due to our site redesign in September 2011. Display-based advertising increased by $8 million during the year ended December 31, 2012, primarily as a result of a 6% increase in the number of impressions sold when compared to the same period in 2011, and an increase in pricing by 1% for the year ended December 31, 2012. Subscription, transaction and other revenue increased by $30 million during the year ended December 31, 2012, primarily due to growth in our Business Listings and Vacation Rentals products.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980" w:type="dxa"/>
            <w:vAlign w:val="bottom"/>
            <w:gridSpan w:val="2"/>
          </w:tcPr>
          <w:p>
            <w:pPr>
              <w:jc w:val="center"/>
              <w:ind w:left="480"/>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Pr>
          <w:p>
            <w:pPr>
              <w:spacing w:after="0"/>
              <w:rPr>
                <w:sz w:val="12"/>
                <w:szCs w:val="12"/>
                <w:color w:val="auto"/>
              </w:rPr>
            </w:pPr>
          </w:p>
        </w:tc>
        <w:tc>
          <w:tcPr>
            <w:tcW w:w="4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2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$ 494</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$ 409</w:t>
            </w:r>
          </w:p>
        </w:tc>
        <w:tc>
          <w:tcPr>
            <w:tcW w:w="10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3"/>
              </w:rPr>
              <w:t>$ 360</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EMEA (2)</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240</w:t>
            </w: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218</w:t>
            </w:r>
          </w:p>
        </w:tc>
        <w:tc>
          <w:tcPr>
            <w:tcW w:w="1500" w:type="dxa"/>
            <w:vAlign w:val="bottom"/>
            <w:gridSpan w:val="2"/>
          </w:tcPr>
          <w:p>
            <w:pPr>
              <w:jc w:val="right"/>
              <w:ind w:right="512"/>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APAC (3)</w:t>
            </w:r>
          </w:p>
        </w:tc>
        <w:tc>
          <w:tcPr>
            <w:tcW w:w="2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82</w:t>
            </w:r>
          </w:p>
        </w:tc>
        <w:tc>
          <w:tcPr>
            <w:tcW w:w="10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LATAM (4)</w:t>
            </w:r>
          </w:p>
        </w:tc>
        <w:tc>
          <w:tcPr>
            <w:tcW w:w="2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512"/>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7"/>
        </w:trPr>
        <w:tc>
          <w:tcPr>
            <w:tcW w:w="3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$ 945</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$ 763</w:t>
            </w:r>
          </w:p>
        </w:tc>
        <w:tc>
          <w:tcPr>
            <w:tcW w:w="10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3"/>
              </w:rPr>
              <w:t>$ 637</w:t>
            </w: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3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in international revenue for discussion purposes.</w:t>
      </w:r>
    </w:p>
    <w:p>
      <w:pPr>
        <w:spacing w:after="0" w:line="16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International revenue increased $105 million and $88 million during the years ended December 31, 2013 and 2012, respectively, compared to the same periods in 2012 and 2011. International revenue represented 51%, 49%, and 45% of total revenue during the years ended December 31, 2013, 2012, and 2011, respectively. The increase in international revenue, in absolute dollars and as a percentage of total revenue, is primarily due to additional investment in international expansion and growth in international hotel shoppers.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product revenue discussion, Revenue from Expedia, which consists primarily of click-based advertising,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56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46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6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Expedia</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88"/>
              </w:rPr>
              <w:t>$ 217</w:t>
            </w:r>
          </w:p>
        </w:tc>
        <w:tc>
          <w:tcPr>
            <w:tcW w:w="1560" w:type="dxa"/>
            <w:vAlign w:val="bottom"/>
            <w:shd w:val="clear" w:color="auto" w:fill="CCEEFF"/>
          </w:tcPr>
          <w:p>
            <w:pPr>
              <w:jc w:val="right"/>
              <w:ind w:right="544"/>
              <w:spacing w:after="0"/>
              <w:rPr>
                <w:sz w:val="20"/>
                <w:szCs w:val="20"/>
                <w:color w:val="auto"/>
              </w:rPr>
            </w:pPr>
            <w:r>
              <w:rPr>
                <w:rFonts w:ascii="Arial" w:cs="Arial" w:eastAsia="Arial" w:hAnsi="Arial"/>
                <w:sz w:val="18"/>
                <w:szCs w:val="18"/>
                <w:color w:val="auto"/>
              </w:rPr>
              <w:t>$ 204</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$ 211</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560" w:type="dxa"/>
            <w:vAlign w:val="bottom"/>
          </w:tcPr>
          <w:p>
            <w:pPr>
              <w:jc w:val="right"/>
              <w:ind w:right="384"/>
              <w:spacing w:after="0"/>
              <w:rPr>
                <w:sz w:val="20"/>
                <w:szCs w:val="20"/>
                <w:color w:val="auto"/>
              </w:rPr>
            </w:pPr>
            <w:r>
              <w:rPr>
                <w:rFonts w:ascii="Arial" w:cs="Arial" w:eastAsia="Arial" w:hAnsi="Arial"/>
                <w:sz w:val="18"/>
                <w:szCs w:val="18"/>
                <w:color w:val="auto"/>
              </w:rPr>
              <w:t>26.7%</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33.1%</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Revenue from Expedia increased $13 million during the year ended December 31, 2013, respectively, when compared to the same period in 2012, primarily due to lower click volume sent to Expedia, primarily related to our transition to hotel metasearch which was more than offset by higher CPC pricing paid by Expedia during this time period. For information on our relationship with Expedia refer to “Note 15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in the notes to our consolidated and combined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 from Expedia decreased $7 million during the year ended December 31, 2012 when compared to the same period in 2011, primarily due to lower CPC pricing paid by Expedia, partially offset by higher click volume sent to Expedia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5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6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3"/>
              </w:rPr>
              <w:t>2012</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2"/>
                <w:szCs w:val="12"/>
                <w:color w:val="auto"/>
              </w:rPr>
            </w:pPr>
          </w:p>
        </w:tc>
        <w:tc>
          <w:tcPr>
            <w:tcW w:w="156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18</w:t>
            </w:r>
          </w:p>
        </w:tc>
        <w:tc>
          <w:tcPr>
            <w:tcW w:w="166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12</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  11</w:t>
            </w:r>
          </w:p>
        </w:tc>
        <w:tc>
          <w:tcPr>
            <w:tcW w:w="15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 of revenue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60" w:type="dxa"/>
            <w:vAlign w:val="bottom"/>
          </w:tcPr>
          <w:p>
            <w:pPr>
              <w:jc w:val="right"/>
              <w:ind w:right="444"/>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Cost of revenue increased $6 million during the year ended December 31, 2013 when compared to the same period in 2012, primarily due to increased data center costs, driven by higher site traffic and merchant credit card fees.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Cost of revenue increased $1 million during the year ended December 31, 2012 when compared to the same period in 2011, primarily due to increased merchant credit card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940" w:type="dxa"/>
            <w:vAlign w:val="bottom"/>
            <w:gridSpan w:val="2"/>
          </w:tcPr>
          <w:p>
            <w:pPr>
              <w:jc w:val="center"/>
              <w:ind w:left="461"/>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$ 243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$ 137</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ind w:right="472"/>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$ 368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$ 209</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34.9%</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32.8%</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Direct selling and marketing costs increased $66 million during the year ended December 31, 2013 when compared to the same period in 2012, primarily due to increased SEM costs, other traffic acquisition costs and brand advertising costs, including offline advertising, partially offset by a decrease in spending in social media costs. Personnel and overhead costs increased $36 million during the year ended December 31, 2013 when compared to the same period in 2012, primarily due to an increase in headcount to support business growth, including international expansion and employees joining us through recent business acquisitions, and also increased stock-based compensation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 selling and marketing costs increased $40 million during the year ended December 31, 2012 when compared to the same period in 2011, primarily due to increased search engine marketing costs, brand advertising costs and investments in social media costs. We increased our spending on social media in the year ended December 31, 2012 compared to the same period in 2011, in order to increase social engagement on our websites. Personnel and overhead costs increased $17 million during the year ended December 31, 2012 when compared to the same period in 2011, primarily due to an increase in headcount to support business growth, including international expansion.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content support, and maintenance of our websites. Other costs include licensing and maintenance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980" w:type="dxa"/>
            <w:vAlign w:val="bottom"/>
            <w:gridSpan w:val="3"/>
          </w:tcPr>
          <w:p>
            <w:pPr>
              <w:jc w:val="center"/>
              <w:ind w:left="504"/>
              <w:spacing w:after="0" w:line="142" w:lineRule="exact"/>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2"/>
                <w:szCs w:val="12"/>
                <w:color w:val="auto"/>
              </w:rPr>
            </w:pPr>
          </w:p>
        </w:tc>
        <w:tc>
          <w:tcPr>
            <w:tcW w:w="154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w:t>
            </w: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ind w:right="552"/>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w:t>
            </w: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9.0%</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Technology and content costs increased $44 million during the year ended December 31, 2013 when compared to the same period in 2012, primarily due to increased personnel costs from increased headcount to support business growth, including international expansion, enhanced site features, extending our products onto smartphone and tablet platforms, and development of our hotel metasearch product, as well as an increase in stock based compensation and additional personnel costs related to employees joining us through recent business acquisitions.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Technology and content costs increased $30 million during the year ended December 31, 2012 when compared to the same period in 2011, primarily due to increased personnel costs from increased headcount to support business growth, including international expansion, enhanced site features, extending our products onto smartphone and tablet platforms, and development of our hotel metasearch product, as well as an increase in stock based compensation.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Year ended December 31,</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980" w:type="dxa"/>
            <w:vAlign w:val="bottom"/>
            <w:gridSpan w:val="3"/>
          </w:tcPr>
          <w:p>
            <w:pPr>
              <w:jc w:val="center"/>
              <w:ind w:left="484"/>
              <w:spacing w:after="0" w:line="142" w:lineRule="exact"/>
              <w:rPr>
                <w:sz w:val="20"/>
                <w:szCs w:val="20"/>
                <w:color w:val="auto"/>
              </w:rPr>
            </w:pPr>
            <w:r>
              <w:rPr>
                <w:rFonts w:ascii="Arial" w:cs="Arial" w:eastAsia="Arial" w:hAnsi="Arial"/>
                <w:sz w:val="14"/>
                <w:szCs w:val="14"/>
                <w:b w:val="1"/>
                <w:bCs w:val="1"/>
                <w:color w:val="auto"/>
                <w:w w:val="83"/>
              </w:rPr>
              <w:t>2012</w:t>
            </w:r>
          </w:p>
        </w:tc>
        <w:tc>
          <w:tcPr>
            <w:tcW w:w="7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Pr>
          <w:p>
            <w:pPr>
              <w:spacing w:after="0"/>
              <w:rPr>
                <w:sz w:val="12"/>
                <w:szCs w:val="12"/>
                <w:color w:val="auto"/>
              </w:rPr>
            </w:pPr>
          </w:p>
        </w:tc>
        <w:tc>
          <w:tcPr>
            <w:tcW w:w="1520" w:type="dxa"/>
            <w:vAlign w:val="bottom"/>
            <w:gridSpan w:val="2"/>
          </w:tcPr>
          <w:p>
            <w:pPr>
              <w:jc w:val="right"/>
              <w:ind w:right="69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9"/>
                <w:szCs w:val="19"/>
                <w:color w:val="auto"/>
              </w:rPr>
            </w:pPr>
          </w:p>
        </w:tc>
        <w:tc>
          <w:tcPr>
            <w:tcW w:w="1520" w:type="dxa"/>
            <w:vAlign w:val="bottom"/>
            <w:gridSpan w:val="2"/>
          </w:tcPr>
          <w:p>
            <w:pPr>
              <w:jc w:val="right"/>
              <w:ind w:right="532"/>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w:t>
            </w:r>
          </w:p>
        </w:tc>
        <w:tc>
          <w:tcPr>
            <w:tcW w:w="15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40"/>
              <w:spacing w:after="0"/>
              <w:rPr>
                <w:sz w:val="20"/>
                <w:szCs w:val="20"/>
                <w:color w:val="auto"/>
              </w:rPr>
            </w:pPr>
            <w:r>
              <w:rPr>
                <w:rFonts w:ascii="Arial" w:cs="Arial" w:eastAsia="Arial" w:hAnsi="Arial"/>
                <w:sz w:val="18"/>
                <w:szCs w:val="18"/>
                <w:color w:val="auto"/>
              </w:rPr>
              <w:t>% of revenue</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9.9%</w:t>
            </w:r>
          </w:p>
        </w:tc>
        <w:tc>
          <w:tcPr>
            <w:tcW w:w="1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7.0%</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General and administrative costs increased $22 million during the year ended December 31, 2013, when compared to the same period in 2012, primarily due to increased personnel costs related to an increase in stock-based compensation, as well as increased headcount to support business growth and additional professional service fees in order to support our operations and an increase in our bad debt provision.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General and administrative costs increased $31 million during the year ended December 31, 2012, when compared to the same period in 2011, due to increased personnel and overhead costs related to an increase in stock based compensation, as well as increased headcount to support business growth, and a full year of costs related to additional headcount and professional service fees to support our operations as a standalone public company in 2012. We also incurred increased professional service fees primarily related to legal and tax initiatives. In addition, in connection with the Spin-Off, we assumed Expedia’s obligation to fund a charitable foundation (see “Note 12—</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the notes to the consolidated and combined financial statements). Our expense related to the funding of this charitable foundation was $7 million for the year ended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Shared Services Fee with Expedia</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Prior to the Spin-Off, our shared services fee was comprised of allocations from Expedia for accounting, legal, tax, corporate development, treasury, financial reporting, real estate management and included an allocation of employee compensation within these functions. These allocations were determined based on what we and Expedia considered to be reasonable reflections of the utilization of services provided or the benefit received by 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6"/>
              </w:rPr>
              <w:t>Year ended December 31,</w:t>
            </w:r>
          </w:p>
        </w:tc>
        <w:tc>
          <w:tcPr>
            <w:tcW w:w="5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2"/>
                <w:szCs w:val="12"/>
                <w:color w:val="auto"/>
              </w:rPr>
            </w:pPr>
          </w:p>
        </w:tc>
        <w:tc>
          <w:tcPr>
            <w:tcW w:w="1540" w:type="dxa"/>
            <w:vAlign w:val="bottom"/>
            <w:gridSpan w:val="2"/>
          </w:tcPr>
          <w:p>
            <w:pPr>
              <w:jc w:val="right"/>
              <w:ind w:right="692"/>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Shared services fee with Expedia</w:t>
            </w:r>
          </w:p>
        </w:tc>
        <w:tc>
          <w:tcPr>
            <w:tcW w:w="21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 of 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40" w:type="dxa"/>
            <w:vAlign w:val="bottom"/>
          </w:tcPr>
          <w:p>
            <w:pPr>
              <w:jc w:val="right"/>
              <w:ind w:right="444"/>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Shared services fee costs incurred for the use of Expedia shared services ceased in connection with the Spin-Off. Refer to “Note 15—</w:t>
      </w:r>
      <w:r>
        <w:rPr>
          <w:rFonts w:ascii="Arial" w:cs="Arial" w:eastAsia="Arial" w:hAnsi="Arial"/>
          <w:sz w:val="16"/>
          <w:szCs w:val="16"/>
          <w:i w:val="1"/>
          <w:iCs w:val="1"/>
          <w:color w:val="auto"/>
        </w:rPr>
        <w:t>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in the notes to our consolidated and combined financial statements for further information on our relationship with Expedia.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64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w w:val="89"/>
              </w:rPr>
              <w:t>2013</w:t>
            </w:r>
          </w:p>
        </w:tc>
        <w:tc>
          <w:tcPr>
            <w:tcW w:w="13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480" w:type="dxa"/>
            <w:vAlign w:val="bottom"/>
            <w:gridSpan w:val="2"/>
          </w:tcPr>
          <w:p>
            <w:pPr>
              <w:jc w:val="right"/>
              <w:ind w:right="65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6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91"/>
              </w:rPr>
              <w:t>$ 29</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$ 20</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$ 18</w:t>
            </w:r>
          </w:p>
        </w:tc>
        <w:tc>
          <w:tcPr>
            <w:tcW w:w="14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 of revenue</w:t>
            </w:r>
          </w:p>
        </w:tc>
        <w:tc>
          <w:tcPr>
            <w:tcW w:w="640" w:type="dxa"/>
            <w:vAlign w:val="bottom"/>
          </w:tcPr>
          <w:p>
            <w:pPr>
              <w:jc w:val="right"/>
              <w:ind w:right="82"/>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422"/>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Depreciation expense increased $9 million during the year ended December 31, 2013 when compared to the same period in 2012 primarily due to increased amortization related to capitalized software and website development costs.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Depreciation expense increased $2 million during the year ended December 31, 2012 when compared to the same period in 2011 primarily due to increased amortization related to capitalized software and website development costs and additional depreciation of $1 million related to purchased software licenses and leasehold improvements.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5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20" w:type="dxa"/>
            <w:vAlign w:val="bottom"/>
            <w:tcBorders>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3"/>
              </w:rPr>
              <w:t>2012</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2"/>
                <w:szCs w:val="12"/>
                <w:color w:val="auto"/>
              </w:rPr>
            </w:pPr>
          </w:p>
        </w:tc>
        <w:tc>
          <w:tcPr>
            <w:tcW w:w="1540" w:type="dxa"/>
            <w:vAlign w:val="bottom"/>
            <w:tcBorders>
              <w:bottom w:val="single" w:sz="8" w:color="auto"/>
            </w:tcBorders>
          </w:tcPr>
          <w:p>
            <w:pPr>
              <w:jc w:val="right"/>
              <w:ind w:right="706"/>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8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1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6</w:t>
            </w:r>
          </w:p>
        </w:tc>
        <w:tc>
          <w:tcPr>
            <w:tcW w:w="162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6</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   8</w:t>
            </w:r>
          </w:p>
        </w:tc>
        <w:tc>
          <w:tcPr>
            <w:tcW w:w="1540" w:type="dxa"/>
            <w:vAlign w:val="bottom"/>
            <w:shd w:val="clear" w:color="auto" w:fill="CCEEFF"/>
          </w:tcPr>
          <w:p>
            <w:pPr>
              <w:jc w:val="right"/>
              <w:ind w:right="506"/>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 of 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620" w:type="dxa"/>
            <w:vAlign w:val="bottom"/>
          </w:tcPr>
          <w:p>
            <w:pPr>
              <w:jc w:val="right"/>
              <w:ind w:right="424"/>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Amortization of intangible assets did not materially change during the year ended December 31, 2013 when compared to the same period in 2012. Amortization related to acquired definite lived intangibles from business acquisitions during 2013 was more than offset by the completion of amortization related to certain technology intangible assets from prior years.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Amortization of intangible assets decreased $2 million during the year ended December 31, 2012 when compared to the same period in 2011, primarily due to the completion of amortization related to certain technology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primarily consists of interest earned and amortization of discounts and premiums on our marketable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5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2"/>
                <w:szCs w:val="12"/>
                <w:color w:val="auto"/>
              </w:rPr>
            </w:pPr>
          </w:p>
        </w:tc>
        <w:tc>
          <w:tcPr>
            <w:tcW w:w="154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2</w:t>
            </w:r>
          </w:p>
        </w:tc>
        <w:tc>
          <w:tcPr>
            <w:tcW w:w="164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1</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   1</w:t>
            </w: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241%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 of revenue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40" w:type="dxa"/>
            <w:vAlign w:val="bottom"/>
          </w:tcPr>
          <w:p>
            <w:pPr>
              <w:jc w:val="right"/>
              <w:ind w:right="444"/>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56"/>
        </w:trPr>
        <w:tc>
          <w:tcPr>
            <w:tcW w:w="3220" w:type="dxa"/>
            <w:vAlign w:val="bottom"/>
          </w:tcPr>
          <w:p>
            <w:pPr>
              <w:spacing w:after="0"/>
              <w:rPr>
                <w:sz w:val="24"/>
                <w:szCs w:val="24"/>
                <w:color w:val="auto"/>
              </w:rPr>
            </w:pPr>
          </w:p>
        </w:tc>
        <w:tc>
          <w:tcPr>
            <w:tcW w:w="2720" w:type="dxa"/>
            <w:vAlign w:val="bottom"/>
            <w:gridSpan w:val="2"/>
          </w:tcPr>
          <w:p>
            <w:pPr>
              <w:jc w:val="right"/>
              <w:ind w:right="72"/>
              <w:spacing w:after="0"/>
              <w:rPr>
                <w:sz w:val="20"/>
                <w:szCs w:val="20"/>
                <w:color w:val="auto"/>
              </w:rPr>
            </w:pPr>
            <w:r>
              <w:rPr>
                <w:rFonts w:ascii="Arial" w:cs="Arial" w:eastAsia="Arial" w:hAnsi="Arial"/>
                <w:sz w:val="18"/>
                <w:szCs w:val="18"/>
                <w:color w:val="auto"/>
              </w:rPr>
              <w:t>50</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increased $1 million during the year ended December 31, 2013 when compared to the same period in 2012. The increase in interest income is primarily due to the fact that we began investing in marketable securities during the fourth quarter of 2012. Refer to “Note 4—</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current portfolio as of December 31, 2013.</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did not materially change during the year ended December 31, 2012 when compared to the same period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2013</w:t>
            </w:r>
          </w:p>
        </w:tc>
        <w:tc>
          <w:tcPr>
            <w:tcW w:w="154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54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14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$ 10</w:t>
            </w:r>
          </w:p>
        </w:tc>
        <w:tc>
          <w:tcPr>
            <w:tcW w:w="154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$ 11</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 of 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Pr>
          <w:p>
            <w:pPr>
              <w:jc w:val="right"/>
              <w:ind w:right="444"/>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decrease in interest expense is primarily due to the lower outstanding borrowings and effective interest rates during the year ended December 31, 2013 over the same period during 2012 related to our Term Loan. Refer to “Note 8—</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 on our outstanding borrowing facilities.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interest expense is related to interest incurred as a result of us entering into our Credit Agreement for the year ending December 31, 2012 over the same period during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Change</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600" w:type="dxa"/>
            <w:vAlign w:val="bottom"/>
          </w:tcPr>
          <w:p>
            <w:pPr>
              <w:jc w:val="right"/>
              <w:ind w:right="58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540" w:type="dxa"/>
            <w:vAlign w:val="bottom"/>
            <w:gridSpan w:val="2"/>
          </w:tcPr>
          <w:p>
            <w:pPr>
              <w:jc w:val="right"/>
              <w:ind w:right="732"/>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74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14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1600" w:type="dxa"/>
            <w:vAlign w:val="bottom"/>
            <w:shd w:val="clear" w:color="auto" w:fill="CCEEFF"/>
          </w:tcPr>
          <w:p>
            <w:pPr>
              <w:jc w:val="right"/>
              <w:ind w:right="527"/>
              <w:spacing w:after="0"/>
              <w:rPr>
                <w:sz w:val="20"/>
                <w:szCs w:val="20"/>
                <w:color w:val="auto"/>
              </w:rPr>
            </w:pPr>
            <w:r>
              <w:rPr>
                <w:rFonts w:ascii="Arial" w:cs="Arial" w:eastAsia="Arial" w:hAnsi="Arial"/>
                <w:sz w:val="18"/>
                <w:szCs w:val="18"/>
                <w:color w:val="auto"/>
              </w:rPr>
              <w:t>$   3</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w:t>
            </w:r>
          </w:p>
        </w:tc>
        <w:tc>
          <w:tcPr>
            <w:tcW w:w="15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losses and disposal of fixed assets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54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2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79</w:t>
            </w:r>
          </w:p>
        </w:tc>
        <w:tc>
          <w:tcPr>
            <w:tcW w:w="154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  87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7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Effective tax rate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540" w:type="dxa"/>
            <w:vAlign w:val="bottom"/>
          </w:tcPr>
          <w:p>
            <w:pPr>
              <w:jc w:val="right"/>
              <w:ind w:right="384"/>
              <w:spacing w:after="0"/>
              <w:rPr>
                <w:sz w:val="20"/>
                <w:szCs w:val="20"/>
                <w:color w:val="auto"/>
              </w:rPr>
            </w:pPr>
            <w:r>
              <w:rPr>
                <w:rFonts w:ascii="Arial" w:cs="Arial" w:eastAsia="Arial" w:hAnsi="Arial"/>
                <w:sz w:val="18"/>
                <w:szCs w:val="18"/>
                <w:color w:val="auto"/>
              </w:rPr>
              <w:t>31.0%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34.6%</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56"/>
        </w:trPr>
        <w:tc>
          <w:tcPr>
            <w:tcW w:w="3760" w:type="dxa"/>
            <w:vAlign w:val="bottom"/>
          </w:tcPr>
          <w:p>
            <w:pPr>
              <w:spacing w:after="0"/>
              <w:rPr>
                <w:sz w:val="24"/>
                <w:szCs w:val="24"/>
                <w:color w:val="auto"/>
              </w:rPr>
            </w:pPr>
          </w:p>
        </w:tc>
        <w:tc>
          <w:tcPr>
            <w:tcW w:w="2460" w:type="dxa"/>
            <w:vAlign w:val="bottom"/>
            <w:gridSpan w:val="2"/>
          </w:tcPr>
          <w:p>
            <w:pPr>
              <w:jc w:val="right"/>
              <w:ind w:right="352"/>
              <w:spacing w:after="0"/>
              <w:rPr>
                <w:sz w:val="20"/>
                <w:szCs w:val="20"/>
                <w:color w:val="auto"/>
              </w:rPr>
            </w:pPr>
            <w:r>
              <w:rPr>
                <w:rFonts w:ascii="Arial" w:cs="Arial" w:eastAsia="Arial" w:hAnsi="Arial"/>
                <w:sz w:val="18"/>
                <w:szCs w:val="18"/>
                <w:color w:val="auto"/>
              </w:rPr>
              <w:t>51</w:t>
            </w: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effective tax rates for the years ended December 31, 2013 and 2012 were 27.8% and 31.0%, respectively. Our effective tax rate is less than the federal statutory rate primarily due to earnings in jurisdictions outside the United States, where our effective tax rate is lower. This is partly driven by the current statutory tax rate of 23% in the United Kingdom and our tax incentive on qualifying income in Singapore granted by the Singapore Economic Development Board in 2011. Our effective tax rate is partially offset by state income taxes, non-deductible stock compensation and accruals on uncertain tax positions.</w:t>
      </w:r>
    </w:p>
    <w:p>
      <w:pPr>
        <w:spacing w:after="0" w:line="11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decrease in the effective tax rate for 2013 compared to the 2012 rate was primarily due to an increase in earnings in jurisdictions outside the United States as well as an internal restructuring that occurred during the fourth quarter of 2012. This restructuring was undertaken within our non-U.S. operations to align our global structure for more efficient treasury management and global cash deployment.</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During the third quarter of 2013, Massachusetts enacted a statute that changed how sales are apportioned from being a cost of performance measure to market based sourcing. The impact of such will decrease our overall state tax provision in 2014. Additionally, the United Kingdom statutory tax rate is set to decrease from 23% to 21% effective April 1, 2014, which will also reduce our effective tax rate.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effective tax rate was lower than the 35% federal statutory rate primarily due to earnings in jurisdictions outside the United States, where our effective tax rate is lower, which was partially offset by state income taxes and accruals on uncertain tax positions. The change in the effective rate for 2012 compared to the 2011 rate was primarily due to an increase in earnings in jurisdictions outside the United States and a decrease in state income taxes, as well as the internal restructuring.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aggregates our material contractual obligations and minimum commercial commitments as of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8"/>
              </w:rPr>
              <w:t>By Period</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1 year</w:t>
            </w: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5"/>
              </w:rPr>
              <w:t>1 to 3 years</w:t>
            </w:r>
          </w:p>
        </w:tc>
        <w:tc>
          <w:tcPr>
            <w:tcW w:w="56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3"/>
              </w:rPr>
              <w:t>3 to 5 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55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 Loan (1)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interest payments on Term Loan (1)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Chinese credit facilities (1)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leases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Build to suit lease obligation (2)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 obligations (3)</w:t>
            </w:r>
          </w:p>
        </w:tc>
        <w:tc>
          <w:tcPr>
            <w:tcW w:w="1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(4)(5)(6)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included as expected interest payments on the Term Loan in this table are based on the current effective interest rate and payment terms as of December 31, 2013, but, could change significantly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86" w:lineRule="auto"/>
        <w:rPr>
          <w:sz w:val="20"/>
          <w:szCs w:val="20"/>
          <w:color w:val="auto"/>
        </w:rPr>
      </w:pPr>
      <w:r>
        <w:rPr>
          <w:rFonts w:ascii="Arial" w:cs="Arial" w:eastAsia="Arial" w:hAnsi="Arial"/>
          <w:sz w:val="16"/>
          <w:szCs w:val="16"/>
          <w:color w:val="auto"/>
        </w:rPr>
        <w:t>future. Amounts assume that our existing debt is repaid at maturity and do not assume additional borrowings or refinancings of existing debt. See “Note 8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and combined financial statements for additional information on our Term Loan and Chinese Credit Facilities.</w:t>
      </w:r>
    </w:p>
    <w:p>
      <w:pPr>
        <w:ind w:left="460" w:right="30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future minimum rental payments for our future corporate headquarters in Needham, MA. See discussion under “Office Lease Commitments” below.</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amounts already recorded on the consolidated balance sheet at December 31, 2013.</w:t>
      </w:r>
    </w:p>
    <w:p>
      <w:pPr>
        <w:spacing w:after="0" w:line="9" w:lineRule="exact"/>
        <w:rPr>
          <w:rFonts w:ascii="Arial" w:cs="Arial" w:eastAsia="Arial" w:hAnsi="Arial"/>
          <w:sz w:val="18"/>
          <w:szCs w:val="18"/>
          <w:color w:val="auto"/>
        </w:rPr>
      </w:pPr>
    </w:p>
    <w:p>
      <w:pPr>
        <w:jc w:val="both"/>
        <w:ind w:left="460" w:right="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Excluded from the table was $38 million of unrecognized tax benefits, including interest and penalties, that we have recorded in other long-term liabilities for which we cannot make a reasonably reliable estimate of the amount and period of payment. We estimate that none of these amounts will be paid within the next twelve months.</w:t>
      </w:r>
    </w:p>
    <w:p>
      <w:pPr>
        <w:spacing w:after="0" w:line="1" w:lineRule="exact"/>
        <w:rPr>
          <w:rFonts w:ascii="Arial" w:cs="Arial" w:eastAsia="Arial" w:hAnsi="Arial"/>
          <w:sz w:val="18"/>
          <w:szCs w:val="18"/>
          <w:color w:val="auto"/>
        </w:rPr>
      </w:pPr>
    </w:p>
    <w:p>
      <w:pPr>
        <w:ind w:left="460" w:hanging="452"/>
        <w:spacing w:after="0" w:line="300"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In connection with the Spin-Off, we assumed Expedia’s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2013. For a discussion regarding OIBA see “Note 16— </w:t>
      </w:r>
      <w:r>
        <w:rPr>
          <w:rFonts w:ascii="Arial" w:cs="Arial" w:eastAsia="Arial" w:hAnsi="Arial"/>
          <w:sz w:val="15"/>
          <w:szCs w:val="15"/>
          <w:i w:val="1"/>
          <w:iCs w:val="1"/>
          <w:color w:val="auto"/>
        </w:rPr>
        <w:t xml:space="preserve">Segment Information” </w:t>
      </w:r>
      <w:r>
        <w:rPr>
          <w:rFonts w:ascii="Arial" w:cs="Arial" w:eastAsia="Arial" w:hAnsi="Arial"/>
          <w:sz w:val="15"/>
          <w:szCs w:val="15"/>
          <w:color w:val="auto"/>
        </w:rPr>
        <w:t>in the notes to the consolidated and combined financial statements. This future commitment has been excluded from the table above.</w:t>
      </w:r>
    </w:p>
    <w:p>
      <w:pPr>
        <w:spacing w:after="0" w:line="1" w:lineRule="exact"/>
        <w:rPr>
          <w:rFonts w:ascii="Arial" w:cs="Arial" w:eastAsia="Arial" w:hAnsi="Arial"/>
          <w:sz w:val="15"/>
          <w:szCs w:val="15"/>
          <w:color w:val="auto"/>
        </w:rPr>
      </w:pPr>
    </w:p>
    <w:p>
      <w:pPr>
        <w:jc w:val="both"/>
        <w:ind w:left="460" w:right="1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spending on anticipated leasehold improvements on our Needham, Massachusetts lease, including design, development, construction costs, and the purchase and installation of equipment, net of related Landlord incentives, which we estimate will begin in the fourth quarter of 2014 thru the second quarter of 2015 and currently estimate will cost in the range of $35-$40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2013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$0.9 million per annum.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Revolving Credit Facility includes $40 million of borrowing capacity available for letters of credit and $40 million for borrowings on same-day notice.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are no outstanding borrowings under our Revolving Credit Facility.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we believe we are in compliance with all of our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December 31, 2013 and 2012, we had $28.5 million and $32.1 million of short term borrowings outstanding, respectively.</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 specific expiration period. During the year ended December 31, 2012, this credit line was increased to RMB 189,000,000 (approximately $30 million). During the year ended December 31, 2013, we made a payment inclusive of interest of RMB 68,283,570 (approximately $10.9 million). We currently have $12.7 million of outstanding borrowings from this credit facility as of December 31, 2013. Our Chinese Credit Facility—BOA currently bears interest based at 100% of the People’s Bank of China’s base rate and was 5.6% as of December 31, 2013.</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This credit facility was renewed for an additional year in April 2013. During the year ended December 31, 2013, we made a payment inclusive of interest of RMB 24,281,546 (approximately $3.9 million). We currently have $15.8 million of outstanding borrowings from this credit facility as of December 31, 2013. Our Chinese Credit Facility—JPM currently bears interest based at 100% of the People’s Bank of China’s base rate and was 5.6% as of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currently lease approximately 119,000 square feet for our corporate headquarters in Newton, Massachusetts, pursuant to a lease with an expiration date of April 2015. We also lease an aggregate of approximately 382,000 square feet at approximately 30 other locations across North America, Europe and Asia Pacific, primarily for our international management teams, sales offices, and subsidiary headquarters, pursuant to leases with expiration dates through December 2030. We currently have no equipment leases as of December 31,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June 2013, TripAdvisor LLC (“TA LLC”), our indirect, wholly owned subsidiary, entered into a lease (the “Lease”), for a new corporate headquarters.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 TA LLC also has an option to extend the term of the Lease for two consecutive terms of five years each.</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 $1.1 million for 2015, $9.3 million for 2016, $9.3 million for 2017, $9.3 million for 2018 and $114.6 million for 2019 and thereafter. The Lease has escalating rental payments and initial periods of free rent. TA LLC was also obligated to deliver a letter of credit to the Landlord in the amount of $0.8 million as security deposit, which amount is subject to increase under certain circumstances. TA LLC also has an option to extend the term of the Lease for two consecutive terms of five years each. In connection with the Lease, TripAdvisor entered into a Guaranty (the “Guaranty”), pursuant to which TripAdvisor provides full payment and performance guaranty for all of TA LLC’s obligations under the Lease.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concluded we are the deemed owner (for accounting purposes only) of the Premises during the construction period under GAAP build to suit lease accounting. As building construction began in the fourth quarter of 2013, we recorded estimated project construction costs incurred by the landlord as an asset and a corresponding long term liability in “Property and equipment, net” and “Other long-term liabilities,” respectively, on our consolidated balance sheets. We will increase the asset and corresponding long term liability as additional building costs are incurred by the landlord during the construction period.</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Once the landlord completes the construction of the Premises (estimated to be May 2015), we will evaluate the Lease in order to determine whether or not the Lease meets the criteria for “sale-leaseback” treatment. If the Lease meets the “sale-leaseback” criteria, we will remove the asset and the related liability from its consolidated balance sheet and treat the Lease as either an operating or capital lease based on the our assessment of the accounting guidance.</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the Lease does not meet “sale-leaseback” criteria, we will treat the Lease as a financing obligation and lease payments will be attributed to (1) a reduction of the principal financing obligation; (2) imputed interest expense; and (3) land lease expense (which is considered an operating lease) representing an imputed cost to lease the underlying land of the facility. In addition, the underlying building asset will be depreciated over the building’s estimated useful life. And at the conclusion of the lease term, we would de-recognize both the net book values of the asset and financing obligation. Although we will not begin making lease payments pursuant to the Lease until November 2015, the portion of the lease obligations allocated to the land is treated for accounting purposes as an operating lease that commenced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amounts represent minimum non-cancelable purchase obligations with certain of our vendors, which we expect to utilize in the ordinary course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we have issued unused letters of credit totaling $1 million, related to our property leases.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cash flows from operating, investing and financing activities, as reflected in the consolidated and combined statements of cash flows, are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jc w:val="center"/>
              <w:ind w:right="2272"/>
              <w:spacing w:after="0"/>
              <w:rPr>
                <w:sz w:val="20"/>
                <w:szCs w:val="20"/>
                <w:color w:val="auto"/>
              </w:rPr>
            </w:pPr>
            <w:r>
              <w:rPr>
                <w:rFonts w:ascii="Arial" w:cs="Arial" w:eastAsia="Arial" w:hAnsi="Arial"/>
                <w:sz w:val="18"/>
                <w:szCs w:val="18"/>
                <w:color w:val="auto"/>
                <w:w w:val="89"/>
              </w:rPr>
              <w:t>Net cash provided by (used in):</w:t>
            </w:r>
          </w:p>
        </w:tc>
        <w:tc>
          <w:tcPr>
            <w:tcW w:w="2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jc w:val="center"/>
              <w:ind w:right="2232"/>
              <w:spacing w:after="0"/>
              <w:rPr>
                <w:sz w:val="20"/>
                <w:szCs w:val="20"/>
                <w:color w:val="auto"/>
              </w:rPr>
            </w:pPr>
            <w:r>
              <w:rPr>
                <w:rFonts w:ascii="Arial" w:cs="Arial" w:eastAsia="Arial" w:hAnsi="Arial"/>
                <w:sz w:val="18"/>
                <w:szCs w:val="18"/>
                <w:color w:val="auto"/>
                <w:w w:val="90"/>
              </w:rPr>
              <w:t>Operating activities</w:t>
            </w:r>
          </w:p>
        </w:tc>
        <w:tc>
          <w:tcPr>
            <w:tcW w:w="2880" w:type="dxa"/>
            <w:vAlign w:val="bottom"/>
            <w:gridSpan w:val="2"/>
          </w:tcPr>
          <w:p>
            <w:pPr>
              <w:ind w:left="2360"/>
              <w:spacing w:after="0"/>
              <w:rPr>
                <w:sz w:val="20"/>
                <w:szCs w:val="20"/>
                <w:color w:val="auto"/>
              </w:rPr>
            </w:pPr>
            <w:r>
              <w:rPr>
                <w:rFonts w:ascii="Arial" w:cs="Arial" w:eastAsia="Arial" w:hAnsi="Arial"/>
                <w:sz w:val="18"/>
                <w:szCs w:val="18"/>
                <w:color w:val="auto"/>
              </w:rPr>
              <w:t>$ 350</w:t>
            </w:r>
          </w:p>
        </w:tc>
        <w:tc>
          <w:tcPr>
            <w:tcW w:w="1540" w:type="dxa"/>
            <w:vAlign w:val="bottom"/>
          </w:tcPr>
          <w:p>
            <w:pPr>
              <w:ind w:left="540"/>
              <w:spacing w:after="0"/>
              <w:rPr>
                <w:sz w:val="20"/>
                <w:szCs w:val="20"/>
                <w:color w:val="auto"/>
              </w:rPr>
            </w:pPr>
            <w:r>
              <w:rPr>
                <w:rFonts w:ascii="Arial" w:cs="Arial" w:eastAsia="Arial" w:hAnsi="Arial"/>
                <w:sz w:val="18"/>
                <w:szCs w:val="18"/>
                <w:color w:val="auto"/>
              </w:rPr>
              <w:t>$ 239</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$ 218</w:t>
            </w:r>
          </w:p>
        </w:tc>
      </w:tr>
      <w:tr>
        <w:trPr>
          <w:trHeight w:val="216"/>
        </w:trPr>
        <w:tc>
          <w:tcPr>
            <w:tcW w:w="4580" w:type="dxa"/>
            <w:vAlign w:val="bottom"/>
            <w:shd w:val="clear" w:color="auto" w:fill="CCEEFF"/>
          </w:tcPr>
          <w:p>
            <w:pPr>
              <w:jc w:val="center"/>
              <w:ind w:right="2292"/>
              <w:spacing w:after="0"/>
              <w:rPr>
                <w:sz w:val="20"/>
                <w:szCs w:val="20"/>
                <w:color w:val="auto"/>
              </w:rPr>
            </w:pPr>
            <w:r>
              <w:rPr>
                <w:rFonts w:ascii="Arial" w:cs="Arial" w:eastAsia="Arial" w:hAnsi="Arial"/>
                <w:sz w:val="18"/>
                <w:szCs w:val="18"/>
                <w:color w:val="auto"/>
                <w:w w:val="90"/>
              </w:rPr>
              <w:t>Investing activities</w:t>
            </w:r>
          </w:p>
        </w:tc>
        <w:tc>
          <w:tcPr>
            <w:tcW w:w="28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6"/>
              </w:rPr>
              <w:t>$(197)</w:t>
            </w:r>
          </w:p>
        </w:tc>
        <w:tc>
          <w:tcPr>
            <w:tcW w:w="1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$(539)</w:t>
            </w:r>
          </w:p>
        </w:tc>
      </w:tr>
      <w:tr>
        <w:trPr>
          <w:trHeight w:val="222"/>
        </w:trPr>
        <w:tc>
          <w:tcPr>
            <w:tcW w:w="4580" w:type="dxa"/>
            <w:vAlign w:val="bottom"/>
          </w:tcPr>
          <w:p>
            <w:pPr>
              <w:jc w:val="center"/>
              <w:ind w:right="2232"/>
              <w:spacing w:after="0"/>
              <w:rPr>
                <w:sz w:val="20"/>
                <w:szCs w:val="20"/>
                <w:color w:val="auto"/>
              </w:rPr>
            </w:pPr>
            <w:r>
              <w:rPr>
                <w:rFonts w:ascii="Arial" w:cs="Arial" w:eastAsia="Arial" w:hAnsi="Arial"/>
                <w:sz w:val="18"/>
                <w:szCs w:val="18"/>
                <w:color w:val="auto"/>
                <w:w w:val="90"/>
              </w:rPr>
              <w:t>Financing activities</w:t>
            </w:r>
          </w:p>
        </w:tc>
        <w:tc>
          <w:tcPr>
            <w:tcW w:w="2880" w:type="dxa"/>
            <w:vAlign w:val="bottom"/>
            <w:gridSpan w:val="2"/>
          </w:tcPr>
          <w:p>
            <w:pPr>
              <w:ind w:left="2360"/>
              <w:spacing w:after="0"/>
              <w:rPr>
                <w:sz w:val="20"/>
                <w:szCs w:val="20"/>
                <w:color w:val="auto"/>
              </w:rPr>
            </w:pPr>
            <w:r>
              <w:rPr>
                <w:rFonts w:ascii="Arial" w:cs="Arial" w:eastAsia="Arial" w:hAnsi="Arial"/>
                <w:sz w:val="18"/>
                <w:szCs w:val="18"/>
                <w:color w:val="auto"/>
                <w:w w:val="96"/>
              </w:rPr>
              <w:t>$(170)</w:t>
            </w:r>
          </w:p>
        </w:tc>
        <w:tc>
          <w:tcPr>
            <w:tcW w:w="1540" w:type="dxa"/>
            <w:vAlign w:val="bottom"/>
          </w:tcPr>
          <w:p>
            <w:pPr>
              <w:ind w:left="540"/>
              <w:spacing w:after="0"/>
              <w:rPr>
                <w:sz w:val="20"/>
                <w:szCs w:val="20"/>
                <w:color w:val="auto"/>
              </w:rPr>
            </w:pPr>
            <w:r>
              <w:rPr>
                <w:rFonts w:ascii="Arial" w:cs="Arial" w:eastAsia="Arial" w:hAnsi="Arial"/>
                <w:sz w:val="18"/>
                <w:szCs w:val="18"/>
                <w:color w:val="auto"/>
              </w:rPr>
              <w:t>$ 190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$ 412</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principal source of liquidity is cash flows generated from operations, although liquidity needs can also be met through drawdowns under our credit facilities discussed above. As of December 31, 2013 and 2012, we had $671 million and $586 million of cash, cash equivalents and short and long-term available-for-sale marketable securities. As of December 31, 2013 approximately $442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$481 million as of December 31, 2013.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Historically, the cash we generate has been sufficient to fund our working capital requirements, capital expenditures and to meet our long term debt obligations and other financial commitments. Management believes that our cash and cash equivalents and available for 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other financial commitments, fund our new corporate lease obligations, share repurchases and fund any potential acquisitions for at least the next twelve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2013 vs.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year ended December 31, 2013, net cash provided by operating activities increased by $111 million or 46% when compared to the same period in 2012, primarily due to an increase in net income of $11 million and an increase in non-cash items not affecting cash flows of $35 million, which is primarily related to increased stock based compensation and depreciation. Working capital movements increased $64 million for the year ended December 31, 2013 when compared to the same period in 2012, primarily due to an increase in operating cashflow from deferred merchant payables of $18 million and lower income tax payments primarily due to a lower effective tax rate with the remaining increase related to the timing of customer receipts, cash receipts from Expedia, income tax payments, and vendor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year ended December 31, 2013, net cash provided by investing activities increased by $47 million when compared to the same period in 2012, primarily due to the sale and maturity of marketable securities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$326 million in 2013. This was primarily offset by an increase in the purchases of marketable securities by $213 million, cash paid for 2013 business acquisitions of $35 million, net of cash acquired, and an increase in capital expenditures of $26 million. In addition, we received $7 million during the three months ended March 31, 2012 from Expedia related to Spin-Off, which did not reoccur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For the year ended December 31, 2013, net cash provided by financing activities decreased by $360 million when compared to the same period in 2012 primarily due to an increase of $20 million in principal payments on our Term Loan, payments of $145 million for common stock share repurchases under our authorized share repurchase program, a reduction of $207 million in proceeds related to the exercise of our stock options and warrants, primarily due to one-time warrant proceeds of $215 million during 2012 and the introduction in Q3 2013 of the net share settlement of our stock option exercises, and a $15 million repayment of our outstanding borrowings on our Chinese Credit Facilities in 2013. This was offset by a $10 million repayment of our outstanding borrowing on our Revolving Credit Facility in 2012 that did not reoccur in 2013 and $22 million paid to purchase the remaining shares of our non-controlling interest in 2012 that did not reoccur in 2013.</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 ended December 31, 2012, net cash provided by operating activities increased by $21 million or 10% when compared to the same period in 2011, primarily due to an increase in net income of $17 million and an increase in non-cash items not affecting cash flows of $9 million, which is primarily related to increased stock based compensation, offset by a decrease in working capital movements of $5 million. The decrease in working capital movements in 2012 vs. 2011 was primarily driven by the classification of activity with Expedia of $17 million which was classified in operating activities in 2012, as compared to investing activities in the periods prior to the Spin-Off, offset by the timing of customer cash receipts and the timing of tax and vendor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For the year ended December 31, 2012, net cash provided by investing activities increased by $295 million when compared to the same period in 2011, primarily due to the cessation of net cash transfers to Expedia related to business operations in the periods prior to the Spin-Off in 2011 of $96 million and a distribution of approximately $406 million to Expedia immediately prior to the Spin-Off in 2011. This was primarily offset by the purchase of $219 million of marketable securities in 2012, as we began purchasing debt securities in the fourth quarter of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the year ended December 31, 2012, net cash provided by financing activities decreased by $222 million when compared to the same period in 2011 primarily due to funding related to our term loan facility borrowing in conjunction with the Spin-Off of $400 million in 2011. This was offset by proceeds from the exercise of our stock options and warrants of $231 million, net of payment of minimum withholding taxes related to the settlement of equity awards of $7 million in 2012. In addition we paid $20 million in principal payments on our Term Loan, a $10 million repayment of our outstanding borrowing on our Revolving Credit Facility, and paid $22 million to purchase the remaining shares of our noncontrolling interest in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2013,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information on our relationships with Expedia and Liberty Interactive Corporation refer to “Note 15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and combined financial statements because they require that management use judgment and estimates in applying those policies. We prepare our consolidated and combined financial statements and accompanying notes in accordance with GAAP.</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Preparation of the consolidated and combined financial statements and accompanying notes requires that management make estimates and assumptions that affect the reported amounts of assets and liabilities and the disclosure of contingent assets and liabilities as of the date of the consolidated and combined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the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2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management was making the estimate; and/or</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management could have selected may have had a material impact on our financial condition or results of operations.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significant accounting policies and estimates are more fully described in “Note 2—</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consolidated and combined financial statements. A discussion of information about the nature and rationale for our critical accounting estimates is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Valuations and Recoverability of Goodwill, Indefinite and Definite-Lived Intangible Assets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account for acquired businesses using the purchase method of accounting which requires that the assets acquired and liabilities assumed be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 date of acquisition at their respective fair values. Any excess 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at the reporting unit level (operating segment or one level below an operating segment). We have one operating and reportable segment. The segment is determined based on how our chief operating decision maker manages our business, makes operating decisions and evaluates operating performance.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evaluation of goodwill for impairment, we first perform a qualitative assessment to determine whether it is more likely than not that the fair value of the reporting unit is less than the carrying amount. If we determine that it is not more likely than not that the fair value of goodwill is less than its carrying amount, no further testing is necessary. If, however, we determine that it is more likely than not that the fair value of goodwill is less than its carrying amount, we then perform a quantitative assessment and compare the fair value of the reporting unit to the carrying value.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Indefinite-Lived Intangible Assets</w:t>
      </w:r>
      <w:r>
        <w:rPr>
          <w:rFonts w:ascii="Arial" w:cs="Arial" w:eastAsia="Arial" w:hAnsi="Arial"/>
          <w:sz w:val="16"/>
          <w:szCs w:val="16"/>
          <w:color w:val="auto"/>
        </w:rPr>
        <w:t>. Intangible assets that have indefinite lives are not amortized and are tested for impairment annually on October 1, or</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that the carrying value may not be recoverable. Similar to the qualitative assessment for goodwill, we may assess qualitative factors to determine if it is more likely than not that the fair value of the indefinite-lived intangible asset is less than its carrying amount. If we determine that it is not more likely than not that the fair value of the indefinite-lived intangible asset is less than its carrying amount, no further testing is necessary. If, however, we determine that it is more likely than not that the fair value of the indefinite-lived intangible asset is less than its carrying amount, we compare the fair value of the indefinite-lived asset with its carrying amount. If the carrying value of an individual indefinite-lived intangible asset exceeds its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our qualitative assessment for our 2013 impairment analysis, the factors that we considered for our goodwill and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consolidated balance sheet, and (g) comparison of the excess of the fair value of our of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for our goodwill and indefinite-lived intangible assets that it was more likely than not that these assets were not impaired. Therefore no impairment charges were recognized to our consolidated statement of operations during the year ended December 31, 2013 for our goodwill or indefinite-lived intangible assets.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Since the annual impairment tests in October 2013, there have been no events or changes in circumstances to indicate any potential impairment and our goodwill and indefinite lived intangibles are not currently considered at risk. In the event that future circumstances indicate that any portion of our goodwill or our indefinite-lived intangibles is impaired, an impairment analysis would be performed.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Definite-Lived Intangible Assets</w:t>
      </w:r>
      <w:r>
        <w:rPr>
          <w:rFonts w:ascii="Arial" w:cs="Arial" w:eastAsia="Arial" w:hAnsi="Arial"/>
          <w:sz w:val="18"/>
          <w:szCs w:val="18"/>
          <w:color w:val="auto"/>
        </w:rPr>
        <w:t>. Intangible assets with definite lives and other long-lived assets are carried at cost and are amortized on a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their estimated useful lives of two to eleven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as the difference between the asset’s carrying amount and its estimated fair value. We have not identified any circumstances that would warrant an impairment assessment as of December 31, 2013.</w:t>
      </w:r>
    </w:p>
    <w:p>
      <w:pPr>
        <w:spacing w:after="0" w:line="1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additional information on our goodwill, indefinite-lived intangibles and definite-lived intangibles refer to “Note 7—</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net”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compute and account for our income taxes on a separate tax return basis. 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and combined financial statements for further information on income taxes.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2013 had a term of ten years from the date of grant and generally vest over a four-year requisite service period.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year ended December 31, 2013, we issued 2,824,583 of primarily service based stock options under the 2011 Incentive Plan with a weighted average grant-date fair value per option of $28.30. We will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to date, have been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risk-free interest rate is based on the rates currently available on zero-coupon U.S. Treasury issues, in effect at the time of the grant, whose remaining maturity period most closely approximates the stock option’s expected term assumption. We estimate volatility of our common stock by using an average of our historical stock price volatility and of publicly traded companies that we consider peers based on daily price observations over a period equivalent to or approximate to the expected term of the stock option grants. The decision to use a weighted average volatility factor with our peer group was based upon the relatively short period of availability of data on our common stock. We estimate our expected term using the simplified method for all stock options as we do not have sufficient historical exercise data on our common stock. Our expected dividend yield is zero, as we have not paid any dividends on our common stock to date and do not expect to pay any cash dividends for the foreseeable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RSUs are stock awards that are granted to employees entitling the holder to shares of our common stock as the award vests. RSUs are measured at fair value based on the number of shares granted and the quoted price of our common stock at the date of grant. We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Performance-based stock options and RSUs vest upon achievement of certain company-based performance conditions and a requisite service period. On the date of grant, the fair value of performance-based awards is determined, which is calculated using the same method as our service based stock options and RSUs described above. We then assess whether it is probable that the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1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Estimates of fair value are not intended to predict actual future events or the value ultimately realized by employees who receive these awards, and subsequent events are not indicative of the reasonableness of our original estimates of fair value. We have considered many factors when estimating expected forfeitures, including our historical attrition rates, the employee class and historical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and combined financial statements for further information on current year equity award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 and Internal Use Software Development Costs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capitalize certain costs incurred during the application development stage related to the development of websites and internal use software when it is probable the project will be completed and the software will be used as intended. Such costs are amortized on a straight-line basis over the estimated useful life of the related asset, generally estimated to be three to five years.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 To the extent that we change the manner in which we develop and test new features and functionalities related to our websites and internal use software, assess the ongoing value of capitalized assets or determine the estimated useful lives over which the costs are amortized, the amount of website and internal use software development costs we capitalize and amortize could change in future periods.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 to “Note 6—</w:t>
      </w:r>
      <w:r>
        <w:rPr>
          <w:rFonts w:ascii="Arial" w:cs="Arial" w:eastAsia="Arial" w:hAnsi="Arial"/>
          <w:sz w:val="18"/>
          <w:szCs w:val="18"/>
          <w:i w:val="1"/>
          <w:iCs w:val="1"/>
          <w:color w:val="auto"/>
        </w:rPr>
        <w:t>Fixed Assets</w:t>
      </w:r>
      <w:r>
        <w:rPr>
          <w:rFonts w:ascii="Arial" w:cs="Arial" w:eastAsia="Arial" w:hAnsi="Arial"/>
          <w:sz w:val="18"/>
          <w:szCs w:val="18"/>
          <w:color w:val="auto"/>
        </w:rPr>
        <w:t>” in the notes to our consolidated and combined financial statements for further information on our development of websites and internal use software.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For a discussion of new accounting pronouncements,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and combined financial statements.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current exposure to changes in interest rates relate primarily to our investment portfolio and the outstanding principal on our Term Loan. Our interest income and expense is most sensitive to fluctuations in U.S. interest rates and Libor. Changes in interest rates affect the interest earned on our cash, cash equivalents and marketable securities and the fair value of those securities, as well as the amount of interest we pay on our outstanding debt.</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2013, a hypothetical 100 basis point increase in interest rates across all maturities would result in an approximate $3.4 million incremental decline in the fair market value of the portfolio. Such losses would only be realized if we sold the investments prior to maturity.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2013, we had $340 million of debt under our Term Loan, which has a variable rate. The variable interest rate on the Term Loan is based on current assumptions, leverage and LIBOR rates. Based on our current loan balance through December 31, 2013, a 25 basis point change in our interest rate on the Term Loan would result in an increase or decrease to interest expense of approximately $0.9 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experience any significant impact from changes in interest rates for the years ended December 31, 2013, 2012 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We conduct business in certain international markets, primarily the European Union, the United Kingdom, Singapore and China. Because we operate in international markets, we have exposure to different economic climates, political arenas, tax systems and regulations that could affect foreign exchange rates.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Some of our foreign subsidiaries maintain their accounting records in their respective local currencies other than the U.S. dollar (primarily in British pound sterling). Consequently, changes in currency exchange rates may impact the translation of foreign financial statements into U.S. dollars. As a result, we face exposure to adverse movements in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exchange on our business historically has varied from quarter to quarter and may continue to do so, potentially materially. A hypothetical 10% decrease of the foreign exchange rates relative to the U.S. Dollar, or strengthening of the U.S. Dollar, would generate an unrealized loss of approximately $1.6 million related to an decrease in our net assets held in functional currencies other than the U.S. Dollar as of December 31, 2013, which would be recorded to accumulated other comprehensive loss on our consolidated balance sheet.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foreign exchange rate fluctuations on transactions denominated in currencies other than the functional currency result in gains and losses. We recognize these transactional gains and losses (primarily Euro currency transactions) in our consolidated and combined statements of operations and have recorded foreign exchange losses of $0.2 million, $3.2 million and $1.0 million for the years ended December 31, 2013, 2012 and 2011, respectively, in Other, net on our consolidated and combined statements of operations.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exchange derivative contracts to manage certain short-term foreign currency risk to try and reduce the effects of fluctuating foreign currency exchange rates on our cash flows denominated in foreign currencies.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objective is to hedge only those currency exposures that can be confidently identified and quantified and that may result in significant impacts to corporate cash or the consolidated statement of operations. Our policy does not allow speculation in derivative instruments for profit or execution of derivative instrument contracts for which there are no underlying exposures. We do not use financial instruments for trading purposes and are not a party to any leveraged derivatives.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current derivative contracts principally address foreign exchange fluctuation risk for the Euro versus the U.S. Dollar. We account for our derivative instruments as either assets or liabilities and carry them at fair value.</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of December 31, 2013 and 2012, we had outstanding forward currency contracts not designated as hedging contracts with a notional value of $5.2 million and $2.7 million. These contracts are all short-term in nature. The fair value of these derivatives at both December 31, 2013 and 2012, represented a net liability of $0.1 million and are recorded in accrued expenses and other current liabilities on our consolidated balance sheets. For the years ended December 31, 2013 and 2012, $0.3 million and $0.7 million, respectively, of expense was recorded to Other, net on our consolidated and combined statements of operations related to derivative contracts. A hypothetical 10% change of the foreign exchange rates relative to the U.S. Dollar, with all other variables held constant, would not have a material impact on the fair value of our outstanding derivatives as of December 31, 2013 and 2012. We did not enter into any derivative instruments for the year ending December 31, 2011. Refer to “Note 5—</w:t>
      </w:r>
      <w:r>
        <w:rPr>
          <w:rFonts w:ascii="Arial" w:cs="Arial" w:eastAsia="Arial" w:hAnsi="Arial"/>
          <w:sz w:val="16"/>
          <w:szCs w:val="16"/>
          <w:i w:val="1"/>
          <w:iCs w:val="1"/>
          <w:color w:val="auto"/>
        </w:rPr>
        <w:t>Financial Instruments</w:t>
      </w:r>
      <w:r>
        <w:rPr>
          <w:rFonts w:ascii="Arial" w:cs="Arial" w:eastAsia="Arial" w:hAnsi="Arial"/>
          <w:sz w:val="16"/>
          <w:szCs w:val="16"/>
          <w:color w:val="auto"/>
        </w:rPr>
        <w:t>” in the notes to the consolidated and combined financial statements for further detail on our derivative instruments.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2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920" w:type="dxa"/>
            <w:vAlign w:val="bottom"/>
          </w:tcPr>
          <w:p>
            <w:pPr>
              <w:spacing w:after="0"/>
              <w:rPr>
                <w:sz w:val="19"/>
                <w:szCs w:val="19"/>
                <w:color w:val="auto"/>
              </w:rPr>
            </w:pPr>
          </w:p>
        </w:tc>
      </w:tr>
      <w:tr>
        <w:trPr>
          <w:trHeight w:val="419"/>
        </w:trPr>
        <w:tc>
          <w:tcPr>
            <w:tcW w:w="10400" w:type="dxa"/>
            <w:vAlign w:val="bottom"/>
            <w:gridSpan w:val="11"/>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920" w:type="dxa"/>
            <w:vAlign w:val="bottom"/>
          </w:tcPr>
          <w:p>
            <w:pPr>
              <w:spacing w:after="0"/>
              <w:rPr>
                <w:sz w:val="24"/>
                <w:szCs w:val="24"/>
                <w:color w:val="auto"/>
              </w:rPr>
            </w:pPr>
          </w:p>
        </w:tc>
      </w:tr>
      <w:tr>
        <w:trPr>
          <w:trHeight w:val="286"/>
        </w:trPr>
        <w:tc>
          <w:tcPr>
            <w:tcW w:w="10400" w:type="dxa"/>
            <w:vAlign w:val="bottom"/>
            <w:gridSpan w:val="1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Consolidated and Combined Statements of Operations for the years ended December 31, 2013, 2012 and 2011</w:t>
              </w:r>
            </w:hyperlink>
          </w:p>
        </w:tc>
        <w:tc>
          <w:tcPr>
            <w:tcW w:w="21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440" w:type="dxa"/>
            <w:vAlign w:val="bottom"/>
          </w:tcPr>
          <w:p>
            <w:pPr>
              <w:spacing w:after="0"/>
              <w:rPr>
                <w:sz w:val="17"/>
                <w:szCs w:val="17"/>
                <w:color w:val="auto"/>
              </w:rPr>
            </w:pPr>
          </w:p>
        </w:tc>
        <w:tc>
          <w:tcPr>
            <w:tcW w:w="87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Consolidated and Combined Statements of Comprehensive Income for the years ended December 31, 2013, 2012 and 2011</w:t>
              </w:r>
            </w:hyperlink>
          </w:p>
        </w:tc>
        <w:tc>
          <w:tcPr>
            <w:tcW w:w="12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40" w:type="dxa"/>
            <w:vAlign w:val="bottom"/>
          </w:tcPr>
          <w:p>
            <w:pPr>
              <w:spacing w:after="0"/>
              <w:rPr>
                <w:sz w:val="17"/>
                <w:szCs w:val="17"/>
                <w:color w:val="auto"/>
              </w:rPr>
            </w:pPr>
          </w:p>
        </w:tc>
        <w:tc>
          <w:tcPr>
            <w:tcW w:w="4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Balance Sheets as of December 31, 2013 and 2012</w:t>
              </w:r>
            </w:hyperlink>
          </w:p>
        </w:tc>
        <w:tc>
          <w:tcPr>
            <w:tcW w:w="542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40" w:type="dxa"/>
            <w:vAlign w:val="bottom"/>
          </w:tcPr>
          <w:p>
            <w:pPr>
              <w:spacing w:after="0"/>
              <w:rPr>
                <w:sz w:val="17"/>
                <w:szCs w:val="17"/>
                <w:color w:val="auto"/>
              </w:rPr>
            </w:pPr>
          </w:p>
        </w:tc>
        <w:tc>
          <w:tcPr>
            <w:tcW w:w="93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and Combined Statements of Changes in Stockholders’ Equity for the years ended December 31, 2013, 2012 and 2011</w:t>
              </w:r>
            </w:hyperlink>
          </w:p>
        </w:tc>
        <w:tc>
          <w:tcPr>
            <w:tcW w:w="6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4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and Combined Statements of Cash Flows for the years ended December 31, 2013, 2012 and 2011</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40" w:type="dxa"/>
            <w:vAlign w:val="bottom"/>
          </w:tcPr>
          <w:p>
            <w:pPr>
              <w:spacing w:after="0"/>
              <w:rPr>
                <w:sz w:val="17"/>
                <w:szCs w:val="17"/>
                <w:color w:val="auto"/>
              </w:rPr>
            </w:pPr>
          </w:p>
        </w:tc>
        <w:tc>
          <w:tcPr>
            <w:tcW w:w="7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Notes to Consolidated and Combined Financial Statements</w:t>
              </w:r>
            </w:hyperlink>
          </w:p>
        </w:tc>
        <w:tc>
          <w:tcPr>
            <w:tcW w:w="21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40" w:type="dxa"/>
            <w:vAlign w:val="bottom"/>
          </w:tcPr>
          <w:p>
            <w:pPr>
              <w:spacing w:after="0"/>
              <w:rPr>
                <w:sz w:val="17"/>
                <w:szCs w:val="17"/>
                <w:color w:val="auto"/>
              </w:rPr>
            </w:pPr>
          </w:p>
        </w:tc>
        <w:tc>
          <w:tcPr>
            <w:tcW w:w="4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Quarterly Financial Information (Unaudited)</w:t>
              </w:r>
            </w:hyperlink>
          </w:p>
        </w:tc>
        <w:tc>
          <w:tcPr>
            <w:tcW w:w="582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tcPr>
          <w:p>
            <w:pPr>
              <w:spacing w:after="0"/>
              <w:rPr>
                <w:sz w:val="24"/>
                <w:szCs w:val="24"/>
                <w:color w:val="auto"/>
              </w:rPr>
            </w:pPr>
          </w:p>
        </w:tc>
        <w:tc>
          <w:tcPr>
            <w:tcW w:w="4660" w:type="dxa"/>
            <w:vAlign w:val="bottom"/>
            <w:gridSpan w:val="4"/>
          </w:tcPr>
          <w:p>
            <w:pPr>
              <w:jc w:val="right"/>
              <w:ind w:right="24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TripAdvisor, Inc.</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TripAdvisor, Inc. as of December 31, 2013 and 2012, and the related consolidated and combined statements of operations, comprehensive income, stockholders’ equity, and cash flows for each of the three years in the period ended December 31, 2013. Our audits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TripAdvisor, Inc. at December 31, 2013 and 2012, and the consolidated and combined results of its operations and its cash flows for each of the three years in the period ended December 31, 2013, in conformity with U.S. generally accepted accounting principles.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TripAdvisor, Inc.’s internal control over financial reporting as of December 31, 2013, based on criteria established in Internal Control-Integrated Framework issued by the Committee of Sponsoring Organizations of the Treadway Commission (1992 framework) and our report dated February 11, 2014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right"/>
              <w:ind w:right="63"/>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$727,236</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$559,215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Revenue from Expedia</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217,425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203,751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211,018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944,661</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762,966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637,063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and marketing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368,353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266,239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209,176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130,673</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86,640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General and administrative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98,121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75,641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19,966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5,731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Shared services fee with Expedia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650,087</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466,670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294,574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296,296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272,757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(10,074)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(11,381)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80" w:type="dxa"/>
            <w:vAlign w:val="bottom"/>
            <w:gridSpan w:val="4"/>
          </w:tcPr>
          <w:p>
            <w:pPr>
              <w:jc w:val="right"/>
              <w:ind w:right="92"/>
              <w:spacing w:after="0"/>
              <w:rPr>
                <w:sz w:val="20"/>
                <w:szCs w:val="20"/>
                <w:color w:val="auto"/>
              </w:rPr>
            </w:pPr>
            <w:r>
              <w:rPr>
                <w:rFonts w:ascii="Arial" w:cs="Arial" w:eastAsia="Arial" w:hAnsi="Arial"/>
                <w:sz w:val="18"/>
                <w:szCs w:val="18"/>
                <w:color w:val="auto"/>
              </w:rPr>
              <w:t>(1,536)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8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(9,872)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(14,321)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284,702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281,975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271,894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(79,259)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(87,387)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(94,103)</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205,443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194,588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177,791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TripAdvisor, Inc.</w:t>
            </w: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205,443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194,069</w:t>
            </w:r>
          </w:p>
        </w:tc>
        <w:tc>
          <w:tcPr>
            <w:tcW w:w="1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177,677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TripAdvisor, Inc: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142,854</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139,462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145,263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141,341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134,865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949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44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19,602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20,551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13,524</w:t>
            </w:r>
          </w:p>
        </w:tc>
        <w:tc>
          <w:tcPr>
            <w:tcW w:w="44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Selling and marketing</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10,643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44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Technology and content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21,053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17,257</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14,080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$205,443</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$194,588</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 xml:space="preserve">Unrealized gains (losses) on available for sale securities, net of tax benefits of $6, $72, and $0, </w:t>
            </w:r>
            <w:r>
              <w:rPr>
                <w:rFonts w:ascii="Arial" w:cs="Arial" w:eastAsia="Arial" w:hAnsi="Arial"/>
                <w:sz w:val="11"/>
                <w:szCs w:val="11"/>
                <w:color w:val="auto"/>
              </w:rPr>
              <w:t>(1)</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205,987</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196,429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205,987</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195,910</w:t>
            </w:r>
          </w:p>
        </w:tc>
        <w:tc>
          <w:tcPr>
            <w:tcW w:w="4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176,896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gains (losses) recognized and reclassified during the years ended December 31, 2013, 2012 and 2011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351,148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Short-term marketable securities (note 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Accounts receivable, net of allowance of $3,300 and $2,818 at December 31, 2013 and December 31, 2012,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 (note 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Receivable from Expedia, net (note 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 (note 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Deferred income taxes, net (note 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630,285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marketable securities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Property and equipment, net (note 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 (note 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 assets, net (note 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Goodwill (note 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1,473,014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9,869</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merchant payables (note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facility borrowings (note 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Borrowings, current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 (note 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 (note 10)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Deferred income taxes, net (note 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liabilities (note 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Borrowings, net of current portion (note 8)</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 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Preferred stock $0.001 par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Authorized shares: 100,000,000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Shares issued and outstanding: 0 and 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 $0.001 par value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Authorized shares: 1,600,000,000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Shares issued: 131,537,798 and 130,060,138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Shares outstanding: 129,417,089 and 130,060,138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common stock $0.001 par value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Authorized shares 400,000,000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Shares issued and outstanding: 12,799,999 and 12,799,999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608,001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9"/>
              </w:rPr>
              <w:t>Treasury stock—Common stock, at cost, 2,120,709 and 0 shares, at December 31, 2013 and December 31, 2012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(145,221)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1,473,014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Invested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paid-in</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1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w w:val="86"/>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2"/>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capital</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earnings</w:t>
            </w:r>
          </w:p>
        </w:tc>
        <w:tc>
          <w:tcPr>
            <w:tcW w:w="18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(loss) income</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w w:val="92"/>
              </w:rPr>
              <w:t>Treasury stock</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Shares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2010</w:t>
            </w:r>
          </w:p>
        </w:tc>
        <w:tc>
          <w:tcPr>
            <w:tcW w:w="1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541,561</w:t>
            </w:r>
          </w:p>
        </w:tc>
        <w:tc>
          <w:tcPr>
            <w:tcW w:w="7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CCEEFF"/>
            </w:tcBorders>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(1,929)</w:t>
            </w:r>
          </w:p>
        </w:tc>
        <w:tc>
          <w:tcPr>
            <w:tcW w:w="38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$ 539,632</w:t>
            </w: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4"/>
              </w:rPr>
              <w:t>Net income attributable to TripAdvisor, Inc. prior to Spin-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Off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0"/>
              </w:rPr>
              <w:t>175,308</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175,308</w:t>
            </w: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Net income attributable to TripAdvisor, Inc. after the Spin-</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Off</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2,369</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(781)</w:t>
            </w: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benefits on equity awards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1,453</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1,453</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Stock- based compensation expense- pre-Spin-Off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16,260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16,260</w:t>
            </w: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Acquisition of common control subsidiary from Expedia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(40,564)</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(40,564)</w:t>
            </w: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2"/>
              </w:rPr>
              <w:t>Adjustment to the fair value of redeemable noncontrolling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(571)</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(571)</w:t>
            </w: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Extinguishment of receivable due from Expedia related to</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6"/>
              </w:rPr>
              <w:t>Spin- Off, including transfers of assets and liabilities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(1,525)</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(1,525)</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Distribution to Expedia related to Spin-Off, net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(398,488)</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(398,488)</w:t>
            </w: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Capitalization of TripAdvisor as a result of Spin-Off from</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Expedia, including issuance of Common and Class B</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(293,434)</w:t>
            </w: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120,661,808</w:t>
            </w:r>
          </w:p>
        </w:tc>
        <w:tc>
          <w:tcPr>
            <w:tcW w:w="2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5"/>
              </w:rPr>
              <w:t>121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12,799,999</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293,300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post Spin-Off</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444</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444</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2011</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120,661,808</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121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12,799,999</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293,744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2,369</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(2,710)</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$ 293,537</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Net income attributable to TripAdvisor, Inc.</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194,069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194,069</w:t>
            </w: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1,945</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 net of tax</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(104)</w:t>
            </w: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Issuance of common stock related to exercise of options and</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warrants and vesting of RSUs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9,398,330</w:t>
            </w:r>
          </w:p>
        </w:tc>
        <w:tc>
          <w:tcPr>
            <w:tcW w:w="2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230,702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230,711</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Tax benefits on equity awards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3,933</w:t>
            </w: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Minimum withholding taxes on net share settlements of</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awards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(6,675)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(6,675)</w:t>
            </w: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w w:val="92"/>
              </w:rPr>
              <w:t>Adjustment to the fair value of redeemable noncontrolling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0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(14,617)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(14,617)</w:t>
            </w: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Reclassification of non-employee equity awards to liability</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(1,462)</w:t>
            </w: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25,631</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25,631</w:t>
            </w:r>
          </w:p>
        </w:tc>
        <w:tc>
          <w:tcPr>
            <w:tcW w:w="80" w:type="dxa"/>
            <w:vAlign w:val="bottom"/>
          </w:tcPr>
          <w:p>
            <w:pPr>
              <w:spacing w:after="0"/>
              <w:rPr>
                <w:sz w:val="12"/>
                <w:szCs w:val="12"/>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Invested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Class B</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paid-in</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1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84"/>
              </w:rPr>
              <w:t>Common 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84"/>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capital</w:t>
            </w:r>
          </w:p>
        </w:tc>
        <w:tc>
          <w:tcPr>
            <w:tcW w:w="520" w:type="dxa"/>
            <w:vAlign w:val="bottom"/>
          </w:tcPr>
          <w:p>
            <w:pPr>
              <w:spacing w:after="0"/>
              <w:rPr>
                <w:sz w:val="20"/>
                <w:szCs w:val="20"/>
                <w:color w:val="auto"/>
              </w:rPr>
            </w:pPr>
            <w:r>
              <w:rPr>
                <w:rFonts w:ascii="Arial" w:cs="Arial" w:eastAsia="Arial" w:hAnsi="Arial"/>
                <w:sz w:val="14"/>
                <w:szCs w:val="14"/>
                <w:b w:val="1"/>
                <w:bCs w:val="1"/>
                <w:color w:val="auto"/>
                <w:w w:val="85"/>
              </w:rPr>
              <w:t>earnings</w:t>
            </w:r>
          </w:p>
        </w:tc>
        <w:tc>
          <w:tcPr>
            <w:tcW w:w="1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1"/>
              </w:rPr>
              <w:t>(loss) income</w:t>
            </w:r>
          </w:p>
        </w:tc>
        <w:tc>
          <w:tcPr>
            <w:tcW w:w="1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42"/>
        </w:trPr>
        <w:tc>
          <w:tcPr>
            <w:tcW w:w="3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2012</w:t>
            </w: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130,060,138</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130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12,799,999</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24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531,256</w:t>
            </w: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$ 196,438</w:t>
            </w:r>
          </w:p>
        </w:tc>
        <w:tc>
          <w:tcPr>
            <w:tcW w:w="340" w:type="dxa"/>
            <w:vAlign w:val="bottom"/>
            <w:tcBorders>
              <w:top w:val="single" w:sz="8" w:color="CCEEFF"/>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(869)</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9"/>
              </w:rPr>
              <w:t>$ 726,968</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income attributable to TripAdvisor, Inc.</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205,443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205,443</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w:t>
            </w:r>
          </w:p>
        </w:tc>
      </w:tr>
      <w:tr>
        <w:trPr>
          <w:trHeight w:val="138"/>
        </w:trPr>
        <w:tc>
          <w:tcPr>
            <w:tcW w:w="3120" w:type="dxa"/>
            <w:vAlign w:val="bottom"/>
          </w:tcPr>
          <w:p>
            <w:pPr>
              <w:spacing w:after="0" w:line="138" w:lineRule="exact"/>
              <w:rPr>
                <w:sz w:val="20"/>
                <w:szCs w:val="20"/>
                <w:color w:val="auto"/>
              </w:rPr>
            </w:pPr>
            <w:r>
              <w:rPr>
                <w:rFonts w:ascii="Arial" w:cs="Arial" w:eastAsia="Arial" w:hAnsi="Arial"/>
                <w:sz w:val="14"/>
                <w:szCs w:val="14"/>
                <w:color w:val="auto"/>
                <w:w w:val="90"/>
              </w:rPr>
              <w:t>Unrealized loss on marketable securities, net of tax and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3120" w:type="dxa"/>
            <w:vAlign w:val="bottom"/>
          </w:tcPr>
          <w:p>
            <w:pPr>
              <w:ind w:left="220"/>
              <w:spacing w:after="0" w:line="159" w:lineRule="exact"/>
              <w:rPr>
                <w:sz w:val="20"/>
                <w:szCs w:val="20"/>
                <w:color w:val="auto"/>
              </w:rPr>
            </w:pPr>
            <w:r>
              <w:rPr>
                <w:rFonts w:ascii="Arial" w:cs="Arial" w:eastAsia="Arial" w:hAnsi="Arial"/>
                <w:sz w:val="14"/>
                <w:szCs w:val="14"/>
                <w:color w:val="auto"/>
              </w:rPr>
              <w:t>reclassification adjustments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w:t>
            </w:r>
          </w:p>
        </w:tc>
      </w:tr>
      <w:tr>
        <w:trPr>
          <w:trHeight w:val="138"/>
        </w:trPr>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related to exercise of</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3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options and vesting of RSUs</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1,477,660</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27,067</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27,068</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(2,120,709)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(145,221)</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(145,221)</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benefits on equity awards</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12,227</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12,227</w:t>
            </w:r>
          </w:p>
        </w:tc>
      </w:tr>
      <w:tr>
        <w:trPr>
          <w:trHeight w:val="138"/>
        </w:trPr>
        <w:tc>
          <w:tcPr>
            <w:tcW w:w="3120" w:type="dxa"/>
            <w:vAlign w:val="bottom"/>
          </w:tcPr>
          <w:p>
            <w:pPr>
              <w:spacing w:after="0" w:line="138" w:lineRule="exact"/>
              <w:rPr>
                <w:sz w:val="20"/>
                <w:szCs w:val="20"/>
                <w:color w:val="auto"/>
              </w:rPr>
            </w:pPr>
            <w:r>
              <w:rPr>
                <w:rFonts w:ascii="Arial" w:cs="Arial" w:eastAsia="Arial" w:hAnsi="Arial"/>
                <w:sz w:val="14"/>
                <w:szCs w:val="14"/>
                <w:color w:val="auto"/>
                <w:w w:val="90"/>
              </w:rPr>
              <w:t>Minimum withholding taxes on net share settlements 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3120" w:type="dxa"/>
            <w:vAlign w:val="bottom"/>
          </w:tcPr>
          <w:p>
            <w:pPr>
              <w:ind w:left="220"/>
              <w:spacing w:after="0" w:line="159" w:lineRule="exact"/>
              <w:rPr>
                <w:sz w:val="20"/>
                <w:szCs w:val="20"/>
                <w:color w:val="auto"/>
              </w:rPr>
            </w:pPr>
            <w:r>
              <w:rPr>
                <w:rFonts w:ascii="Arial" w:cs="Arial" w:eastAsia="Arial" w:hAnsi="Arial"/>
                <w:sz w:val="14"/>
                <w:szCs w:val="14"/>
                <w:color w:val="auto"/>
              </w:rPr>
              <w:t>equity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(13,907)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(13,907)</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51,358</w:t>
            </w:r>
          </w:p>
        </w:tc>
        <w:tc>
          <w:tcPr>
            <w:tcW w:w="1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51,358</w:t>
            </w:r>
          </w:p>
        </w:tc>
        <w:tc>
          <w:tcPr>
            <w:tcW w:w="80" w:type="dxa"/>
            <w:vAlign w:val="bottom"/>
            <w:shd w:val="clear" w:color="auto" w:fill="CCEEFF"/>
          </w:tcPr>
          <w:p>
            <w:pPr>
              <w:spacing w:after="0"/>
              <w:rPr>
                <w:sz w:val="12"/>
                <w:szCs w:val="12"/>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2013</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131,537,798</w:t>
            </w:r>
          </w:p>
        </w:tc>
        <w:tc>
          <w:tcPr>
            <w:tcW w:w="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4"/>
              </w:rPr>
              <w:t>131</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12,799,999</w:t>
            </w:r>
          </w:p>
        </w:tc>
        <w:tc>
          <w:tcPr>
            <w:tcW w:w="4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608,001</w:t>
            </w:r>
          </w:p>
        </w:tc>
        <w:tc>
          <w:tcPr>
            <w:tcW w:w="1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$ 401,881</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(325)</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2"/>
              </w:rPr>
              <w:t>(2,120,709)</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83"/>
              </w:rPr>
              <w:t>(145,221)</w:t>
            </w:r>
          </w:p>
        </w:tc>
        <w:tc>
          <w:tcPr>
            <w:tcW w:w="72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9"/>
              </w:rPr>
              <w:t>$ 864,480</w:t>
            </w: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4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205,443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194,588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177,791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Depreciation of property and equipment, including amortization of internal-use software and website development</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48,953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30,102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discounts and premiums on marketable securities, net</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(benefit) expense</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stock-based compensation</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(12,425)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(recovery) for doubtful accounts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transaction (gains) losses, net</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from acquisitions:</w:t>
            </w: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(16,184)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(11,810)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(15,910)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Expedia,net</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(16,921)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Taxes receivable</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(24,243)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860"/>
              <w:spacing w:after="0" w:line="149" w:lineRule="exact"/>
              <w:rPr>
                <w:sz w:val="20"/>
                <w:szCs w:val="20"/>
                <w:color w:val="auto"/>
              </w:rPr>
            </w:pPr>
            <w:r>
              <w:rPr>
                <w:rFonts w:ascii="Arial" w:cs="Arial" w:eastAsia="Arial" w:hAnsi="Arial"/>
                <w:sz w:val="14"/>
                <w:szCs w:val="14"/>
                <w:color w:val="auto"/>
              </w:rPr>
              <w:t>Deferred merchant payable</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16,852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86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140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11,942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40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349,523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239,066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217,882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4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acquired</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(34,819)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expenditures, including internal-use software and website development costs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(55,455)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(29,282)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(21,323)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(432,373)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(218,922)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of marketable securities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174,723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Maturities of marketable securities</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150,780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 to Expedia related to Spin-Off</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(405,516)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acquired, from Expedia</w:t>
            </w:r>
          </w:p>
        </w:tc>
        <w:tc>
          <w:tcPr>
            <w:tcW w:w="14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(28,099)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Transfers to Expedia, net</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(95,967)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Other, net</w:t>
            </w:r>
          </w:p>
        </w:tc>
        <w:tc>
          <w:tcPr>
            <w:tcW w:w="1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(196,794)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(244,183)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(538,862)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(145,221)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credit facilities</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credit facilities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(14,728)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on long-term debt</w:t>
            </w:r>
          </w:p>
        </w:tc>
        <w:tc>
          <w:tcPr>
            <w:tcW w:w="14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long-term debt, net of issuance costs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396,516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stock options and warrants</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230,711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minimum withholding taxes on net share settlements of equity awards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(13,907)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stock-based compensation</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construction in process related to build to suit lease obligations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Payments to purchase subsidiary shares from noncontrolling interest</w:t>
            </w:r>
          </w:p>
        </w:tc>
        <w:tc>
          <w:tcPr>
            <w:tcW w:w="14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(22,304)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funded by Expedia</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Payments on acquisition earn-out</w:t>
            </w:r>
          </w:p>
        </w:tc>
        <w:tc>
          <w:tcPr>
            <w:tcW w:w="14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provided by financing activities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(169,675)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189,821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411,834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(16,367)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183,983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4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367,515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183,532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351,148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367,515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183,532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 directly to taxing authorities, net of refunds</w:t>
            </w: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49,989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107,799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42,220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paid to Expedia</w:t>
            </w:r>
          </w:p>
        </w:tc>
        <w:tc>
          <w:tcPr>
            <w:tcW w:w="1400" w:type="dxa"/>
            <w:vAlign w:val="bottom"/>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income taxes paid, net of refunds</w:t>
            </w: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49,989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107,799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420"/>
              <w:spacing w:after="0"/>
              <w:rPr>
                <w:sz w:val="20"/>
                <w:szCs w:val="20"/>
                <w:color w:val="auto"/>
              </w:rPr>
            </w:pPr>
            <w:r>
              <w:rPr>
                <w:rFonts w:ascii="Arial" w:cs="Arial" w:eastAsia="Arial" w:hAnsi="Arial"/>
                <w:sz w:val="14"/>
                <w:szCs w:val="14"/>
                <w:color w:val="auto"/>
              </w:rPr>
              <w:t>Cash paid during the period for interest</w:t>
            </w: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8,291</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9,792</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4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420"/>
              <w:spacing w:after="0" w:line="149" w:lineRule="exact"/>
              <w:rPr>
                <w:sz w:val="20"/>
                <w:szCs w:val="20"/>
                <w:color w:val="auto"/>
              </w:rPr>
            </w:pPr>
            <w:r>
              <w:rPr>
                <w:rFonts w:ascii="Arial" w:cs="Arial" w:eastAsia="Arial" w:hAnsi="Arial"/>
                <w:sz w:val="14"/>
                <w:szCs w:val="14"/>
                <w:color w:val="auto"/>
              </w:rPr>
              <w:t>Capitalization of construction in-process related to build to suit lease obligation</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fair value increase for redeemable noncontrolling interests</w:t>
            </w:r>
          </w:p>
        </w:tc>
        <w:tc>
          <w:tcPr>
            <w:tcW w:w="1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14,617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40" w:type="dxa"/>
            <w:vAlign w:val="bottom"/>
          </w:tcPr>
          <w:p>
            <w:pPr>
              <w:ind w:left="420"/>
              <w:spacing w:after="0"/>
              <w:rPr>
                <w:sz w:val="20"/>
                <w:szCs w:val="20"/>
                <w:color w:val="auto"/>
              </w:rPr>
            </w:pPr>
            <w:r>
              <w:rPr>
                <w:rFonts w:ascii="Arial" w:cs="Arial" w:eastAsia="Arial" w:hAnsi="Arial"/>
                <w:sz w:val="14"/>
                <w:szCs w:val="14"/>
                <w:color w:val="auto"/>
              </w:rPr>
              <w:t>Distribution receivable from Expedia, Inc.</w:t>
            </w:r>
          </w:p>
        </w:tc>
        <w:tc>
          <w:tcPr>
            <w:tcW w:w="14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(7,028)</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and combined financial statements.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2011, Expedia, Inc., or Expedia, announced its plan to separate into two independent public companies in order to better achieve certain strategic objectives of its various businesses. We refer to this transaction as the “Spin-Off.” On December 20, 2011, following the close of trading on the NASDAQ Global Select Market (“NASDAQ”), the Spin-Off was completed, and TripAdvisor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In connection with the Spin-Off, Expedia contributed or transferred all of the subsidiaries and assets relating to Expedia’s TripAdvisor Media Group to TripAdvisor and TripAdvisor assumed all of the liabilities relating to Expedia’s TripAdvisor Media Group.</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a result, as of December 31, 2013, Liberty beneficially owned 18,159,752 shares of our common stock and 12,799,999 shares of our Class B common stock, which shares constitute 14.0% of the outstanding shares of Common Stock and 100% of the outstanding shares of Class B Common Stock. Assuming the conversion of all of the Liberty’s shares of Class B common stock into common stock, Liberty would beneficially own 21.8%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56.8% of our voting power.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under the trading symbol “TRIP.”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TripAdvisor is an online travel company, empowering users to plan and have the perfect trip. TripAdvisor’s travel research platform aggregates reviews and opinions of members about destinations, accommodations (hotels, B&amp;Bs, specialty lodging and vacation rentals), restaurants and activities throughout the world through our flagship TripAdvisor brand. TripAdvisor-branded websites include tripadvisor.com in the United States and localized versions of the website in 33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making hotel room nights available for booking on our transactional sites, and other revenue including licensing our content to third-parties. We have one operating and reportable segment: TripAdvisor. The segment is determined based on how our chief operating decision maker manages our business, makes operating decisions and evaluates operating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adverse economic conditions or continued growth of our international operations with differing holiday peaks may influence the typical trend of our seasonality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consolidated and combined financial statements include TripAdvisor, our wholly-owned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and combined subsidiaries. Noncontrolling interest in the earnings and losses of consolidated and combined subsidiaries represent the share of net income or loss allocated to members or partners in our consolidated and combined entities. We have eliminated significant intercompany transactions and accounts. The accounting for income taxes was computed for TripAdvisor on a separate tax return basis (see “Note 9—</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The accompanying consolidated and combined financial statements have been prepared in accordance with generally accepted accounting principles in the United States (“GAAP”).</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financial statements and related financial information pertaining to the period preceding December 21, 2011 have been presented on a combined basis and reflect the results of TripAdvisor that were ultimately transferred to us as part of the Spin-Off. The financial statements and related financial information pertaining to the period from December 21, 2011 onward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shared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were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period. Our actual financial results could differ significantly from these estimates. The significant estimates underlying our consolidated and combined financial statements include recoverability of long-lived assets and investments, recoverability of intangible assets and goodwill; income taxes; useful lives of property and equipment; purchase accounting and stock-based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Certain reclassifications have been made to conform the prior period to the current presentation. These reclassifications had no net effect on our consolidated and combined financial statements and were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recognize revenue from the advertising services rendered when the following four revenue recognition criteria are met: persuasive evidence of an arrangement exists, services have been rendered, the price is fixed or determinable, and collectability is reasonably assured.</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Click-based Advertising</w:t>
      </w:r>
      <w:r>
        <w:rPr>
          <w:rFonts w:ascii="Arial" w:cs="Arial" w:eastAsia="Arial" w:hAnsi="Arial"/>
          <w:sz w:val="16"/>
          <w:szCs w:val="16"/>
          <w:color w:val="auto"/>
        </w:rPr>
        <w:t>. Revenue is derived primarily from click-through fees charged to our travel partners for traveler leads sent to the travel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We record revenue from click-through fees after the traveler makes the click-through to the travel partners’ websites.</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Display and Other Advertising</w:t>
      </w:r>
      <w:r>
        <w:rPr>
          <w:rFonts w:ascii="Arial" w:cs="Arial" w:eastAsia="Arial" w:hAnsi="Arial"/>
          <w:sz w:val="18"/>
          <w:szCs w:val="18"/>
          <w:color w:val="auto"/>
        </w:rPr>
        <w:t>. We recognize display advertising revenue ratably over the advertising period or upon delivery of advertising impressions,</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terms of the advertising contract. Subscription-based revenue is recognized ratably over the related subscription period. We recognize revenue from all other sources either upon delivery or when we provide the service.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Deferred revenue, which primarily relates to our subscription-based programs, is recorded when payments are received in advance of our performance as required by the underlying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content support, and maintenance of our websites. Other costs include licensing and maintenance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primarily consists of interest earned and amortization of discounts and premiums on our marketable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cash equivalents consist of highly liquid investments with maturities of 90 days or less at the date of purchase. 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shareholders’ equity. Fair values are determined for each individual security in the investment portfolio.</w:t>
      </w:r>
    </w:p>
    <w:p>
      <w:pPr>
        <w:spacing w:after="0" w:line="118"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Realized gains and losses on the sale of securities are determined by specific identification of each security’s cost basis. We may sell certain of our marketable securities prior to their stated maturities for strategic reasons including, but not limited to, anticipation of credit deterioration and liquidity and duration management. The weighted average maturity of our total invested cash shall not exceed 18 months, and no security shall have a final maturity date greater than three years.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debt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consists of cash deposits held in global financial institutions.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are based on quoted prices for identical assets and liabilities in active markets.</w:t>
      </w:r>
    </w:p>
    <w:p>
      <w:pPr>
        <w:spacing w:after="0" w:line="90"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Level 2—Valuations are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goal in managing our foreign exchange risk is to reduce, to the extent practicable, our potential exposure to the changes that exchange rates might have on our earnings, cash flows and financial position. We account for our derivative instruments as either assets or liabilities and carry them at fair value.</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(loss) in shareholders’ equity and reclassified into income in the same period or periods during which the hedged transaction affects earnings. The ineffective portion of the gain or loss on the derivative instrument, if any, is recognized in current income. To receive hedge accounting treatment, cash flow hedges must be highly effective in offsetting changes to expected future cash flows on hedged transactions. For options designated as cash flow hedges, changes in the time value are excluded from the assessment of hedge effectiveness and are recognized in income. For derivative instruments that hedge the exposure to changes in the fair value of an asset or a liability and that are designated as fair value hedges, both the net gain or loss on the derivative instrument as well as the offsetting gain or loss on the hedged item attributable to the hedged risk are recognized in earnings in the current period. The net gain or loss on the effective portion of a derivative instrument that is designated as an economic hedge of the foreign currency translation exposure of the net investment in a foreign operation is reported in the same manner as a foreign currency translation adjustment. For forward exchange contracts designated as net investment hedges, we exclude changes in fair value relating to changes in the forward carrying component from its definition of effectiveness. Accordingly, any gains or losses related to this component are recognized in current income. We have not entered into any cash flow, fair value or net investment hedges to date as of December 31, 2013.</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Derivatives that do not qualify for hedge accounting must be adjusted to fair value through current income. In certain circumstances, we enter into foreign currency forward exchange contracts (“forward contracts”) to reduce the effects of fluctuating foreign currency exchange rates on our cash flows denominated in foreign currencies. Our derivative instruments or forward contracts that were entered into and are not designated as hedges as of December 31, 2013 are disclosed below in “Note 5—</w:t>
      </w:r>
      <w:r>
        <w:rPr>
          <w:rFonts w:ascii="Arial" w:cs="Arial" w:eastAsia="Arial" w:hAnsi="Arial"/>
          <w:sz w:val="16"/>
          <w:szCs w:val="16"/>
          <w:i w:val="1"/>
          <w:iCs w:val="1"/>
          <w:color w:val="auto"/>
        </w:rPr>
        <w:t>Financial Instruments</w:t>
      </w:r>
      <w:r>
        <w:rPr>
          <w:rFonts w:ascii="Arial" w:cs="Arial" w:eastAsia="Arial" w:hAnsi="Arial"/>
          <w:sz w:val="16"/>
          <w:szCs w:val="16"/>
          <w:color w:val="auto"/>
        </w:rPr>
        <w:t>” in the notes to the consolidated and combined financial statements. Monetary assets and liabilities denominated in a currency other than the functional currency of a given subsidiary are remeasured at spot rates in effect on the balance sheet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the effects of changes in spot rates reported in Other, net on our consolidated and combined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typically have average maturities at inception of less than one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Accounts receivable are generally due within 30 days and are recorded net of an allowance for doubtful accounts. We record accounts receivable at the invoiced amount and do not charge interest. Collateral is not required for accounts receivable. We consider accounts outstanding longer than the contractual payment terms as past due. We determine our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the allowance for doubtful accounts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left="241"/>
              <w:spacing w:after="0" w:line="142" w:lineRule="exact"/>
              <w:rPr>
                <w:sz w:val="20"/>
                <w:szCs w:val="20"/>
                <w:color w:val="auto"/>
              </w:rPr>
            </w:pPr>
            <w:r>
              <w:rPr>
                <w:rFonts w:ascii="Arial" w:cs="Arial" w:eastAsia="Arial" w:hAnsi="Arial"/>
                <w:sz w:val="14"/>
                <w:szCs w:val="14"/>
                <w:b w:val="1"/>
                <w:bCs w:val="1"/>
                <w:color w:val="auto"/>
                <w:w w:val="83"/>
              </w:rPr>
              <w:t>2012</w:t>
            </w:r>
          </w:p>
        </w:tc>
        <w:tc>
          <w:tcPr>
            <w:tcW w:w="5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$ 2,818</w:t>
            </w:r>
          </w:p>
        </w:tc>
        <w:tc>
          <w:tcPr>
            <w:tcW w:w="220" w:type="dxa"/>
            <w:vAlign w:val="bottom"/>
          </w:tcPr>
          <w:p>
            <w:pPr>
              <w:spacing w:after="0"/>
              <w:rPr>
                <w:sz w:val="18"/>
                <w:szCs w:val="18"/>
                <w:color w:val="auto"/>
              </w:rPr>
            </w:pPr>
          </w:p>
        </w:tc>
        <w:tc>
          <w:tcPr>
            <w:tcW w:w="860" w:type="dxa"/>
            <w:vAlign w:val="bottom"/>
            <w:gridSpan w:val="2"/>
          </w:tcPr>
          <w:p>
            <w:pPr>
              <w:jc w:val="center"/>
              <w:ind w:left="241"/>
              <w:spacing w:after="0"/>
              <w:rPr>
                <w:sz w:val="20"/>
                <w:szCs w:val="20"/>
                <w:color w:val="auto"/>
              </w:rPr>
            </w:pPr>
            <w:r>
              <w:rPr>
                <w:rFonts w:ascii="Arial" w:cs="Arial" w:eastAsia="Arial" w:hAnsi="Arial"/>
                <w:sz w:val="18"/>
                <w:szCs w:val="18"/>
                <w:color w:val="auto"/>
                <w:w w:val="89"/>
              </w:rPr>
              <w:t>$ 5,370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$5,184</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(recoveries) to earnings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Write-offs, net of recoveries and other adjustments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(1,003)</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(1,502)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7"/>
        </w:trPr>
        <w:tc>
          <w:tcPr>
            <w:tcW w:w="6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41"/>
              <w:spacing w:after="0"/>
              <w:rPr>
                <w:sz w:val="20"/>
                <w:szCs w:val="20"/>
                <w:color w:val="auto"/>
              </w:rPr>
            </w:pPr>
            <w:r>
              <w:rPr>
                <w:rFonts w:ascii="Arial" w:cs="Arial" w:eastAsia="Arial" w:hAnsi="Arial"/>
                <w:sz w:val="18"/>
                <w:szCs w:val="18"/>
                <w:color w:val="auto"/>
                <w:w w:val="89"/>
              </w:rPr>
              <w:t>$ 2,818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5,370</w:t>
            </w:r>
          </w:p>
        </w:tc>
        <w:tc>
          <w:tcPr>
            <w:tcW w:w="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compute depreciation using the straight-line method over the estimated useful lives of the assets, which is three to five years for computer equipment and purchased software, capitalized software and website development and furniture and other equipment. We depreciate leasehold improvements using the straight-line method, over the shorter of the estimated useful life of the improvement or the remaining term of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lease office space in several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 period in accordance with authoritative accounting guidance.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If we continue to be the deemed owner, the facilities are accounted for as financing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Goodwill and Indefinite-Lived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account for acquired businesses using the purchase method of accounting which requires that the assets acquired and liabilities assumed be recorded at the date of acquisition at their respective fair values. Any excess 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 at the reporting unit level (operating segment or one level below an operating segment). We have one reportable segment. The segment is determined based on how our chief operating decision maker manages our business, makes operating decisions and evaluates operating performance.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evaluation of goodwill for impairment, we first perform a qualitative assessment to determine whether it is more likely than not (i.e., a likelihood of more than 50%) that the fair value of the reporting unit is less than the carrying amount. If we determine that it is not more likely than not that the fair value of the goodwill is less than its carrying amount, no further testing is necessary. If, however, we determine that it is more likely than not that the fair value of the goodwill is less than its carrying amount, we then perform a quantitative assessment and compare the fair value of the reporting unit to the carrying value.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Indefinite-Lived Intangible Assets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Intangible assets that have indefinite lives are not amortized and are tested for impairment annually on October 1, or whenever events or changes in circumstances indicate that the carrying value may not be recoverable. Similar to the qualitative assessment for goodwill, we may assess qualitative factors to determine if it is more likely than not that the fair value of the indefinite-lived intangible asset is less than its carrying amount. If we determine that it is not more likely than not that the fair value of the indefinite-lived intangible asset is less than its carrying amount, no further testing is necessary. If, however, we determine that it is more likely than not that the fair value of the indefinite-lived intangible asset is less than its carrying amount, we compare the fair value of the indefinite-lived asset with its carrying amount. If the carrying value of an individual indefinite-lived intangible asset exceeds its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part of our qualitative assessment for our 2013 impairment analysis , the factors that we considered for our goodwill and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consolidated balance sheet, and (g) comparison of the excess of the fair value of our trade names and trademarks to the carrying value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those same assets, using the results of our most recent quantitative assessment. After considering these factors and the impact that changes in such factors would have on the inputs used in our previous quantitative assessment, we determined for our goodwill and indefinite-lived intangible assets that it was more likely than not that these assets were not impaired.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the annual impairment tests in October 2013, there have been no events or changes in circumstances to indicate any potential impairment to goodwill or our indefinite lived intangible assets. In the event that future circumstances indicate that any portion of our goodwill or our indefinite-lived intangibles is impaired, an impairment charge would be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Intangible Assets with Definite Lives and Other Long-Lived Assets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Intangible assets with definite lives and other long-lived assets are carried at cost and are amortized on a straight-line basis over their estimated useful lives of two to eleven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9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by the amount that the carrying value of such assets exceeds their fair value. We have not identified any circumstances that would warrant an impairment assessment as of December 31, 2013.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compute and account for our income taxes on a stand-alone basis. 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recognize in our consolidated and combined financial statements the impact of a tax position, if that position is more likely than not to be sustained upon an examination, based on the technical merits of the position.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consolidated and combined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and combined statements of operations are translated at the average exchange rates in effect during the applicable period. The resulting unrealized cumulative translation adjustment, net of applicable income taxes, is recorded as a component of accumulated other comprehensive earnings in stockholders’ equity.</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Due to the nature of our operations and our corporate structure, 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the accompanying consolidated and combined statements of operations as unrealized (based on the applicable period-end exchange rate) or realized upon settlement of the transactions.</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Accordingly, we have recorded foreign exchange losses of $0.2 million, 3.2 million and $1.0 million for the years ended December 31, 2013, 2012 and 2011, respectively, in Other, net. These losses are net of those realized and unrealized on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incur advertising expense consisting of traffic generation costs from search engines and Internet portals, other online and offline (including television) advertising expense, promotions and public relations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2013, 2012 and 2011, our advertising expense was $236.5 million, $175.0 million, and $135.6 million, respectively. As of December 31, 2013 and 2012, we had $1.3 million and $1.4 million of prepaid marketing expenses included in prepaid expenses and other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for all stock options granted by us to date has been equal to the market price of the underlying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the date of grant. In this regard, when making stock option awards, our practice is to determine the applicable grant date and to specify that the exercise price shall be the closing price of our common stock on the date of grant.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estimated fair value of stock options is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risk-free interest rate is based on the rates currently available on zero-coupon U.S. Treasury issues, in effect at the time of the grant, whose remaining maturity period most closely approximates the stock option’s expected term assumption. We estimate volatility of our common stock by using an average of our historical stock price volatility and of publicly traded companies that we consider peers based on daily price observations over a period equivalent to or approximate to the expected term of the stock option grants. The decision to use a weighted average volatility factor with a peer group was based upon the relatively short period of availability of data on our common stock. We estimate our expected term using the simplified method for all stock options as we do not have sufficient historical exercise data on our common stock. Our expected dividend yield is zero, as we have not paid any dividends on our common stock to date and do not expect to pay any cash dividends for the foreseeable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RSUs are stock awards that are granted to employees entitling the holder to shares of our common stock as the award vests. RSUs</w:t>
      </w:r>
      <w:r>
        <w:rPr>
          <w:rFonts w:ascii="Arial" w:cs="Arial" w:eastAsia="Arial" w:hAnsi="Arial"/>
          <w:sz w:val="15"/>
          <w:szCs w:val="15"/>
          <w:i w:val="1"/>
          <w:iCs w:val="1"/>
          <w:color w:val="auto"/>
        </w:rPr>
        <w:t xml:space="preserve"> </w:t>
      </w:r>
      <w:r>
        <w:rPr>
          <w:rFonts w:ascii="Arial" w:cs="Arial" w:eastAsia="Arial" w:hAnsi="Arial"/>
          <w:sz w:val="15"/>
          <w:szCs w:val="15"/>
          <w:color w:val="auto"/>
        </w:rPr>
        <w:t>are measured at fair value based on the number of shares granted and the quoted price of our common stock at the date of grant. We amortize the fair value of stock options and RSUs,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 Estimates of fair value are not intended to predict actual future events or the value ultimately realized by employees who receive these awards, and subsequent events are not indicative of the reasonableness of our original estimates of fair value. We use historical data to estimate pre-vesting stock option and RSU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10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Performance-based stock options and RSUs vest upon achievement of certain company-based performance conditions and a requisite service period. On the date of grant, the fair value of performance-based awards is determined based on the fair value, which is calculated using the same method as our service based stock options and RSUs described above. We then assess whether it is probable that the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receive cash from travelers at the time of booking related to our vacation rental and transaction-based businesses and we record these amounts, net of commissions, on our consolidated balance sheets as deferred merchant payables. We pay the hotel or vacation rental owners after the travelers’ use and subsequent billing from the hotel or vacation rental owners. Therefore, we receive cash from the traveler prior to paying the hotel or vacation rental owners, and this operating cycle represents a working capital source of cash to us. As long as our transaction-based businesses grow, we expect that changes in working capital related to these transactions will positively impact operating cash flows. As of December 31, 2013, our deferred merchant payables balance was $29.6 million and for the year ended December 31, 2013, the related transactions generated positive operating cash flow of $16.8 million. A payable balance of $11.5 million was acquired with our business acquisitions during the year ended December 31, 2013, and therefore is included within investing activities in our consolidated and combined cashflow statements. For additional information on our business acquisitions refer to “Note 3—</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below. The deferred merchant payables balance at December 31, 2012 was $1.3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and Concentrations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Financial instruments, which potentially subject us to concentration of credit risk, consist primarily of cash and cash equivalents, corporate debt securities, foreign exchange contracts, accounts receivable and customer concentrations. We maintain some cash and cash equivalents balances with financial institutions that are in excess of Federal Deposit Insurance Corporation insurance limits. Our cash and cash equivalents are primarily composed of prime institutional money market funds as well as bank account balances primarily denominated in U.S. dollars, Euros, British pound sterling, Chinese renminbi and Singapore dollars. We invest in highly-rated corporate debt securities, and our investment policy limits the amount of credit exposure to any one issuer,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industry group and currency. Our credit risk related to corporate debt securities is also mitigated by the relatively short maturity period required by our investment policy. Foreign exchange contracts are transacted with various international financial institutions with high credit standing.</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business is also subject to certain risks due to concentrations related to dependence on our relationships with our customers. We are highly dependent on our advertising and media relationship with Expedia, (see “Note 15—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the years ended December 31, 2013, 2012 and 2011 our two most significant advertising customers, Expedia and Priceline, accounted for a combined 47%, 48% and 49% of total revenue, respectively. As of December 31, 2013 and 2012, there were no customers that accounted for 10% or more of our accounts receivable. Our overall credit risk related to accounts receivable is mitigated by the relatively short collection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and combined statements of operations. We provide disclosure in the notes to the consolidated and combined financial statements for loss contingencies that do not meet both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and combined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Comprehensive loss currently consists of net income (loss), cumulative foreign currency translation adjustments, and unrealized gains and losses on available-for-sale securities, net of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Share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compute basic earnings per share by dividing net income attributable to TripAdvisor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year ended December 31, 2011, we computed basic earnings per share using the number of shares of common stock and Class B common stock outstanding immediately following the Spin-Off, as if such shares were outstanding for the entire period prior to the Spin-Off, plus the weighted average of any additional shares issued and outstanding following the Spin-Off date through December 31,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Share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compute diluted earnings per share by dividing net income attributable to TripAdvisor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stock warrants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treated all outstanding equity awards assumed at Spin-Off as if they were granted as of the Spin-Off and we included them in our diluted earnings per share calculation for the year ended December 31, 2011, based on the number of days they were outstanding.</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Net income attributable to TripAdvisor, Inc.</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205,443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194,069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177,677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w w:val="93"/>
              </w:rPr>
              <w:t>Weighted average shares used to compute Basic EPS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142,854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139,462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880"/>
              <w:spacing w:after="0"/>
              <w:rPr>
                <w:sz w:val="20"/>
                <w:szCs w:val="20"/>
                <w:color w:val="auto"/>
              </w:rPr>
            </w:pPr>
            <w:r>
              <w:rPr>
                <w:rFonts w:ascii="Arial" w:cs="Arial" w:eastAsia="Arial" w:hAnsi="Arial"/>
                <w:sz w:val="18"/>
                <w:szCs w:val="18"/>
                <w:color w:val="auto"/>
              </w:rPr>
              <w:t>Stock options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880"/>
              <w:spacing w:after="0"/>
              <w:rPr>
                <w:sz w:val="20"/>
                <w:szCs w:val="20"/>
                <w:color w:val="auto"/>
              </w:rPr>
            </w:pPr>
            <w:r>
              <w:rPr>
                <w:rFonts w:ascii="Arial" w:cs="Arial" w:eastAsia="Arial" w:hAnsi="Arial"/>
                <w:sz w:val="18"/>
                <w:szCs w:val="18"/>
                <w:color w:val="auto"/>
              </w:rPr>
              <w:t>Stock warrants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Weighted average shares used to compute Diluted EPS</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145,263</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141,341</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Basic EPS</w:t>
            </w: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500" w:type="dxa"/>
            <w:vAlign w:val="bottom"/>
          </w:tcPr>
          <w:p>
            <w:pPr>
              <w:spacing w:after="0"/>
              <w:rPr>
                <w:sz w:val="24"/>
                <w:szCs w:val="24"/>
                <w:color w:val="auto"/>
              </w:rPr>
            </w:pPr>
          </w:p>
        </w:tc>
        <w:tc>
          <w:tcPr>
            <w:tcW w:w="1820" w:type="dxa"/>
            <w:vAlign w:val="bottom"/>
          </w:tcPr>
          <w:p>
            <w:pPr>
              <w:jc w:val="right"/>
              <w:ind w:right="135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stock warrants and RSUs were excluded from the calculation of diluted net income per share because their effect would have been anti-dilutive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2013 (1)</w:t>
            </w: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 (2)(3)</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2011 (3)</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3"/>
          </w:tcPr>
          <w:p>
            <w:pPr>
              <w:jc w:val="center"/>
              <w:ind w:left="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3,944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RSUs</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21</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2,271</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3,965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10,388</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60" w:hanging="452"/>
        <w:spacing w:after="0" w:line="28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totals do not include 155,000 performance based options and 44,000 performance based RSUs representing the right to acquire 199,000 shares of common stock for which all targets required to trigger vesting have not been achieved; therefore, such awards were excluded from the calculation of weighted average shares used to compute diluted earnings per share for those reporting periods.</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totals do not include performance based options representing the right to acquire 110,000 shares of common stock, respectively, for which all targets required to trigger vesting had not been achieved; therefore, such awards were excluded from the calculation of weighted average shares used to compute diluted earnings per share for those reporting periods.</w:t>
      </w:r>
    </w:p>
    <w:p>
      <w:pPr>
        <w:spacing w:after="0" w:line="1" w:lineRule="exact"/>
        <w:rPr>
          <w:rFonts w:ascii="Arial" w:cs="Arial" w:eastAsia="Arial" w:hAnsi="Arial"/>
          <w:sz w:val="18"/>
          <w:szCs w:val="18"/>
          <w:color w:val="auto"/>
        </w:rPr>
      </w:pPr>
    </w:p>
    <w:p>
      <w:pPr>
        <w:jc w:val="both"/>
        <w:ind w:left="4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totals do not include performance based RSUs representing the right to acquire 200,000 and 400,000 shares of common stock at December 31, 2012 and 2011, respectively, for which all targets required to trigger vesting had not been achieved; therefore, such awards were excluded from the calculation of weighted average shares used to compute diluted earnings per share for those reporting periods.</w:t>
      </w:r>
    </w:p>
    <w:p>
      <w:pPr>
        <w:spacing w:after="0" w:line="10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2013, the Financial Accounting Standards Board, or FASB, issued new accounting guidance which adds new disclosure requirements for items reclassified out of accumulated other comprehensive income. The new guidance requires that companies present, either in a single note or parenthetically on the face of the financial statements, the effect of significant amounts reclassified based on its source and is effective for public companies in interim and annual reporting periods beginning after December 15, 2012. Accordingly, we have adopted these presentation requirements during the first quarter of 2013. The adoption of this new guidance did not have a material impact on our consolidated and combined financial statements or related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Presentation of an Unrecognized Tax Benefit When a Net Operating Loss Carryforward, a Similar Tax Loss, or a Tax Credit Carryforward Exists</w:t>
      </w:r>
    </w:p>
    <w:p>
      <w:pPr>
        <w:spacing w:after="0" w:line="113"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asset for such purpose, then the unrecognized tax benefit should be presented in the financial statements as a liability and should not be combined with deferred tax assets. This guidance is effective for fiscal years, and interim periods within those fiscal years, beginning after December 15, 2013, with early adoption permitted. Accordingly, we plan to adopt these presentation requirements during the first quarter of 2014. The adoption of this new guidance is not expected to have a material impact on our consolidated and combined financial statements or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the year ended December 31, 2013, we completed six acquisitions for total cash consideration paid of $34.8 million, net of cash acquired. The total cash consideration is subject to adjustment based on the finalization of working capital adjustments and amounts retained with payment subject to certain indemnification obligations by the respective sellers for our benefit in future periods. We acquired TinyPost, the developer of a product that enables users to write over photos and turn them into stories, Jetsetter, a members-only private sale site for hotel bookings; CruiseWise, a cruise research and planning site; Niumba, a Spain-based vacation rental site; GateGuru, a mobile app with flight and airport information around the world; Oyster, a hotel review website featuring expert reviews and photos covering about 150 cities, all of which complement our existing brands in those areas of the travel ecosystem.</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total purchase price of these acquisitions, all of which were accounted for as purchases of businesses under the acquisition method, have been allocated to the tangible and identifiable intangible assets acquired and the net liabilities assumed based on their respective fair values on the acquisition date. The purchase price allocation of our 2013 acquisitions are preliminary and subject to revision as more information becomes available, but in any case will not be revised beyond 12 months after the acquisition date and any change to the fair value of net liabilities acquired will lead to a corresponding change to the purchase</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price allocable to goodwill on a retroactive basis. The primary areas of the purchase price allocation that are not yet finalized are related to the fair values of certain liabilities and income tax balances. Acquisition-related costs were expensed as incurred and were $1.6 million during the year ended December 31, 2013 and were not material during the years ended December 31, 2012 and 2011. All acquisition related expenses were included in general and administrative expenses on our consolidated and combined statements of operations.</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no individual acquisition was material, the following table presents the aggregate components of the purchase prices initially recorded for all businesses on our consolidated balance sheets at the respective acquisition dates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left="222"/>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$29,551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r>
      <w:tr>
        <w:trPr>
          <w:trHeight w:val="216"/>
        </w:trPr>
        <w:tc>
          <w:tcPr>
            <w:tcW w:w="46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 (2)</w:t>
            </w:r>
          </w:p>
        </w:tc>
        <w:tc>
          <w:tcPr>
            <w:tcW w:w="580" w:type="dxa"/>
            <w:vAlign w:val="bottom"/>
          </w:tcPr>
          <w:p>
            <w:pPr>
              <w:jc w:val="right"/>
              <w:spacing w:after="0"/>
              <w:rPr>
                <w:sz w:val="20"/>
                <w:szCs w:val="20"/>
                <w:color w:val="auto"/>
              </w:rPr>
            </w:pPr>
            <w:r>
              <w:rPr>
                <w:rFonts w:ascii="Arial" w:cs="Arial" w:eastAsia="Arial" w:hAnsi="Arial"/>
                <w:sz w:val="18"/>
                <w:szCs w:val="18"/>
                <w:color w:val="auto"/>
              </w:rPr>
              <w:t>19,195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(liabilities)/assets (3)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39,503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3,050</w:t>
            </w: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8,016</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goodwill represents the excess value over both tangible and intangible assets acquired. The goodwill in these transactions is primarily attributable to expected operational synergies, the assembled workforces, and the future development initiatives of the assembled workforces. Goodwill in the amount of $14.1 million is expected to be deductible for tax purposes.</w:t>
      </w:r>
    </w:p>
    <w:p>
      <w:pPr>
        <w:ind w:left="460" w:right="140" w:hanging="452"/>
        <w:spacing w:after="0" w:line="30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Identifiable definite-lived intangible assets acquired during 2013 were comprised of developed technology of $2.4 million, trade names of $7.6 million, customer relationships of $8.0 million, and other intangibles of $1.2 million. The overall weighted-average life of the identifiable definite-lived intangible assets acquired in the purchase of the companies during 2013 was 8.0 years, which will be amortized on a straight-line basis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 their estimated useful lives from acquisition date. The overall weighted average life of acquired intangible assets during 2011 was 2.8 years.</w:t>
      </w:r>
    </w:p>
    <w:p>
      <w:pPr>
        <w:spacing w:after="0" w:line="3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cash acquired of $2.9 million, $0 million and $0.1 million during 2013, 2012 and 2011, respectively.</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calculations to be determined, and (ii) indemnification obligations of the acquired company stockholders that remains to be paid of $1.8 million at December 31, 2013.</w:t>
      </w:r>
    </w:p>
    <w:p>
      <w:pPr>
        <w:spacing w:after="0" w:line="13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consolidated and combined financial statements include the operating results of all acquired businesses from the date of each acquisition. We did not have any material acquisitions, individually or in the aggregate, during the years 2013, 2012 and 2011; therefore no pro-forma results have been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 Activity</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During 2012 we also paid $22.3 million for the remaining noncontrolling interest subsidiary shares related to a 2008 acquisition, which brought our ownership to 100%. This amount is included in financing activities in the consolidated statement of cash flows for 2012.</w:t>
      </w:r>
    </w:p>
    <w:p>
      <w:pPr>
        <w:spacing w:after="0" w:line="8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During 2011, we paid $13 million of contingent purchase consideration under prior acquisitions. The amount in 2011 represented an earn-out payment, of which approximately $10 million and $3 million are recorded to financing activities and operating activities, respectively, in the consolidated and combined statement of cash flows. All contingent consideration accrued and paid was calculated based on the financial performance of the acquired entity to which it relates. We also purchased a subsidiary in China from Expedia for $37 million, or $28 million net of acquired cash. This acquisition was accounted for as a common control transaction, with net liabilities recorded at a carrying value of $4 million, including an additional $7 million of short term borrowings from the Chinese Credit Facilities (refer to “Note 8—</w:t>
      </w:r>
      <w:r>
        <w:rPr>
          <w:rFonts w:ascii="Arial" w:cs="Arial" w:eastAsia="Arial" w:hAnsi="Arial"/>
          <w:sz w:val="16"/>
          <w:szCs w:val="16"/>
          <w:i w:val="1"/>
          <w:iCs w:val="1"/>
          <w:color w:val="auto"/>
        </w:rPr>
        <w:t>Debt”</w:t>
      </w:r>
      <w:r>
        <w:rPr>
          <w:rFonts w:ascii="Arial" w:cs="Arial" w:eastAsia="Arial" w:hAnsi="Arial"/>
          <w:sz w:val="16"/>
          <w:szCs w:val="16"/>
          <w:color w:val="auto"/>
        </w:rPr>
        <w:t xml:space="preserve"> below for further information on the Chinese Credit Facilities). No goodwill or other intangibles were recorded as a result of this acquisition and no contingent payments are outstanding. The difference between the purchase price and the carrying value of the net liabilities was recorded to additional paid in capital. The results of operations from this business are included in our consolidated and combined financial statements from the transaction closing date.</w:t>
      </w:r>
    </w:p>
    <w:p>
      <w:pPr>
        <w:spacing w:after="0" w:line="195" w:lineRule="exact"/>
        <w:rPr>
          <w:sz w:val="20"/>
          <w:szCs w:val="20"/>
          <w:color w:val="auto"/>
        </w:rPr>
      </w:pPr>
    </w:p>
    <w:p>
      <w:pPr>
        <w:ind w:right="5420"/>
        <w:spacing w:after="0" w:line="347" w:lineRule="auto"/>
        <w:rPr>
          <w:sz w:val="20"/>
          <w:szCs w:val="20"/>
          <w:color w:val="auto"/>
        </w:rPr>
      </w:pPr>
      <w:r>
        <w:rPr>
          <w:rFonts w:ascii="Arial" w:cs="Arial" w:eastAsia="Arial" w:hAnsi="Arial"/>
          <w:sz w:val="18"/>
          <w:szCs w:val="18"/>
          <w:b w:val="1"/>
          <w:bCs w:val="1"/>
          <w:color w:val="auto"/>
        </w:rPr>
        <w:t xml:space="preserve">NOTE 4: STOCK BASED AWARDS AND OTHER EQUITY INSTRUMENTS </w:t>
      </w:r>
      <w:r>
        <w:rPr>
          <w:rFonts w:ascii="Arial" w:cs="Arial" w:eastAsia="Arial" w:hAnsi="Arial"/>
          <w:sz w:val="18"/>
          <w:szCs w:val="18"/>
          <w:b w:val="1"/>
          <w:bCs w:val="1"/>
          <w:i w:val="1"/>
          <w:iCs w:val="1"/>
          <w:color w:val="auto"/>
        </w:rPr>
        <w:t>Stock-based Compensation Expense</w:t>
      </w:r>
    </w:p>
    <w:p>
      <w:pPr>
        <w:spacing w:after="0" w:line="2"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following table presents the amount of stock-based compensation related to stock-based awards, primarily stock options and RSUs, on our consolidated and combined statements of operations during the periods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$ 10,643</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60" w:type="dxa"/>
            <w:vAlign w:val="bottom"/>
          </w:tcPr>
          <w:p>
            <w:pPr>
              <w:jc w:val="right"/>
              <w:spacing w:after="0"/>
              <w:rPr>
                <w:sz w:val="20"/>
                <w:szCs w:val="20"/>
                <w:color w:val="auto"/>
              </w:rPr>
            </w:pPr>
            <w:r>
              <w:rPr>
                <w:rFonts w:ascii="Arial" w:cs="Arial" w:eastAsia="Arial" w:hAnsi="Arial"/>
                <w:sz w:val="18"/>
                <w:szCs w:val="18"/>
                <w:color w:val="auto"/>
              </w:rPr>
              <w:t>21,053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11,400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14,080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80" w:type="dxa"/>
            <w:vAlign w:val="bottom"/>
          </w:tcPr>
          <w:p>
            <w:pPr>
              <w:ind w:left="440"/>
              <w:spacing w:after="0"/>
              <w:rPr>
                <w:sz w:val="20"/>
                <w:szCs w:val="20"/>
                <w:color w:val="auto"/>
              </w:rPr>
            </w:pPr>
            <w:r>
              <w:rPr>
                <w:rFonts w:ascii="Arial" w:cs="Arial" w:eastAsia="Arial" w:hAnsi="Arial"/>
                <w:sz w:val="18"/>
                <w:szCs w:val="18"/>
                <w:color w:val="auto"/>
              </w:rPr>
              <w:t>Total 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48,953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30,102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17,344</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from stock-based compensation</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(18,014)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(10,648)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(6,504)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net of tax effect</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$ 30,939</w:t>
            </w:r>
          </w:p>
        </w:tc>
        <w:tc>
          <w:tcPr>
            <w:tcW w:w="2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19,454</w:t>
            </w:r>
          </w:p>
        </w:tc>
        <w:tc>
          <w:tcPr>
            <w:tcW w:w="4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10,840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year ended December 31, 2011 includes a one-time modification charge of $8.0 million related to the Spin-Off, primarily due to the modification of vested stock options that remained unexercised at the date of the Spin-Off, which the majority of was recorded to general and administrative expense. There were no material modifications to stock based awards for the years ended December 31, 2013 or 2012, respectively.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Spin-Off, we participated in the Amended and Restated Expedia, Inc. 2005 Stock and Annual Incentive Plan, under which we, through Expedia, granted RSUs, stock options, and other stock-based awards to our directors, officers, employees and consultants. At Spin-Off, these existing Expedia stock-based awards were converted into TripAdvisor stock-based equity awards and resulted in approximately 6,575,000 stock options (of which approximately 3,548,000 were fully vested at Spin-Off) and 893,000 RSU’s outstanding. These awards accounted for our 2011 stock-based compensation expense. We will continue to amortize the fair value, net of estimated forfeitures, over the remaining vesting term on a straight-line basis, with the amount of compensation expense recognized at any date at least equaling the portion of the grant-date fair value of the award that is vested at that date. All remaining unrecognized stock-based compensation expense related to these awards is included in “Unrecognized Stock-Based Compensation”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our 2011 Stock and Annual Incentive Plan became effective. On December 20, 2011, we filed Post-Effective Amendment No. 1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S-8 to Registration Statement on Form S-4 (File No. 333-178637) (the “Prior Registration Statement”) with the Securities and Exchange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“Commission”), registering a total of 17,500,000 shares of our common stock, of which 17,400,000 shares were issuable in connection with grants of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awards under our 2011 Incentive Plan (7,400,000 of which shares were originally registered on the Form S-4 and 10,000,000 of which shares were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on the Prior Registration Statement) and 100,000 shares were issuable under our Deferred Compensation Plan for Non-Employee Directors (refer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13—</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below for information on our Deferred Compensation Plan for Non-Employee Directors).</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At our annual meeting of stockholders held on June 28, 2013 (the “Annual Meeting”),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by the amendment as the “2011 Incentive Plan.” A summary of the material terms of the 2011 Incentive Plan can be found in “Proposal 3: Approval of the 2011 Stock and Annual Incentive Plan, as amended” in our Proxy Statement for the Annual Meeting.</w:t>
      </w:r>
    </w:p>
    <w:p>
      <w:pPr>
        <w:spacing w:after="0" w:line="9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2011 Stock and Annual Incentive Plan, we may, among other things, grant RSUs, restricted stock, stock options and other stock-based awards to our directors, officers, employees and consultants. The summary of the material terms of the 2011 Incentive Plan is qualified in its entirety by the full text of the 2011 Incentive Plan previously filed.</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of December 31, 2013, the total number of shares available under the 2011 Incentive Plan is 18,085,169 shares. All shares of common stock issued in respect of the exercise of options or other equity awards since Spin-Off have been issued from authorized, but unissued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Stock Option Activity</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During the year ended December 31, 2013, we have issued 2,824,583 of primarily service based non-qualified stock options under the 2011 Incentive Plan. These stock options generally have a term of ten years from the date of grant and vest over a four-year requisite service period. We will amortize the fair value of the 2013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year ended December 31, 2013,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Price Per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Outstanding</w:t>
            </w: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Share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6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2013</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8,654</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$ 31.41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2,825</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58.03</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Exercised (1)</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23.81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Cancelled or expired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522</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38.09</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9,470</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$ 40.18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403,828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w w:val="89"/>
              </w:rPr>
              <w:t>$ 30.11</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780" w:type="dxa"/>
            <w:vAlign w:val="bottom"/>
            <w:gridSpan w:val="2"/>
            <w:vMerge w:val="restart"/>
          </w:tcPr>
          <w:p>
            <w:pPr>
              <w:ind w:left="66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ind w:left="160"/>
              <w:spacing w:after="0"/>
              <w:rPr>
                <w:sz w:val="20"/>
                <w:szCs w:val="20"/>
                <w:color w:val="auto"/>
              </w:rPr>
            </w:pPr>
            <w:r>
              <w:rPr>
                <w:rFonts w:ascii="Arial" w:cs="Arial" w:eastAsia="Arial" w:hAnsi="Arial"/>
                <w:sz w:val="18"/>
                <w:szCs w:val="18"/>
                <w:color w:val="auto"/>
                <w:w w:val="82"/>
              </w:rPr>
              <w:t>186,273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3,533</w:t>
            </w:r>
          </w:p>
        </w:tc>
        <w:tc>
          <w:tcPr>
            <w:tcW w:w="12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December 31, 2013</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8,731</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$ 39.94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374,487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9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Inclusive of 242,767 options which were not converted into shares due to net share settlement in order to cover the aggregate exercise price and the minimum amount of required employee withholding taxes. Potential shares which had been convertible under stock options that were withheld under net share settlement remain in the authorized but unissued pool under the 2011 Incentive Plan and can be reissued by the Company. We began net-share settling the majority of our stock option exercises during the third quarter of 2013. Total payments for the employees’ tax obligations to the taxing authorities due to net share settlements are reflected as a financing activity within the consolidated statements of cash flows.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December 31, 2013 was $82.83. The total intrinsic value of stock options exercised for the years ended December 31, 2013 and 2012 were $58.2 million and $25.1 million, respectively. No stock options were exercised between Spin-Off and December 31, 2011.</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3"/>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6.06</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50.78%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53.46%</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47"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weighted-average grant date fair value of options granted was $28.30 and $20.36 for the years ended December 31, 2013 and 2012, respectively. No stock options were granted under the 2011 Incentive Plan for the year ended December 31, 2011. The total fair value of stock options vested for the years ended December 31, 2013 and 2012 were $26.6 million and $9.8 million, respectively. No stock options were vested between Spin-Off and December 31,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RSU Activity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2013, we issued 1,148,976 RSUs under the 2011 Incentive Plan for which the fair value was measured based on the quoted price of our common stock. These RSUs generally vest over a four-year requisite service period. We will amortize the fair value of the 2013 grants, net of estimated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 during the year ended December 31,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center"/>
              <w:ind w:right="521"/>
              <w:spacing w:after="0"/>
              <w:rPr>
                <w:sz w:val="20"/>
                <w:szCs w:val="20"/>
                <w:color w:val="auto"/>
              </w:rPr>
            </w:pPr>
            <w:r>
              <w:rPr>
                <w:rFonts w:ascii="Arial" w:cs="Arial" w:eastAsia="Arial" w:hAnsi="Arial"/>
                <w:sz w:val="14"/>
                <w:szCs w:val="14"/>
                <w:b w:val="1"/>
                <w:bCs w:val="1"/>
                <w:color w:val="auto"/>
                <w:w w:val="85"/>
              </w:rPr>
              <w:t>Weighted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jc w:val="center"/>
              <w:ind w:right="521"/>
              <w:spacing w:after="0"/>
              <w:rPr>
                <w:sz w:val="20"/>
                <w:szCs w:val="20"/>
                <w:color w:val="auto"/>
              </w:rPr>
            </w:pPr>
            <w:r>
              <w:rPr>
                <w:rFonts w:ascii="Arial" w:cs="Arial" w:eastAsia="Arial" w:hAnsi="Arial"/>
                <w:sz w:val="14"/>
                <w:szCs w:val="14"/>
                <w:b w:val="1"/>
                <w:bCs w:val="1"/>
                <w:color w:val="auto"/>
                <w:w w:val="83"/>
              </w:rPr>
              <w:t>Average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5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jc w:val="right"/>
              <w:ind w:right="681"/>
              <w:spacing w:after="0"/>
              <w:rPr>
                <w:sz w:val="20"/>
                <w:szCs w:val="20"/>
                <w:color w:val="auto"/>
              </w:rPr>
            </w:pPr>
            <w:r>
              <w:rPr>
                <w:rFonts w:ascii="Arial" w:cs="Arial" w:eastAsia="Arial" w:hAnsi="Arial"/>
                <w:sz w:val="14"/>
                <w:szCs w:val="14"/>
                <w:b w:val="1"/>
                <w:bCs w:val="1"/>
                <w:color w:val="auto"/>
              </w:rPr>
              <w:t>Grant-</w:t>
            </w:r>
          </w:p>
        </w:tc>
        <w:tc>
          <w:tcPr>
            <w:tcW w:w="1140" w:type="dxa"/>
            <w:vAlign w:val="bottom"/>
            <w:gridSpan w:val="2"/>
          </w:tcPr>
          <w:p>
            <w:pPr>
              <w:jc w:val="center"/>
              <w:ind w:left="287"/>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5400" w:type="dxa"/>
            <w:vAlign w:val="bottom"/>
          </w:tcPr>
          <w:p>
            <w:pPr>
              <w:spacing w:after="0"/>
              <w:rPr>
                <w:sz w:val="12"/>
                <w:szCs w:val="12"/>
                <w:color w:val="auto"/>
              </w:rPr>
            </w:pPr>
          </w:p>
        </w:tc>
        <w:tc>
          <w:tcPr>
            <w:tcW w:w="72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RSUs</w:t>
            </w:r>
          </w:p>
        </w:tc>
        <w:tc>
          <w:tcPr>
            <w:tcW w:w="1060" w:type="dxa"/>
            <w:vAlign w:val="bottom"/>
          </w:tcPr>
          <w:p>
            <w:pPr>
              <w:spacing w:after="0"/>
              <w:rPr>
                <w:sz w:val="12"/>
                <w:szCs w:val="12"/>
                <w:color w:val="auto"/>
              </w:rPr>
            </w:pPr>
          </w:p>
        </w:tc>
        <w:tc>
          <w:tcPr>
            <w:tcW w:w="1260" w:type="dxa"/>
            <w:vAlign w:val="bottom"/>
          </w:tcPr>
          <w:p>
            <w:pPr>
              <w:jc w:val="center"/>
              <w:ind w:right="521"/>
              <w:spacing w:after="0" w:line="149" w:lineRule="exact"/>
              <w:rPr>
                <w:sz w:val="20"/>
                <w:szCs w:val="20"/>
                <w:color w:val="auto"/>
              </w:rPr>
            </w:pPr>
            <w:r>
              <w:rPr>
                <w:rFonts w:ascii="Arial" w:cs="Arial" w:eastAsia="Arial" w:hAnsi="Arial"/>
                <w:sz w:val="14"/>
                <w:szCs w:val="14"/>
                <w:b w:val="1"/>
                <w:bCs w:val="1"/>
                <w:color w:val="auto"/>
                <w:w w:val="90"/>
              </w:rPr>
              <w:t>Date Fair</w:t>
            </w:r>
          </w:p>
        </w:tc>
        <w:tc>
          <w:tcPr>
            <w:tcW w:w="1140" w:type="dxa"/>
            <w:vAlign w:val="bottom"/>
            <w:gridSpan w:val="2"/>
          </w:tcPr>
          <w:p>
            <w:pPr>
              <w:jc w:val="center"/>
              <w:ind w:left="287"/>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5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23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Value Per Share</w:t>
            </w:r>
          </w:p>
        </w:tc>
        <w:tc>
          <w:tcPr>
            <w:tcW w:w="1140" w:type="dxa"/>
            <w:vAlign w:val="bottom"/>
            <w:gridSpan w:val="2"/>
          </w:tcPr>
          <w:p>
            <w:pPr>
              <w:jc w:val="center"/>
              <w:ind w:left="287"/>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5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26.11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1,149</w:t>
            </w:r>
          </w:p>
        </w:tc>
        <w:tc>
          <w:tcPr>
            <w:tcW w:w="1060" w:type="dxa"/>
            <w:vAlign w:val="bottom"/>
          </w:tcPr>
          <w:p>
            <w:pPr>
              <w:spacing w:after="0"/>
              <w:rPr>
                <w:sz w:val="18"/>
                <w:szCs w:val="18"/>
                <w:color w:val="auto"/>
              </w:rPr>
            </w:pPr>
          </w:p>
        </w:tc>
        <w:tc>
          <w:tcPr>
            <w:tcW w:w="1260" w:type="dxa"/>
            <w:vAlign w:val="bottom"/>
          </w:tcPr>
          <w:p>
            <w:pPr>
              <w:jc w:val="right"/>
              <w:ind w:right="381"/>
              <w:spacing w:after="0"/>
              <w:rPr>
                <w:sz w:val="20"/>
                <w:szCs w:val="20"/>
                <w:color w:val="auto"/>
              </w:rPr>
            </w:pPr>
            <w:r>
              <w:rPr>
                <w:rFonts w:ascii="Arial" w:cs="Arial" w:eastAsia="Arial" w:hAnsi="Arial"/>
                <w:sz w:val="18"/>
                <w:szCs w:val="18"/>
                <w:color w:val="auto"/>
              </w:rPr>
              <w:t>50.72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22.95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Cancelled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19"/>
                <w:szCs w:val="19"/>
                <w:color w:val="auto"/>
              </w:rPr>
            </w:pPr>
          </w:p>
        </w:tc>
        <w:tc>
          <w:tcPr>
            <w:tcW w:w="1260" w:type="dxa"/>
            <w:vAlign w:val="bottom"/>
          </w:tcPr>
          <w:p>
            <w:pPr>
              <w:jc w:val="right"/>
              <w:ind w:right="381"/>
              <w:spacing w:after="0"/>
              <w:rPr>
                <w:sz w:val="20"/>
                <w:szCs w:val="20"/>
                <w:color w:val="auto"/>
              </w:rPr>
            </w:pPr>
            <w:r>
              <w:rPr>
                <w:rFonts w:ascii="Arial" w:cs="Arial" w:eastAsia="Arial" w:hAnsi="Arial"/>
                <w:sz w:val="18"/>
                <w:szCs w:val="18"/>
                <w:color w:val="auto"/>
              </w:rPr>
              <w:t>46.80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December 31, 2013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49.64</w:t>
            </w:r>
          </w:p>
        </w:tc>
        <w:tc>
          <w:tcPr>
            <w:tcW w:w="1040" w:type="dxa"/>
            <w:vAlign w:val="bottom"/>
            <w:shd w:val="clear" w:color="auto" w:fill="CCEEFF"/>
          </w:tcPr>
          <w:p>
            <w:pPr>
              <w:jc w:val="center"/>
              <w:ind w:left="387"/>
              <w:spacing w:after="0"/>
              <w:rPr>
                <w:sz w:val="20"/>
                <w:szCs w:val="20"/>
                <w:color w:val="auto"/>
              </w:rPr>
            </w:pPr>
            <w:r>
              <w:rPr>
                <w:rFonts w:ascii="Arial" w:cs="Arial" w:eastAsia="Arial" w:hAnsi="Arial"/>
                <w:sz w:val="18"/>
                <w:szCs w:val="18"/>
                <w:color w:val="auto"/>
                <w:w w:val="82"/>
              </w:rPr>
              <w:t>$ 94,125</w:t>
            </w:r>
          </w:p>
        </w:tc>
        <w:tc>
          <w:tcPr>
            <w:tcW w:w="100" w:type="dxa"/>
            <w:vAlign w:val="bottom"/>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5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Inclusive of 133,449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Activity</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In total, at Spin-Off, the warrants could have been converted into a maximum of 8,046,698 shares of our common stock without any further adjustments to the Warrant Agreement and had an expiration date of May 7, 2012.</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tranche of warrants (issued in respect of Expedia warrants that had featured an exercise price of $12.23 per warrant prior to adjustment) were exercisable for 0.25 (one-quarter) of a share of TripAdvisor common stock at an exercise price equal to $6.48 per warrant, and the other tranche of warrants (issued in respect of Expedia warrants that had featured an exercise price of $14.45 per warrant prior to adjustment) were exercisable for 0.25 (one-quarter) of a share of TripAdvisor common stock at an exercise price equal to $7.66 per warrant. The exercise price could have been paid in cash or via “cashless exercise” as set forth in the Warrant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2012, and prior to the expiration date, there were a total of 32,186,791 warrants exercised which resulted in a total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7,952,456 shares of our common stock being issued during that period, which included 31,641,337 warrants for which the exercise price was paid in cash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price of $27.11. We received total exercise proceeds of $214.5 million related to these warrant exercises, which is reflected as a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within the consolidated statement of cash flows. In addition there were 545,454 cashless warrants exercised with a weighted average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$25.92 of which we did not receive any exercise proceeds. As a result, we currently have no outstanding warrants remaining which could be convertible to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our remaining unrecognized compensation expense, net of estimated forfeitures, and the weighted average remaining amortization period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related to our non-vested stock options and RSU awards is presented below (in thousands, except per year information):</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4"/>
                <w:szCs w:val="14"/>
                <w:b w:val="1"/>
                <w:bCs w:val="1"/>
                <w:color w:val="auto"/>
              </w:rPr>
              <w:t>Stock</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4"/>
                <w:szCs w:val="14"/>
                <w:b w:val="1"/>
                <w:bCs w:val="1"/>
                <w:color w:val="auto"/>
                <w:w w:val="90"/>
              </w:rPr>
              <w:t>Options</w:t>
            </w:r>
          </w:p>
        </w:tc>
        <w:tc>
          <w:tcPr>
            <w:tcW w:w="56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RSUs</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$93,696</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December 31, 2013 and December 31, 2012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w w:val="91"/>
              </w:rPr>
              <w:t>December 31, 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Cash and</w:t>
            </w:r>
          </w:p>
        </w:tc>
        <w:tc>
          <w:tcPr>
            <w:tcW w:w="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Short-Term</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Cash</w:t>
            </w:r>
          </w:p>
        </w:tc>
        <w:tc>
          <w:tcPr>
            <w:tcW w:w="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9"/>
              </w:rPr>
              <w:t>Marketable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Equivalents</w:t>
            </w: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Securities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$195,226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$195,226</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$ 195,226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155,922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155,922</w:t>
            </w:r>
          </w:p>
        </w:tc>
        <w:tc>
          <w:tcPr>
            <w:tcW w:w="1280" w:type="dxa"/>
            <w:vAlign w:val="bottom"/>
            <w:tcBorders>
              <w:lef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155,922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36,744</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23,901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23,914</w:t>
            </w:r>
          </w:p>
        </w:tc>
        <w:tc>
          <w:tcPr>
            <w:tcW w:w="3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16,410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140" w:type="dxa"/>
            <w:vAlign w:val="bottom"/>
            <w:gridSpan w:val="2"/>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253,597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253,407</w:t>
            </w:r>
          </w:p>
        </w:tc>
        <w:tc>
          <w:tcPr>
            <w:tcW w:w="3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95,599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Subtotal</w:t>
            </w:r>
          </w:p>
        </w:tc>
        <w:tc>
          <w:tcPr>
            <w:tcW w:w="14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319,744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319,558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131,220</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188,338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670,892</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(345)</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670,706</w:t>
            </w:r>
          </w:p>
        </w:tc>
        <w:tc>
          <w:tcPr>
            <w:tcW w:w="1280" w:type="dxa"/>
            <w:vAlign w:val="bottom"/>
            <w:gridSpan w:val="4"/>
          </w:tcPr>
          <w:p>
            <w:pPr>
              <w:jc w:val="right"/>
              <w:ind w:right="240"/>
              <w:spacing w:after="0"/>
              <w:rPr>
                <w:sz w:val="20"/>
                <w:szCs w:val="20"/>
                <w:color w:val="auto"/>
              </w:rPr>
            </w:pPr>
            <w:r>
              <w:rPr>
                <w:rFonts w:ascii="Arial" w:cs="Arial" w:eastAsia="Arial" w:hAnsi="Arial"/>
                <w:sz w:val="18"/>
                <w:szCs w:val="18"/>
                <w:color w:val="auto"/>
              </w:rPr>
              <w:t>$ 351,148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2"/>
              </w:rPr>
              <w:t>$ 131,220</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980"/>
              <w:spacing w:after="0"/>
              <w:rPr>
                <w:sz w:val="20"/>
                <w:szCs w:val="20"/>
                <w:color w:val="auto"/>
              </w:rPr>
            </w:pPr>
            <w:r>
              <w:rPr>
                <w:rFonts w:ascii="Arial" w:cs="Arial" w:eastAsia="Arial" w:hAnsi="Arial"/>
                <w:sz w:val="14"/>
                <w:szCs w:val="14"/>
                <w:b w:val="1"/>
                <w:bCs w:val="1"/>
                <w:color w:val="auto"/>
                <w:w w:val="87"/>
              </w:rPr>
              <w:t>December 31, 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Cash and</w:t>
            </w:r>
          </w:p>
        </w:tc>
        <w:tc>
          <w:tcPr>
            <w:tcW w:w="7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Short-Term</w:t>
            </w:r>
          </w:p>
        </w:tc>
        <w:tc>
          <w:tcPr>
            <w:tcW w:w="300" w:type="dxa"/>
            <w:vAlign w:val="bottom"/>
          </w:tcPr>
          <w:p>
            <w:pPr>
              <w:spacing w:after="0"/>
              <w:rPr>
                <w:sz w:val="11"/>
                <w:szCs w:val="11"/>
                <w:color w:val="auto"/>
              </w:rPr>
            </w:pPr>
          </w:p>
        </w:tc>
        <w:tc>
          <w:tcPr>
            <w:tcW w:w="7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6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0"/>
              </w:rPr>
              <w:t>Marketable</w:t>
            </w:r>
          </w:p>
        </w:tc>
        <w:tc>
          <w:tcPr>
            <w:tcW w:w="30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Equivalents</w:t>
            </w: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$141,460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$141,460</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$ 141,460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215,052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215,052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48,710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48,703</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9,999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38,704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161,882</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67,630</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5,001</w:t>
            </w:r>
          </w:p>
        </w:tc>
        <w:tc>
          <w:tcPr>
            <w:tcW w:w="32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229,397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229,221</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11,003</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118,970</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585,909</w:t>
            </w:r>
          </w:p>
        </w:tc>
        <w:tc>
          <w:tcPr>
            <w:tcW w:w="10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585,733</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$ 367,515</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$ 118,970</w:t>
            </w:r>
          </w:p>
        </w:tc>
        <w:tc>
          <w:tcPr>
            <w:tcW w:w="4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long-term marketable securities range from one to three years and our short-term marketable securities include maturities that were greater than 90 days at the date purchased and have 12 months or less remaining at December 31, 2013 and 2012, respectively.</w:t>
      </w:r>
    </w:p>
    <w:p>
      <w:pPr>
        <w:spacing w:after="0" w:line="132" w:lineRule="exact"/>
        <w:rPr>
          <w:sz w:val="20"/>
          <w:szCs w:val="20"/>
          <w:color w:val="auto"/>
        </w:rPr>
      </w:pPr>
    </w:p>
    <w:p>
      <w:pPr>
        <w:jc w:val="both"/>
        <w:ind w:right="180" w:firstLine="456"/>
        <w:spacing w:after="0" w:line="291" w:lineRule="auto"/>
        <w:rPr>
          <w:sz w:val="20"/>
          <w:szCs w:val="20"/>
          <w:color w:val="auto"/>
        </w:rPr>
      </w:pPr>
      <w:r>
        <w:rPr>
          <w:rFonts w:ascii="Arial" w:cs="Arial" w:eastAsia="Arial" w:hAnsi="Arial"/>
          <w:sz w:val="16"/>
          <w:szCs w:val="16"/>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realized gains or losses related to sales of our marketable securities for the years ended December 31, 2013, 2012 and 2011.</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2013, we have marketable securities with a total fair value of $168.8 million in a total gross unrealized loss position of $0.3 million.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the our intent to sell, or whether it is more likely than not we will be required to sell the investment before recovery of the investment’s cost basis. During the years ended December 31, 2013, 2012 and 2011, we did not recognize any impairment charges. We did not have any material investments in marketable securities that were in a continuous unrealized loss position for 12 months or greater at December 31, 2013 or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net loss of $0.3 million and $0.7 million for the years ended December 31, 2013 and 2012, respectively, related to our forward contracts in our consolidated statements of operations in Other, net. The net cash received or paid related to our derivative instruments are classified as operating in our consolidated statements of cash flows, which is based on the objective of the derivative instruments. No derivative instruments were entered into or settled during the year ended December 31, 2011.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shows the fair value and notional principal amounts of our outstanding or unsettled derivative instruments that are not designated as hedging instruments for the periods presented: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exchange-forward contracts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exchange-forward contracts (current)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2013</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8"/>
          </w:tcPr>
          <w:p>
            <w:pPr>
              <w:ind w:left="280"/>
              <w:spacing w:after="0" w:line="129" w:lineRule="exact"/>
              <w:rPr>
                <w:sz w:val="20"/>
                <w:szCs w:val="20"/>
                <w:color w:val="auto"/>
              </w:rPr>
            </w:pPr>
            <w:r>
              <w:rPr>
                <w:rFonts w:ascii="Arial" w:cs="Arial" w:eastAsia="Arial" w:hAnsi="Arial"/>
                <w:sz w:val="14"/>
                <w:szCs w:val="14"/>
                <w:b w:val="1"/>
                <w:bCs w:val="1"/>
                <w:color w:val="auto"/>
              </w:rPr>
              <w:t>Fair Value of</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U.S. Dollar</w:t>
            </w:r>
          </w:p>
        </w:tc>
        <w:tc>
          <w:tcPr>
            <w:tcW w:w="0" w:type="dxa"/>
            <w:vAlign w:val="bottom"/>
          </w:tcPr>
          <w:p>
            <w:pPr>
              <w:spacing w:after="0"/>
              <w:rPr>
                <w:sz w:val="1"/>
                <w:szCs w:val="1"/>
                <w:color w:val="auto"/>
              </w:rPr>
            </w:pPr>
          </w:p>
        </w:tc>
      </w:tr>
      <w:tr>
        <w:trPr>
          <w:trHeight w:val="161"/>
        </w:trPr>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Balance Sheet Caption</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Derivative (2)</w:t>
            </w:r>
          </w:p>
        </w:tc>
        <w:tc>
          <w:tcPr>
            <w:tcW w:w="540" w:type="dxa"/>
            <w:vAlign w:val="bottom"/>
            <w:gridSpan w:val="2"/>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Notional</w:t>
            </w:r>
          </w:p>
        </w:tc>
        <w:tc>
          <w:tcPr>
            <w:tcW w:w="0" w:type="dxa"/>
            <w:vAlign w:val="bottom"/>
          </w:tcPr>
          <w:p>
            <w:pPr>
              <w:spacing w:after="0"/>
              <w:rPr>
                <w:sz w:val="1"/>
                <w:szCs w:val="1"/>
                <w:color w:val="auto"/>
              </w:rPr>
            </w:pPr>
          </w:p>
        </w:tc>
      </w:tr>
      <w:tr>
        <w:trPr>
          <w:trHeight w:val="142"/>
        </w:trPr>
        <w:tc>
          <w:tcPr>
            <w:tcW w:w="3300" w:type="dxa"/>
            <w:vAlign w:val="bottom"/>
            <w:gridSpan w:val="4"/>
            <w:vMerge w:val="restart"/>
          </w:tcPr>
          <w:p>
            <w:pPr>
              <w:jc w:val="center"/>
              <w:ind w:right="400"/>
              <w:spacing w:after="0"/>
              <w:rPr>
                <w:sz w:val="20"/>
                <w:szCs w:val="20"/>
                <w:color w:val="auto"/>
              </w:rPr>
            </w:pPr>
            <w:r>
              <w:rPr>
                <w:rFonts w:ascii="Arial" w:cs="Arial" w:eastAsia="Arial" w:hAnsi="Arial"/>
                <w:sz w:val="18"/>
                <w:szCs w:val="18"/>
                <w:color w:val="auto"/>
                <w:w w:val="90"/>
              </w:rPr>
              <w:t>Accrued and other current liabilities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Liability</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10"/>
        </w:trPr>
        <w:tc>
          <w:tcPr>
            <w:tcW w:w="3300" w:type="dxa"/>
            <w:vAlign w:val="bottom"/>
            <w:gridSpan w:val="4"/>
            <w:vMerge w:val="continue"/>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2012</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8"/>
          </w:tcPr>
          <w:p>
            <w:pPr>
              <w:ind w:left="340"/>
              <w:spacing w:after="0" w:line="129" w:lineRule="exact"/>
              <w:rPr>
                <w:sz w:val="20"/>
                <w:szCs w:val="20"/>
                <w:color w:val="auto"/>
              </w:rPr>
            </w:pPr>
            <w:r>
              <w:rPr>
                <w:rFonts w:ascii="Arial" w:cs="Arial" w:eastAsia="Arial" w:hAnsi="Arial"/>
                <w:sz w:val="14"/>
                <w:szCs w:val="14"/>
                <w:b w:val="1"/>
                <w:bCs w:val="1"/>
                <w:color w:val="auto"/>
              </w:rPr>
              <w:t>Fair Value of</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U.S. Dollar</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Balance Sheet Caption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Derivative (2)</w:t>
            </w:r>
          </w:p>
        </w:tc>
        <w:tc>
          <w:tcPr>
            <w:tcW w:w="5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Notional</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180" w:type="dxa"/>
            <w:vAlign w:val="bottom"/>
            <w:gridSpan w:val="3"/>
            <w:vMerge w:val="restart"/>
          </w:tcPr>
          <w:p>
            <w:pPr>
              <w:ind w:left="60"/>
              <w:spacing w:after="0"/>
              <w:rPr>
                <w:sz w:val="20"/>
                <w:szCs w:val="20"/>
                <w:color w:val="auto"/>
              </w:rPr>
            </w:pPr>
            <w:r>
              <w:rPr>
                <w:rFonts w:ascii="Arial" w:cs="Arial" w:eastAsia="Arial" w:hAnsi="Arial"/>
                <w:sz w:val="18"/>
                <w:szCs w:val="18"/>
                <w:color w:val="auto"/>
              </w:rPr>
              <w:t>Accrued and other current liabilities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Liability</w:t>
            </w:r>
          </w:p>
        </w:tc>
        <w:tc>
          <w:tcPr>
            <w:tcW w:w="5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  2,710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500" w:type="dxa"/>
            <w:vAlign w:val="bottom"/>
            <w:gridSpan w:val="2"/>
          </w:tcPr>
          <w:p>
            <w:pPr>
              <w:spacing w:after="0"/>
              <w:rPr>
                <w:sz w:val="18"/>
                <w:szCs w:val="18"/>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   64</w:t>
            </w:r>
          </w:p>
        </w:tc>
        <w:tc>
          <w:tcPr>
            <w:tcW w:w="52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-1011555</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4400" w:space="720"/>
            <w:col w:w="6300"/>
          </w:cols>
          <w:pgMar w:left="240" w:top="459" w:right="239" w:bottom="1440" w:gutter="0" w:footer="0" w:header="0"/>
          <w:type w:val="continuous"/>
        </w:sect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derivative contracts address foreign exchange fluctuations for the Euro versus the U.S. Dollar.</w:t>
      </w:r>
    </w:p>
    <w:p>
      <w:pPr>
        <w:spacing w:after="0" w:line="15"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fair value of our derivative liability is measured using Level 2 fair value inputs as we use a pricing model that takes into account the contract terms as well as current foreign currency exchange rates in active markets, or observable market inputs.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receivables from Expedia, trade payables, deferred merchant payables, short-term debt, accrued and other current liabilities and long-term debt. With the exception of long-term debt, the carrying amount approximates fair value because of the short maturity of these instruments as reported on the consolidated balance sheets as of December 31, 2013 and December 31, 2012. The carrying value of the long-term borrowings outstanding on our Credit Agreement bear interest at a variable rate and therefore is also considered to approximate fair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3 assets or liabilities at December 31, 2013 or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jc w:val="right"/>
              <w:ind w:right="49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and website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73,575</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$ 48,527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21,776</w:t>
            </w:r>
          </w:p>
        </w:tc>
        <w:tc>
          <w:tcPr>
            <w:tcW w:w="6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14,244</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21,124</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13,174</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122,209</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(48,625)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(37,626)</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Software and website development projects in progress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$ 43,802</w:t>
            </w:r>
          </w:p>
        </w:tc>
      </w:tr>
      <w:tr>
        <w:trPr>
          <w:trHeight w:val="20"/>
        </w:trPr>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capitalize construction in progress for build-to-suit lease agreements where we are considered the owner, for accounting purposes only, during the construction period.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and 2012, our recorded capitalized software and website development costs, net of accumulated amortization, were $46.2 million and $28.4 million, respectively. For the years ended December 31, 2013 and 2012, we capitalized $38.4 million and $20.2 million, respectively, related to software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website development costs. For the years ended December 31, 2013, 2012 and 2011, we recorded amortization of capitalized software and website development costs of $19.6 million, $12.8 million and $12.4 million, respectively, which is included in depreciation expense on our consolidated and combined statements of operations.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year ended December 31, 2013, we retired property and equipment, primarily capitalized software and website development, which were no longer in use with a total cost of $19.7 million and associated accumulated depreciation of 18.5 million, resulting in a loss of $1.2 million included in Other, net on our consolidated statements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goodwill for the periods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80" w:type="dxa"/>
            <w:vAlign w:val="bottom"/>
            <w:gridSpan w:val="4"/>
          </w:tcPr>
          <w:p>
            <w:pPr>
              <w:jc w:val="right"/>
              <w:ind w:right="4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$471,684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Additions (1)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29,551</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price allocation adjustments (2)</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Foreign exchange translation adjustment</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501,984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471,684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additions to goodwill relate to our 2013 business acquisitions. See “Note 3— </w:t>
      </w:r>
      <w:r>
        <w:rPr>
          <w:rFonts w:ascii="Arial" w:cs="Arial" w:eastAsia="Arial" w:hAnsi="Arial"/>
          <w:sz w:val="18"/>
          <w:szCs w:val="18"/>
          <w:i w:val="1"/>
          <w:iCs w:val="1"/>
          <w:color w:val="auto"/>
        </w:rPr>
        <w:t>Acquisitions</w:t>
      </w:r>
      <w:r>
        <w:rPr>
          <w:rFonts w:ascii="Arial" w:cs="Arial" w:eastAsia="Arial" w:hAnsi="Arial"/>
          <w:sz w:val="18"/>
          <w:szCs w:val="18"/>
          <w:color w:val="auto"/>
        </w:rPr>
        <w:t>,” above for further information.</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price allocation adjustments related to our 2012 acquisition, primarily a tax related adjustment for acquired net operating loss carryforwards, or NOL’s.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36,214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21,382</w:t>
            </w:r>
          </w:p>
        </w:tc>
        <w:tc>
          <w:tcPr>
            <w:tcW w:w="12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(14,672)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(13,492)</w:t>
            </w: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with definite lives, net</w:t>
            </w: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21,542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30,300</w:t>
            </w:r>
          </w:p>
        </w:tc>
        <w:tc>
          <w:tcPr>
            <w:tcW w:w="12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51,842</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38,190</w:t>
            </w:r>
          </w:p>
        </w:tc>
        <w:tc>
          <w:tcPr>
            <w:tcW w:w="12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$5.7 million, $6.1 million, and $7.5 million, respectively, for the years ended December 31, 2013, 2012 and 2011.</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indefinite-lived assets relate to trade names and trademarks.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above for a discussion of our annual indefinite-lived intangible asset impairment assessment.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4"/>
              </w:rPr>
              <w:t>Weighted Ave</w:t>
            </w: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2012</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4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Remaining Life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(in years)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Amount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$17,975</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(7,462)</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$14,431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(9,029)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$ 5,402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Subscriber relationships</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(5,858)</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7,977</w:t>
            </w:r>
          </w:p>
        </w:tc>
        <w:tc>
          <w:tcPr>
            <w:tcW w:w="580" w:type="dxa"/>
            <w:vAlign w:val="bottom"/>
          </w:tcPr>
          <w:p>
            <w:pPr>
              <w:jc w:val="right"/>
              <w:spacing w:after="0"/>
              <w:rPr>
                <w:sz w:val="20"/>
                <w:szCs w:val="20"/>
                <w:color w:val="auto"/>
              </w:rPr>
            </w:pPr>
            <w:r>
              <w:rPr>
                <w:rFonts w:ascii="Arial" w:cs="Arial" w:eastAsia="Arial" w:hAnsi="Arial"/>
                <w:sz w:val="18"/>
                <w:szCs w:val="18"/>
                <w:color w:val="auto"/>
              </w:rPr>
              <w:t>5,617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(3,511)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(1,352)</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36,214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(14,672)</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21,542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21,382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(13,492)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$ 7,890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estimated future amortization expense related to intangible assets with definite lives as of December 31, 2013, assuming no subsequent impairment of the underlying assets, is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2015</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2017</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2019 and thereafter</w:t>
            </w:r>
          </w:p>
        </w:tc>
        <w:tc>
          <w:tcPr>
            <w:tcW w:w="28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21,542</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20, 2011, we entered into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6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December 31, 2013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Term Loan principal is currently repayable in quarterly installments on the last day of each calendar quarter equal to 2.5% of the original principal amount with the balance due on the final maturity date. Principal payments aggregating $40 million were made during the year ended December 31, 2013.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Revolving Credit Facility includes $40 million of borrowing capacity available for letters of credit and $40 million for borrowings on same-day notice.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are no outstanding borrowings under our Revolving Credit Facility.</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years ended December 31, 2013, 2012 and 2011, we recorded total interest and commitment fees on our Credit Agreement of $7.5 million, $8.7 million and $0.3 million, respectively, to interest expense on our consolidated and combined statements of operations. All unpaid interest and commitment fee amounts as of December 31, 2013 and 2012 were not material.</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connection with the Credit Agreement, we also incurred debt financing costs totaling $3.5 million, which were capitalized as deferred financing costs. Approximately $0.7 million, recorded in other current assets, and approximately $ 1.1 million, reported in other long term assets, remain on the consolidated balance sheet as of December 31, 2013, net of amortization. During the years ended December 31, 2013, 2012 and 2011, we recorded amortization expense of $0.8 million, $0.9 million and $0 million, respectively, to interest expense on our consolidated and consolidated statements of operations. These costs will continue to be amortized over the remaining term of the Term Loan using the effective interest rate method.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principal payment obligations due under the Credit Agreement related to our Term Loan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90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1"/>
              </w:rPr>
              <w:t>Principal Payments</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vMerge w:val="continue"/>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jc w:val="right"/>
              <w:ind w:right="796"/>
              <w:spacing w:after="0" w:line="202" w:lineRule="exact"/>
              <w:rPr>
                <w:sz w:val="20"/>
                <w:szCs w:val="20"/>
                <w:color w:val="auto"/>
              </w:rPr>
            </w:pPr>
            <w:r>
              <w:rPr>
                <w:rFonts w:ascii="Arial" w:cs="Arial" w:eastAsia="Arial" w:hAnsi="Arial"/>
                <w:sz w:val="18"/>
                <w:szCs w:val="18"/>
                <w:color w:val="auto"/>
              </w:rPr>
              <w:t>2014</w:t>
            </w:r>
          </w:p>
        </w:tc>
        <w:tc>
          <w:tcPr>
            <w:tcW w:w="49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right"/>
              <w:ind w:right="796"/>
              <w:spacing w:after="0"/>
              <w:rPr>
                <w:sz w:val="20"/>
                <w:szCs w:val="20"/>
                <w:color w:val="auto"/>
              </w:rPr>
            </w:pPr>
            <w:r>
              <w:rPr>
                <w:rFonts w:ascii="Arial" w:cs="Arial" w:eastAsia="Arial" w:hAnsi="Arial"/>
                <w:sz w:val="18"/>
                <w:szCs w:val="18"/>
                <w:color w:val="auto"/>
              </w:rPr>
              <w:t>2015</w:t>
            </w: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2016</w:t>
            </w:r>
          </w:p>
        </w:tc>
        <w:tc>
          <w:tcPr>
            <w:tcW w:w="4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Total</w:t>
            </w:r>
          </w:p>
        </w:tc>
        <w:tc>
          <w:tcPr>
            <w:tcW w:w="5020" w:type="dxa"/>
            <w:vAlign w:val="bottom"/>
            <w:gridSpan w:val="3"/>
          </w:tcPr>
          <w:p>
            <w:pPr>
              <w:ind w:left="49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subsidiaries, subject to certain exceptions for subsidiaries that are controlled foreign corporations, foreign subsidiaries in jurisdictions where applicable law would otherwise be violated, and non-material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we believe we are in compliance with all of our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December 31, 2013 and December 31, 2012, we had short-term borrowings outstanding of $28.5 million and $32.1 million, respectively.</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year ended December 31, 2013, we made a payment inclusive of interest of RMB 68,283,570 (approximately $10.9 million). We currently have $12.7 million of outstanding borrowings from the Chinese Credit Facility—BOA as of December 31, 2013. Our Chinese Credit Facility—BOA currently bears interest at a rate based on 100% of the People’s Bank of China’s base rate and was 5.6% as of December 31, 2013.</w:t>
      </w:r>
    </w:p>
    <w:p>
      <w:pPr>
        <w:spacing w:after="0" w:line="14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This credit facility was renewed for an additional year in April 2013. During the year ended December 31, 2013, we made a payment inclusive of interest of RMB 24,281,546 (approximately $3.9 million). We currently have $15.8 million of outstanding borrowings from the Chinese Credit Facility—JPM as of December 31, 2013. Our Chinese Credit Facility—JPM currently bears interest at a rate based on 100% of the People’s Bank of China’s base rate and was 5.6% as of December 31,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400"/>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129,452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133,361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155,250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148,614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284,702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281,975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80" w:type="dxa"/>
            <w:vAlign w:val="bottom"/>
            <w:vMerge w:val="restart"/>
          </w:tcPr>
          <w:p>
            <w:pPr>
              <w:jc w:val="right"/>
              <w:ind w:right="2652"/>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6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178"/>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$47,784</w:t>
            </w:r>
          </w:p>
        </w:tc>
        <w:tc>
          <w:tcPr>
            <w:tcW w:w="1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$55,877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Foreign</w:t>
            </w:r>
          </w:p>
        </w:tc>
        <w:tc>
          <w:tcPr>
            <w:tcW w:w="580" w:type="dxa"/>
            <w:vAlign w:val="bottom"/>
          </w:tcPr>
          <w:p>
            <w:pPr>
              <w:jc w:val="right"/>
              <w:spacing w:after="0"/>
              <w:rPr>
                <w:sz w:val="20"/>
                <w:szCs w:val="20"/>
                <w:color w:val="auto"/>
              </w:rPr>
            </w:pPr>
            <w:r>
              <w:rPr>
                <w:rFonts w:ascii="Arial" w:cs="Arial" w:eastAsia="Arial" w:hAnsi="Arial"/>
                <w:sz w:val="18"/>
                <w:szCs w:val="18"/>
                <w:color w:val="auto"/>
              </w:rPr>
              <w:t>17,066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30,543</w:t>
            </w:r>
          </w:p>
        </w:tc>
        <w:tc>
          <w:tcPr>
            <w:tcW w:w="580" w:type="dxa"/>
            <w:vAlign w:val="bottom"/>
          </w:tcPr>
          <w:p>
            <w:pPr>
              <w:jc w:val="right"/>
              <w:spacing w:after="0"/>
              <w:rPr>
                <w:sz w:val="20"/>
                <w:szCs w:val="20"/>
                <w:color w:val="auto"/>
              </w:rPr>
            </w:pPr>
            <w:r>
              <w:rPr>
                <w:rFonts w:ascii="Arial" w:cs="Arial" w:eastAsia="Arial" w:hAnsi="Arial"/>
                <w:sz w:val="18"/>
                <w:szCs w:val="18"/>
                <w:color w:val="auto"/>
              </w:rPr>
              <w:t>37,480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State</w:t>
            </w: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(347)</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(benefit) expense:</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(4,960)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79,259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87,387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94,103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For all periods presented, current and deferred tax expense has been computed using our stand-alone effective rate. As of December 31, 2013, our current income tax receivable and income tax payable balances represent amounts that we will receive and pay, respectively, to the Internal Revenue Service and other tax authorities.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all periods prior to and through the Spin-Off date, we were a member of the Expedia consolidated tax group. Accordingly, Expedia filed a consolidated federal income tax return and certain state income tax returns with us for that period. Expedia has paid the entire income tax liability associated with these filings. As such, our income tax liability for this period was transferred to Expedia upon Spin-Off and was not included in income taxes payable as of December 31, 2011. Additionally, due to continuing ownership and business relationships after the Spin-Off, we have filed as part of a unitary combined group with Expedia for certain state tax returns for the 2012 and 2011 tax years. During 2013, we plan to file our state tax returns on a stand-alone basis, separate from Expedia, as our ownership and business relationships likely will not constitute a unitary relationship after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deferred tax assets and deferred tax liabilities as of December 31, 2013 and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30,081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6,829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5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59,280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47,732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(11,677)</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5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gridSpan w:val="2"/>
            <w:vMerge w:val="continue"/>
          </w:tcPr>
          <w:p>
            <w:pPr>
              <w:spacing w:after="0"/>
              <w:rPr>
                <w:sz w:val="20"/>
                <w:szCs w:val="20"/>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45,996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5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Intangible assets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Prepaid expenses</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5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(53,667)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(40,605)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40" w:type="dxa"/>
            <w:vAlign w:val="bottom"/>
            <w:vMerge w:val="restart"/>
          </w:tcPr>
          <w:p>
            <w:pPr>
              <w:jc w:val="right"/>
              <w:ind w:right="3732"/>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December 31, 2013, we had federal, state and foreign net operating loss carryforwards (“NOLs”) of approximately $ 12.5 million, $12.4 million and $51.0 million. If not utilized, the federal and state NOLs will expire at various times between 2020 and 2033 and the foreign NOLs will expire at various times between 2013 and 2031.</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2013, we had a valuation allowance of $13.3 million primarily related to foreign net operating loss carryforwards for which it is more likely than not that the tax benefit will not be realized. This amount represented an overall increase of $1.6 million over the amount recorded as of December 31, 2012.</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not provided for deferred U.S. income taxes on undistributed earnings of our foreign subsidiaries that we intend to reinvest permanently outside the United States; the total amount of such earnings as of December 31, 2013 was $481.0 million.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142"/>
        </w:trPr>
        <w:tc>
          <w:tcPr>
            <w:tcW w:w="8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the federal statutory rate of 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99,646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95,163</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(41,487)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(25,069)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(15,319)</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9,307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2,570</w:t>
            </w:r>
          </w:p>
        </w:tc>
        <w:tc>
          <w:tcPr>
            <w:tcW w:w="6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3,451</w:t>
            </w:r>
          </w:p>
        </w:tc>
        <w:tc>
          <w:tcPr>
            <w:tcW w:w="6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79,259</w:t>
            </w: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87,387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94,103</w:t>
            </w:r>
          </w:p>
        </w:tc>
        <w:tc>
          <w:tcPr>
            <w:tcW w:w="6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fourth quarter of 2012, we restructured our non-U.S. operations to align our global structure for more efficient treasury management and global cash deployment. As a result, and due to the continued expansion of our non-U.S. operations, we expect our effective tax rate to continue to decrease.</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is set to expire on June 30, 2016, with the ability to extend for another five years. This benefit resulted in a decrease to the 2013 tax provision of $4.3 million.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By virtue of previously filed consolidated income tax returns filed with Expedia, we are routinely under audit by federal, state and foreign tax authorities. We are currently under an IRS audit for the 2009 and 2010 tax years, and have various ongoing state income tax audits. As of December 31, 2013,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180"/>
              <w:spacing w:after="0" w:line="142" w:lineRule="exact"/>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$24,049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580" w:type="dxa"/>
            <w:vAlign w:val="bottom"/>
          </w:tcPr>
          <w:p>
            <w:pPr>
              <w:jc w:val="right"/>
              <w:spacing w:after="0"/>
              <w:rPr>
                <w:sz w:val="20"/>
                <w:szCs w:val="20"/>
                <w:color w:val="auto"/>
              </w:rPr>
            </w:pPr>
            <w:r>
              <w:rPr>
                <w:rFonts w:ascii="Arial" w:cs="Arial" w:eastAsia="Arial" w:hAnsi="Arial"/>
                <w:sz w:val="18"/>
                <w:szCs w:val="18"/>
                <w:color w:val="auto"/>
              </w:rPr>
              <w:t>12,158</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Settlements during current year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36,427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24,049</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December 31, 2013, we had $36.4 million of unrecognized tax benefits, which is classified as long-term and included in other long-term liabilities. Included in this balance at December 31, 2013 was $19.0 million of liabilities for uncertain tax positions that, if recognized, would decrease our provision for income taxes. We recognize interest and penalties related to unrecognized tax benefits in income tax expense. As of December 31, 2013 and 2012, total gross interest and penalties accrued was $1.7 million and $1.0 million, respectively. We estimate that none of these amounts will be paid within the next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8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14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20" w:type="dxa"/>
            <w:vAlign w:val="bottom"/>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bonus, and related benefits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21,901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charitable foundation payments (1)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21,660</w:t>
            </w:r>
          </w:p>
        </w:tc>
        <w:tc>
          <w:tcPr>
            <w:tcW w:w="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85,534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12—</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below for information regarding our charitable foundation.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$38,072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Construction liabilities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7,877</w:t>
            </w:r>
          </w:p>
        </w:tc>
        <w:tc>
          <w:tcPr>
            <w:tcW w:w="6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(3)</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52,531</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25,563</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9—Income Taxes” above for additional information on our unrecognized tax benefits. Amount includes accrued interest and penalties related to this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capitalize construction in progress and record a corresponding long-term liability for build-to-suit lease agreements where we are considered the owner during the construction period for accounting purposes only.</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primarily consist of long term deferred rent balances related to operating leases for office space.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commitments and obligations that include office space leases, vendor purchase obligations and expected interest on long-term debt, which are not accrued on the consolidated balance sheet at December 31, 2013 but we expect to require future cash outflows and in some cases may be accelerated upon demand of a third party upon certain contingent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Operating lease obligations expire at various dates with the latest maturity in December 2030. For the years ended December 31, 2013, 2012 and 2011, we recorded rental expense of $10.9 million, $7.8 million and $6.0 million, respectively.</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currently lease approximately 119,000 square feet for our corporate headquarters in Newton, Massachusetts, pursuant to a lease with an expiration date of April 2015. We also lease an aggregate of approximately 382,000 square feet at approximately 30 other locations across North America, Europe and Asia Pacific, primarily for our international management teams, sales offices, and subsidiary headquarters, pursuant to leases with expiration dates through December 2030.</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June 2013, TripAdvisor LLC (“TA LLC”), our indirect, wholly owned subsidiary, entered into a lease (the “Lease”), for a new corporate headquarters.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 TA LLC also has an option to extend the term of the Lease for two consecutive terms of five years each.</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 $1.1 million for 2015, $9.3 million for 2016, $9.3 million for 2017, $9.3 million for 2018 and $114.6 million for 2019 and thereafter. The Lease has escalating rental payments and initial periods of free rent. TA LLC was also obligated to deliver a letter of credit to the Landlord in the amount of $0.8 million as security deposit, which amount is subject to increase under certain circumstances. TA LLC also has an option to extend the term of the Lease for two consecutive terms of five years each. Subject to certain conditions, TA LLC has certain rights under the Lease, including rights of first offer to lease additional space or to purchase the Premises if the Landlord elects to sell. In connection with the Lease, TripAdvisor entered into a Guaranty (the “Guaranty”), pursuant to which TripAdvisor provides full payment and performance guaranty for all of TA LLC’s obligations under the Lease.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concluded we are the deemed owner (for accounting purposes only) of the Premises during the construction period under build to suit lease accounting. As building construction began in the fourth quarter of 2013, we recorded estimated project construction costs incurred by the landlord as an asset and a corresponding long term liability in “Property and equipment, net” and “Other long-term liabilities,” respectively, on our consolidated balance sheets. We will increase the asset and corresponding long term liability as additional building costs are incurred by the landlord during the construction period.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Once the landlord completes the construction of the Premises (estimated to be May 2015), we will evaluate the Lease in order to determine whether or not the Lease meets the criteria for “sale-leaseback” treatment. If the Lease meets the “sale-leaseback” criteria, we will remove the asset and the related liability from its consolidated balance sheet and treat the Lease as either an operating or capital lease based on the our assessment of the accounting guidance.</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the Lease does not meet “sale-leaseback” criteria, we will treat the Lease as a financing obligation and lease payments will be attributed to (1) a reduction of the principal financing obligation; (2) imputed interest expense; and (3) land lease expense (which is considered an operating lease) representing an imputed cost to lease the underlying land of the facility. In addition, the underlying building asset will be depreciated over the building’s estimated useful life. And at the conclusion of the lease term, we would de-recognize both the net book values of the asset and financing obligation. Although we will not begin making lease payments pursuant to the Lease until November 2015, the portion of the lease obligations allocated to the land is treated for accounting purposes as an operating lease that commenced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2013, we had minimum non-cancelable purchase obligations with certain of our vendors, which we expect to utilize in the ordinary course of business. The expected timing and payment amounts are listed in the table below.</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summarizes our material commitments and obligations as of December 31, 2013 and excludes amounts already recorded on the consolidated balance sheet: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By Period</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Less than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1 year</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3 years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3 to 5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5 years</w:t>
            </w: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$12,639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18,987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Build to suit lease obligation (2)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143,524</w:t>
            </w:r>
          </w:p>
        </w:tc>
        <w:tc>
          <w:tcPr>
            <w:tcW w:w="2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10,346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114,639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Expected interest payments on Term Loan (3)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244,325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18,675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38,603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152,519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future minimum rental payments for our future corporate headquarters in Needham, MA.</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included as expected interest payments on the Term Loan in this table are based on the current effective interest rate and payment terms as of December 31, 2013, but, could change significantly in the future. Amounts assume that our existing debt is repaid at maturity and do not assume additional borrowings or refinancings of existing debt. Refer to “Note 8—</w:t>
      </w:r>
      <w:r>
        <w:rPr>
          <w:rFonts w:ascii="Arial" w:cs="Arial" w:eastAsia="Arial" w:hAnsi="Arial"/>
          <w:sz w:val="18"/>
          <w:szCs w:val="18"/>
          <w:i w:val="1"/>
          <w:iCs w:val="1"/>
          <w:color w:val="auto"/>
        </w:rPr>
        <w:t>Debt</w:t>
      </w:r>
      <w:r>
        <w:rPr>
          <w:rFonts w:ascii="Arial" w:cs="Arial" w:eastAsia="Arial" w:hAnsi="Arial"/>
          <w:sz w:val="18"/>
          <w:szCs w:val="18"/>
          <w:color w:val="auto"/>
        </w:rPr>
        <w:t>” above for additional information, including principal payments expected to be paid over the next three years, on our Term Loan.</w:t>
      </w:r>
    </w:p>
    <w:p>
      <w:pPr>
        <w:spacing w:after="0" w:line="1"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Excluded from the table was $38 million of unrecognized tax benefits, including interest and penalties, that we have recorded in other long-term liabilities for which we cannot make a reasonably reliable estimate of the amount and period of payment. We estimate that none of these amounts will be paid within the next twelve months.</w:t>
      </w:r>
    </w:p>
    <w:p>
      <w:pPr>
        <w:spacing w:after="0" w:line="1" w:lineRule="exact"/>
        <w:rPr>
          <w:rFonts w:ascii="Arial" w:cs="Arial" w:eastAsia="Arial" w:hAnsi="Arial"/>
          <w:sz w:val="18"/>
          <w:szCs w:val="18"/>
          <w:color w:val="auto"/>
        </w:rPr>
      </w:pPr>
    </w:p>
    <w:p>
      <w:pPr>
        <w:ind w:left="460" w:right="20" w:hanging="452"/>
        <w:spacing w:after="0" w:line="320"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In connection with the Spin-Off, we assumed Expedia’s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2013. For a discussion regarding OIBA see “Note 16— </w:t>
      </w:r>
      <w:r>
        <w:rPr>
          <w:rFonts w:ascii="Arial" w:cs="Arial" w:eastAsia="Arial" w:hAnsi="Arial"/>
          <w:sz w:val="15"/>
          <w:szCs w:val="15"/>
          <w:i w:val="1"/>
          <w:iCs w:val="1"/>
          <w:color w:val="auto"/>
        </w:rPr>
        <w:t xml:space="preserve">Segment Information” </w:t>
      </w:r>
      <w:r>
        <w:rPr>
          <w:rFonts w:ascii="Arial" w:cs="Arial" w:eastAsia="Arial" w:hAnsi="Arial"/>
          <w:sz w:val="15"/>
          <w:szCs w:val="15"/>
          <w:color w:val="auto"/>
        </w:rPr>
        <w:t>in the notes to the consolidated and combined financial statements. This future commitment has been excluded from the table above.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spending on anticipated leasehold improvements on our Needham, Massachusetts lease, including design, development, construction costs, and the purchase and installation of equipment, net of related Landlord incentives, which we estimate will begin in the fourth quarter of 2014 thru the second quarter of 2015 and currently estimate will cost in the range of $35-$40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we have issued unused letters of credit totaling $1 million, related to our property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did not have any off-balance sheet arrangements, as defined in Item 303(a)(4)(ii) of Regulation S-K of the SEC, that have, or are reasonably likely to have, a current or future effect on our financial condition, results of operations, liquidity, capital expenditures or capital resources at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 401(k) Plan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employees were generally eligible to participate in Expedia’s retirement and savings plan (the “Expedia 401(k) Plan”) that qualified under Section 401(k) of the Internal Revenue Code until October 31, 2011. Our employees ceased to participate in the Expedia 401(k) Plan after our retirement savings plan was established on November 1, 2011 as described below. Within the Expedia 401(k) Plan, participating employees could contribute up to 50% of their pretax salary, but not more than statutory limits. We matched 50% of the first 6% of employee contributions to the plan for a maximum employer contribution of 3% of a participant’s eligible earnings. Our employer matching contributions vested after two years of continuous service. Participating employees had the option to invest in Expedia’s common stock, but there was no requirement for participating employees to invest their contribution or our matching contribution in Expedia’s common stock. Expedia also had various defined contribution plans for our international employees. Contributions to these benefit plans for our employees were $2 million for the year ended December 31, 2011,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Retirement Savings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November 1, 2011, most of our U.S. employees were eligible to participate in a new retirement and savings plan, the TripAdvisor Retirement Savings Plan (the “401(k) Plan”), that qualifies under Section 401(k) of the Internal Revenue Code. The 401(k) Plan is similar to and replaced the Expedia 401(k) Plan, allowing participating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Employees may also contribute into the 401(k)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Plan on an after-tax basis up to an annual maximum of 10%. The 401(k) Plan has an automatic enrollment feature at 3% pre-tax. We match 50% of the first 6% of employee contributions to the plan for a maximum employer contribution of 3% of a participant’s eligible earnings. The “catch up contributions”, are not eligible for employer matching contributions. The matching contributions portion of an employee’s account, vests after two years of service. Effective June 8, 2012 the 401(k) Plan permits certain after-tax Roth 401(k) contributions. Additionally, at the end of the 401 (k) Plan year, we make a discretionary matching contribution to eligible participants. This additional discretionary matching employer contribution referred to as “true up” is limited to match only contributions up to 3% of eligible compensation.</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employee’s interests were rolled into the 401(k) Plan from the Expedia 401(k) Plan in connection with the creation of our new plan on November 1, 2011. We also have various defined contribution plans for our international employees. Our contribution to the 401(k) Plan and our international defined contribution plans was not material for the period from November 1, 2011 through December 31, 2011 and $4.8 million and $3.1 million for the years ended December 31, 2013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December 20, 2011, the TripAdvisor, Inc. Deferred Compensation Plan for Non-Employee Directors (the “Plan”) became effective.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Under the 2011 Incentive Plan, 100,000 shares of TripAdvisor common stock are available for issuance to non-employee directors. There have been no shares of common stock issued from the inception of the Plan through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December 31, 2013, no preferred shares had been issued.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three directors as of December 31, 2013.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131,537,798 and 129,417,089 shares of common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stock issued and outstanding, respectively, at December 31, 2013 and 12,799,999 shares of Class B common stock issued and outstanding at December 31,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Adjustments to Invested Equity and Additional Paid-in Capital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reflects the accounting treatment related to the formation of TripAdvisor and the transfer to us by Expedia of the post-Spin-Off net assets of TripAdvisor in 2011 after giving effect to the terms provided for in the Separation Agreement between Expedia and us.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Total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Invested equity prior to Spin-Off</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693,447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Distribution to Expedia (1)</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distribution from Expedia (2)</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Receivable from Expedia extinguished, net (3)</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issued (4)</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B shares issued (4)</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Additional-Paid-In-Capital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transfer of $405.5 million in cash to Expedia in form of dividend, prior to our separation from Expedia.</w:t>
      </w:r>
    </w:p>
    <w:p>
      <w:pPr>
        <w:spacing w:after="0" w:line="15"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 the Separation Agreement, we were to retain $165 million in cash on hand immediately following the Spin-Off. The agreement also provided for a subsequent reconciliation process to ensure the appropriate amount was retained and all amounts in excess of $165 million were remitted to Expedia. The completion of this reconciliation resulted in TripAdvisor recording an additional receivable from Expedia of $7 million at December 31, 2011 which was subsequently received by us during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extinguishment of domestic intercompany receivables from Expedia, including transfers of assets and liabilities at Spin-Off.</w:t>
      </w:r>
    </w:p>
    <w:p>
      <w:pPr>
        <w:spacing w:after="0" w:line="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reclassification of 120,661,020 shares of Expedia common stock and 12,799,999 shares of Expedia Class B common stock into, in part, shares of Expedia mandatory exchangeable preferred stock that automatically, immediately following the reclassification, exchanged into 120,661,020 shares of TripAdvisor Common Stock and 12,799,999 shares of TripAdvisor Class B common stock to effect the transfer of ownership of TripAdvisor from Expedia to Expedia’s shareholders based upon a ratio of one share of the respective class of TripAdvisor common stock for each share of the respective class of Expedia common stock and the number of Expedia common and Class B common shares outstanding as of December 20, 2011 after giving effect to the one-for-two reverse stock split of Expedia shares in connection with, and immediately prior to, the Spin-Off.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 for the periods presented:</w:t>
      </w:r>
    </w:p>
    <w:p>
      <w:pPr>
        <w:spacing w:after="0" w:line="168"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0</wp:posOffset>
            </wp:positionV>
            <wp:extent cx="917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8580"/>
        <w:spacing w:after="0"/>
        <w:tabs>
          <w:tab w:leader="none" w:pos="95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-6985</wp:posOffset>
            </wp:positionV>
            <wp:extent cx="917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88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securities, net of tax (1)</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Cumulative foreign currency translation adjustments (2)</w:t>
            </w:r>
          </w:p>
        </w:tc>
        <w:tc>
          <w:tcPr>
            <w:tcW w:w="16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 (losses)</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of unrealized tax benefits of $0.1 million at both December 31, 2013 and 2012, respectively.</w:t>
      </w:r>
    </w:p>
    <w:p>
      <w:pPr>
        <w:spacing w:after="0" w:line="15"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During the year ended December 31, 2013, we repurchased 2,120,709 shares of outstanding common stock under the share repurchase program at an aggregate cost of $145.2 million. As of December 31, 2013, from the authorized share repurchase program granted by the Board of Directors we have $104.8 million remaining to repurchase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period January 1, 2013 through December 31, 2013, our Board of Directors did not declare any dividends on our outstanding common stock and do not expect to pay any dividends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Expedia and TripAdvisor</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consummation of the Spin-Off, Expedia was considered a related party under GAAP based on a number of factors, including, among others, common ownership of our shares and those of Expedia. A number of those factors no longer exist; as a result, we no longer consider Expedia a related party; however, due to the importance of our relationship with Expedia, for purposes of these financial statements for the year ended December 31, 2013, we have continued to list separately in our consolidated and combined financial statements revenue and receivables from Expedia.</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Revenue from Expedia was $217.4 million, 203.8 million and $211.0 million for the years ended December 31, 2013, 2012 and 2011, respectively, which primarily consists of click-based advertising and other advertising services provided to Expedia and its subsidiaries and is recorded at contract value, which we believe is a reasonable reflection of the value of the services provided. Revenue represented 23%, 27% and 33% of our total revenue for the years ended December 31, 2013, 2012 and 2011, respectively. Other operating expenses which were included primarily within selling and marketing expense were $6.0 million, $6.4 million, and $4.3 million for the years ended December 31, 2013, 2012 and 2011, respectively, primarily consisted of marketing expense for exit windows. The receivable balances with Expedia reflected in our consolidated balance sheets as of December 31, 2013 and December 31, 2012 were $15.8 million and $24.0 million, respectively.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the Spin-Off, our operating expenses included a shared services fee, which was $9.2 million for the year ended December 31, 2011, which was comprised of allocations from Expedia for accounting, legal, tax, corporate development, financial reporting, treasury and real estate functions and included an allocation of employee compensation within these functions.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transferred $405.5 million in cash to Expedia in the form of a dividend, prior to completion of the Spin-Off. Per the Separation Agreement we were to retain $165 million in cash on hand immediately following the Spin-off and the agreement also provided for a subsequent reconciliation process to ensure the appropriate amount was retained. The completion of this reconciliation resulted in us recording an additional receivable from Expedia of $7 million at December 31, 2011, which was subsequently received by us during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including, among others, the Separation Agreement, the Tax Sharing Agreement, the Employee Matters Agreement and Transition Services Agreement, and commercial agreements. The full texts of the Separation Agreement, the Tax Sharing Agreement, the Employee Matters Agreement and the Transition Services Agreement are incorporated by reference in this Annual Report on Form 10-K as Exhibits 2.1, 10.2, 10.3 and 10.4. TripAdvisor has satisfied its obligations under the Separation Agreement, the Employee Matters Agreement and the Transition Services Agreement. TripAdvisor continues to be subject to certain post-spin obligations under the Tax Sharing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and TripAdvisor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of December 31, 2013, Liberty beneficially owned 18,159,752 shares of our common stock and 12,799,999 shares of our Class B common stock, which shares constitute 14.0% of the outstanding shares of Common Stock and 100% of the outstanding shares of Class B Common Stock. Assuming the conversion of all of the Liberty’s shares of Class B common stock into common stock, Liberty would beneficially own 21.8%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56.8% of our voting power.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other material related party transactions with Liberty during the years ended December 31, 2013, 2012 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AND GEOGRAPHIC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one operating and reportable segment: TripAdvisor. We determined our segment based on how our chief operating decision maker manages our business, makes operating decisions, evaluates operating performance and allocates resources. The chief operating decision maker for the Company is our Chief Executive Officer.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primary operating metric for evaluating segment performance is Adjusted EBITDA. We define Adjusted EBITDA as net income (loss) plus:</w:t>
      </w:r>
    </w:p>
    <w:p>
      <w:pPr>
        <w:spacing w:after="0" w:line="38" w:lineRule="exact"/>
        <w:rPr>
          <w:sz w:val="20"/>
          <w:szCs w:val="20"/>
          <w:color w:val="auto"/>
        </w:rPr>
      </w:pPr>
    </w:p>
    <w:p>
      <w:pPr>
        <w:ind w:right="340" w:firstLine="8"/>
        <w:spacing w:after="0" w:line="254"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for income taxes; (2) other (income) expense, net; (3) depreciation of property and equipment, including internal use software and website development; (4) amortization of intangible assets; (5) stock-based compensation; and (6) non-recurring expenses. Such amounts are detailed in our segment reconciliation below. In addition, please see our discussion of Adjusted EBITDA in the section of this Annual Report on Form 10-K entitled “Management’s Discussion and Analysis of Financial Condition and Results of Operations.”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358"/>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$378,753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$352,474</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$322,918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Depreciation (1)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(29,495)</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(19,966)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(18,362)</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349,258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332,508</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304,556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(5,731)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(6,110)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(7,523)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(48,953)</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(30,102)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(17,344)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Spin-Off costs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(6,932)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(9,872)</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(14,321)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(79,259)</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(87,387)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(94,103)</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205,443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194,588</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177,791</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amortization of internal use software and website development costs.</w:t>
      </w:r>
    </w:p>
    <w:p>
      <w:pPr>
        <w:spacing w:after="0" w:line="15"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define OIBA as net income (loss) plus: (1) provision for income taxes; (2) other (income) expense, net; (3) amortization of intangible assets; (4) stock-based compensation; and (5) non-recurring expenses. This operating metric is only used by our management to calculate our annual obligation for our charitable foundation. Refer to “Note 12—</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above for a discussion of our charitable foundation.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Geographic Information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 revenue from selling room nights on our transactional sites, vacation rentals, and other revenue including content licensing.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revenue by product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gridSpan w:val="2"/>
          </w:tcPr>
          <w:p>
            <w:pPr>
              <w:jc w:val="center"/>
              <w:ind w:left="442"/>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$ 696,046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$ 587,781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$ 499,993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680" w:type="dxa"/>
            <w:vAlign w:val="bottom"/>
          </w:tcPr>
          <w:p>
            <w:pPr>
              <w:jc w:val="right"/>
              <w:spacing w:after="0"/>
              <w:rPr>
                <w:sz w:val="20"/>
                <w:szCs w:val="20"/>
                <w:color w:val="auto"/>
              </w:rPr>
            </w:pPr>
            <w:r>
              <w:rPr>
                <w:rFonts w:ascii="Arial" w:cs="Arial" w:eastAsia="Arial" w:hAnsi="Arial"/>
                <w:sz w:val="18"/>
                <w:szCs w:val="18"/>
                <w:color w:val="auto"/>
              </w:rPr>
              <w:t>118,964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94,147</w:t>
            </w: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85,736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129,651</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51,334</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$ 944,661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$ 762,966</w:t>
            </w:r>
          </w:p>
        </w:tc>
        <w:tc>
          <w:tcPr>
            <w:tcW w:w="5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$ 637,063</w:t>
            </w:r>
          </w:p>
        </w:tc>
      </w:tr>
      <w:tr>
        <w:trPr>
          <w:trHeight w:val="20"/>
        </w:trPr>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361"/>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880" w:type="dxa"/>
            <w:vAlign w:val="bottom"/>
            <w:gridSpan w:val="3"/>
          </w:tcPr>
          <w:p>
            <w:pPr>
              <w:jc w:val="right"/>
              <w:ind w:right="80"/>
              <w:spacing w:after="0"/>
              <w:rPr>
                <w:sz w:val="20"/>
                <w:szCs w:val="20"/>
                <w:color w:val="auto"/>
              </w:rPr>
            </w:pPr>
            <w:r>
              <w:rPr>
                <w:rFonts w:ascii="Arial" w:cs="Arial" w:eastAsia="Arial" w:hAnsi="Arial"/>
                <w:sz w:val="18"/>
                <w:szCs w:val="18"/>
                <w:color w:val="auto"/>
              </w:rPr>
              <w:t>$ 462,920</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$ 386,211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$ 348,066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3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119,041</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110,213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99,646</w:t>
            </w: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All other countries</w:t>
            </w:r>
          </w:p>
        </w:tc>
        <w:tc>
          <w:tcPr>
            <w:tcW w:w="3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362,700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266,542</w:t>
            </w: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189,351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$ 944,661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$ 762,966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$ 637,063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120" w:type="dxa"/>
            <w:vAlign w:val="bottom"/>
            <w:vMerge w:val="restart"/>
          </w:tcPr>
          <w:p>
            <w:pPr>
              <w:jc w:val="right"/>
              <w:ind w:right="1312"/>
              <w:spacing w:after="0"/>
              <w:rPr>
                <w:sz w:val="20"/>
                <w:szCs w:val="20"/>
                <w:color w:val="auto"/>
              </w:rPr>
            </w:pPr>
            <w:r>
              <w:rPr>
                <w:rFonts w:ascii="Arial" w:cs="Arial" w:eastAsia="Arial" w:hAnsi="Arial"/>
                <w:sz w:val="18"/>
                <w:szCs w:val="18"/>
                <w:color w:val="auto"/>
              </w:rPr>
              <w:t>108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property and equipment, net for the United States and all other countries based on the geographic location of the assets for the periods presented: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$67,275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14,253</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81,528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43,802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INCOME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other income (expense), net,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180"/>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loss, realized and unrealized, on foreign exchange and foreign currency derivative contracts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non-operating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(1,326)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(230)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7760" w:type="dxa"/>
            <w:vAlign w:val="bottom"/>
            <w:vMerge w:val="restart"/>
          </w:tcPr>
          <w:p>
            <w:pPr>
              <w:jc w:val="right"/>
              <w:ind w:right="1832"/>
              <w:spacing w:after="0"/>
              <w:rPr>
                <w:sz w:val="20"/>
                <w:szCs w:val="20"/>
                <w:color w:val="auto"/>
              </w:rPr>
            </w:pPr>
            <w:r>
              <w:rPr>
                <w:rFonts w:ascii="Arial" w:cs="Arial" w:eastAsia="Arial" w:hAnsi="Arial"/>
                <w:sz w:val="18"/>
                <w:szCs w:val="18"/>
                <w:color w:val="auto"/>
              </w:rPr>
              <w:t>109</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2013. The results for any quarter are not necessarily indicative of future quarterly results and, accordingly, period to period comparisons should not be relied upon as an indication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March 31</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4"/>
              </w:rPr>
              <w:t>June 30</w:t>
            </w:r>
          </w:p>
        </w:tc>
        <w:tc>
          <w:tcPr>
            <w:tcW w:w="122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right"/>
              <w:ind w:right="612"/>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Revenue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229,919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w w:val="86"/>
              </w:rPr>
              <w:t>246,937</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255,136</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212,669</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88,303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94,118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83,694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28,459</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62,299</w:t>
            </w:r>
          </w:p>
        </w:tc>
        <w:tc>
          <w:tcPr>
            <w:tcW w:w="30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66,988</w:t>
            </w:r>
          </w:p>
        </w:tc>
        <w:tc>
          <w:tcPr>
            <w:tcW w:w="3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55,882</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20,274</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62,299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66,988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55,882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0.44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0.47</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0.46</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0.38</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183,715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6"/>
              </w:rPr>
              <w:t>197,148</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212,710</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169,393</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income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73,377</w:t>
            </w:r>
          </w:p>
        </w:tc>
        <w:tc>
          <w:tcPr>
            <w:tcW w:w="30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83,678</w:t>
            </w:r>
          </w:p>
        </w:tc>
        <w:tc>
          <w:tcPr>
            <w:tcW w:w="3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92,249</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46,992</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48,171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53,165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59,535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TripAdvisor, Inc.</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48,111</w:t>
            </w:r>
          </w:p>
        </w:tc>
        <w:tc>
          <w:tcPr>
            <w:tcW w:w="300" w:type="dxa"/>
            <w:vAlign w:val="bottom"/>
          </w:tcPr>
          <w:p>
            <w:pPr>
              <w:spacing w:after="0"/>
              <w:rPr>
                <w:sz w:val="18"/>
                <w:szCs w:val="18"/>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53,019</w:t>
            </w:r>
          </w:p>
        </w:tc>
        <w:tc>
          <w:tcPr>
            <w:tcW w:w="3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59,360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33,579</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0.37</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0.41</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r>
      <w:tr>
        <w:trPr>
          <w:trHeight w:val="356"/>
        </w:trPr>
        <w:tc>
          <w:tcPr>
            <w:tcW w:w="4340" w:type="dxa"/>
            <w:vAlign w:val="bottom"/>
          </w:tcPr>
          <w:p>
            <w:pPr>
              <w:spacing w:after="0"/>
              <w:rPr>
                <w:sz w:val="24"/>
                <w:szCs w:val="24"/>
                <w:color w:val="auto"/>
              </w:rPr>
            </w:pPr>
          </w:p>
        </w:tc>
        <w:tc>
          <w:tcPr>
            <w:tcW w:w="2860" w:type="dxa"/>
            <w:vAlign w:val="bottom"/>
          </w:tcPr>
          <w:p>
            <w:pPr>
              <w:jc w:val="right"/>
              <w:ind w:right="127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2013,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control over financial reporting described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Framework(1992) </w:t>
      </w:r>
      <w:r>
        <w:rPr>
          <w:rFonts w:ascii="Arial" w:cs="Arial" w:eastAsia="Arial" w:hAnsi="Arial"/>
          <w:sz w:val="16"/>
          <w:szCs w:val="16"/>
          <w:color w:val="auto"/>
        </w:rPr>
        <w:t>issued by the Committee of Sponsoring Organizations of the Treadway Commission.</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Company’s management evaluated the effectiveness of the Company’s internal control over financial reporting as of December 31, 2013, excluding an assessment of internal control over financial reporting of Jetsetter and its subsidiaries, which was acquired on April 9, 2013 and whose consolidated financial statements represent less than 1 percent of total assets and less than 1 percent of total revenue of the Company’s consolidated financial statement amounts as of and for the year ended December 31, 2013. Based on this evaluation, management has concluded that, as of December 31, 2013, our internal control over financial reporting was effective. Management has reviewed its assessment with the Audit Committee. Ernst &amp; Young LLP, an independent registered public accounting firm, has audited the effectiveness of our internal control over financial reporting as of December 31, 2013, as stated in their report which is included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TripAdvisor, Inc.</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TripAdvisor, Inc.’s internal control over financial reporting as of December 31, 2013 based on criteria established in Internal Control-Integrated Framework issued by the Committee of Sponsoring Organizations of the Treadway Commission (1992 framework) (the COSO criteria). TripAdvisor,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changes in conditions, or that the degree of compliance with the policies or procedures may deteriorate.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JetSetter and its subsidiaries which is included in the 2013 consolidated financial statements of TripAdvisor, Inc. and constituted less than 1 percent of total assets and less than 1 percent of total revenues for the year then ended. Our audit of internal control over financial reporting of TripAdvisor, Inc. also did not include an evaluation of the internal control over financial reporting of JetSetter and its subsidiaries.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TripAdvisor, Inc. maintained, in all material respects, effective internal control over financial reporting as of December 31, 2013, based on the COSO criteria.</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TripAdvisor, Inc. as of December 31, 2013 and 2012, and the related consolidated statements of operations, comprehensive income, stockholders’ equity, and cash flows for each of the three years in the period ended December 31, 2013 of TripAdvisor, Inc. and our report dated February 11, 2014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2014 Proxy Statement, which proxy statement will be filed with the Securities and Exchange Commission not later than 120 days after the close of our fiscal year ended December 31, 2013.</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2014 Proxy Statement, which proxy statement will be filed with the Securities and Exchange Commission not later than 120 days after the close of our fiscal year ended December 31, 2013.</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2014 Proxy Statement, which proxy statement will be filed with the Securities and Exchange Commission not later than 120 days after the close of our fiscal year ended December 31, 2013.</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2014 Proxy Statement, which proxy statement will be filed with the Securities and Exchange Commission not later than 120 days after the close of our fiscal year ended December 31, 2013.</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2014 Proxy Statement, which proxy statement will be filed with the Securities and Exchange Commission not later than 120 days after the close of our fiscal year ended December 31, 2013.</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24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90" w:lineRule="exact"/>
        <w:rPr>
          <w:sz w:val="20"/>
          <w:szCs w:val="20"/>
          <w:color w:val="auto"/>
        </w:rPr>
      </w:pPr>
    </w:p>
    <w:p>
      <w:pPr>
        <w:ind w:left="1480" w:right="20" w:hanging="567"/>
        <w:spacing w:after="0" w:line="268" w:lineRule="auto"/>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Consolidated and Combined Financial Statements</w:t>
      </w:r>
      <w:r>
        <w:rPr>
          <w:rFonts w:ascii="Arial" w:cs="Arial" w:eastAsia="Arial" w:hAnsi="Arial"/>
          <w:sz w:val="18"/>
          <w:szCs w:val="18"/>
          <w:color w:val="auto"/>
        </w:rPr>
        <w:t>: The consolidated and combined financial statements and report of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are included in Part II, Item 8.</w:t>
      </w:r>
    </w:p>
    <w:p>
      <w:pPr>
        <w:spacing w:after="0" w:line="51" w:lineRule="exact"/>
        <w:rPr>
          <w:sz w:val="20"/>
          <w:szCs w:val="20"/>
          <w:color w:val="auto"/>
        </w:rPr>
      </w:pPr>
    </w:p>
    <w:p>
      <w:pPr>
        <w:ind w:left="920" w:right="820"/>
        <w:spacing w:after="0" w:line="268"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and combined financial statements or in the notes thereto.</w:t>
      </w:r>
    </w:p>
    <w:p>
      <w:pPr>
        <w:spacing w:after="0" w:line="51" w:lineRule="exact"/>
        <w:rPr>
          <w:sz w:val="20"/>
          <w:szCs w:val="20"/>
          <w:color w:val="auto"/>
        </w:rPr>
      </w:pPr>
    </w:p>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Exhibits: The attached list of exhibits in the “Exhibit Index” immediately preceding the exhibits to this annual report is incorporated herein by reference in response to this item.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Section 13 or 15(d)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7520"/>
        <w:spacing w:after="0"/>
        <w:tabs>
          <w:tab w:leader="none" w:pos="79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10795</wp:posOffset>
            </wp:positionV>
            <wp:extent cx="21697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2"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February 11, 2014</w:t>
      </w:r>
      <w:r>
        <w:rPr>
          <w:sz w:val="20"/>
          <w:szCs w:val="20"/>
          <w:color w:val="auto"/>
        </w:rPr>
        <w:tab/>
      </w:r>
      <w:r>
        <w:rPr>
          <w:rFonts w:ascii="Arial" w:cs="Arial" w:eastAsia="Arial" w:hAnsi="Arial"/>
          <w:sz w:val="15"/>
          <w:szCs w:val="15"/>
          <w:color w:val="auto"/>
        </w:rPr>
        <w:t>Stephen Kaufer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 and President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Julie M.B. Bradley,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Chief Executive Officer, President and Director</w:t>
            </w:r>
          </w:p>
        </w:tc>
      </w:tr>
      <w:tr>
        <w:trPr>
          <w:trHeight w:val="218"/>
        </w:trPr>
        <w:tc>
          <w:tcPr>
            <w:tcW w:w="2900" w:type="dxa"/>
            <w:vAlign w:val="bottom"/>
            <w:gridSpan w:val="2"/>
          </w:tcPr>
          <w:p>
            <w:pPr>
              <w:spacing w:after="0"/>
              <w:rPr>
                <w:sz w:val="20"/>
                <w:szCs w:val="20"/>
                <w:color w:val="auto"/>
              </w:rPr>
            </w:pPr>
            <w:r>
              <w:rPr>
                <w:rFonts w:ascii="Arial" w:cs="Arial" w:eastAsia="Arial" w:hAnsi="Arial"/>
                <w:sz w:val="18"/>
                <w:szCs w:val="18"/>
                <w:color w:val="auto"/>
              </w:rPr>
              <w:t>Stephen Kaufer</w:t>
            </w:r>
          </w:p>
        </w:tc>
        <w:tc>
          <w:tcPr>
            <w:tcW w:w="2280" w:type="dxa"/>
            <w:vAlign w:val="bottom"/>
          </w:tcPr>
          <w:p>
            <w:pPr>
              <w:spacing w:after="0"/>
              <w:rPr>
                <w:sz w:val="18"/>
                <w:szCs w:val="18"/>
                <w:color w:val="auto"/>
              </w:rPr>
            </w:pPr>
          </w:p>
        </w:tc>
        <w:tc>
          <w:tcPr>
            <w:tcW w:w="4900" w:type="dxa"/>
            <w:vAlign w:val="bottom"/>
            <w:gridSpan w:val="3"/>
          </w:tcPr>
          <w:p>
            <w:pPr>
              <w:jc w:val="center"/>
              <w:ind w:left="1472"/>
              <w:spacing w:after="0" w:line="202" w:lineRule="exact"/>
              <w:rPr>
                <w:sz w:val="20"/>
                <w:szCs w:val="20"/>
                <w:color w:val="auto"/>
              </w:rPr>
            </w:pPr>
            <w:r>
              <w:rPr>
                <w:rFonts w:ascii="Arial" w:cs="Arial" w:eastAsia="Arial" w:hAnsi="Arial"/>
                <w:sz w:val="18"/>
                <w:szCs w:val="18"/>
                <w:color w:val="auto"/>
                <w:w w:val="92"/>
              </w:rPr>
              <w:t>(Principal Executive Officer)</w:t>
            </w:r>
          </w:p>
        </w:tc>
      </w:tr>
      <w:tr>
        <w:trPr>
          <w:trHeight w:val="329"/>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JULIE M.B. BRADLEY</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Chief Financial Officer</w:t>
            </w:r>
          </w:p>
        </w:tc>
      </w:tr>
      <w:tr>
        <w:trPr>
          <w:trHeight w:val="218"/>
        </w:trPr>
        <w:tc>
          <w:tcPr>
            <w:tcW w:w="2900" w:type="dxa"/>
            <w:vAlign w:val="bottom"/>
            <w:gridSpan w:val="2"/>
          </w:tcPr>
          <w:p>
            <w:pPr>
              <w:spacing w:after="0"/>
              <w:rPr>
                <w:sz w:val="20"/>
                <w:szCs w:val="20"/>
                <w:color w:val="auto"/>
              </w:rPr>
            </w:pPr>
            <w:r>
              <w:rPr>
                <w:rFonts w:ascii="Arial" w:cs="Arial" w:eastAsia="Arial" w:hAnsi="Arial"/>
                <w:sz w:val="18"/>
                <w:szCs w:val="18"/>
                <w:color w:val="auto"/>
              </w:rPr>
              <w:t>Julie M.B. Bradley</w:t>
            </w:r>
          </w:p>
        </w:tc>
        <w:tc>
          <w:tcPr>
            <w:tcW w:w="2280" w:type="dxa"/>
            <w:vAlign w:val="bottom"/>
          </w:tcPr>
          <w:p>
            <w:pPr>
              <w:spacing w:after="0"/>
              <w:rPr>
                <w:sz w:val="18"/>
                <w:szCs w:val="18"/>
                <w:color w:val="auto"/>
              </w:rPr>
            </w:pPr>
          </w:p>
        </w:tc>
        <w:tc>
          <w:tcPr>
            <w:tcW w:w="4900" w:type="dxa"/>
            <w:vAlign w:val="bottom"/>
            <w:gridSpan w:val="3"/>
          </w:tcPr>
          <w:p>
            <w:pPr>
              <w:jc w:val="center"/>
              <w:ind w:left="1472"/>
              <w:spacing w:after="0" w:line="202" w:lineRule="exact"/>
              <w:rPr>
                <w:sz w:val="20"/>
                <w:szCs w:val="20"/>
                <w:color w:val="auto"/>
              </w:rPr>
            </w:pPr>
            <w:r>
              <w:rPr>
                <w:rFonts w:ascii="Arial" w:cs="Arial" w:eastAsia="Arial" w:hAnsi="Arial"/>
                <w:sz w:val="18"/>
                <w:szCs w:val="18"/>
                <w:color w:val="auto"/>
                <w:w w:val="90"/>
              </w:rPr>
              <w:t>(Principal Financial and Accounting Officer)</w:t>
            </w: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B. MAFFEI</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Chairman of the Board</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Gregory B. Maffei</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F. MILLER</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Jonathan F. Miller</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DIPCHAND V. NISHAR</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Dipchand V. Nishar</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JEREMY PHILIPS</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Jeremy Philips</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SPENCER M. RASCOFF</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Spencer M. Rascoff</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W. SHEAN</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Christopher W. Shean</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SUKINDER SINGH CASSIDY</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Sukinder Singh Cassidy</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 WIESENTHAL</w:t>
            </w:r>
          </w:p>
        </w:tc>
        <w:tc>
          <w:tcPr>
            <w:tcW w:w="228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1472"/>
              <w:spacing w:after="0"/>
              <w:rPr>
                <w:sz w:val="20"/>
                <w:szCs w:val="20"/>
                <w:color w:val="auto"/>
              </w:rPr>
            </w:pPr>
            <w:r>
              <w:rPr>
                <w:rFonts w:ascii="Arial" w:cs="Arial" w:eastAsia="Arial" w:hAnsi="Arial"/>
                <w:sz w:val="18"/>
                <w:szCs w:val="18"/>
                <w:color w:val="auto"/>
                <w:w w:val="91"/>
              </w:rPr>
              <w:t>Director</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Robert S. Wiesenthal</w:t>
            </w: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70"/>
        </w:trPr>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80" w:type="dxa"/>
            <w:vAlign w:val="bottom"/>
            <w:gridSpan w:val="2"/>
          </w:tcPr>
          <w:p>
            <w:pPr>
              <w:jc w:val="right"/>
              <w:ind w:right="2352"/>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EXHIBIT INDEX</w:t>
            </w:r>
          </w:p>
        </w:tc>
      </w:tr>
      <w:tr>
        <w:trPr>
          <w:trHeight w:val="491"/>
        </w:trPr>
        <w:tc>
          <w:tcPr>
            <w:tcW w:w="400" w:type="dxa"/>
            <w:vAlign w:val="bottom"/>
          </w:tcPr>
          <w:p>
            <w:pPr>
              <w:jc w:val="right"/>
              <w:spacing w:after="0"/>
              <w:rPr>
                <w:sz w:val="20"/>
                <w:szCs w:val="20"/>
                <w:color w:val="auto"/>
              </w:rPr>
            </w:pPr>
            <w:r>
              <w:rPr>
                <w:rFonts w:ascii="Arial" w:cs="Arial" w:eastAsia="Arial" w:hAnsi="Arial"/>
                <w:sz w:val="14"/>
                <w:szCs w:val="14"/>
                <w:color w:val="auto"/>
                <w:w w:val="90"/>
              </w:rPr>
              <w:t>Exhibit</w:t>
            </w: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79"/>
        </w:trPr>
        <w:tc>
          <w:tcPr>
            <w:tcW w:w="4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No.</w:t>
            </w:r>
          </w:p>
        </w:tc>
        <w:tc>
          <w:tcPr>
            <w:tcW w:w="2940" w:type="dxa"/>
            <w:vAlign w:val="bottom"/>
          </w:tcPr>
          <w:p>
            <w:pPr>
              <w:spacing w:after="0"/>
              <w:rPr>
                <w:sz w:val="15"/>
                <w:szCs w:val="15"/>
                <w:color w:val="auto"/>
              </w:rPr>
            </w:pPr>
          </w:p>
        </w:tc>
        <w:tc>
          <w:tcPr>
            <w:tcW w:w="112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3"/>
              </w:rPr>
              <w:t>Exhibit Description</w:t>
            </w:r>
          </w:p>
        </w:tc>
        <w:tc>
          <w:tcPr>
            <w:tcW w:w="2420" w:type="dxa"/>
            <w:vAlign w:val="bottom"/>
          </w:tcPr>
          <w:p>
            <w:pPr>
              <w:spacing w:after="0"/>
              <w:rPr>
                <w:sz w:val="15"/>
                <w:szCs w:val="15"/>
                <w:color w:val="auto"/>
              </w:rPr>
            </w:pPr>
          </w:p>
        </w:tc>
      </w:tr>
      <w:tr>
        <w:trPr>
          <w:trHeight w:val="195"/>
        </w:trPr>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c>
          <w:tcPr>
            <w:tcW w:w="4060" w:type="dxa"/>
            <w:vAlign w:val="bottom"/>
            <w:gridSpan w:val="2"/>
          </w:tcPr>
          <w:p>
            <w:pPr>
              <w:ind w:left="480"/>
              <w:spacing w:after="0" w:line="195" w:lineRule="exact"/>
              <w:rPr>
                <w:sz w:val="20"/>
                <w:szCs w:val="20"/>
                <w:color w:val="auto"/>
              </w:rPr>
            </w:pPr>
            <w:r>
              <w:rPr>
                <w:rFonts w:ascii="Arial" w:cs="Arial" w:eastAsia="Arial" w:hAnsi="Arial"/>
                <w:sz w:val="18"/>
                <w:szCs w:val="18"/>
                <w:color w:val="auto"/>
                <w:w w:val="86"/>
              </w:rPr>
              <w:t>Separation Agreement by and between TripAdvisor,</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7"/>
              </w:rPr>
              <w:t>Inc. and Expedia, Inc., dated as</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Restated Certificate of Incorporation of TripAdvisor, Inc.</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Amended and Restated Bylaws of TripAdvisor, Inc.</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Amended No. 1 to Amended and Restated Bylaws of TripAdvisor, Inc.</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3"/>
              </w:rPr>
              <w:t>Equity Warrant Agreement by and between TripAdvisor, Inc. and Mellon Investor</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Services LLC, as Equity Warrant Agent, dated as 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Specimen TripAdvisor, Inc. Common Stock Certificate</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9"/>
              </w:rPr>
              <w:t>Governance Agreement, by and among TripAdvisor, Inc., Liberty Interactive</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Corporation and Barry Diller, dated as 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87"/>
              </w:rPr>
              <w:t>Tax Sharing Agreement by and between TripAdvisor, Inc. and Expedia, Inc., dated as</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10.3</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1"/>
              </w:rPr>
              <w:t>Employee Matters Agreement by and between TripAdvisor, Inc. and Expedia, Inc.,</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dated as 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0"/>
              </w:rPr>
              <w:t>Transition Services Agreement by and between TripAdvisor, Inc. and Expedia, Inc.,</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dated as of December 20, 2011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0"/>
              </w:rPr>
              <w:t>Sublease between Newton Technology Park LLC and TripAdvisor LLC, dated as of</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October 31, 2007</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10.6</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First Amendment to Sublease between Newton Technology Park LLC and</w:t>
            </w:r>
          </w:p>
        </w:tc>
      </w:tr>
      <w:tr>
        <w:trPr>
          <w:trHeight w:val="216"/>
        </w:trPr>
        <w:tc>
          <w:tcPr>
            <w:tcW w:w="400" w:type="dxa"/>
            <w:vAlign w:val="bottom"/>
          </w:tcPr>
          <w:p>
            <w:pPr>
              <w:spacing w:after="0"/>
              <w:rPr>
                <w:sz w:val="18"/>
                <w:szCs w:val="18"/>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rPr>
              <w:t>TripAdvisor LLC, dated as of June 15, 2009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96"/>
              </w:rPr>
              <w:t>10.7</w:t>
            </w: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6"/>
              </w:rPr>
              <w:t>Credit Agreement, by and among TripAdvisor, TripAdvisor Holdings, LLC, and</w:t>
            </w:r>
          </w:p>
        </w:tc>
      </w:tr>
      <w:tr>
        <w:trPr>
          <w:trHeight w:val="222"/>
        </w:trPr>
        <w:tc>
          <w:tcPr>
            <w:tcW w:w="400" w:type="dxa"/>
            <w:vAlign w:val="bottom"/>
          </w:tcPr>
          <w:p>
            <w:pPr>
              <w:spacing w:after="0"/>
              <w:rPr>
                <w:sz w:val="19"/>
                <w:szCs w:val="19"/>
                <w:color w:val="auto"/>
              </w:rPr>
            </w:pPr>
          </w:p>
        </w:tc>
        <w:tc>
          <w:tcPr>
            <w:tcW w:w="6480" w:type="dxa"/>
            <w:vAlign w:val="bottom"/>
            <w:gridSpan w:val="3"/>
          </w:tcPr>
          <w:p>
            <w:pPr>
              <w:ind w:left="480"/>
              <w:spacing w:after="0"/>
              <w:rPr>
                <w:sz w:val="20"/>
                <w:szCs w:val="20"/>
                <w:color w:val="auto"/>
              </w:rPr>
            </w:pPr>
            <w:r>
              <w:rPr>
                <w:rFonts w:ascii="Arial" w:cs="Arial" w:eastAsia="Arial" w:hAnsi="Arial"/>
                <w:sz w:val="18"/>
                <w:szCs w:val="18"/>
                <w:color w:val="auto"/>
                <w:w w:val="99"/>
              </w:rPr>
              <w:t>TripAdvisor LLC, the lenders party thereto, JPMorgan Chase Bank, N.A., as</w:t>
            </w:r>
          </w:p>
        </w:tc>
      </w:tr>
    </w:tbl>
    <w:p>
      <w:pPr>
        <w:ind w:left="920" w:right="120"/>
        <w:spacing w:after="0" w:line="261" w:lineRule="auto"/>
        <w:rPr>
          <w:sz w:val="20"/>
          <w:szCs w:val="20"/>
          <w:color w:val="auto"/>
        </w:rPr>
      </w:pPr>
      <w:r>
        <w:rPr>
          <w:rFonts w:ascii="Arial" w:cs="Arial" w:eastAsia="Arial" w:hAnsi="Arial"/>
          <w:sz w:val="18"/>
          <w:szCs w:val="18"/>
          <w:color w:val="auto"/>
        </w:rPr>
        <w:t>administrative agent, and J.P. Morgan Europe Limited, as London agent, dated as of December 20, 2011</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w w:val="97"/>
              </w:rPr>
              <w:t>Incorporated by Reference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5"/>
        </w:trPr>
        <w:tc>
          <w:tcPr>
            <w:tcW w:w="7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5"/>
              </w:rPr>
              <w:t>Filed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5"/>
              </w:rPr>
              <w:t>Exhibit</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Filing</w:t>
            </w:r>
          </w:p>
        </w:tc>
      </w:tr>
      <w:tr>
        <w:trPr>
          <w:trHeight w:val="159"/>
        </w:trPr>
        <w:tc>
          <w:tcPr>
            <w:tcW w:w="7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0"/>
              </w:rPr>
              <w:t>Herewith</w:t>
            </w:r>
          </w:p>
        </w:tc>
        <w:tc>
          <w:tcPr>
            <w:tcW w:w="7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Form</w:t>
            </w:r>
          </w:p>
        </w:tc>
        <w:tc>
          <w:tcPr>
            <w:tcW w:w="14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SEC File No.</w:t>
            </w:r>
          </w:p>
        </w:tc>
        <w:tc>
          <w:tcPr>
            <w:tcW w:w="6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1"/>
              </w:rPr>
              <w:t>No.</w:t>
            </w:r>
          </w:p>
        </w:tc>
        <w:tc>
          <w:tcPr>
            <w:tcW w:w="700" w:type="dxa"/>
            <w:vAlign w:val="bottom"/>
          </w:tcPr>
          <w:p>
            <w:pPr>
              <w:jc w:val="center"/>
              <w:spacing w:after="0" w:line="159" w:lineRule="exact"/>
              <w:rPr>
                <w:sz w:val="20"/>
                <w:szCs w:val="20"/>
                <w:color w:val="auto"/>
              </w:rPr>
            </w:pPr>
            <w:r>
              <w:rPr>
                <w:rFonts w:ascii="Arial" w:cs="Arial" w:eastAsia="Arial" w:hAnsi="Arial"/>
                <w:sz w:val="14"/>
                <w:szCs w:val="14"/>
                <w:color w:val="auto"/>
                <w:w w:val="87"/>
              </w:rPr>
              <w:t>Date</w:t>
            </w:r>
          </w:p>
        </w:tc>
      </w:tr>
      <w:tr>
        <w:trPr>
          <w:trHeight w:val="216"/>
        </w:trPr>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12/27/11</w:t>
            </w:r>
          </w:p>
        </w:tc>
      </w:tr>
      <w:tr>
        <w:trPr>
          <w:trHeight w:val="404"/>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2/12/13</w:t>
            </w: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426"/>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S-4/A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10/24/11</w:t>
            </w: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S-4/A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10/24/11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S-4/A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10/24/11</w:t>
            </w: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12/27/11</w:t>
            </w:r>
          </w:p>
        </w:tc>
      </w:tr>
    </w:tbl>
    <w:p>
      <w:pPr>
        <w:sectPr>
          <w:pgSz w:w="11900" w:h="16838" w:orient="portrait"/>
          <w:cols w:equalWidth="0" w:num="2">
            <w:col w:w="6920" w:space="240"/>
            <w:col w:w="426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5"/>
              </w:rPr>
              <w:t>Exhibit</w:t>
            </w:r>
          </w:p>
        </w:tc>
        <w:tc>
          <w:tcPr>
            <w:tcW w:w="2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4"/>
              </w:rPr>
              <w:t>Incorporated by Reference</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2"/>
              </w:rPr>
              <w:t>Filed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5"/>
              </w:rPr>
              <w:t>Exhibit</w:t>
            </w:r>
          </w:p>
        </w:tc>
        <w:tc>
          <w:tcPr>
            <w:tcW w:w="680" w:type="dxa"/>
            <w:vAlign w:val="bottom"/>
          </w:tcPr>
          <w:p>
            <w:pPr>
              <w:jc w:val="center"/>
              <w:spacing w:after="0" w:line="129" w:lineRule="exact"/>
              <w:rPr>
                <w:sz w:val="20"/>
                <w:szCs w:val="20"/>
                <w:color w:val="auto"/>
              </w:rPr>
            </w:pPr>
            <w:r>
              <w:rPr>
                <w:rFonts w:ascii="Arial" w:cs="Arial" w:eastAsia="Arial" w:hAnsi="Arial"/>
                <w:sz w:val="14"/>
                <w:szCs w:val="14"/>
                <w:color w:val="auto"/>
                <w:w w:val="95"/>
              </w:rPr>
              <w:t>Filing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No.</w:t>
            </w:r>
          </w:p>
        </w:tc>
        <w:tc>
          <w:tcPr>
            <w:tcW w:w="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4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Exhibit Description</w:t>
            </w:r>
          </w:p>
        </w:tc>
        <w:tc>
          <w:tcPr>
            <w:tcW w:w="76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4"/>
              </w:rPr>
              <w:t>Herewith</w:t>
            </w:r>
          </w:p>
        </w:tc>
        <w:tc>
          <w:tcPr>
            <w:tcW w:w="60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91"/>
              </w:rPr>
              <w:t>Form</w:t>
            </w:r>
          </w:p>
        </w:tc>
        <w:tc>
          <w:tcPr>
            <w:tcW w:w="122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SEC File No.</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1"/>
              </w:rPr>
              <w:t>No.</w:t>
            </w:r>
          </w:p>
        </w:tc>
        <w:tc>
          <w:tcPr>
            <w:tcW w:w="680" w:type="dxa"/>
            <w:vAlign w:val="bottom"/>
          </w:tcPr>
          <w:p>
            <w:pPr>
              <w:jc w:val="center"/>
              <w:spacing w:after="0" w:line="129"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75"/>
        </w:trPr>
        <w:tc>
          <w:tcPr>
            <w:tcW w:w="420" w:type="dxa"/>
            <w:vAlign w:val="bottom"/>
            <w:gridSpan w:val="2"/>
          </w:tcPr>
          <w:p>
            <w:pPr>
              <w:spacing w:after="0" w:line="175"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5"/>
                <w:szCs w:val="15"/>
                <w:color w:val="auto"/>
              </w:rPr>
            </w:pPr>
          </w:p>
        </w:tc>
        <w:tc>
          <w:tcPr>
            <w:tcW w:w="2760" w:type="dxa"/>
            <w:vAlign w:val="bottom"/>
          </w:tcPr>
          <w:p>
            <w:pPr>
              <w:ind w:left="240"/>
              <w:spacing w:after="0" w:line="175" w:lineRule="exact"/>
              <w:rPr>
                <w:sz w:val="20"/>
                <w:szCs w:val="20"/>
                <w:color w:val="auto"/>
              </w:rPr>
            </w:pPr>
            <w:r>
              <w:rPr>
                <w:rFonts w:ascii="Arial" w:cs="Arial" w:eastAsia="Arial" w:hAnsi="Arial"/>
                <w:sz w:val="18"/>
                <w:szCs w:val="18"/>
                <w:color w:val="auto"/>
                <w:w w:val="85"/>
              </w:rPr>
              <w:t>Waiver and Amendment Agreement,</w:t>
            </w:r>
          </w:p>
        </w:tc>
        <w:tc>
          <w:tcPr>
            <w:tcW w:w="1100" w:type="dxa"/>
            <w:vAlign w:val="bottom"/>
            <w:tcBorders>
              <w:top w:val="single" w:sz="8" w:color="auto"/>
            </w:tcBorders>
          </w:tcPr>
          <w:p>
            <w:pPr>
              <w:ind w:left="100"/>
              <w:spacing w:after="0" w:line="175" w:lineRule="exact"/>
              <w:rPr>
                <w:sz w:val="20"/>
                <w:szCs w:val="20"/>
                <w:color w:val="auto"/>
              </w:rPr>
            </w:pPr>
            <w:r>
              <w:rPr>
                <w:rFonts w:ascii="Arial" w:cs="Arial" w:eastAsia="Arial" w:hAnsi="Arial"/>
                <w:sz w:val="18"/>
                <w:szCs w:val="18"/>
                <w:color w:val="auto"/>
                <w:w w:val="85"/>
              </w:rPr>
              <w:t>by and among</w:t>
            </w:r>
          </w:p>
        </w:tc>
        <w:tc>
          <w:tcPr>
            <w:tcW w:w="2740" w:type="dxa"/>
            <w:vAlign w:val="bottom"/>
          </w:tcPr>
          <w:p>
            <w:pPr>
              <w:ind w:left="40"/>
              <w:spacing w:after="0" w:line="175" w:lineRule="exact"/>
              <w:rPr>
                <w:sz w:val="20"/>
                <w:szCs w:val="20"/>
                <w:color w:val="auto"/>
              </w:rPr>
            </w:pPr>
            <w:r>
              <w:rPr>
                <w:rFonts w:ascii="Arial" w:cs="Arial" w:eastAsia="Arial" w:hAnsi="Arial"/>
                <w:sz w:val="18"/>
                <w:szCs w:val="18"/>
                <w:color w:val="auto"/>
              </w:rPr>
              <w:t>TripAdvisor, TripAdvisor</w:t>
            </w:r>
          </w:p>
        </w:tc>
        <w:tc>
          <w:tcPr>
            <w:tcW w:w="5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w w:val="98"/>
              </w:rPr>
              <w:t>Holdings, LLC, and TripAdvisor LLC, the lenders party thereto, JPMorgan Chase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w w:val="98"/>
              </w:rPr>
              <w:t>Bank, N.A., as administrative agent, and J.P. Morgan Europe Limited, as London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agent, dated as of December 27, 2013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87"/>
              </w:rPr>
              <w:t>10.9+</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TripAdvisor, Inc. 2011 Stock and Annual Incentive Plan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S-8</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333-178637</w:t>
            </w: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10.10+</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First Amendment to TripAdvisor, Inc. 2011 Stock and Annual Incentive Plan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10.11+</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TripAdvisor, Inc. Deferred Compensation Plan for Non-Employee Directors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S-8</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333-178637</w:t>
            </w: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10.12+</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Option Agreement (Domestic)</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10.13+</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Option Agreement (International)</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10.14+</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Unit Agreement (Domestic)</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10.15+</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Unit Agreement (PRC)</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10.16+</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Unit Agreement (Other International)</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10.17+</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Unit Agreement (Non-Employee Directors)</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10.18+</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Unit Agreement (Performance Based)</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10.19</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w w:val="94"/>
              </w:rPr>
              <w:t>Corporate Headquarters Lease with Normandy Gap-V Needham Building 3, LLC, as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landlord, dated as of June 20, 2013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10.20</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w w:val="92"/>
              </w:rPr>
              <w:t>Guaranty dated June 20, 2013 by TripAdvisor, Inc. for the benefit of Normandy Gap-V</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Needham Building 3, LLC, as landlord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10.21</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Form of TripAdvisor Media Group Master Advertising Insertion Order</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Subsidiaries of the Registrant</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gridSpan w:val="2"/>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9"/>
                <w:szCs w:val="19"/>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Power of Attorney (included in signature page)</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gridSpan w:val="3"/>
          </w:tcPr>
          <w:p>
            <w:pPr>
              <w:ind w:left="4740"/>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9"/>
        </w:trPr>
        <w:tc>
          <w:tcPr>
            <w:tcW w:w="420" w:type="dxa"/>
            <w:vAlign w:val="bottom"/>
            <w:tcBorders>
              <w:bottom w:val="single" w:sz="8" w:color="auto"/>
            </w:tcBorders>
          </w:tcPr>
          <w:p>
            <w:pPr>
              <w:jc w:val="right"/>
              <w:ind w:right="19"/>
              <w:spacing w:after="0" w:line="159" w:lineRule="exact"/>
              <w:rPr>
                <w:sz w:val="20"/>
                <w:szCs w:val="20"/>
                <w:color w:val="auto"/>
              </w:rPr>
            </w:pPr>
            <w:r>
              <w:rPr>
                <w:rFonts w:ascii="Arial" w:cs="Arial" w:eastAsia="Arial" w:hAnsi="Arial"/>
                <w:sz w:val="14"/>
                <w:szCs w:val="14"/>
                <w:color w:val="auto"/>
              </w:rPr>
              <w:t>No.</w:t>
            </w:r>
          </w:p>
        </w:tc>
        <w:tc>
          <w:tcPr>
            <w:tcW w:w="2640" w:type="dxa"/>
            <w:vAlign w:val="bottom"/>
          </w:tcPr>
          <w:p>
            <w:pPr>
              <w:spacing w:after="0"/>
              <w:rPr>
                <w:sz w:val="15"/>
                <w:szCs w:val="15"/>
                <w:color w:val="auto"/>
              </w:rPr>
            </w:pPr>
          </w:p>
        </w:tc>
        <w:tc>
          <w:tcPr>
            <w:tcW w:w="2880" w:type="dxa"/>
            <w:vAlign w:val="bottom"/>
            <w:gridSpan w:val="2"/>
          </w:tcPr>
          <w:p>
            <w:pPr>
              <w:jc w:val="center"/>
              <w:ind w:right="1652"/>
              <w:spacing w:after="0" w:line="159" w:lineRule="exact"/>
              <w:rPr>
                <w:sz w:val="20"/>
                <w:szCs w:val="20"/>
                <w:color w:val="auto"/>
              </w:rPr>
            </w:pPr>
            <w:r>
              <w:rPr>
                <w:rFonts w:ascii="Arial" w:cs="Arial" w:eastAsia="Arial" w:hAnsi="Arial"/>
                <w:sz w:val="14"/>
                <w:szCs w:val="14"/>
                <w:color w:val="auto"/>
                <w:w w:val="91"/>
              </w:rPr>
              <w:t>Exhibit Description</w:t>
            </w:r>
          </w:p>
        </w:tc>
      </w:tr>
      <w:tr>
        <w:trPr>
          <w:trHeight w:val="195"/>
        </w:trPr>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31.1</w:t>
            </w:r>
          </w:p>
        </w:tc>
        <w:tc>
          <w:tcPr>
            <w:tcW w:w="2640" w:type="dxa"/>
            <w:vAlign w:val="bottom"/>
          </w:tcPr>
          <w:p>
            <w:pPr>
              <w:ind w:left="740"/>
              <w:spacing w:after="0" w:line="195" w:lineRule="exact"/>
              <w:rPr>
                <w:sz w:val="20"/>
                <w:szCs w:val="20"/>
                <w:color w:val="auto"/>
              </w:rPr>
            </w:pPr>
            <w:r>
              <w:rPr>
                <w:rFonts w:ascii="Arial" w:cs="Arial" w:eastAsia="Arial" w:hAnsi="Arial"/>
                <w:sz w:val="18"/>
                <w:szCs w:val="18"/>
                <w:color w:val="auto"/>
                <w:w w:val="97"/>
              </w:rPr>
              <w:t>Certification of the Chief</w:t>
            </w: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Executive Officer</w:t>
            </w:r>
          </w:p>
        </w:tc>
        <w:tc>
          <w:tcPr>
            <w:tcW w:w="1760" w:type="dxa"/>
            <w:vAlign w:val="bottom"/>
          </w:tcPr>
          <w:p>
            <w:pPr>
              <w:ind w:left="100"/>
              <w:spacing w:after="0" w:line="195" w:lineRule="exact"/>
              <w:rPr>
                <w:sz w:val="20"/>
                <w:szCs w:val="20"/>
                <w:color w:val="auto"/>
              </w:rPr>
            </w:pPr>
            <w:r>
              <w:rPr>
                <w:rFonts w:ascii="Arial" w:cs="Arial" w:eastAsia="Arial" w:hAnsi="Arial"/>
                <w:sz w:val="18"/>
                <w:szCs w:val="18"/>
                <w:color w:val="auto"/>
                <w:w w:val="85"/>
              </w:rPr>
              <w:t>Pursuant to Section 302</w:t>
            </w:r>
          </w:p>
        </w:tc>
      </w:tr>
      <w:tr>
        <w:trPr>
          <w:trHeight w:val="216"/>
        </w:trPr>
        <w:tc>
          <w:tcPr>
            <w:tcW w:w="420" w:type="dxa"/>
            <w:vAlign w:val="bottom"/>
          </w:tcPr>
          <w:p>
            <w:pPr>
              <w:spacing w:after="0"/>
              <w:rPr>
                <w:sz w:val="18"/>
                <w:szCs w:val="18"/>
                <w:color w:val="auto"/>
              </w:rPr>
            </w:pP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w w:val="91"/>
              </w:rPr>
              <w:t>Certification of the Chief Financial Officer pursuant Section 302 of</w:t>
            </w:r>
          </w:p>
        </w:tc>
      </w:tr>
      <w:tr>
        <w:trPr>
          <w:trHeight w:val="216"/>
        </w:trPr>
        <w:tc>
          <w:tcPr>
            <w:tcW w:w="420" w:type="dxa"/>
            <w:vAlign w:val="bottom"/>
          </w:tcPr>
          <w:p>
            <w:pPr>
              <w:spacing w:after="0"/>
              <w:rPr>
                <w:sz w:val="18"/>
                <w:szCs w:val="18"/>
                <w:color w:val="auto"/>
              </w:rPr>
            </w:pP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w w:val="90"/>
              </w:rPr>
              <w:t>Certification of the Chief Executive Officer pursuant Section 906 of</w:t>
            </w:r>
          </w:p>
        </w:tc>
      </w:tr>
      <w:tr>
        <w:trPr>
          <w:trHeight w:val="216"/>
        </w:trPr>
        <w:tc>
          <w:tcPr>
            <w:tcW w:w="420" w:type="dxa"/>
            <w:vAlign w:val="bottom"/>
          </w:tcPr>
          <w:p>
            <w:pPr>
              <w:spacing w:after="0"/>
              <w:rPr>
                <w:sz w:val="18"/>
                <w:szCs w:val="18"/>
                <w:color w:val="auto"/>
              </w:rPr>
            </w:pP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w w:val="91"/>
              </w:rPr>
              <w:t>Certification of the Chief Financial Officer pursuant Section 906 of</w:t>
            </w:r>
          </w:p>
        </w:tc>
      </w:tr>
      <w:tr>
        <w:trPr>
          <w:trHeight w:val="222"/>
        </w:trPr>
        <w:tc>
          <w:tcPr>
            <w:tcW w:w="420" w:type="dxa"/>
            <w:vAlign w:val="bottom"/>
          </w:tcPr>
          <w:p>
            <w:pPr>
              <w:spacing w:after="0"/>
              <w:rPr>
                <w:sz w:val="19"/>
                <w:szCs w:val="19"/>
                <w:color w:val="auto"/>
              </w:rPr>
            </w:pPr>
          </w:p>
        </w:tc>
        <w:tc>
          <w:tcPr>
            <w:tcW w:w="5520" w:type="dxa"/>
            <w:vAlign w:val="bottom"/>
            <w:gridSpan w:val="3"/>
          </w:tcPr>
          <w:p>
            <w:pPr>
              <w:ind w:left="740"/>
              <w:spacing w:after="0"/>
              <w:rPr>
                <w:sz w:val="20"/>
                <w:szCs w:val="20"/>
                <w:color w:val="auto"/>
              </w:rPr>
            </w:pPr>
            <w:r>
              <w:rPr>
                <w:rFonts w:ascii="Arial" w:cs="Arial" w:eastAsia="Arial" w:hAnsi="Arial"/>
                <w:sz w:val="18"/>
                <w:szCs w:val="18"/>
                <w:color w:val="auto"/>
              </w:rPr>
              <w:t>the Sarbanes-Oxley Act of 2002</w:t>
            </w:r>
          </w:p>
        </w:tc>
      </w:tr>
    </w:tbl>
    <w:p>
      <w:pPr>
        <w:ind w:left="1160" w:right="360" w:hanging="1064"/>
        <w:spacing w:after="0" w:line="309" w:lineRule="auto"/>
        <w:tabs>
          <w:tab w:leader="none" w:pos="11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Annual Report on Form 10-K for the year ended December 31, 2013, formatted in XBRL: (i) Consolidated and Combined Statements of Operations, (ii) Consolidated and Combined Statements of Comprehensive Income, (iii) Consolidated Balance Sheets, (iv) Consolidated and Combined Statements of Changes in Stockholders’ Equity, (v) Consolidated and Combined Statements of Cash Flows, and (vi) Notes to Consolidated and Combined Financial Statements.</w:t>
      </w:r>
    </w:p>
    <w:p>
      <w:pPr>
        <w:spacing w:after="0" w:line="148" w:lineRule="exact"/>
        <w:rPr>
          <w:rFonts w:ascii="Arial" w:cs="Arial" w:eastAsia="Arial" w:hAnsi="Arial"/>
          <w:sz w:val="15"/>
          <w:szCs w:val="15"/>
          <w:color w:val="auto"/>
        </w:rPr>
      </w:pPr>
    </w:p>
    <w:p>
      <w:pPr>
        <w:ind w:left="5580" w:hanging="5572"/>
        <w:spacing w:after="0" w:line="525" w:lineRule="auto"/>
        <w:tabs>
          <w:tab w:leader="none" w:pos="448"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Indicates a management contract or a compensatory plan, contract or arrangement. </w:t>
      </w: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Incorporated by Reference</w:t>
            </w:r>
          </w:p>
        </w:tc>
        <w:tc>
          <w:tcPr>
            <w:tcW w:w="900" w:type="dxa"/>
            <w:vAlign w:val="bottom"/>
          </w:tcPr>
          <w:p>
            <w:pPr>
              <w:spacing w:after="0"/>
              <w:rPr>
                <w:sz w:val="14"/>
                <w:szCs w:val="14"/>
                <w:color w:val="auto"/>
              </w:rPr>
            </w:pPr>
          </w:p>
        </w:tc>
      </w:tr>
      <w:tr>
        <w:trPr>
          <w:trHeight w:val="145"/>
        </w:trPr>
        <w:tc>
          <w:tcPr>
            <w:tcW w:w="780" w:type="dxa"/>
            <w:vAlign w:val="bottom"/>
          </w:tcPr>
          <w:p>
            <w:pPr>
              <w:jc w:val="center"/>
              <w:ind w:right="232"/>
              <w:spacing w:after="0" w:line="145" w:lineRule="exact"/>
              <w:rPr>
                <w:sz w:val="20"/>
                <w:szCs w:val="20"/>
                <w:color w:val="auto"/>
              </w:rPr>
            </w:pPr>
            <w:r>
              <w:rPr>
                <w:rFonts w:ascii="Arial" w:cs="Arial" w:eastAsia="Arial" w:hAnsi="Arial"/>
                <w:sz w:val="14"/>
                <w:szCs w:val="14"/>
                <w:color w:val="auto"/>
                <w:w w:val="92"/>
              </w:rPr>
              <w:t>Filed</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jc w:val="center"/>
              <w:ind w:left="252"/>
              <w:spacing w:after="0" w:line="145" w:lineRule="exact"/>
              <w:rPr>
                <w:sz w:val="20"/>
                <w:szCs w:val="20"/>
                <w:color w:val="auto"/>
              </w:rPr>
            </w:pPr>
            <w:r>
              <w:rPr>
                <w:rFonts w:ascii="Arial" w:cs="Arial" w:eastAsia="Arial" w:hAnsi="Arial"/>
                <w:sz w:val="14"/>
                <w:szCs w:val="14"/>
                <w:color w:val="auto"/>
                <w:w w:val="95"/>
              </w:rPr>
              <w:t>Exhibit</w:t>
            </w:r>
          </w:p>
        </w:tc>
        <w:tc>
          <w:tcPr>
            <w:tcW w:w="900" w:type="dxa"/>
            <w:vAlign w:val="bottom"/>
          </w:tcPr>
          <w:p>
            <w:pPr>
              <w:jc w:val="center"/>
              <w:ind w:left="512"/>
              <w:spacing w:after="0" w:line="145" w:lineRule="exact"/>
              <w:rPr>
                <w:sz w:val="20"/>
                <w:szCs w:val="20"/>
                <w:color w:val="auto"/>
              </w:rPr>
            </w:pPr>
            <w:r>
              <w:rPr>
                <w:rFonts w:ascii="Arial" w:cs="Arial" w:eastAsia="Arial" w:hAnsi="Arial"/>
                <w:sz w:val="14"/>
                <w:szCs w:val="14"/>
                <w:color w:val="auto"/>
                <w:w w:val="95"/>
              </w:rPr>
              <w:t>Filing</w:t>
            </w:r>
          </w:p>
        </w:tc>
      </w:tr>
      <w:tr>
        <w:trPr>
          <w:trHeight w:val="172"/>
        </w:trPr>
        <w:tc>
          <w:tcPr>
            <w:tcW w:w="780" w:type="dxa"/>
            <w:vAlign w:val="bottom"/>
          </w:tcPr>
          <w:p>
            <w:pPr>
              <w:jc w:val="center"/>
              <w:ind w:right="212"/>
              <w:spacing w:after="0"/>
              <w:rPr>
                <w:sz w:val="20"/>
                <w:szCs w:val="20"/>
                <w:color w:val="auto"/>
              </w:rPr>
            </w:pPr>
            <w:r>
              <w:rPr>
                <w:rFonts w:ascii="Arial" w:cs="Arial" w:eastAsia="Arial" w:hAnsi="Arial"/>
                <w:sz w:val="14"/>
                <w:szCs w:val="14"/>
                <w:u w:val="single" w:color="auto"/>
                <w:color w:val="auto"/>
                <w:w w:val="90"/>
              </w:rPr>
              <w:t>Herewith</w:t>
            </w:r>
          </w:p>
        </w:tc>
        <w:tc>
          <w:tcPr>
            <w:tcW w:w="1140" w:type="dxa"/>
            <w:vAlign w:val="bottom"/>
          </w:tcPr>
          <w:p>
            <w:pPr>
              <w:ind w:left="280"/>
              <w:spacing w:after="0"/>
              <w:rPr>
                <w:sz w:val="20"/>
                <w:szCs w:val="20"/>
                <w:color w:val="auto"/>
              </w:rPr>
            </w:pPr>
            <w:r>
              <w:rPr>
                <w:rFonts w:ascii="Arial" w:cs="Arial" w:eastAsia="Arial" w:hAnsi="Arial"/>
                <w:sz w:val="14"/>
                <w:szCs w:val="14"/>
                <w:u w:val="single" w:color="auto"/>
                <w:color w:val="auto"/>
              </w:rPr>
              <w:t>Form</w:t>
            </w:r>
          </w:p>
        </w:tc>
        <w:tc>
          <w:tcPr>
            <w:tcW w:w="1160" w:type="dxa"/>
            <w:vAlign w:val="bottom"/>
          </w:tcPr>
          <w:p>
            <w:pPr>
              <w:ind w:left="80"/>
              <w:spacing w:after="0"/>
              <w:rPr>
                <w:sz w:val="20"/>
                <w:szCs w:val="20"/>
                <w:color w:val="auto"/>
              </w:rPr>
            </w:pPr>
            <w:r>
              <w:rPr>
                <w:rFonts w:ascii="Arial" w:cs="Arial" w:eastAsia="Arial" w:hAnsi="Arial"/>
                <w:sz w:val="14"/>
                <w:szCs w:val="14"/>
                <w:color w:val="auto"/>
              </w:rPr>
              <w:t>SEC File No.</w:t>
            </w:r>
          </w:p>
        </w:tc>
        <w:tc>
          <w:tcPr>
            <w:tcW w:w="800" w:type="dxa"/>
            <w:vAlign w:val="bottom"/>
          </w:tcPr>
          <w:p>
            <w:pPr>
              <w:jc w:val="center"/>
              <w:ind w:left="252"/>
              <w:spacing w:after="0"/>
              <w:rPr>
                <w:sz w:val="20"/>
                <w:szCs w:val="20"/>
                <w:color w:val="auto"/>
              </w:rPr>
            </w:pPr>
            <w:r>
              <w:rPr>
                <w:rFonts w:ascii="Arial" w:cs="Arial" w:eastAsia="Arial" w:hAnsi="Arial"/>
                <w:sz w:val="14"/>
                <w:szCs w:val="14"/>
                <w:color w:val="auto"/>
                <w:w w:val="91"/>
              </w:rPr>
              <w:t>No.</w:t>
            </w:r>
          </w:p>
        </w:tc>
        <w:tc>
          <w:tcPr>
            <w:tcW w:w="900" w:type="dxa"/>
            <w:vAlign w:val="bottom"/>
          </w:tcPr>
          <w:p>
            <w:pPr>
              <w:jc w:val="center"/>
              <w:ind w:left="512"/>
              <w:spacing w:after="0"/>
              <w:rPr>
                <w:sz w:val="20"/>
                <w:szCs w:val="20"/>
                <w:color w:val="auto"/>
              </w:rPr>
            </w:pPr>
            <w:r>
              <w:rPr>
                <w:rFonts w:ascii="Arial" w:cs="Arial" w:eastAsia="Arial" w:hAnsi="Arial"/>
                <w:sz w:val="14"/>
                <w:szCs w:val="14"/>
                <w:u w:val="single" w:color="auto"/>
                <w:color w:val="auto"/>
                <w:w w:val="81"/>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-7620</wp:posOffset>
            </wp:positionV>
            <wp:extent cx="325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1217295</wp:posOffset>
            </wp:positionH>
            <wp:positionV relativeFrom="paragraph">
              <wp:posOffset>-7620</wp:posOffset>
            </wp:positionV>
            <wp:extent cx="5657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X</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80" w:space="260"/>
            <w:col w:w="4780"/>
          </w:cols>
          <w:pgMar w:left="240" w:top="459"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ind w:left="9860"/>
        <w:spacing w:after="0"/>
        <w:rPr>
          <w:sz w:val="20"/>
          <w:szCs w:val="20"/>
          <w:color w:val="auto"/>
        </w:rPr>
      </w:pPr>
      <w:r>
        <w:rPr>
          <w:rFonts w:ascii="Arial" w:cs="Arial" w:eastAsia="Arial" w:hAnsi="Arial"/>
          <w:sz w:val="17"/>
          <w:szCs w:val="17"/>
          <w:color w:val="auto"/>
        </w:rPr>
        <w:t>EXECUTION COPY</w:t>
      </w:r>
    </w:p>
    <w:p>
      <w:pPr>
        <w:spacing w:after="0" w:line="23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WAIVER AND AMENDMENT AGREEMENT dated as of December 27, 2013 (this “</w:t>
      </w:r>
      <w:r>
        <w:rPr>
          <w:rFonts w:ascii="Arial" w:cs="Arial" w:eastAsia="Arial" w:hAnsi="Arial"/>
          <w:sz w:val="18"/>
          <w:szCs w:val="18"/>
          <w:u w:val="single" w:color="auto"/>
          <w:color w:val="auto"/>
        </w:rPr>
        <w:t>Agreement</w:t>
      </w:r>
      <w:r>
        <w:rPr>
          <w:rFonts w:ascii="Arial" w:cs="Arial" w:eastAsia="Arial" w:hAnsi="Arial"/>
          <w:sz w:val="18"/>
          <w:szCs w:val="18"/>
          <w:color w:val="auto"/>
        </w:rPr>
        <w:t>”), relating to the CREDIT AGREEMENT dated as of December 20, 2011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TRIPADVISOR,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TRIPADVISOR HOLDINGS, LLC, a Massachusetts limited liability company, TRIPADVISOR LLC, a Delaware limited liability company, and the other BORROWERS from time to time party thereto, the LENDERS from time to time party thereto, JPMORGAN CHASE BANK, N.A., as Administrative Agent, and J.P. MORGAN EUROPE LIMITED, as London Agent.</w:t>
      </w:r>
    </w:p>
    <w:p>
      <w:pPr>
        <w:spacing w:after="0" w:line="18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the Credit Agreement requires Parent to take all actions required to cause the Guarantee Requirement to be and remain satisfied, and the obligation of each Lender to make a Loan on the occasion of any Borrowing, and of each Issuing Bank to issue, amend, renew or extend any Letter of Credit, is subject, among other conditions, to Parent representing and warranting that the Guarantee Requirement has been and is satisfied;</w:t>
      </w:r>
    </w:p>
    <w:p>
      <w:pPr>
        <w:spacing w:after="0" w:line="147" w:lineRule="exact"/>
        <w:rPr>
          <w:sz w:val="20"/>
          <w:szCs w:val="20"/>
          <w:color w:val="auto"/>
        </w:rPr>
      </w:pPr>
    </w:p>
    <w:p>
      <w:pPr>
        <w:ind w:right="360" w:firstLine="913"/>
        <w:spacing w:after="0" w:line="302" w:lineRule="auto"/>
        <w:rPr>
          <w:sz w:val="20"/>
          <w:szCs w:val="20"/>
          <w:color w:val="auto"/>
        </w:rPr>
      </w:pPr>
      <w:r>
        <w:rPr>
          <w:rFonts w:ascii="Arial" w:cs="Arial" w:eastAsia="Arial" w:hAnsi="Arial"/>
          <w:sz w:val="16"/>
          <w:szCs w:val="16"/>
          <w:color w:val="auto"/>
        </w:rPr>
        <w:t>WHEREAS, Parent has requested that the Lenders (a) waive the requirement that TripAdvisor Securities Corporation, a Massachusetts corporation applying to become a Massachusetts security corporation (“</w:t>
      </w:r>
      <w:r>
        <w:rPr>
          <w:rFonts w:ascii="Arial" w:cs="Arial" w:eastAsia="Arial" w:hAnsi="Arial"/>
          <w:sz w:val="16"/>
          <w:szCs w:val="16"/>
          <w:u w:val="single" w:color="auto"/>
          <w:color w:val="auto"/>
        </w:rPr>
        <w:t>TSC</w:t>
      </w:r>
      <w:r>
        <w:rPr>
          <w:rFonts w:ascii="Arial" w:cs="Arial" w:eastAsia="Arial" w:hAnsi="Arial"/>
          <w:sz w:val="16"/>
          <w:szCs w:val="16"/>
          <w:color w:val="auto"/>
        </w:rPr>
        <w:t>”), become a Subsidiary Loan Party and provide certain agreements relating thereto in order to avail itself of certain tax benefits extended to Massachusetts security corporations under applicable law and (b) amend the definition of “Permitted Holders” to reflect the change of name of Liberty Media Corporation to Liberty Interactive Corporation; and</w:t>
      </w:r>
    </w:p>
    <w:p>
      <w:pPr>
        <w:spacing w:after="0" w:line="15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WHEREAS, the Lenders whose signatures appear below, comprising the Required Lenders, are willing to agree to the waiver and other matters requested by Parent on terms and subject to the conditions set forth herein;</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the sufficiency and receipt of which are hereby acknowledged, the parties hereto hereby agree as follows:</w:t>
      </w:r>
    </w:p>
    <w:p>
      <w:pPr>
        <w:spacing w:after="0" w:line="62"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otherwise defined herein (including in the recitals hereto) have the meanings assigned to them in the Credit Agreement.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Certain Agreements by the Lenders.</w:t>
      </w:r>
      <w:r>
        <w:rPr>
          <w:rFonts w:ascii="Arial" w:cs="Arial" w:eastAsia="Arial" w:hAnsi="Arial"/>
          <w:sz w:val="18"/>
          <w:szCs w:val="18"/>
          <w:color w:val="auto"/>
        </w:rPr>
        <w:t xml:space="preserve"> (a) Each Lender party hereto agrees that, notwithstanding anything to the contrary in the Credit Agreement, during the TSC Waiver Period (as defined below), TSC shall be deemed not to be a Designated Subsidiary, and shall not be required to become a Subsidiary Loan Party, in each case for so long as TSC shall be prohibited or restricted (including any restriction requiring consent or approval of any Governmental Authority), as a matter of applicable Massachusetts law, from becoming a Subsidiary Loan Party or otherwise satisfying the Guarantee Requirement without losing its status as a Massachusetts security corporation</w:t>
      </w:r>
    </w:p>
    <w:p>
      <w:pPr>
        <w:sectPr>
          <w:pgSz w:w="11900" w:h="16838" w:orient="portrait"/>
          <w:cols w:equalWidth="0" w:num="1">
            <w:col w:w="11420"/>
          </w:cols>
          <w:pgMar w:left="240" w:top="121" w:right="239" w:bottom="1440" w:gutter="0" w:footer="0" w:header="0"/>
        </w:sectPr>
      </w:pPr>
    </w:p>
    <w:bookmarkStart w:id="121" w:name="page122"/>
    <w:bookmarkEnd w:id="121"/>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being understood and agreed that if all such prohibitions and restrictions shall cease to be in effect, the foregoing waiver shall, without any further action by the parties hereto or otherwise, cease to continue to be in effect and TSC, if otherwise constituting a Designated Subsidiary, shall be required to satisfy the Guarantee Requirement in accordance with the terms of the Credit Agreement). The period from the Agreement Effective Date (as defined below) to the earlier of (i) the 20th Business Day following the first date, if any, on which applicable Massachusetts law permits a Massachusetts security corporation to become a Subsidiary Loan Party or otherwise satisfy the Guarantee Requirement without losing its status as a Massachusetts security corporation and (ii) the date on which Parent and the Borrowing Subsidiaries shall cease to be required, under the terms of the Credit Agreement, to comply with their covenants set forth in Article VI of the Credit Agreement is referred to herein as the “</w:t>
      </w:r>
      <w:r>
        <w:rPr>
          <w:rFonts w:ascii="Arial" w:cs="Arial" w:eastAsia="Arial" w:hAnsi="Arial"/>
          <w:sz w:val="17"/>
          <w:szCs w:val="17"/>
          <w:u w:val="single" w:color="auto"/>
          <w:color w:val="auto"/>
        </w:rPr>
        <w:t>TSC Waiver Period</w:t>
      </w:r>
      <w:r>
        <w:rPr>
          <w:rFonts w:ascii="Arial" w:cs="Arial" w:eastAsia="Arial" w:hAnsi="Arial"/>
          <w:sz w:val="17"/>
          <w:szCs w:val="17"/>
          <w:color w:val="auto"/>
        </w:rPr>
        <w:t>”.</w:t>
      </w:r>
    </w:p>
    <w:p>
      <w:pPr>
        <w:spacing w:after="0" w:line="178" w:lineRule="exact"/>
        <w:rPr>
          <w:sz w:val="20"/>
          <w:szCs w:val="20"/>
          <w:color w:val="auto"/>
        </w:rPr>
      </w:pPr>
    </w:p>
    <w:p>
      <w:pPr>
        <w:ind w:right="360" w:firstLine="921"/>
        <w:spacing w:after="0" w:line="277" w:lineRule="auto"/>
        <w:tabs>
          <w:tab w:leader="none" w:pos="11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definition of “Permitted Holders” in Section 1.01 of the Credit Agreement is hereby amended by replacing the reference to “Liberty Media Corporation” with “Liberty Interactive Corporation”.</w:t>
      </w:r>
    </w:p>
    <w:p>
      <w:pPr>
        <w:spacing w:after="0" w:line="17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Certain Agreements by Parent.</w:t>
      </w:r>
      <w:r>
        <w:rPr>
          <w:rFonts w:ascii="Arial" w:cs="Arial" w:eastAsia="Arial" w:hAnsi="Arial"/>
          <w:sz w:val="16"/>
          <w:szCs w:val="16"/>
          <w:color w:val="auto"/>
        </w:rPr>
        <w:t xml:space="preserve"> Parent hereby agrees that, notwithstanding anything to the contrary in the Credit Agreement, during the TSC Waiver Period (a) Parent shall not permit TSC (i) to own any assets other than de minimis assets relating to its organization and existence and cash, Permitted Investments, securities and similar financial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fair value of such cash, Permitted Investments, securities and similar financial assets shall not exceed $300,000,000 in the aggregate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fair value of such assets, (x) any appreciation in the value of any Permitted Investments and (y) any dividends, distributions or other payments received by TSC with respect to such Permitted Investments, in each case since the last day of the fiscal quarter of Parent most recently ended and with no carryover from any fiscal quarter of Parent prior to such most recently ended fiscal quarter, shall be disregarded), (ii) to create, incur, assume or permit to exist any Indebtedness (including any Guarantee of any Indebtedness) or</w:t>
      </w:r>
    </w:p>
    <w:p>
      <w:pPr>
        <w:spacing w:after="0" w:line="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engage in any business or activities other than ownership of the Permitted Investments and other assets referred to in clause (i) above and activities</w:t>
      </w:r>
    </w:p>
    <w:p>
      <w:pPr>
        <w:spacing w:after="0" w:line="3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incidental thereto and (b) Parent shall cause each Subsidiary that directly or indirectly owns any Equity Interests in TSC to become a Subsidiary Loan Party and otherwise satisfy the Guarantee Requirement (it being agreed that each such Subsidiary shall be deemed to be a Designated Subsidiary for all purposes of the Credit Agreement), to the extent such Subsidiary is not already a Subsidiary Loan Party and has not already satisfied the Guarantee Requirement. The agreements of Parent set forth in this Section 3 will, for purposes of Article VII of the Credit Agreement, be deemed to be set forth in Article VI of the Credit Agreement.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Parent hereby represents and warrants to the Lenders and the Administrative Agent that</w:t>
      </w:r>
    </w:p>
    <w:p>
      <w:pPr>
        <w:spacing w:after="0" w:line="237" w:lineRule="exact"/>
        <w:rPr>
          <w:sz w:val="20"/>
          <w:szCs w:val="20"/>
          <w:color w:val="auto"/>
        </w:rPr>
      </w:pPr>
    </w:p>
    <w:p>
      <w:pPr>
        <w:ind w:right="40" w:firstLine="921"/>
        <w:spacing w:after="0" w:line="264" w:lineRule="auto"/>
        <w:tabs>
          <w:tab w:leader="none" w:pos="11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Parent and constitutes a legal, valid and binding obligation of Parent,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ectPr>
          <w:pgSz w:w="11900" w:h="16838" w:orient="portrait"/>
          <w:cols w:equalWidth="0" w:num="1">
            <w:col w:w="11360"/>
          </w:cols>
          <w:pgMar w:left="240" w:top="274" w:right="299" w:bottom="1440" w:gutter="0" w:footer="0" w:header="0"/>
        </w:sectPr>
      </w:pPr>
    </w:p>
    <w:bookmarkStart w:id="122" w:name="page123"/>
    <w:bookmarkEnd w:id="122"/>
    <w:p>
      <w:pPr>
        <w:ind w:right="60" w:firstLine="921"/>
        <w:spacing w:after="0" w:line="279"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Agreement Effective Date, the representations and warranties of each Loan Party set forth in the Loan Documents are true and correct (i) in the case of the representations and warranties qualified as to materiality, in all respects and (ii) otherwise, in all material respects, with the same effect as if made on and as of the Agreement Effective Date, except in the case of any such representation and warranty that expressly relates to a prior date, in which case such representation and warranty was so true and correct on and as of such prior date; and</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the Agreement Effective Date, no Default or Event of Default will have occurred and be continuing.</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Agreement shall become effective as of the first date (the “</w:t>
      </w:r>
      <w:r>
        <w:rPr>
          <w:rFonts w:ascii="Arial" w:cs="Arial" w:eastAsia="Arial" w:hAnsi="Arial"/>
          <w:sz w:val="18"/>
          <w:szCs w:val="18"/>
          <w:u w:val="single" w:color="auto"/>
          <w:color w:val="auto"/>
        </w:rPr>
        <w:t>Agreement Effective Date</w:t>
      </w:r>
      <w:r>
        <w:rPr>
          <w:rFonts w:ascii="Arial" w:cs="Arial" w:eastAsia="Arial" w:hAnsi="Arial"/>
          <w:sz w:val="18"/>
          <w:szCs w:val="18"/>
          <w:color w:val="auto"/>
        </w:rPr>
        <w:t>”) on which the following conditions are met:</w:t>
      </w:r>
    </w:p>
    <w:p>
      <w:pPr>
        <w:spacing w:after="0" w:line="62" w:lineRule="exact"/>
        <w:rPr>
          <w:sz w:val="20"/>
          <w:szCs w:val="20"/>
          <w:color w:val="auto"/>
        </w:rPr>
      </w:pPr>
    </w:p>
    <w:p>
      <w:pPr>
        <w:ind w:right="280" w:firstLine="921"/>
        <w:spacing w:after="0" w:line="277"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executed this Agreement and shall have received executed counterparts of this Agreement that, when taken together, bear the signatures of Parent and the Required Lenders; and</w:t>
      </w:r>
    </w:p>
    <w:p>
      <w:pPr>
        <w:spacing w:after="0" w:line="170"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received reimbursement of the reasonable fees, charges and disbursements of Cravath, Swaine &amp; Moore LLP, counsel for the Administrative Agent, required to be reimbursed by Parent under the Credit Agreement.</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Except as expressly set forth herein, this Agreement shall not by implication or otherwise limit, impair, constitute a waiver of or otherwise affect the rights and remedies of the Agents, the Issuing Banks or the Lenders under the Credit Agreement and the other Loan Documents, and shall not alter, modify, amend or in any way affect any of the terms, conditions, obligations, covenants or agreements contained in the Credit Agreement or any of the other Loan Documents, all of which are ratified and affirmed in all respects and shall continue in full force and effect. Nothing herein shall be deemed to entitle Parent to a consent to, or a waiver of, any of the terms, conditions, obligations, covenants or agreements contained in the Credit Agreement as waived hereby in similar or different circumstances. This Agreement is a Loan Document for all purposes of the Credit Agreement.</w:t>
      </w:r>
    </w:p>
    <w:p>
      <w:pPr>
        <w:spacing w:after="0" w:line="18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THIS AGREEMENT SHALL BE CONSTRUED IN ACCORDANCE WITH AND GOVERNED BY THE LAW OF THE STATE OF NEW YORK.</w:t>
      </w:r>
    </w:p>
    <w:p>
      <w:pPr>
        <w:spacing w:after="0" w:line="170"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by facsimile or other electronic transmission shall be effective as delivery of an original executed counterpart of this Agreement.</w:t>
      </w:r>
    </w:p>
    <w:p>
      <w:pPr>
        <w:sectPr>
          <w:pgSz w:w="11900" w:h="16838" w:orient="portrait"/>
          <w:cols w:equalWidth="0" w:num="1">
            <w:col w:w="11360"/>
          </w:cols>
          <w:pgMar w:left="240" w:top="274" w:right="299" w:bottom="1440" w:gutter="0" w:footer="0" w:header="0"/>
        </w:sectPr>
      </w:pPr>
    </w:p>
    <w:bookmarkStart w:id="123" w:name="page124"/>
    <w:bookmarkEnd w:id="123"/>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Section headings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040"/>
          </w:cols>
          <w:pgMar w:left="240" w:top="274" w:right="619" w:bottom="1440" w:gutter="0" w:footer="0" w:header="0"/>
        </w:sectPr>
      </w:pPr>
    </w:p>
    <w:bookmarkStart w:id="124" w:name="page125"/>
    <w:bookmarkEnd w:id="12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C. Frazier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Vice President and Assistant Secretary</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RIP</w:t>
      </w:r>
      <w:r>
        <w:rPr>
          <w:rFonts w:ascii="Arial" w:cs="Arial" w:eastAsia="Arial" w:hAnsi="Arial"/>
          <w:sz w:val="18"/>
          <w:szCs w:val="18"/>
          <w:color w:val="auto"/>
        </w:rPr>
        <w:t>A</w:t>
      </w:r>
      <w:r>
        <w:rPr>
          <w:rFonts w:ascii="Arial" w:cs="Arial" w:eastAsia="Arial" w:hAnsi="Arial"/>
          <w:sz w:val="15"/>
          <w:szCs w:val="15"/>
          <w:color w:val="auto"/>
        </w:rPr>
        <w:t>DVISOR</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 W</w:t>
      </w:r>
      <w:r>
        <w:rPr>
          <w:rFonts w:ascii="Arial" w:cs="Arial" w:eastAsia="Arial" w:hAnsi="Arial"/>
          <w:sz w:val="15"/>
          <w:szCs w:val="15"/>
          <w:color w:val="auto"/>
        </w:rPr>
        <w:t>AIVER AND</w:t>
      </w:r>
      <w:r>
        <w:rPr>
          <w:rFonts w:ascii="Arial" w:cs="Arial" w:eastAsia="Arial" w:hAnsi="Arial"/>
          <w:sz w:val="18"/>
          <w:szCs w:val="18"/>
          <w:color w:val="auto"/>
        </w:rPr>
        <w:t xml:space="preserve"> A</w:t>
      </w:r>
      <w:r>
        <w:rPr>
          <w:rFonts w:ascii="Arial" w:cs="Arial" w:eastAsia="Arial" w:hAnsi="Arial"/>
          <w:sz w:val="15"/>
          <w:szCs w:val="15"/>
          <w:color w:val="auto"/>
        </w:rPr>
        <w:t>MENDMENT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1100"/>
          </w:cols>
          <w:pgMar w:left="240" w:top="274" w:right="55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individually and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Peter B. Thauer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B. Thauer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744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RIP</w:t>
      </w:r>
      <w:r>
        <w:rPr>
          <w:rFonts w:ascii="Arial" w:cs="Arial" w:eastAsia="Arial" w:hAnsi="Arial"/>
          <w:sz w:val="18"/>
          <w:szCs w:val="18"/>
          <w:color w:val="auto"/>
        </w:rPr>
        <w:t>A</w:t>
      </w:r>
      <w:r>
        <w:rPr>
          <w:rFonts w:ascii="Arial" w:cs="Arial" w:eastAsia="Arial" w:hAnsi="Arial"/>
          <w:sz w:val="15"/>
          <w:szCs w:val="15"/>
          <w:color w:val="auto"/>
        </w:rPr>
        <w:t>DVISOR</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 W</w:t>
      </w:r>
      <w:r>
        <w:rPr>
          <w:rFonts w:ascii="Arial" w:cs="Arial" w:eastAsia="Arial" w:hAnsi="Arial"/>
          <w:sz w:val="15"/>
          <w:szCs w:val="15"/>
          <w:color w:val="auto"/>
        </w:rPr>
        <w:t>AIVER AND</w:t>
      </w:r>
      <w:r>
        <w:rPr>
          <w:rFonts w:ascii="Arial" w:cs="Arial" w:eastAsia="Arial" w:hAnsi="Arial"/>
          <w:sz w:val="18"/>
          <w:szCs w:val="18"/>
          <w:color w:val="auto"/>
        </w:rPr>
        <w:t xml:space="preserve"> A</w:t>
      </w:r>
      <w:r>
        <w:rPr>
          <w:rFonts w:ascii="Arial" w:cs="Arial" w:eastAsia="Arial" w:hAnsi="Arial"/>
          <w:sz w:val="15"/>
          <w:szCs w:val="15"/>
          <w:color w:val="auto"/>
        </w:rPr>
        <w:t>MENDMENT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9720"/>
          </w:cols>
          <w:pgMar w:left="1440" w:top="274" w:right="7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TRIPADVISOR,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WAIVER AND AMENDMENT AGREEMENT</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BANK OF AMERICA,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Prayes Majmudar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Prayes Majmudar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RIP</w:t>
      </w:r>
      <w:r>
        <w:rPr>
          <w:rFonts w:ascii="Arial" w:cs="Arial" w:eastAsia="Arial" w:hAnsi="Arial"/>
          <w:sz w:val="18"/>
          <w:szCs w:val="18"/>
          <w:color w:val="auto"/>
        </w:rPr>
        <w:t>A</w:t>
      </w:r>
      <w:r>
        <w:rPr>
          <w:rFonts w:ascii="Arial" w:cs="Arial" w:eastAsia="Arial" w:hAnsi="Arial"/>
          <w:sz w:val="15"/>
          <w:szCs w:val="15"/>
          <w:color w:val="auto"/>
        </w:rPr>
        <w:t>DVISOR</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 W</w:t>
      </w:r>
      <w:r>
        <w:rPr>
          <w:rFonts w:ascii="Arial" w:cs="Arial" w:eastAsia="Arial" w:hAnsi="Arial"/>
          <w:sz w:val="15"/>
          <w:szCs w:val="15"/>
          <w:color w:val="auto"/>
        </w:rPr>
        <w:t>AIVER AND</w:t>
      </w:r>
      <w:r>
        <w:rPr>
          <w:rFonts w:ascii="Arial" w:cs="Arial" w:eastAsia="Arial" w:hAnsi="Arial"/>
          <w:sz w:val="18"/>
          <w:szCs w:val="18"/>
          <w:color w:val="auto"/>
        </w:rPr>
        <w:t xml:space="preserve"> A</w:t>
      </w:r>
      <w:r>
        <w:rPr>
          <w:rFonts w:ascii="Arial" w:cs="Arial" w:eastAsia="Arial" w:hAnsi="Arial"/>
          <w:sz w:val="15"/>
          <w:szCs w:val="15"/>
          <w:color w:val="auto"/>
        </w:rPr>
        <w:t>MENDMENT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sectPr>
      </w:pPr>
    </w:p>
    <w:bookmarkStart w:id="127" w:name="page128"/>
    <w:bookmarkEnd w:id="127"/>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BARCLAYS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Davey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27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TRIPADVISOR,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WAIVER AND AMENDMENT AGREEMENT</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BANK OF THE WEST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C. Martinez</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Benjamin C.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RIP</w:t>
      </w:r>
      <w:r>
        <w:rPr>
          <w:rFonts w:ascii="Arial" w:cs="Arial" w:eastAsia="Arial" w:hAnsi="Arial"/>
          <w:sz w:val="18"/>
          <w:szCs w:val="18"/>
          <w:color w:val="auto"/>
        </w:rPr>
        <w:t>A</w:t>
      </w:r>
      <w:r>
        <w:rPr>
          <w:rFonts w:ascii="Arial" w:cs="Arial" w:eastAsia="Arial" w:hAnsi="Arial"/>
          <w:sz w:val="15"/>
          <w:szCs w:val="15"/>
          <w:color w:val="auto"/>
        </w:rPr>
        <w:t>DVISOR</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 W</w:t>
      </w:r>
      <w:r>
        <w:rPr>
          <w:rFonts w:ascii="Arial" w:cs="Arial" w:eastAsia="Arial" w:hAnsi="Arial"/>
          <w:sz w:val="15"/>
          <w:szCs w:val="15"/>
          <w:color w:val="auto"/>
        </w:rPr>
        <w:t>AIVER AND</w:t>
      </w:r>
      <w:r>
        <w:rPr>
          <w:rFonts w:ascii="Arial" w:cs="Arial" w:eastAsia="Arial" w:hAnsi="Arial"/>
          <w:sz w:val="18"/>
          <w:szCs w:val="18"/>
          <w:color w:val="auto"/>
        </w:rPr>
        <w:t xml:space="preserve"> A</w:t>
      </w:r>
      <w:r>
        <w:rPr>
          <w:rFonts w:ascii="Arial" w:cs="Arial" w:eastAsia="Arial" w:hAnsi="Arial"/>
          <w:sz w:val="15"/>
          <w:szCs w:val="15"/>
          <w:color w:val="auto"/>
        </w:rPr>
        <w:t>MENDMENT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sectPr>
      </w:pPr>
    </w:p>
    <w:bookmarkStart w:id="129" w:name="page130"/>
    <w:bookmarkEnd w:id="129"/>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BNP PARIBAS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Gregg Bonardi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Gregg Bonardi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Nanette Baudon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Nanette Baudon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20"/>
          </w:cols>
          <w:pgMar w:left="1440" w:top="274" w:right="239" w:bottom="1440" w:gutter="0" w:footer="0" w:header="0"/>
        </w:sectPr>
      </w:pPr>
    </w:p>
    <w:bookmarkStart w:id="130" w:name="page131"/>
    <w:bookmarkEnd w:id="130"/>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FIRST HAWAIIAN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Dawn Hofmann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Dawn Hofmann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220"/>
          </w:cols>
          <w:pgMar w:left="1440" w:top="274" w:right="239" w:bottom="1440" w:gutter="0" w:footer="0" w:header="0"/>
        </w:sectPr>
      </w:pPr>
    </w:p>
    <w:bookmarkStart w:id="131" w:name="page132"/>
    <w:bookmarkEnd w:id="131"/>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GOLDMAN SACHS BANK USA,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Michelle Latzoni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Michelle Latzoni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274" w:right="239" w:bottom="1440" w:gutter="0" w:footer="0" w:header="0"/>
        </w:sectPr>
      </w:pPr>
    </w:p>
    <w:bookmarkStart w:id="132" w:name="page133"/>
    <w:bookmarkEnd w:id="132"/>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RBS CITIZENS,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P. Minton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James P. Minton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274" w:right="239" w:bottom="1440" w:gutter="0" w:footer="0" w:header="0"/>
        </w:sectPr>
      </w:pPr>
    </w:p>
    <w:bookmarkStart w:id="133" w:name="page134"/>
    <w:bookmarkEnd w:id="133"/>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ROYAL BANK OF CANADA,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Sheldon Pinto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Sheldon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20"/>
          </w:cols>
          <w:pgMar w:left="1440" w:top="274" w:right="239" w:bottom="1440" w:gutter="0" w:footer="0" w:header="0"/>
        </w:sectPr>
      </w:pPr>
    </w:p>
    <w:bookmarkStart w:id="134" w:name="page135"/>
    <w:bookmarkEnd w:id="134"/>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 xml:space="preserve">Lender: </w:t>
      </w:r>
      <w:r>
        <w:rPr>
          <w:rFonts w:ascii="Arial" w:cs="Arial" w:eastAsia="Arial" w:hAnsi="Arial"/>
          <w:sz w:val="17"/>
          <w:szCs w:val="17"/>
          <w:u w:val="single" w:color="auto"/>
          <w:color w:val="auto"/>
        </w:rPr>
        <w:t>SUMITOMO MITSUI BANKING CORPORATION</w:t>
      </w:r>
      <w:r>
        <w:rPr>
          <w:rFonts w:ascii="Arial" w:cs="Arial" w:eastAsia="Arial" w:hAnsi="Arial"/>
          <w:sz w:val="17"/>
          <w:szCs w:val="17"/>
          <w:color w:val="auto"/>
        </w:rPr>
        <w:t>,</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W. Kee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-130810</wp:posOffset>
            </wp:positionV>
            <wp:extent cx="2752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20"/>
          </w:cols>
          <w:pgMar w:left="1440" w:top="274" w:right="239" w:bottom="1440" w:gutter="0" w:footer="0" w:header="0"/>
        </w:sectPr>
      </w:pPr>
    </w:p>
    <w:bookmarkStart w:id="135" w:name="page136"/>
    <w:bookmarkEnd w:id="135"/>
    <w:p>
      <w:pPr>
        <w:ind w:left="8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TRIPADVISOR, INC.</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WAIVER AND AMENDMENT AGREEMENT</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SANTANDER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O’Connor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Daniel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TRIPADVISOR,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WAIVER AND AMENDMENT AGREEMENT</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Union 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Christine Davis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Christine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any Lender requiring a second signature line: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RIP</w:t>
      </w:r>
      <w:r>
        <w:rPr>
          <w:rFonts w:ascii="Arial" w:cs="Arial" w:eastAsia="Arial" w:hAnsi="Arial"/>
          <w:sz w:val="18"/>
          <w:szCs w:val="18"/>
          <w:color w:val="auto"/>
        </w:rPr>
        <w:t>A</w:t>
      </w:r>
      <w:r>
        <w:rPr>
          <w:rFonts w:ascii="Arial" w:cs="Arial" w:eastAsia="Arial" w:hAnsi="Arial"/>
          <w:sz w:val="15"/>
          <w:szCs w:val="15"/>
          <w:color w:val="auto"/>
        </w:rPr>
        <w:t>DVISOR</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 W</w:t>
      </w:r>
      <w:r>
        <w:rPr>
          <w:rFonts w:ascii="Arial" w:cs="Arial" w:eastAsia="Arial" w:hAnsi="Arial"/>
          <w:sz w:val="15"/>
          <w:szCs w:val="15"/>
          <w:color w:val="auto"/>
        </w:rPr>
        <w:t>AIVER AND</w:t>
      </w:r>
      <w:r>
        <w:rPr>
          <w:rFonts w:ascii="Arial" w:cs="Arial" w:eastAsia="Arial" w:hAnsi="Arial"/>
          <w:sz w:val="18"/>
          <w:szCs w:val="18"/>
          <w:color w:val="auto"/>
        </w:rPr>
        <w:t xml:space="preserve"> A</w:t>
      </w:r>
      <w:r>
        <w:rPr>
          <w:rFonts w:ascii="Arial" w:cs="Arial" w:eastAsia="Arial" w:hAnsi="Arial"/>
          <w:sz w:val="15"/>
          <w:szCs w:val="15"/>
          <w:color w:val="auto"/>
        </w:rPr>
        <w:t>MENDMENT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w:t>
      </w:r>
    </w:p>
    <w:p>
      <w:pPr>
        <w:spacing w:after="0" w:line="21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(the “Eligible Individual”), describes the terms of an award of Options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Option</w:t>
      </w:r>
    </w:p>
    <w:p>
      <w:pPr>
        <w:spacing w:after="0" w:line="121" w:lineRule="exact"/>
        <w:rPr>
          <w:rFonts w:ascii="Arial" w:cs="Arial" w:eastAsia="Arial" w:hAnsi="Arial"/>
          <w:sz w:val="18"/>
          <w:szCs w:val="18"/>
          <w:b w:val="1"/>
          <w:bCs w:val="1"/>
          <w:color w:val="auto"/>
        </w:rPr>
      </w:pPr>
    </w:p>
    <w:p>
      <w:pPr>
        <w:ind w:right="140" w:firstLine="464"/>
        <w:spacing w:after="0" w:line="273" w:lineRule="auto"/>
        <w:tabs>
          <w:tab w:leader="none" w:pos="701" w:val="left"/>
        </w:tabs>
        <w:numPr>
          <w:ilvl w:val="1"/>
          <w:numId w:val="63"/>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and the Plan and the Grant Details, the Company hereby grants the Options to the Eligible Individual.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Your Grant Details, which sets forth the number of Options, the grant price which is the per Share exercise price of the Option, the Grant Date of the Option, and the vesting schedule of the Option (among other information), is hereby incorporated by reference into, and shall be read as part and parcel of, this Agreement.</w:t>
      </w:r>
    </w:p>
    <w:p>
      <w:pPr>
        <w:spacing w:after="0" w:line="178" w:lineRule="exact"/>
        <w:rPr>
          <w:rFonts w:ascii="Arial" w:cs="Arial" w:eastAsia="Arial" w:hAnsi="Arial"/>
          <w:sz w:val="17"/>
          <w:szCs w:val="17"/>
          <w:color w:val="auto"/>
        </w:rPr>
      </w:pPr>
    </w:p>
    <w:p>
      <w:pPr>
        <w:ind w:right="20" w:firstLine="464"/>
        <w:spacing w:after="0" w:line="277" w:lineRule="auto"/>
        <w:tabs>
          <w:tab w:leader="none" w:pos="71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Option shall be a Nonqualified Option. Unless earlier terminated pursuant to the terms of this Agreement or the Plan, the Option shall expire on the ten-year anniversary of the Grant Date.</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Subject to (a) the terms and conditions of this Agreement, the Grant Details and the Plan</w:t>
      </w:r>
      <w:r>
        <w:rPr>
          <w:rFonts w:ascii="Arial" w:cs="Arial" w:eastAsia="Arial" w:hAnsi="Arial"/>
          <w:sz w:val="16"/>
          <w:szCs w:val="16"/>
          <w:i w:val="1"/>
          <w:iCs w:val="1"/>
          <w:color w:val="auto"/>
        </w:rPr>
        <w:t>,</w:t>
      </w:r>
      <w:r>
        <w:rPr>
          <w:rFonts w:ascii="Arial" w:cs="Arial" w:eastAsia="Arial" w:hAnsi="Arial"/>
          <w:sz w:val="16"/>
          <w:szCs w:val="16"/>
          <w:color w:val="auto"/>
        </w:rPr>
        <w:t xml:space="preserve"> and (b) the Eligible Individual’s continuous employment by the Company or one of its Subsidiaries or Affiliates, the Option shall vest and become exercisable on each of the vesting dates detailed in the Grant Details (such period between the date of issuance and each vesting date shall be referred to as the “Vesting Period”). In the event a Termination of Employment of the Eligible Individual occurs prior to the expiration of the Vesting Period for any reason (or for no reason), all remaining unvested Options shall be forfeited by the Eligible Individual and canceled in their entirety effective immediately as of the date of such Termination of Employment.</w:t>
      </w:r>
    </w:p>
    <w:p>
      <w:pPr>
        <w:spacing w:after="0" w:line="30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p>
    <w:p>
      <w:pPr>
        <w:spacing w:after="0" w:line="121" w:lineRule="exact"/>
        <w:rPr>
          <w:rFonts w:ascii="Arial" w:cs="Arial" w:eastAsia="Arial" w:hAnsi="Arial"/>
          <w:sz w:val="18"/>
          <w:szCs w:val="18"/>
          <w:b w:val="1"/>
          <w:bCs w:val="1"/>
          <w:color w:val="auto"/>
        </w:rPr>
      </w:pPr>
    </w:p>
    <w:p>
      <w:pPr>
        <w:ind w:right="120" w:firstLine="464"/>
        <w:spacing w:after="0" w:line="286" w:lineRule="auto"/>
        <w:tabs>
          <w:tab w:leader="none" w:pos="701"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ectPr>
          <w:pgSz w:w="11900" w:h="16838" w:orient="portrait"/>
          <w:cols w:equalWidth="0" w:num="1">
            <w:col w:w="11420"/>
          </w:cols>
          <w:pgMar w:left="240" w:top="121" w:right="239" w:bottom="1440" w:gutter="0" w:footer="0" w:header="0"/>
        </w:sectPr>
      </w:pPr>
    </w:p>
    <w:bookmarkStart w:id="138" w:name="page139"/>
    <w:bookmarkEnd w:id="138"/>
    <w:p>
      <w:pPr>
        <w:jc w:val="both"/>
        <w:ind w:right="520" w:firstLine="464"/>
        <w:spacing w:after="0" w:line="291" w:lineRule="auto"/>
        <w:tabs>
          <w:tab w:leader="none" w:pos="711"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Exercise Notice shall be accompanied by payment of the aggregate exercise price as to all Shares in respect of which the Option is being exercised. Payment of the aggregate exercise price shall be by any of the following, or a combination thereof, at the election of the Eligible Individual:</w:t>
      </w:r>
    </w:p>
    <w:p>
      <w:pPr>
        <w:ind w:left="220" w:hanging="212"/>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(ii) check, (iii) a “broker-assisted” or “same-day sale”; or (iv) other method authorized by the Company and/or the Plan Administrator.</w:t>
      </w:r>
    </w:p>
    <w:p>
      <w:pPr>
        <w:spacing w:after="0" w:line="210" w:lineRule="exact"/>
        <w:rPr>
          <w:rFonts w:ascii="Arial" w:cs="Arial" w:eastAsia="Arial" w:hAnsi="Arial"/>
          <w:sz w:val="18"/>
          <w:szCs w:val="18"/>
          <w:color w:val="auto"/>
        </w:rPr>
      </w:pPr>
    </w:p>
    <w:p>
      <w:pPr>
        <w:ind w:right="120" w:firstLine="464"/>
        <w:spacing w:after="0" w:line="277" w:lineRule="auto"/>
        <w:tabs>
          <w:tab w:leader="none" w:pos="7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31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121" w:lineRule="exact"/>
        <w:rPr>
          <w:rFonts w:ascii="Arial" w:cs="Arial" w:eastAsia="Arial" w:hAnsi="Arial"/>
          <w:sz w:val="18"/>
          <w:szCs w:val="18"/>
          <w:b w:val="1"/>
          <w:bCs w:val="1"/>
          <w:color w:val="auto"/>
        </w:rPr>
      </w:pPr>
    </w:p>
    <w:p>
      <w:pPr>
        <w:ind w:firstLine="464"/>
        <w:spacing w:after="0" w:line="289" w:lineRule="auto"/>
        <w:tabs>
          <w:tab w:leader="none" w:pos="701"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Notwithstanding the provisions above, in the event the Eligible Individual incurs a Termination of Employment for Cause or the Eligible Individual voluntarily incurs a Termination of Employment within two years after any event or circumstance that would have been grounds for a Termination of Employment for Cause, the Eligible Individual agrees that the Options (whether or not vested) shall be forfeited and cancelled in their entirety upon such Termination of Employment. In such event, the Company may cause the Eligible Individual, immediately upon notice from the Company, to either (i) return the Options and/or Shares issued upon exercise of Options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the Options that were exercised during the two-year period after the events or circumstances giving rise to or constituting grounds for such Termination of Employment for Cause (i.e. the value of the Shares issued upon exercise of the Options and sold), in each case including any dividend equivalents or other distributions received in respect of any such Options.</w:t>
      </w:r>
    </w:p>
    <w:p>
      <w:pPr>
        <w:spacing w:after="0" w:line="166" w:lineRule="exact"/>
        <w:rPr>
          <w:rFonts w:ascii="Arial" w:cs="Arial" w:eastAsia="Arial" w:hAnsi="Arial"/>
          <w:sz w:val="16"/>
          <w:szCs w:val="16"/>
          <w:color w:val="auto"/>
        </w:rPr>
      </w:pPr>
    </w:p>
    <w:p>
      <w:pPr>
        <w:ind w:right="500" w:firstLine="464"/>
        <w:spacing w:after="0" w:line="342" w:lineRule="auto"/>
        <w:tabs>
          <w:tab w:leader="none" w:pos="711" w:val="left"/>
        </w:tabs>
        <w:numPr>
          <w:ilvl w:val="1"/>
          <w:numId w:val="67"/>
        </w:numPr>
        <w:rPr>
          <w:rFonts w:ascii="Arial" w:cs="Arial" w:eastAsia="Arial" w:hAnsi="Arial"/>
          <w:sz w:val="16"/>
          <w:szCs w:val="16"/>
          <w:color w:val="auto"/>
        </w:rPr>
      </w:pPr>
      <w:r>
        <w:rPr>
          <w:rFonts w:ascii="Arial" w:cs="Arial" w:eastAsia="Arial" w:hAnsi="Arial"/>
          <w:sz w:val="16"/>
          <w:szCs w:val="16"/>
          <w:color w:val="auto"/>
        </w:rPr>
        <w:t>For purpose of this Agreement, employment with the Company shall include employment with the Company’s Subsidiaries or Affiliates. The Committee shall have the exclusive discretion to determine whether there has been any Termination of Employment and whether there existed Cause.</w:t>
      </w:r>
    </w:p>
    <w:p>
      <w:pPr>
        <w:spacing w:after="0" w:line="268"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Options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During the Vesting Period and until such time as the Options are ultimately exercised as provided herein or on the website of the Plan Administrator, the Options shall not be transferable by the Eligible Individual by means of sale, assignment, exchange, encumbrance, pledge, hedge or otherwise.</w:t>
      </w:r>
    </w:p>
    <w:p>
      <w:pPr>
        <w:spacing w:after="0" w:line="26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Except as otherwise specifically provided in this Agreement, during the Vesting Period the Eligible Individual shall not be entitled to any rights of a stockholder with respect to the Options. Notwithstanding the foregoing, if the Company declares and pays dividends on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9" w:name="page140"/>
    <w:bookmarkEnd w:id="139"/>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during the Vesting Period, the Eligible Individual will be credited with additional amounts for each Option equal to the dividend that would have been paid with respect to such Option if it had been an actual share of Common Stock, which amount shall remain subject to restrictions (and as determined by the Committee may be reinvested in Options or may be held in kind as restricted property) and shall vest concurrently with the vesting of the Options upon which such dividend equivalent amounts were paid. Notwithstanding the foregoing, dividends and distributions other than regular cash dividends, if any, may result in an adjustment pursuant to Section 7 below, rather than under this Section 6.</w:t>
      </w:r>
    </w:p>
    <w:p>
      <w:pPr>
        <w:spacing w:after="0" w:line="31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121" w:lineRule="exact"/>
        <w:rPr>
          <w:rFonts w:ascii="Arial" w:cs="Arial" w:eastAsia="Arial" w:hAnsi="Arial"/>
          <w:sz w:val="18"/>
          <w:szCs w:val="18"/>
          <w:b w:val="1"/>
          <w:bCs w:val="1"/>
          <w:color w:val="auto"/>
        </w:rPr>
      </w:pPr>
    </w:p>
    <w:p>
      <w:pPr>
        <w:ind w:right="20" w:firstLine="464"/>
        <w:spacing w:after="0" w:line="276" w:lineRule="auto"/>
        <w:tabs>
          <w:tab w:leader="none" w:pos="701"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Options and the number and kind of shares of Common Stock underlying the Options.</w:t>
      </w:r>
    </w:p>
    <w:p>
      <w:pPr>
        <w:spacing w:after="0" w:line="172" w:lineRule="exact"/>
        <w:rPr>
          <w:rFonts w:ascii="Arial" w:cs="Arial" w:eastAsia="Arial" w:hAnsi="Arial"/>
          <w:sz w:val="17"/>
          <w:szCs w:val="17"/>
          <w:color w:val="auto"/>
        </w:rPr>
      </w:pPr>
    </w:p>
    <w:p>
      <w:pPr>
        <w:ind w:firstLine="464"/>
        <w:spacing w:after="0" w:line="291" w:lineRule="auto"/>
        <w:tabs>
          <w:tab w:leader="none" w:pos="7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(i) the cancellation of the Options in exchange for payments of cash, property or a combination thereof having an aggregate value equal to the value of such Options, as determined by the Committee or the Board in its sole discretion, (ii) the substitution of other property (including, without limitation, cash or other securities of the Company and securities of entities other than the Company) for the shares of Common Stock underlying the Options and (iii) in connection with any Disaffiliation, arranging for the assumption of the Options, or the replacement of the Options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Options that remain based upon securities of the Company).</w:t>
      </w:r>
    </w:p>
    <w:p>
      <w:pPr>
        <w:spacing w:after="0" w:line="167" w:lineRule="exact"/>
        <w:rPr>
          <w:rFonts w:ascii="Arial" w:cs="Arial" w:eastAsia="Arial" w:hAnsi="Arial"/>
          <w:sz w:val="16"/>
          <w:szCs w:val="16"/>
          <w:color w:val="auto"/>
        </w:rPr>
      </w:pPr>
    </w:p>
    <w:p>
      <w:pPr>
        <w:ind w:left="700" w:hanging="236"/>
        <w:spacing w:after="0"/>
        <w:tabs>
          <w:tab w:leader="none" w:pos="7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 Participants.</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381" w:lineRule="exact"/>
        <w:rPr>
          <w:rFonts w:ascii="Arial" w:cs="Arial" w:eastAsia="Arial" w:hAnsi="Arial"/>
          <w:sz w:val="17"/>
          <w:szCs w:val="17"/>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121" w:lineRule="exact"/>
        <w:rPr>
          <w:rFonts w:ascii="Arial" w:cs="Arial" w:eastAsia="Arial" w:hAnsi="Arial"/>
          <w:sz w:val="18"/>
          <w:szCs w:val="18"/>
          <w:b w:val="1"/>
          <w:bCs w:val="1"/>
          <w:color w:val="auto"/>
        </w:rPr>
      </w:pPr>
    </w:p>
    <w:p>
      <w:pPr>
        <w:ind w:right="220" w:firstLine="464"/>
        <w:spacing w:after="0" w:line="264" w:lineRule="auto"/>
        <w:tabs>
          <w:tab w:leader="none" w:pos="7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Options, together with any and all other fees and expenses necessarily incurred by the Company in connection therewith.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0" w:name="page141"/>
    <w:bookmarkEnd w:id="140"/>
    <w:p>
      <w:pPr>
        <w:ind w:left="-40" w:right="60" w:firstLine="464"/>
        <w:spacing w:after="0" w:line="293" w:lineRule="auto"/>
        <w:tabs>
          <w:tab w:leader="none" w:pos="671"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Options and issuance of the Shares in connection therewith, the receipt of cash or any dividends or dividend equivalents; and (2) do not commit to structure the terms of the award or any aspect of the Options to reduce or eliminate the Eligible Individual’s liability for Tax-Related Items.</w:t>
      </w:r>
    </w:p>
    <w:p>
      <w:pPr>
        <w:spacing w:after="0" w:line="164" w:lineRule="exact"/>
        <w:rPr>
          <w:rFonts w:ascii="Arial" w:cs="Arial" w:eastAsia="Arial" w:hAnsi="Arial"/>
          <w:sz w:val="16"/>
          <w:szCs w:val="16"/>
          <w:color w:val="auto"/>
        </w:rPr>
      </w:pPr>
    </w:p>
    <w:p>
      <w:pPr>
        <w:ind w:left="-40" w:right="100" w:firstLine="464"/>
        <w:spacing w:after="0" w:line="287" w:lineRule="auto"/>
        <w:tabs>
          <w:tab w:leader="none" w:pos="66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Tax-Related Items as a result of the award, vesting or exercise of the Options,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exercise of the Option Award if the Eligible Individual fails to comply with his or her obligations in connection with the Tax-Related Items as described in this Section.</w:t>
      </w:r>
    </w:p>
    <w:p>
      <w:pPr>
        <w:spacing w:after="0" w:line="172" w:lineRule="exact"/>
        <w:rPr>
          <w:rFonts w:ascii="Arial" w:cs="Arial" w:eastAsia="Arial" w:hAnsi="Arial"/>
          <w:sz w:val="16"/>
          <w:szCs w:val="16"/>
          <w:color w:val="auto"/>
        </w:rPr>
      </w:pPr>
    </w:p>
    <w:p>
      <w:pPr>
        <w:ind w:left="-40" w:firstLine="464"/>
        <w:spacing w:after="0" w:line="254" w:lineRule="auto"/>
        <w:tabs>
          <w:tab w:leader="none" w:pos="6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141" w:name="page142"/>
    <w:bookmarkEnd w:id="141"/>
    <w:p>
      <w:pPr>
        <w:ind w:left="452" w:hanging="452"/>
        <w:spacing w:after="0"/>
        <w:tabs>
          <w:tab w:leader="none" w:pos="4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Restrictions</w:t>
      </w:r>
    </w:p>
    <w:p>
      <w:pPr>
        <w:spacing w:after="0" w:line="121" w:lineRule="exact"/>
        <w:rPr>
          <w:rFonts w:ascii="Arial" w:cs="Arial" w:eastAsia="Arial" w:hAnsi="Arial"/>
          <w:sz w:val="18"/>
          <w:szCs w:val="18"/>
          <w:b w:val="1"/>
          <w:bCs w:val="1"/>
          <w:color w:val="auto"/>
        </w:rPr>
      </w:pPr>
    </w:p>
    <w:p>
      <w:pPr>
        <w:jc w:val="both"/>
        <w:ind w:left="-8" w:right="40" w:firstLine="464"/>
        <w:spacing w:after="0" w:line="302" w:lineRule="auto"/>
        <w:tabs>
          <w:tab w:leader="none" w:pos="69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154" w:lineRule="exact"/>
        <w:rPr>
          <w:rFonts w:ascii="Arial" w:cs="Arial" w:eastAsia="Arial" w:hAnsi="Arial"/>
          <w:sz w:val="16"/>
          <w:szCs w:val="16"/>
          <w:color w:val="auto"/>
        </w:rPr>
      </w:pPr>
    </w:p>
    <w:p>
      <w:pPr>
        <w:ind w:left="-8" w:firstLine="464"/>
        <w:spacing w:after="0" w:line="293" w:lineRule="auto"/>
        <w:tabs>
          <w:tab w:leader="none" w:pos="70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Option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480" w:firstLine="464"/>
        <w:spacing w:after="0" w:line="277" w:lineRule="auto"/>
        <w:tabs>
          <w:tab w:leader="none" w:pos="7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award of the Options is voluntary and occasional and does not create any contractual or other right to receive future awards of Options, or benefits in lieu of Options, even if Options have been awarded repeatedly in the past;</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left="-8" w:right="340" w:firstLine="464"/>
        <w:spacing w:after="0" w:line="342" w:lineRule="auto"/>
        <w:tabs>
          <w:tab w:leader="none" w:pos="70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692" w:hanging="236"/>
        <w:spacing w:after="0"/>
        <w:tabs>
          <w:tab w:leader="none" w:pos="6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5" w:lineRule="exact"/>
        <w:rPr>
          <w:rFonts w:ascii="Arial" w:cs="Arial" w:eastAsia="Arial" w:hAnsi="Arial"/>
          <w:sz w:val="18"/>
          <w:szCs w:val="18"/>
          <w:color w:val="auto"/>
        </w:rPr>
      </w:pPr>
    </w:p>
    <w:p>
      <w:pPr>
        <w:ind w:left="-8" w:right="440" w:firstLine="464"/>
        <w:spacing w:after="0" w:line="277" w:lineRule="auto"/>
        <w:tabs>
          <w:tab w:leader="none" w:pos="67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Option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0" w:right="259" w:bottom="1440" w:gutter="0" w:footer="0" w:header="0"/>
        </w:sectPr>
      </w:pPr>
    </w:p>
    <w:bookmarkStart w:id="142" w:name="page143"/>
    <w:bookmarkEnd w:id="142"/>
    <w:p>
      <w:pPr>
        <w:ind w:firstLine="464"/>
        <w:spacing w:after="0" w:line="286" w:lineRule="auto"/>
        <w:tabs>
          <w:tab w:leader="none" w:pos="711" w:val="left"/>
        </w:tabs>
        <w:numPr>
          <w:ilvl w:val="1"/>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65" w:lineRule="exact"/>
        <w:rPr>
          <w:rFonts w:ascii="Arial" w:cs="Arial" w:eastAsia="Arial" w:hAnsi="Arial"/>
          <w:sz w:val="17"/>
          <w:szCs w:val="17"/>
          <w:color w:val="auto"/>
        </w:rPr>
      </w:pPr>
    </w:p>
    <w:p>
      <w:pPr>
        <w:ind w:right="80" w:firstLine="464"/>
        <w:spacing w:after="0" w:line="277" w:lineRule="auto"/>
        <w:tabs>
          <w:tab w:leader="none" w:pos="711"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Option award will not be interpreted to form an employment contract or relationship with the Company, a Subsidiary or Affiliate; and</w:t>
      </w:r>
    </w:p>
    <w:p>
      <w:pPr>
        <w:spacing w:after="0" w:line="170" w:lineRule="exact"/>
        <w:rPr>
          <w:rFonts w:ascii="Arial" w:cs="Arial" w:eastAsia="Arial" w:hAnsi="Arial"/>
          <w:sz w:val="18"/>
          <w:szCs w:val="18"/>
          <w:color w:val="auto"/>
        </w:rPr>
      </w:pPr>
    </w:p>
    <w:p>
      <w:pPr>
        <w:ind w:right="80" w:firstLine="464"/>
        <w:spacing w:after="0" w:line="297" w:lineRule="auto"/>
        <w:tabs>
          <w:tab w:leader="none" w:pos="671"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consideration of the award of the Options, no claim or entitlement to compensation or damages shall arise from termination of the Option award or diminution in value of the Option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32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3" w:name="page144"/>
    <w:bookmarkEnd w:id="143"/>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Applicable to Construction; Consent to Jurisdiction</w:t>
      </w:r>
    </w:p>
    <w:p>
      <w:pPr>
        <w:spacing w:after="0" w:line="121" w:lineRule="exact"/>
        <w:rPr>
          <w:rFonts w:ascii="Arial" w:cs="Arial" w:eastAsia="Arial" w:hAnsi="Arial"/>
          <w:sz w:val="18"/>
          <w:szCs w:val="18"/>
          <w:b w:val="1"/>
          <w:bCs w:val="1"/>
          <w:color w:val="auto"/>
        </w:rPr>
      </w:pPr>
    </w:p>
    <w:p>
      <w:pPr>
        <w:ind w:left="-8" w:right="140" w:firstLine="464"/>
        <w:spacing w:after="0" w:line="312" w:lineRule="auto"/>
        <w:tabs>
          <w:tab w:leader="none" w:pos="6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Options are subject to the terms and conditions of the Plan, which are hereby incorporated by reference.</w:t>
      </w:r>
    </w:p>
    <w:p>
      <w:pPr>
        <w:spacing w:after="0" w:line="146" w:lineRule="exact"/>
        <w:rPr>
          <w:rFonts w:ascii="Arial" w:cs="Arial" w:eastAsia="Arial" w:hAnsi="Arial"/>
          <w:sz w:val="16"/>
          <w:szCs w:val="16"/>
          <w:color w:val="auto"/>
        </w:rPr>
      </w:pPr>
    </w:p>
    <w:p>
      <w:pPr>
        <w:ind w:left="-8" w:right="20" w:firstLine="464"/>
        <w:spacing w:after="0" w:line="279" w:lineRule="auto"/>
        <w:tabs>
          <w:tab w:leader="none" w:pos="703"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left="-8" w:right="20" w:firstLine="464"/>
        <w:spacing w:after="0" w:line="264" w:lineRule="auto"/>
        <w:tabs>
          <w:tab w:leader="none" w:pos="6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left="-8" w:firstLine="464"/>
        <w:spacing w:after="0" w:line="293" w:lineRule="auto"/>
        <w:tabs>
          <w:tab w:leader="none" w:pos="70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Options have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left="-8" w:right="80" w:firstLine="464"/>
        <w:spacing w:after="0" w:line="291" w:lineRule="auto"/>
        <w:tabs>
          <w:tab w:leader="none" w:pos="6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0" w:right="259" w:bottom="1440" w:gutter="0" w:footer="0" w:header="0"/>
        </w:sectPr>
      </w:pPr>
    </w:p>
    <w:bookmarkStart w:id="144" w:name="page145"/>
    <w:bookmarkEnd w:id="144"/>
    <w:p>
      <w:pPr>
        <w:ind w:left="-8" w:right="20" w:firstLine="464"/>
        <w:spacing w:after="0" w:line="255" w:lineRule="auto"/>
        <w:tabs>
          <w:tab w:leader="none" w:pos="703"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Arial" w:cs="Arial" w:eastAsia="Arial" w:hAnsi="Arial"/>
          <w:sz w:val="18"/>
          <w:szCs w:val="18"/>
          <w:color w:val="auto"/>
        </w:rPr>
      </w:pPr>
    </w:p>
    <w:p>
      <w:pPr>
        <w:ind w:left="-8" w:right="80" w:firstLine="464"/>
        <w:spacing w:after="0" w:line="297" w:lineRule="auto"/>
        <w:tabs>
          <w:tab w:leader="none" w:pos="693"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Arial" w:cs="Arial" w:eastAsia="Arial" w:hAnsi="Arial"/>
          <w:sz w:val="16"/>
          <w:szCs w:val="16"/>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left="-8" w:firstLine="464"/>
        <w:spacing w:after="0" w:line="279" w:lineRule="auto"/>
        <w:tabs>
          <w:tab w:leader="none" w:pos="693"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the Option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1" w:lineRule="exact"/>
        <w:rPr>
          <w:rFonts w:ascii="Arial" w:cs="Arial" w:eastAsia="Arial" w:hAnsi="Arial"/>
          <w:sz w:val="17"/>
          <w:szCs w:val="17"/>
          <w:color w:val="auto"/>
        </w:rPr>
      </w:pPr>
    </w:p>
    <w:p>
      <w:pPr>
        <w:ind w:left="-8" w:right="40" w:firstLine="464"/>
        <w:spacing w:after="0" w:line="273" w:lineRule="auto"/>
        <w:tabs>
          <w:tab w:leader="none" w:pos="703"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1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92"/>
          </w:cols>
          <w:pgMar w:left="248" w:top="274" w:right="359" w:bottom="1440" w:gutter="0" w:footer="0" w:header="0"/>
        </w:sectPr>
      </w:pPr>
    </w:p>
    <w:bookmarkStart w:id="145" w:name="page146"/>
    <w:bookmarkEnd w:id="145"/>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Language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32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Company may, in its sole discretion, decide to deliver any documents related to the Options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Award Date, then this Award shall automatically by deemed accepted and Eligible Individual shall be bound by the terms and conditions in the Plan, this Agreement, including the Grant Details.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0" w:right="3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w:t>
      </w:r>
    </w:p>
    <w:p>
      <w:pPr>
        <w:spacing w:after="0" w:line="21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(the “Eligible Individual”), describes the terms of an award of Options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Option</w:t>
      </w:r>
    </w:p>
    <w:p>
      <w:pPr>
        <w:spacing w:after="0" w:line="121" w:lineRule="exact"/>
        <w:rPr>
          <w:rFonts w:ascii="Arial" w:cs="Arial" w:eastAsia="Arial" w:hAnsi="Arial"/>
          <w:sz w:val="18"/>
          <w:szCs w:val="18"/>
          <w:b w:val="1"/>
          <w:bCs w:val="1"/>
          <w:color w:val="auto"/>
        </w:rPr>
      </w:pPr>
    </w:p>
    <w:p>
      <w:pPr>
        <w:ind w:right="60" w:firstLine="464"/>
        <w:spacing w:after="0" w:line="273" w:lineRule="auto"/>
        <w:tabs>
          <w:tab w:leader="none" w:pos="701"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and the Plan and the Grant Details and the Plan, the Company hereby grants the Options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7"/>
          <w:szCs w:val="17"/>
          <w:u w:val="single" w:color="auto"/>
          <w:color w:val="auto"/>
        </w:rPr>
        <w:t>www.netbenefits.fidelity.com</w:t>
      </w:r>
      <w:r>
        <w:rPr>
          <w:rFonts w:ascii="Arial" w:cs="Arial" w:eastAsia="Arial" w:hAnsi="Arial"/>
          <w:sz w:val="17"/>
          <w:szCs w:val="17"/>
          <w:color w:val="auto"/>
        </w:rPr>
        <w:t xml:space="preserve"> (or any successor equity administration system selected by the Company to manage the Plan from time to time). Your Grant Details, which sets forth the number of Options, the grant price which is the per Share exercise price of the Option, the Grant Date of the Option, and the vesting schedule of the Option (among other information), is hereby incorporated by reference into, and shall be read as part and parcel of, this Agreement.</w:t>
      </w:r>
    </w:p>
    <w:p>
      <w:pPr>
        <w:spacing w:after="0" w:line="178" w:lineRule="exact"/>
        <w:rPr>
          <w:rFonts w:ascii="Arial" w:cs="Arial" w:eastAsia="Arial" w:hAnsi="Arial"/>
          <w:sz w:val="17"/>
          <w:szCs w:val="17"/>
          <w:color w:val="auto"/>
        </w:rPr>
      </w:pPr>
    </w:p>
    <w:p>
      <w:pPr>
        <w:ind w:right="20" w:firstLine="464"/>
        <w:spacing w:after="0" w:line="277" w:lineRule="auto"/>
        <w:tabs>
          <w:tab w:leader="none" w:pos="711"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Option shall be a Nonqualified Option. Unless earlier terminated pursuant to the terms of this Agreement or the Plan, the Option shall expire on the ten-year anniversary of the Grant Date.</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p>
    <w:p>
      <w:pPr>
        <w:spacing w:after="0" w:line="121" w:lineRule="exact"/>
        <w:rPr>
          <w:rFonts w:ascii="Arial" w:cs="Arial" w:eastAsia="Arial" w:hAnsi="Arial"/>
          <w:sz w:val="18"/>
          <w:szCs w:val="18"/>
          <w:b w:val="1"/>
          <w:bCs w:val="1"/>
          <w:color w:val="auto"/>
        </w:rPr>
      </w:pPr>
    </w:p>
    <w:p>
      <w:pPr>
        <w:ind w:right="20" w:firstLine="464"/>
        <w:spacing w:after="0" w:line="264" w:lineRule="auto"/>
        <w:tabs>
          <w:tab w:leader="none" w:pos="7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Subject to (a) the terms and conditions of this Agreement, the Grant Details and the Plan</w:t>
      </w:r>
      <w:r>
        <w:rPr>
          <w:rFonts w:ascii="Arial" w:cs="Arial" w:eastAsia="Arial" w:hAnsi="Arial"/>
          <w:sz w:val="18"/>
          <w:szCs w:val="18"/>
          <w:i w:val="1"/>
          <w:iCs w:val="1"/>
          <w:color w:val="auto"/>
        </w:rPr>
        <w:t>,</w:t>
      </w:r>
      <w:r>
        <w:rPr>
          <w:rFonts w:ascii="Arial" w:cs="Arial" w:eastAsia="Arial" w:hAnsi="Arial"/>
          <w:sz w:val="18"/>
          <w:szCs w:val="18"/>
          <w:color w:val="auto"/>
        </w:rPr>
        <w:t xml:space="preserve"> and (b) the Eligible Individual’s continuous employment by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81" w:lineRule="exact"/>
        <w:rPr>
          <w:rFonts w:ascii="Arial" w:cs="Arial" w:eastAsia="Arial" w:hAnsi="Arial"/>
          <w:sz w:val="18"/>
          <w:szCs w:val="18"/>
          <w:color w:val="auto"/>
        </w:rPr>
      </w:pPr>
    </w:p>
    <w:p>
      <w:pPr>
        <w:ind w:right="180" w:firstLine="464"/>
        <w:spacing w:after="0" w:line="273" w:lineRule="auto"/>
        <w:tabs>
          <w:tab w:leader="none" w:pos="711" w:val="left"/>
        </w:tabs>
        <w:numPr>
          <w:ilvl w:val="1"/>
          <w:numId w:val="81"/>
        </w:numPr>
        <w:rPr>
          <w:rFonts w:ascii="Arial" w:cs="Arial" w:eastAsia="Arial" w:hAnsi="Arial"/>
          <w:sz w:val="17"/>
          <w:szCs w:val="17"/>
          <w:color w:val="auto"/>
        </w:rPr>
      </w:pPr>
      <w:r>
        <w:rPr>
          <w:rFonts w:ascii="Arial" w:cs="Arial" w:eastAsia="Arial" w:hAnsi="Arial"/>
          <w:sz w:val="17"/>
          <w:szCs w:val="17"/>
          <w:color w:val="auto"/>
        </w:rPr>
        <w:t>In the event a Termination of Employment of the Eligible Individual occurs during the Vesting Period for any reason (whether or not in breach of local labor laws), the Eligible Individual’s right to receive the Option award and any vesting in the Options under the Plan, if any, will terminate effective as of the date of the Termination of Employment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furthermore, in the event of a Termination of Employment (whether or not in breach of local labor laws), the Eligible Individual’s right to vest in Option after Termination of Employment, if any, will be measured to the date of the Termination of Employment and will not be extended by any notice period mandated under local law.</w:t>
      </w:r>
    </w:p>
    <w:p>
      <w:pPr>
        <w:sectPr>
          <w:pgSz w:w="11900" w:h="16838" w:orient="portrait"/>
          <w:cols w:equalWidth="0" w:num="1">
            <w:col w:w="11420"/>
          </w:cols>
          <w:pgMar w:left="240" w:top="121" w:right="239" w:bottom="1440" w:gutter="0" w:footer="0" w:header="0"/>
        </w:sectPr>
      </w:pPr>
    </w:p>
    <w:bookmarkStart w:id="147" w:name="page148"/>
    <w:bookmarkEnd w:id="147"/>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p>
    <w:p>
      <w:pPr>
        <w:spacing w:after="0" w:line="121" w:lineRule="exact"/>
        <w:rPr>
          <w:rFonts w:ascii="Arial" w:cs="Arial" w:eastAsia="Arial" w:hAnsi="Arial"/>
          <w:sz w:val="18"/>
          <w:szCs w:val="18"/>
          <w:b w:val="1"/>
          <w:bCs w:val="1"/>
          <w:color w:val="auto"/>
        </w:rPr>
      </w:pPr>
    </w:p>
    <w:p>
      <w:pPr>
        <w:ind w:right="100" w:firstLine="464"/>
        <w:spacing w:after="0" w:line="286" w:lineRule="auto"/>
        <w:tabs>
          <w:tab w:leader="none" w:pos="701"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65" w:lineRule="exact"/>
        <w:rPr>
          <w:rFonts w:ascii="Arial" w:cs="Arial" w:eastAsia="Arial" w:hAnsi="Arial"/>
          <w:sz w:val="17"/>
          <w:szCs w:val="17"/>
          <w:color w:val="auto"/>
        </w:rPr>
      </w:pPr>
    </w:p>
    <w:p>
      <w:pPr>
        <w:jc w:val="both"/>
        <w:ind w:right="520" w:firstLine="464"/>
        <w:spacing w:after="0" w:line="291" w:lineRule="auto"/>
        <w:tabs>
          <w:tab w:leader="none" w:pos="711"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Exercise Notice shall be accompanied by payment of the aggregate exercise price as to all Shares in respect of which the Option is being exercised. Payment of the aggregate exercise price shall be by any of the following, or a combination thereof, at the election of the Eligible Individual:</w:t>
      </w:r>
    </w:p>
    <w:p>
      <w:pPr>
        <w:spacing w:after="0"/>
        <w:rPr>
          <w:rFonts w:ascii="Arial" w:cs="Arial" w:eastAsia="Arial" w:hAnsi="Arial"/>
          <w:sz w:val="16"/>
          <w:szCs w:val="16"/>
          <w:color w:val="auto"/>
        </w:rPr>
      </w:pPr>
      <w:r>
        <w:rPr>
          <w:rFonts w:ascii="Arial" w:cs="Arial" w:eastAsia="Arial" w:hAnsi="Arial"/>
          <w:sz w:val="18"/>
          <w:szCs w:val="18"/>
          <w:color w:val="auto"/>
        </w:rPr>
        <w:t>(i) cash, (ii) check, (iii) a “broker-assisted” or “same-day sale”; or (iv) other method authorized by the Company and/or the Plan Administrator.</w:t>
      </w:r>
    </w:p>
    <w:p>
      <w:pPr>
        <w:spacing w:after="0" w:line="210" w:lineRule="exact"/>
        <w:rPr>
          <w:rFonts w:ascii="Arial" w:cs="Arial" w:eastAsia="Arial" w:hAnsi="Arial"/>
          <w:sz w:val="16"/>
          <w:szCs w:val="16"/>
          <w:color w:val="auto"/>
        </w:rPr>
      </w:pPr>
    </w:p>
    <w:p>
      <w:pPr>
        <w:ind w:right="120" w:firstLine="464"/>
        <w:spacing w:after="0" w:line="277" w:lineRule="auto"/>
        <w:tabs>
          <w:tab w:leader="none" w:pos="701"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121" w:lineRule="exact"/>
        <w:rPr>
          <w:rFonts w:ascii="Arial" w:cs="Arial" w:eastAsia="Arial" w:hAnsi="Arial"/>
          <w:sz w:val="18"/>
          <w:szCs w:val="18"/>
          <w:b w:val="1"/>
          <w:bCs w:val="1"/>
          <w:color w:val="auto"/>
        </w:rPr>
      </w:pPr>
    </w:p>
    <w:p>
      <w:pPr>
        <w:ind w:firstLine="464"/>
        <w:spacing w:after="0" w:line="289" w:lineRule="auto"/>
        <w:tabs>
          <w:tab w:leader="none" w:pos="701"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Notwithstanding the provisions above, in the event the Eligible Individual incurs a Termination of Employment for Cause or the Eligible Individual voluntarily incurs a Termination of Employment within two years after any event or circumstance that would have been grounds for a Termination of Employment for Cause, the Eligible Individual agrees that the Options (whether or not vested) shall be forfeited and cancelled in their entirety upon such Termination of Employment. In such event, the Company may cause the Eligible Individual, immediately upon notice from the Company, to either (i) return the Options and/or Shares issued upon exercise of Options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the Options that were exercised during the two-year period after the events or circumstances giving rise to or constituting grounds for such Termination of Employment for Cause (i.e. the value of the Shares issued upon exercise of the Options and sold), in each case including any dividend equivalents or other distributions received in respect of any such Options.</w:t>
      </w:r>
    </w:p>
    <w:p>
      <w:pPr>
        <w:spacing w:after="0" w:line="166" w:lineRule="exact"/>
        <w:rPr>
          <w:rFonts w:ascii="Arial" w:cs="Arial" w:eastAsia="Arial" w:hAnsi="Arial"/>
          <w:sz w:val="16"/>
          <w:szCs w:val="16"/>
          <w:color w:val="auto"/>
        </w:rPr>
      </w:pPr>
    </w:p>
    <w:p>
      <w:pPr>
        <w:ind w:right="500" w:firstLine="464"/>
        <w:spacing w:after="0" w:line="342" w:lineRule="auto"/>
        <w:tabs>
          <w:tab w:leader="none" w:pos="711" w:val="left"/>
        </w:tabs>
        <w:numPr>
          <w:ilvl w:val="1"/>
          <w:numId w:val="82"/>
        </w:numPr>
        <w:rPr>
          <w:rFonts w:ascii="Arial" w:cs="Arial" w:eastAsia="Arial" w:hAnsi="Arial"/>
          <w:sz w:val="16"/>
          <w:szCs w:val="16"/>
          <w:color w:val="auto"/>
        </w:rPr>
      </w:pPr>
      <w:r>
        <w:rPr>
          <w:rFonts w:ascii="Arial" w:cs="Arial" w:eastAsia="Arial" w:hAnsi="Arial"/>
          <w:sz w:val="16"/>
          <w:szCs w:val="16"/>
          <w:color w:val="auto"/>
        </w:rPr>
        <w:t>For purpose of this Agreement, employment with the Company shall include employment with the Company’s Subsidiaries or Affiliates. The Committee shall have the exclusive discretion to determine whether there has been any Termination of Employment and whether there existed Cause.</w:t>
      </w:r>
    </w:p>
    <w:p>
      <w:pPr>
        <w:spacing w:after="0" w:line="268" w:lineRule="exact"/>
        <w:rPr>
          <w:rFonts w:ascii="Arial" w:cs="Arial" w:eastAsia="Arial" w:hAnsi="Arial"/>
          <w:sz w:val="16"/>
          <w:szCs w:val="16"/>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Options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During the Vesting Period and until such time as the Options are ultimately exercised as provided herein or on the website of the Plan Administrator, the Options shall not be transferable by the Eligible Individual by means of sale, assignment, exchange, encumbrance, pledge, hedge or otherwise.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48" w:name="page149"/>
    <w:bookmarkEnd w:id="148"/>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as a Stockholder</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Except as otherwise specifically provided in this Agreement, during the Vesting Period the Eligible Individual shall not be entitled to any rights of a stockholder with respect to the Options. Notwithstanding the foregoing, if the Company declares and pays dividends on the Common Stock during the Vesting Period, the Eligible Individual will be credited with additional amounts for each Option equal to the dividend that would have been paid with respect to such Option if it had been an actual share of Common Stock, which amount shall remain subject to restrictions (and as determined by the Committee may be reinvested in Options or may be held in kind as restricted property) and shall vest concurrently with the vesting of the Options upon which such dividend equivalent amounts were paid. Notwithstanding the foregoing, dividends and distributions other than regular cash dividends, if any, may result in an adjustment pursuant to Section 7 below, rather than under this Section 6.</w:t>
      </w:r>
    </w:p>
    <w:p>
      <w:pPr>
        <w:spacing w:after="0" w:line="32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121" w:lineRule="exact"/>
        <w:rPr>
          <w:rFonts w:ascii="Arial" w:cs="Arial" w:eastAsia="Arial" w:hAnsi="Arial"/>
          <w:sz w:val="18"/>
          <w:szCs w:val="18"/>
          <w:b w:val="1"/>
          <w:bCs w:val="1"/>
          <w:color w:val="auto"/>
        </w:rPr>
      </w:pPr>
    </w:p>
    <w:p>
      <w:pPr>
        <w:ind w:right="20" w:firstLine="464"/>
        <w:spacing w:after="0" w:line="276" w:lineRule="auto"/>
        <w:tabs>
          <w:tab w:leader="none" w:pos="701"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Options and the number and kind of shares of Common Stock underlying the Options.</w:t>
      </w:r>
    </w:p>
    <w:p>
      <w:pPr>
        <w:spacing w:after="0" w:line="172" w:lineRule="exact"/>
        <w:rPr>
          <w:rFonts w:ascii="Arial" w:cs="Arial" w:eastAsia="Arial" w:hAnsi="Arial"/>
          <w:sz w:val="17"/>
          <w:szCs w:val="17"/>
          <w:color w:val="auto"/>
        </w:rPr>
      </w:pPr>
    </w:p>
    <w:p>
      <w:pPr>
        <w:ind w:firstLine="464"/>
        <w:spacing w:after="0" w:line="291" w:lineRule="auto"/>
        <w:tabs>
          <w:tab w:leader="none" w:pos="711"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(i) the cancellation of the Options in exchange for payments of cash, property or a combination thereof having an aggregate value equal to the value of such Options, as determined by the Committee or the Board in its sole discretion, (ii) the substitution of other property (including, without limitation, cash or other securities of the Company and securities of entities other than the Company) for the shares of Common Stock underlying the Options and (iii) in connection with any Disaffiliation, arranging for the assumption of the Options, or the replacement of the Options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Options that remain based upon securities of the Company).</w:t>
      </w:r>
    </w:p>
    <w:p>
      <w:pPr>
        <w:spacing w:after="0" w:line="167" w:lineRule="exact"/>
        <w:rPr>
          <w:rFonts w:ascii="Arial" w:cs="Arial" w:eastAsia="Arial" w:hAnsi="Arial"/>
          <w:sz w:val="16"/>
          <w:szCs w:val="16"/>
          <w:color w:val="auto"/>
        </w:rPr>
      </w:pPr>
    </w:p>
    <w:p>
      <w:pPr>
        <w:ind w:left="700" w:hanging="236"/>
        <w:spacing w:after="0"/>
        <w:tabs>
          <w:tab w:leader="none" w:pos="7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 Participants.</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49" w:name="page150"/>
    <w:bookmarkEnd w:id="149"/>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Fees and Withholding</w:t>
      </w:r>
    </w:p>
    <w:p>
      <w:pPr>
        <w:spacing w:after="0" w:line="121" w:lineRule="exact"/>
        <w:rPr>
          <w:rFonts w:ascii="Arial" w:cs="Arial" w:eastAsia="Arial" w:hAnsi="Arial"/>
          <w:sz w:val="18"/>
          <w:szCs w:val="18"/>
          <w:b w:val="1"/>
          <w:bCs w:val="1"/>
          <w:color w:val="auto"/>
        </w:rPr>
      </w:pPr>
    </w:p>
    <w:p>
      <w:pPr>
        <w:ind w:left="-8" w:right="180" w:firstLine="464"/>
        <w:spacing w:after="0" w:line="264" w:lineRule="auto"/>
        <w:tabs>
          <w:tab w:leader="none" w:pos="69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Options, together with any and all other fees and expenses necessarily incurred by the Company in connection therewith.</w:t>
      </w:r>
    </w:p>
    <w:p>
      <w:pPr>
        <w:spacing w:after="0" w:line="181" w:lineRule="exact"/>
        <w:rPr>
          <w:rFonts w:ascii="Arial" w:cs="Arial" w:eastAsia="Arial" w:hAnsi="Arial"/>
          <w:sz w:val="18"/>
          <w:szCs w:val="18"/>
          <w:color w:val="auto"/>
        </w:rPr>
      </w:pPr>
    </w:p>
    <w:p>
      <w:pPr>
        <w:ind w:left="-8" w:right="60" w:firstLine="464"/>
        <w:spacing w:after="0" w:line="293" w:lineRule="auto"/>
        <w:tabs>
          <w:tab w:leader="none" w:pos="703" w:val="left"/>
        </w:tabs>
        <w:numPr>
          <w:ilvl w:val="1"/>
          <w:numId w:val="85"/>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Options and issuance of the Shares in connection therewith, the receipt of cash or any dividends or dividend equivalents; and (2) do not commit to structure the terms of the award or any aspect of the Options to reduce or eliminate the Eligible Individual’s liability for Tax-Related Items.</w:t>
      </w:r>
    </w:p>
    <w:p>
      <w:pPr>
        <w:spacing w:after="0" w:line="164" w:lineRule="exact"/>
        <w:rPr>
          <w:rFonts w:ascii="Arial" w:cs="Arial" w:eastAsia="Arial" w:hAnsi="Arial"/>
          <w:sz w:val="16"/>
          <w:szCs w:val="16"/>
          <w:color w:val="auto"/>
        </w:rPr>
      </w:pPr>
    </w:p>
    <w:p>
      <w:pPr>
        <w:ind w:left="-8" w:right="100" w:firstLine="464"/>
        <w:spacing w:after="0" w:line="287" w:lineRule="auto"/>
        <w:tabs>
          <w:tab w:leader="none" w:pos="693"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Tax-Related Items as a result of the award, vesting or exercise of the Options,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exercise of the Option Award if the Eligible Individual fails to comply with his or her obligations in connection with the Tax-Related Items as described in this Section.</w:t>
      </w:r>
    </w:p>
    <w:p>
      <w:pPr>
        <w:spacing w:after="0" w:line="172" w:lineRule="exact"/>
        <w:rPr>
          <w:rFonts w:ascii="Arial" w:cs="Arial" w:eastAsia="Arial" w:hAnsi="Arial"/>
          <w:sz w:val="16"/>
          <w:szCs w:val="16"/>
          <w:color w:val="auto"/>
        </w:rPr>
      </w:pPr>
    </w:p>
    <w:p>
      <w:pPr>
        <w:ind w:left="-8" w:firstLine="464"/>
        <w:spacing w:after="0" w:line="254" w:lineRule="auto"/>
        <w:tabs>
          <w:tab w:leader="none" w:pos="7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1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0" w:right="279" w:bottom="1440" w:gutter="0" w:footer="0" w:header="0"/>
        </w:sectPr>
      </w:pPr>
    </w:p>
    <w:bookmarkStart w:id="150" w:name="page151"/>
    <w:bookmarkEnd w:id="150"/>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Restrictions</w:t>
      </w:r>
    </w:p>
    <w:p>
      <w:pPr>
        <w:spacing w:after="0" w:line="121" w:lineRule="exact"/>
        <w:rPr>
          <w:rFonts w:ascii="Arial" w:cs="Arial" w:eastAsia="Arial" w:hAnsi="Arial"/>
          <w:sz w:val="18"/>
          <w:szCs w:val="18"/>
          <w:b w:val="1"/>
          <w:bCs w:val="1"/>
          <w:color w:val="auto"/>
        </w:rPr>
      </w:pPr>
    </w:p>
    <w:p>
      <w:pPr>
        <w:ind w:left="-8" w:right="120" w:firstLine="464"/>
        <w:spacing w:after="0" w:line="279" w:lineRule="auto"/>
        <w:tabs>
          <w:tab w:leader="none" w:pos="693"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Options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Options shall not be effective unless such listing, registration, qualification, consent or approval shall have been effected or obtained free of any conditions not acceptable to the Committee.</w:t>
      </w:r>
    </w:p>
    <w:p>
      <w:pPr>
        <w:spacing w:after="0" w:line="171" w:lineRule="exact"/>
        <w:rPr>
          <w:rFonts w:ascii="Arial" w:cs="Arial" w:eastAsia="Arial" w:hAnsi="Arial"/>
          <w:sz w:val="17"/>
          <w:szCs w:val="17"/>
          <w:color w:val="auto"/>
        </w:rPr>
      </w:pPr>
    </w:p>
    <w:p>
      <w:pPr>
        <w:ind w:left="-8" w:firstLine="464"/>
        <w:spacing w:after="0" w:line="293" w:lineRule="auto"/>
        <w:tabs>
          <w:tab w:leader="none" w:pos="703"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Option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480" w:firstLine="464"/>
        <w:spacing w:after="0" w:line="277" w:lineRule="auto"/>
        <w:tabs>
          <w:tab w:leader="none" w:pos="7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award of the Options is voluntary and occasional and does not create any contractual or other right to receive future awards of Options, or benefits in lieu of Options, even if Options have been awarded repeatedly in the past;</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left="-8" w:right="340" w:firstLine="464"/>
        <w:spacing w:after="0" w:line="342" w:lineRule="auto"/>
        <w:tabs>
          <w:tab w:leader="none" w:pos="703"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692" w:hanging="236"/>
        <w:spacing w:after="0"/>
        <w:tabs>
          <w:tab w:leader="none" w:pos="6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0" w:right="259" w:bottom="1440" w:gutter="0" w:footer="0" w:header="0"/>
        </w:sectPr>
      </w:pPr>
    </w:p>
    <w:bookmarkStart w:id="151" w:name="page152"/>
    <w:bookmarkEnd w:id="151"/>
    <w:p>
      <w:pPr>
        <w:ind w:right="460" w:firstLine="464"/>
        <w:spacing w:after="0" w:line="277" w:lineRule="auto"/>
        <w:tabs>
          <w:tab w:leader="none" w:pos="681"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70" w:lineRule="exact"/>
        <w:rPr>
          <w:rFonts w:ascii="Arial" w:cs="Arial" w:eastAsia="Arial" w:hAnsi="Arial"/>
          <w:sz w:val="18"/>
          <w:szCs w:val="18"/>
          <w:color w:val="auto"/>
        </w:rPr>
      </w:pPr>
    </w:p>
    <w:p>
      <w:pPr>
        <w:ind w:firstLine="464"/>
        <w:spacing w:after="0" w:line="286" w:lineRule="auto"/>
        <w:tabs>
          <w:tab w:leader="none" w:pos="711"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Option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65" w:lineRule="exact"/>
        <w:rPr>
          <w:rFonts w:ascii="Arial" w:cs="Arial" w:eastAsia="Arial" w:hAnsi="Arial"/>
          <w:sz w:val="17"/>
          <w:szCs w:val="17"/>
          <w:color w:val="auto"/>
        </w:rPr>
      </w:pPr>
    </w:p>
    <w:p>
      <w:pPr>
        <w:ind w:right="80" w:firstLine="464"/>
        <w:spacing w:after="0" w:line="277" w:lineRule="auto"/>
        <w:tabs>
          <w:tab w:leader="none" w:pos="711"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Option award will not be interpreted to form an employment contract or relationship with the Company, a Subsidiary or Affiliate; and</w:t>
      </w:r>
    </w:p>
    <w:p>
      <w:pPr>
        <w:spacing w:after="0" w:line="170" w:lineRule="exact"/>
        <w:rPr>
          <w:rFonts w:ascii="Arial" w:cs="Arial" w:eastAsia="Arial" w:hAnsi="Arial"/>
          <w:sz w:val="18"/>
          <w:szCs w:val="18"/>
          <w:color w:val="auto"/>
        </w:rPr>
      </w:pPr>
    </w:p>
    <w:p>
      <w:pPr>
        <w:ind w:right="80" w:firstLine="464"/>
        <w:spacing w:after="0" w:line="297" w:lineRule="auto"/>
        <w:tabs>
          <w:tab w:leader="none" w:pos="671"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consideration of the award of the Options, no claim or entitlement to compensation or damages shall arise from termination of the Option award or diminution in value of the Option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3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2" w:name="page153"/>
    <w:bookmarkEnd w:id="152"/>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 Applicable to Construction; Consent to Jurisdiction</w:t>
      </w:r>
    </w:p>
    <w:p>
      <w:pPr>
        <w:spacing w:after="0" w:line="121" w:lineRule="exact"/>
        <w:rPr>
          <w:rFonts w:ascii="Arial" w:cs="Arial" w:eastAsia="Arial" w:hAnsi="Arial"/>
          <w:sz w:val="18"/>
          <w:szCs w:val="18"/>
          <w:b w:val="1"/>
          <w:bCs w:val="1"/>
          <w:color w:val="auto"/>
        </w:rPr>
      </w:pPr>
    </w:p>
    <w:p>
      <w:pPr>
        <w:ind w:right="140" w:firstLine="464"/>
        <w:spacing w:after="0" w:line="312" w:lineRule="auto"/>
        <w:tabs>
          <w:tab w:leader="none" w:pos="701"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Options are subject to the terms and conditions of the Plan, which are hereby incorporated by reference.</w:t>
      </w:r>
    </w:p>
    <w:p>
      <w:pPr>
        <w:spacing w:after="0" w:line="146" w:lineRule="exact"/>
        <w:rPr>
          <w:rFonts w:ascii="Arial" w:cs="Arial" w:eastAsia="Arial" w:hAnsi="Arial"/>
          <w:sz w:val="16"/>
          <w:szCs w:val="16"/>
          <w:color w:val="auto"/>
        </w:rPr>
      </w:pPr>
    </w:p>
    <w:p>
      <w:pPr>
        <w:ind w:right="20" w:firstLine="464"/>
        <w:spacing w:after="0" w:line="279" w:lineRule="auto"/>
        <w:tabs>
          <w:tab w:leader="none" w:pos="711"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right="20" w:firstLine="464"/>
        <w:spacing w:after="0" w:line="264" w:lineRule="auto"/>
        <w:tabs>
          <w:tab w:leader="none" w:pos="701"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firstLine="464"/>
        <w:spacing w:after="0" w:line="293" w:lineRule="auto"/>
        <w:tabs>
          <w:tab w:leader="none" w:pos="711"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Options have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Exchange Risk</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53" w:name="page154"/>
    <w:bookmarkEnd w:id="153"/>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Notwithstanding any provisions in this Agreement to the contrary, the Options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The Appendix constitutes a party of this Agreement.</w:t>
      </w:r>
    </w:p>
    <w:p>
      <w:pPr>
        <w:spacing w:after="0" w:line="33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firstLine="464"/>
        <w:spacing w:after="0" w:line="291" w:lineRule="auto"/>
        <w:tabs>
          <w:tab w:leader="none" w:pos="701"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7" w:lineRule="exact"/>
        <w:rPr>
          <w:rFonts w:ascii="Arial" w:cs="Arial" w:eastAsia="Arial" w:hAnsi="Arial"/>
          <w:sz w:val="16"/>
          <w:szCs w:val="16"/>
          <w:color w:val="auto"/>
        </w:rPr>
      </w:pPr>
    </w:p>
    <w:p>
      <w:pPr>
        <w:ind w:right="40" w:firstLine="464"/>
        <w:spacing w:after="0" w:line="255" w:lineRule="auto"/>
        <w:tabs>
          <w:tab w:leader="none" w:pos="711"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Arial" w:cs="Arial" w:eastAsia="Arial" w:hAnsi="Arial"/>
          <w:sz w:val="18"/>
          <w:szCs w:val="18"/>
          <w:color w:val="auto"/>
        </w:rPr>
      </w:pPr>
    </w:p>
    <w:p>
      <w:pPr>
        <w:ind w:right="100" w:firstLine="464"/>
        <w:spacing w:after="0" w:line="297" w:lineRule="auto"/>
        <w:tabs>
          <w:tab w:leader="none" w:pos="701"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0" w:right="339" w:bottom="1440" w:gutter="0" w:footer="0" w:header="0"/>
        </w:sectPr>
      </w:pPr>
    </w:p>
    <w:bookmarkStart w:id="154" w:name="page155"/>
    <w:bookmarkEnd w:id="154"/>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may modify, amend or waive the terms of the Option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31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326"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Company may, in its sole discretion, decide to deliver any documents related to the Options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Award Date, then this Award shall automatically by deemed accepted and Eligible Individual shall be bound by the terms and conditions in the Plan, this Agreement, including the Grant Details.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0" w:right="35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 TRIPADVISOR,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May 2011.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17"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color w:val="auto"/>
        </w:rPr>
        <w:t>Notwithstanding any other provision of this Agreement, (a) the Options may not be settled in cash; and (b) the vesting of Options may be accelerated by the Plan Administrator only upon the death or total permanent disablement of Eligible Individual, and to the extent permitted by applicable law.</w:t>
      </w:r>
    </w:p>
    <w:p>
      <w:pPr>
        <w:spacing w:after="0" w:line="1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Options; (b) a holding company (within the meaning of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(Cth)) of Eligible Individual’s employer in the employment in respect of which Eligible Individual acquired the Options; (c) a subsidiary (within the meaning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xml:space="preserve"> (Cth)) of Eligible Individual’s employer in the employment in respect of which Eligible Individual acquired the Options; or (d) a subsidiary (within the meaning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xml:space="preserve"> (Cth) of a holding company (within the meaning of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(Cth)) of Eligible Individual’s employer in the employment in respect of which Eligible Individual acquired the Options.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Canada</w:t>
      </w:r>
    </w:p>
    <w:p>
      <w:pPr>
        <w:spacing w:after="0" w:line="113" w:lineRule="exact"/>
        <w:rPr>
          <w:sz w:val="20"/>
          <w:szCs w:val="20"/>
          <w:color w:val="auto"/>
        </w:rPr>
      </w:pPr>
    </w:p>
    <w:p>
      <w:pPr>
        <w:ind w:left="460" w:right="220"/>
        <w:spacing w:after="0" w:line="282" w:lineRule="auto"/>
        <w:rPr>
          <w:sz w:val="20"/>
          <w:szCs w:val="20"/>
          <w:color w:val="auto"/>
        </w:rPr>
      </w:pPr>
      <w:r>
        <w:rPr>
          <w:rFonts w:ascii="Arial" w:cs="Arial" w:eastAsia="Arial" w:hAnsi="Arial"/>
          <w:sz w:val="18"/>
          <w:szCs w:val="18"/>
          <w:b w:val="1"/>
          <w:bCs w:val="1"/>
          <w:color w:val="auto"/>
        </w:rPr>
        <w:t xml:space="preserve">Settlement of Stock Awards. </w:t>
      </w:r>
      <w:r>
        <w:rPr>
          <w:rFonts w:ascii="Arial" w:cs="Arial" w:eastAsia="Arial" w:hAnsi="Arial"/>
          <w:sz w:val="18"/>
          <w:szCs w:val="18"/>
          <w:color w:val="auto"/>
        </w:rPr>
        <w:t>Notwithstanding any discretion or anything to the contrary in the Plan, the grant of the Stock Awards does not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for Eligible Individual to receive a cash payment and the Awards will be settled in Shares only.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Authorization to Release and Transfer Necessary Personal Information. </w:t>
      </w:r>
      <w:r>
        <w:rPr>
          <w:rFonts w:ascii="Arial" w:cs="Arial" w:eastAsia="Arial" w:hAnsi="Arial"/>
          <w:sz w:val="18"/>
          <w:szCs w:val="18"/>
          <w:color w:val="auto"/>
        </w:rPr>
        <w:t>This provision supplements Section 21 of the Agreement:</w:t>
      </w:r>
    </w:p>
    <w:p>
      <w:pPr>
        <w:spacing w:after="0" w:line="121"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Taxation of Award. </w:t>
      </w:r>
      <w:r>
        <w:rPr>
          <w:rFonts w:ascii="Arial" w:cs="Arial" w:eastAsia="Arial" w:hAnsi="Arial"/>
          <w:sz w:val="18"/>
          <w:szCs w:val="18"/>
          <w:color w:val="auto"/>
        </w:rPr>
        <w:t>This Award is not intended to be French tax-qualified.</w:t>
      </w:r>
    </w:p>
    <w:p>
      <w:pPr>
        <w:spacing w:after="0" w:line="117"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Eligible Individual may hold Shares acquired under the Plan outside of France provided he or she declares all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Hong Kong</w:t>
      </w:r>
    </w:p>
    <w:p>
      <w:pPr>
        <w:spacing w:after="0" w:line="113"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The Award and Shares issued upon vesting (if any) do not constitute a public offering of securities under Hong Kong law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64" w:lineRule="exact"/>
        <w:rPr>
          <w:sz w:val="20"/>
          <w:szCs w:val="20"/>
          <w:color w:val="auto"/>
        </w:rPr>
      </w:pPr>
    </w:p>
    <w:p>
      <w:pPr>
        <w:jc w:val="both"/>
        <w:ind w:left="460" w:right="20"/>
        <w:spacing w:after="0" w:line="266" w:lineRule="auto"/>
        <w:rPr>
          <w:sz w:val="20"/>
          <w:szCs w:val="20"/>
          <w:color w:val="auto"/>
        </w:rPr>
      </w:pPr>
      <w:r>
        <w:rPr>
          <w:rFonts w:ascii="Arial" w:cs="Arial" w:eastAsia="Arial" w:hAnsi="Arial"/>
          <w:sz w:val="18"/>
          <w:szCs w:val="18"/>
          <w:b w:val="1"/>
          <w:bCs w:val="1"/>
          <w:color w:val="auto"/>
        </w:rPr>
        <w:t xml:space="preserve">Vesting of Stock Awards and Sale of Shares. </w:t>
      </w:r>
      <w:r>
        <w:rPr>
          <w:rFonts w:ascii="Arial" w:cs="Arial" w:eastAsia="Arial" w:hAnsi="Arial"/>
          <w:sz w:val="18"/>
          <w:szCs w:val="18"/>
          <w:color w:val="auto"/>
        </w:rPr>
        <w:t>In the event the Eligible Individual’s Awards vest and Shares are issued to the Eligible Individual within</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of the date of grant, the Eligible Individual agrees that he or she will not dispose of any of such Shares prior to the six-month anniversary of the date of grant.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India</w:t>
      </w:r>
    </w:p>
    <w:p>
      <w:pPr>
        <w:spacing w:after="0" w:line="113" w:lineRule="exact"/>
        <w:rPr>
          <w:sz w:val="20"/>
          <w:szCs w:val="20"/>
          <w:color w:val="auto"/>
        </w:rPr>
      </w:pPr>
    </w:p>
    <w:p>
      <w:pPr>
        <w:jc w:val="both"/>
        <w:ind w:left="460" w:right="60"/>
        <w:spacing w:after="0" w:line="266" w:lineRule="auto"/>
        <w:rPr>
          <w:sz w:val="20"/>
          <w:szCs w:val="20"/>
          <w:color w:val="auto"/>
        </w:rPr>
      </w:pPr>
      <w:r>
        <w:rPr>
          <w:rFonts w:ascii="Arial" w:cs="Arial" w:eastAsia="Arial" w:hAnsi="Arial"/>
          <w:sz w:val="18"/>
          <w:szCs w:val="18"/>
          <w:b w:val="1"/>
          <w:bCs w:val="1"/>
          <w:color w:val="auto"/>
        </w:rPr>
        <w:t xml:space="preserve">Tax Information. </w:t>
      </w:r>
      <w:r>
        <w:rPr>
          <w:rFonts w:ascii="Arial" w:cs="Arial" w:eastAsia="Arial" w:hAnsi="Arial"/>
          <w:sz w:val="18"/>
          <w:szCs w:val="18"/>
          <w:color w:val="auto"/>
        </w:rPr>
        <w:t>The amount subject to tax at vesting may be dependent upon a valuation of Shares from a Merchant Banker in India.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no responsibility or obligation to obtain the most favorable valuation possible nor obtain valuations more frequently than required under Indian tax law.</w:t>
      </w:r>
    </w:p>
    <w:p>
      <w:pPr>
        <w:spacing w:after="0" w:line="68"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Eligible Individual understands that he or she must repatriate any proceeds from the sale of Shares acquired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any dividends received in relation to the Shares to India and convert the proceeds into local currency within ninety (90) days of receipt. Eligible Individual will receive a foreign inward remittance certificate (“FIRC”) from the bank where he or she deposits the foreign currency. Eligible Individual should maintain the FIRC as evidence of the repatriation of fund in the event the Reserve Bank of India or the Employer requests proof of repatriation.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Korea</w:t>
      </w:r>
    </w:p>
    <w:p>
      <w:pPr>
        <w:spacing w:after="0" w:line="113" w:lineRule="exact"/>
        <w:rPr>
          <w:sz w:val="20"/>
          <w:szCs w:val="20"/>
          <w:color w:val="auto"/>
        </w:rPr>
      </w:pPr>
    </w:p>
    <w:p>
      <w:pPr>
        <w:ind w:left="460" w:right="66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Korean residents who realize US$500,000 or more from the sale of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repatriate the proceeds to Korea within 18 months of the sale.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Singapore</w:t>
      </w:r>
    </w:p>
    <w:p>
      <w:pPr>
        <w:spacing w:after="0" w:line="113" w:lineRule="exact"/>
        <w:rPr>
          <w:sz w:val="20"/>
          <w:szCs w:val="20"/>
          <w:color w:val="auto"/>
        </w:rPr>
      </w:pPr>
    </w:p>
    <w:p>
      <w:pPr>
        <w:ind w:left="460" w:right="440"/>
        <w:spacing w:after="0" w:line="282"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this Award is made in reliance on section 273(1)(f) of the Securities and Futures Act (Cap. 289) (“SFA”)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exempt from the prospectus and registration requirements under the SFA.</w:t>
      </w:r>
    </w:p>
    <w:p>
      <w:pPr>
        <w:spacing w:after="0" w:line="54"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Eligible Individual is a director, associate director or shadow director (i.e., a non-director who has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Kingdom</w:t>
      </w:r>
    </w:p>
    <w:p>
      <w:pPr>
        <w:spacing w:after="0" w:line="113" w:lineRule="exact"/>
        <w:rPr>
          <w:sz w:val="20"/>
          <w:szCs w:val="20"/>
          <w:color w:val="auto"/>
        </w:rPr>
      </w:pPr>
    </w:p>
    <w:p>
      <w:pPr>
        <w:ind w:left="460" w:right="40"/>
        <w:spacing w:after="0" w:line="282" w:lineRule="auto"/>
        <w:rPr>
          <w:sz w:val="20"/>
          <w:szCs w:val="20"/>
          <w:color w:val="auto"/>
        </w:rPr>
      </w:pPr>
      <w:r>
        <w:rPr>
          <w:rFonts w:ascii="Arial" w:cs="Arial" w:eastAsia="Arial" w:hAnsi="Arial"/>
          <w:sz w:val="18"/>
          <w:szCs w:val="18"/>
          <w:b w:val="1"/>
          <w:bCs w:val="1"/>
          <w:color w:val="auto"/>
        </w:rPr>
        <w:t xml:space="preserve">Settlement of Stock Awards. </w:t>
      </w:r>
      <w:r>
        <w:rPr>
          <w:rFonts w:ascii="Arial" w:cs="Arial" w:eastAsia="Arial" w:hAnsi="Arial"/>
          <w:sz w:val="18"/>
          <w:szCs w:val="18"/>
          <w:color w:val="auto"/>
        </w:rPr>
        <w:t>Notwithstanding any discretion or anything to the contrary in the Plan, the grant of the Award does not provide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for Eligible Individual to receive a cash payment and the Awards will be settled in Shares only.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 and National Insurance Contributions Acknowledgment. </w:t>
      </w:r>
      <w:r>
        <w:rPr>
          <w:rFonts w:ascii="Arial" w:cs="Arial" w:eastAsia="Arial" w:hAnsi="Arial"/>
          <w:sz w:val="18"/>
          <w:szCs w:val="18"/>
          <w:color w:val="auto"/>
        </w:rPr>
        <w:t>The following provision supplements Section 8 7 of the Agreement:</w:t>
      </w:r>
    </w:p>
    <w:p>
      <w:pPr>
        <w:spacing w:after="0" w:line="121"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Arial" w:cs="Arial" w:eastAsia="Arial" w:hAnsi="Arial"/>
          <w:sz w:val="16"/>
          <w:szCs w:val="16"/>
          <w:i w:val="1"/>
          <w:iCs w:val="1"/>
          <w:color w:val="auto"/>
        </w:rPr>
        <w:t>Taxable Event</w:t>
      </w:r>
      <w:r>
        <w:rPr>
          <w:rFonts w:ascii="Arial" w:cs="Arial" w:eastAsia="Arial" w:hAnsi="Arial"/>
          <w:sz w:val="16"/>
          <w:szCs w:val="16"/>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6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121" w:lineRule="exact"/>
        <w:rPr>
          <w:rFonts w:ascii="Arial" w:cs="Arial" w:eastAsia="Arial" w:hAnsi="Arial"/>
          <w:sz w:val="18"/>
          <w:szCs w:val="18"/>
          <w:b w:val="1"/>
          <w:bCs w:val="1"/>
          <w:color w:val="auto"/>
        </w:rPr>
      </w:pPr>
    </w:p>
    <w:p>
      <w:pPr>
        <w:ind w:right="60" w:firstLine="464"/>
        <w:spacing w:after="0" w:line="255" w:lineRule="auto"/>
        <w:tabs>
          <w:tab w:leader="none" w:pos="701"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and the Plan and the Grant Details,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93" w:lineRule="exact"/>
        <w:rPr>
          <w:rFonts w:ascii="Arial" w:cs="Arial" w:eastAsia="Arial" w:hAnsi="Arial"/>
          <w:sz w:val="18"/>
          <w:szCs w:val="18"/>
          <w:color w:val="auto"/>
        </w:rPr>
      </w:pPr>
    </w:p>
    <w:p>
      <w:pPr>
        <w:jc w:val="both"/>
        <w:ind w:right="60" w:firstLine="464"/>
        <w:spacing w:after="0" w:line="342" w:lineRule="auto"/>
        <w:tabs>
          <w:tab w:leader="none" w:pos="711" w:val="left"/>
        </w:tabs>
        <w:numPr>
          <w:ilvl w:val="1"/>
          <w:numId w:val="9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Grant Details and the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Restricted Stock Units shall vest and no longer be subject to any restriction (such period during which restrictions apply shall be referred to as the “RSU Restriction Period”) on the dates detailed in the Grant Details.</w:t>
      </w:r>
    </w:p>
    <w:p>
      <w:pPr>
        <w:spacing w:after="0" w:line="123" w:lineRule="exact"/>
        <w:rPr>
          <w:rFonts w:ascii="Arial" w:cs="Arial" w:eastAsia="Arial" w:hAnsi="Arial"/>
          <w:sz w:val="16"/>
          <w:szCs w:val="16"/>
          <w:color w:val="auto"/>
        </w:rPr>
      </w:pPr>
    </w:p>
    <w:p>
      <w:pPr>
        <w:ind w:right="100" w:firstLine="464"/>
        <w:spacing w:after="0" w:line="264" w:lineRule="auto"/>
        <w:tabs>
          <w:tab w:leader="none" w:pos="701"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181" w:lineRule="exact"/>
        <w:rPr>
          <w:rFonts w:ascii="Arial" w:cs="Arial" w:eastAsia="Arial" w:hAnsi="Arial"/>
          <w:sz w:val="18"/>
          <w:szCs w:val="18"/>
          <w:color w:val="auto"/>
        </w:rPr>
      </w:pPr>
    </w:p>
    <w:p>
      <w:pPr>
        <w:ind w:firstLine="464"/>
        <w:spacing w:after="0" w:line="254" w:lineRule="auto"/>
        <w:tabs>
          <w:tab w:leader="none" w:pos="711"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w:t>
      </w:r>
    </w:p>
    <w:p>
      <w:pPr>
        <w:sectPr>
          <w:pgSz w:w="11900" w:h="16838" w:orient="portrait"/>
          <w:cols w:equalWidth="0" w:num="1">
            <w:col w:w="11420"/>
          </w:cols>
          <w:pgMar w:left="240" w:top="121" w:right="239" w:bottom="1440" w:gutter="0" w:footer="0" w:header="0"/>
        </w:sectPr>
      </w:pPr>
    </w:p>
    <w:bookmarkStart w:id="160" w:name="page161"/>
    <w:bookmarkEnd w:id="160"/>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1" w:lineRule="exact"/>
        <w:rPr>
          <w:sz w:val="20"/>
          <w:szCs w:val="20"/>
          <w:color w:val="auto"/>
        </w:rPr>
      </w:pPr>
    </w:p>
    <w:p>
      <w:pPr>
        <w:jc w:val="both"/>
        <w:ind w:right="400" w:firstLine="464"/>
        <w:spacing w:after="0" w:line="342" w:lineRule="auto"/>
        <w:tabs>
          <w:tab w:leader="none" w:pos="701" w:val="left"/>
        </w:tabs>
        <w:numPr>
          <w:ilvl w:val="1"/>
          <w:numId w:val="98"/>
        </w:numPr>
        <w:rPr>
          <w:rFonts w:ascii="Arial" w:cs="Arial" w:eastAsia="Arial" w:hAnsi="Arial"/>
          <w:sz w:val="16"/>
          <w:szCs w:val="16"/>
          <w:color w:val="auto"/>
        </w:rPr>
      </w:pPr>
      <w:r>
        <w:rPr>
          <w:rFonts w:ascii="Arial" w:cs="Arial" w:eastAsia="Arial" w:hAnsi="Arial"/>
          <w:sz w:val="16"/>
          <w:szCs w:val="16"/>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68" w:lineRule="exact"/>
        <w:rPr>
          <w:rFonts w:ascii="Arial" w:cs="Arial" w:eastAsia="Arial" w:hAnsi="Arial"/>
          <w:sz w:val="16"/>
          <w:szCs w:val="16"/>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soon as practicable after any Restricted Stock Units have vested and are no longer subject to the RSU Restriction Period (or at such later date</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specified by the Committee or in accordance with the election of the Eligible Individual, if the Committee so permits),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pacing w:after="0" w:line="309"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Restricted Stock Units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32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61" w:name="page162"/>
    <w:bookmarkEnd w:id="161"/>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in the Event of Change in Stock; Change in Control</w:t>
      </w:r>
    </w:p>
    <w:p>
      <w:pPr>
        <w:spacing w:after="0" w:line="121" w:lineRule="exact"/>
        <w:rPr>
          <w:rFonts w:ascii="Arial" w:cs="Arial" w:eastAsia="Arial" w:hAnsi="Arial"/>
          <w:sz w:val="18"/>
          <w:szCs w:val="18"/>
          <w:b w:val="1"/>
          <w:bCs w:val="1"/>
          <w:color w:val="auto"/>
        </w:rPr>
      </w:pPr>
    </w:p>
    <w:p>
      <w:pPr>
        <w:ind w:left="-8" w:firstLine="464"/>
        <w:spacing w:after="0" w:line="255" w:lineRule="auto"/>
        <w:tabs>
          <w:tab w:leader="none" w:pos="6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93" w:lineRule="exact"/>
        <w:rPr>
          <w:rFonts w:ascii="Arial" w:cs="Arial" w:eastAsia="Arial" w:hAnsi="Arial"/>
          <w:sz w:val="18"/>
          <w:szCs w:val="18"/>
          <w:color w:val="auto"/>
        </w:rPr>
      </w:pPr>
    </w:p>
    <w:p>
      <w:pPr>
        <w:ind w:left="-8" w:right="60" w:firstLine="464"/>
        <w:spacing w:after="0" w:line="271" w:lineRule="auto"/>
        <w:tabs>
          <w:tab w:leader="none" w:pos="70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78" w:lineRule="exact"/>
        <w:rPr>
          <w:rFonts w:ascii="Arial" w:cs="Arial" w:eastAsia="Arial" w:hAnsi="Arial"/>
          <w:sz w:val="17"/>
          <w:szCs w:val="17"/>
          <w:color w:val="auto"/>
        </w:rPr>
      </w:pPr>
    </w:p>
    <w:p>
      <w:pPr>
        <w:ind w:left="-8" w:right="820" w:firstLine="464"/>
        <w:spacing w:after="0" w:line="277" w:lineRule="auto"/>
        <w:tabs>
          <w:tab w:leader="none" w:pos="6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determination of the Committee regarding any such adjustment will be final and conclusive and need not be the same for all Eligible Individuals.</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381" w:lineRule="exact"/>
        <w:rPr>
          <w:rFonts w:ascii="Arial" w:cs="Arial" w:eastAsia="Arial" w:hAnsi="Arial"/>
          <w:sz w:val="17"/>
          <w:szCs w:val="17"/>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121" w:lineRule="exact"/>
        <w:rPr>
          <w:rFonts w:ascii="Arial" w:cs="Arial" w:eastAsia="Arial" w:hAnsi="Arial"/>
          <w:sz w:val="18"/>
          <w:szCs w:val="18"/>
          <w:b w:val="1"/>
          <w:bCs w:val="1"/>
          <w:color w:val="auto"/>
        </w:rPr>
      </w:pPr>
    </w:p>
    <w:p>
      <w:pPr>
        <w:jc w:val="both"/>
        <w:ind w:left="-8" w:right="180" w:firstLine="464"/>
        <w:spacing w:after="0" w:line="264" w:lineRule="auto"/>
        <w:tabs>
          <w:tab w:leader="none" w:pos="6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81" w:lineRule="exact"/>
        <w:rPr>
          <w:rFonts w:ascii="Arial" w:cs="Arial" w:eastAsia="Arial" w:hAnsi="Arial"/>
          <w:sz w:val="18"/>
          <w:szCs w:val="18"/>
          <w:color w:val="auto"/>
        </w:rPr>
      </w:pPr>
    </w:p>
    <w:p>
      <w:pPr>
        <w:ind w:left="-8" w:right="40" w:firstLine="464"/>
        <w:spacing w:after="0" w:line="293" w:lineRule="auto"/>
        <w:tabs>
          <w:tab w:leader="none" w:pos="70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Restricted Stock Unit award, including the grant and vesting of the Restricted Stock Units, the receipt of cash or any dividends or dividend equivalents; and (2) do not commit to structure the terms of the award or any aspect of the Restricted Stock Units to reduce or eliminate the Eligible Individual’s liability for Tax-Related Items.</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0" w:right="259" w:bottom="1440" w:gutter="0" w:footer="0" w:header="0"/>
        </w:sectPr>
      </w:pPr>
    </w:p>
    <w:bookmarkStart w:id="162" w:name="page163"/>
    <w:bookmarkEnd w:id="162"/>
    <w:p>
      <w:pPr>
        <w:ind w:left="-8" w:firstLine="464"/>
        <w:spacing w:after="0" w:line="253" w:lineRule="auto"/>
        <w:tabs>
          <w:tab w:leader="none" w:pos="693"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of Common Stock,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award under the Plan if the Eligible Individual fails to comply with his or her obligations in connection with the Tax-Related Items as described in this Section.</w:t>
      </w:r>
    </w:p>
    <w:p>
      <w:pPr>
        <w:spacing w:after="0" w:line="190" w:lineRule="exact"/>
        <w:rPr>
          <w:rFonts w:ascii="Arial" w:cs="Arial" w:eastAsia="Arial" w:hAnsi="Arial"/>
          <w:sz w:val="18"/>
          <w:szCs w:val="18"/>
          <w:color w:val="auto"/>
        </w:rPr>
      </w:pPr>
    </w:p>
    <w:p>
      <w:pPr>
        <w:ind w:left="-8" w:firstLine="464"/>
        <w:spacing w:after="0" w:line="254" w:lineRule="auto"/>
        <w:tabs>
          <w:tab w:leader="none" w:pos="70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336" w:lineRule="exact"/>
        <w:rPr>
          <w:rFonts w:ascii="Arial" w:cs="Arial" w:eastAsia="Arial" w:hAnsi="Arial"/>
          <w:sz w:val="18"/>
          <w:szCs w:val="18"/>
          <w:color w:val="auto"/>
        </w:rPr>
      </w:pPr>
    </w:p>
    <w:p>
      <w:pPr>
        <w:ind w:left="452" w:hanging="452"/>
        <w:spacing w:after="0"/>
        <w:tabs>
          <w:tab w:leader="none" w:pos="4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121" w:lineRule="exact"/>
        <w:rPr>
          <w:rFonts w:ascii="Arial" w:cs="Arial" w:eastAsia="Arial" w:hAnsi="Arial"/>
          <w:sz w:val="18"/>
          <w:szCs w:val="18"/>
          <w:b w:val="1"/>
          <w:bCs w:val="1"/>
          <w:color w:val="auto"/>
        </w:rPr>
      </w:pPr>
    </w:p>
    <w:p>
      <w:pPr>
        <w:jc w:val="both"/>
        <w:ind w:left="-8" w:right="20" w:firstLine="464"/>
        <w:spacing w:after="0" w:line="302" w:lineRule="auto"/>
        <w:tabs>
          <w:tab w:leader="none" w:pos="69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163" w:name="page164"/>
    <w:bookmarkEnd w:id="163"/>
    <w:p>
      <w:pPr>
        <w:ind w:left="-8" w:firstLine="464"/>
        <w:spacing w:after="0" w:line="293" w:lineRule="auto"/>
        <w:tabs>
          <w:tab w:leader="none" w:pos="703" w:val="left"/>
        </w:tabs>
        <w:numPr>
          <w:ilvl w:val="1"/>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Restricted Stock Unit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300" w:firstLine="464"/>
        <w:spacing w:after="0" w:line="308" w:lineRule="auto"/>
        <w:tabs>
          <w:tab w:leader="none" w:pos="7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award of the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146" w:lineRule="exact"/>
        <w:rPr>
          <w:rFonts w:ascii="Arial" w:cs="Arial" w:eastAsia="Arial" w:hAnsi="Arial"/>
          <w:sz w:val="17"/>
          <w:szCs w:val="17"/>
          <w:color w:val="auto"/>
        </w:rPr>
      </w:pPr>
    </w:p>
    <w:p>
      <w:pPr>
        <w:ind w:left="692" w:hanging="236"/>
        <w:spacing w:after="0"/>
        <w:tabs>
          <w:tab w:leader="none" w:pos="6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left="-8" w:right="340" w:firstLine="464"/>
        <w:spacing w:after="0" w:line="342" w:lineRule="auto"/>
        <w:tabs>
          <w:tab w:leader="none" w:pos="70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692" w:hanging="236"/>
        <w:spacing w:after="0"/>
        <w:tabs>
          <w:tab w:leader="none" w:pos="6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5" w:lineRule="exact"/>
        <w:rPr>
          <w:rFonts w:ascii="Arial" w:cs="Arial" w:eastAsia="Arial" w:hAnsi="Arial"/>
          <w:sz w:val="18"/>
          <w:szCs w:val="18"/>
          <w:color w:val="auto"/>
        </w:rPr>
      </w:pPr>
    </w:p>
    <w:p>
      <w:pPr>
        <w:ind w:left="-8" w:right="160" w:firstLine="464"/>
        <w:spacing w:after="0" w:line="308" w:lineRule="auto"/>
        <w:tabs>
          <w:tab w:leader="none" w:pos="67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Restricted Stock Unit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46" w:lineRule="exact"/>
        <w:rPr>
          <w:rFonts w:ascii="Arial" w:cs="Arial" w:eastAsia="Arial" w:hAnsi="Arial"/>
          <w:sz w:val="17"/>
          <w:szCs w:val="17"/>
          <w:color w:val="auto"/>
        </w:rPr>
      </w:pPr>
    </w:p>
    <w:p>
      <w:pPr>
        <w:ind w:left="-8" w:right="40" w:firstLine="464"/>
        <w:spacing w:after="0" w:line="312" w:lineRule="auto"/>
        <w:tabs>
          <w:tab w:leader="none" w:pos="70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Restricted Stock Unit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164" w:name="page165"/>
    <w:bookmarkEnd w:id="164"/>
    <w:p>
      <w:pPr>
        <w:ind w:right="20" w:firstLine="464"/>
        <w:spacing w:after="0" w:line="277" w:lineRule="auto"/>
        <w:tabs>
          <w:tab w:leader="none" w:pos="711"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Eligible Individual is not an employee of the Company, a Subsidiary or an Affiliate, the Restricted Stock Unit award will not be interpreted to form an employment contract or relationship with the Company; and</w:t>
      </w:r>
    </w:p>
    <w:p>
      <w:pPr>
        <w:spacing w:after="0" w:line="170" w:lineRule="exact"/>
        <w:rPr>
          <w:rFonts w:ascii="Arial" w:cs="Arial" w:eastAsia="Arial" w:hAnsi="Arial"/>
          <w:sz w:val="18"/>
          <w:szCs w:val="18"/>
          <w:color w:val="auto"/>
        </w:rPr>
      </w:pPr>
    </w:p>
    <w:p>
      <w:pPr>
        <w:ind w:firstLine="464"/>
        <w:spacing w:after="0" w:line="255" w:lineRule="auto"/>
        <w:tabs>
          <w:tab w:leader="none" w:pos="67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consideration of the award of the Restricted Stock Units, no claim or entitlement to compensation or damages shall arise from termination of the Restricted Stock Unit award or diminution in value of the Restricted Stock Unit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326"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326"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right="140" w:firstLine="464"/>
        <w:spacing w:after="0" w:line="312" w:lineRule="auto"/>
        <w:tabs>
          <w:tab w:leader="none" w:pos="701"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5" w:name="page166"/>
    <w:bookmarkEnd w:id="165"/>
    <w:p>
      <w:pPr>
        <w:ind w:left="-8" w:right="20" w:firstLine="464"/>
        <w:spacing w:after="0" w:line="279" w:lineRule="auto"/>
        <w:tabs>
          <w:tab w:leader="none" w:pos="703" w:val="left"/>
        </w:tabs>
        <w:numPr>
          <w:ilvl w:val="1"/>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52" w:hanging="452"/>
        <w:spacing w:after="0"/>
        <w:tabs>
          <w:tab w:leader="none" w:pos="45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left="-8" w:right="20" w:firstLine="464"/>
        <w:spacing w:after="0" w:line="264" w:lineRule="auto"/>
        <w:tabs>
          <w:tab w:leader="none" w:pos="69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333" w:lineRule="exact"/>
        <w:rPr>
          <w:rFonts w:ascii="Arial" w:cs="Arial" w:eastAsia="Arial" w:hAnsi="Arial"/>
          <w:sz w:val="18"/>
          <w:szCs w:val="18"/>
          <w:color w:val="auto"/>
        </w:rPr>
      </w:pPr>
    </w:p>
    <w:p>
      <w:pPr>
        <w:ind w:left="452" w:hanging="452"/>
        <w:spacing w:after="0"/>
        <w:tabs>
          <w:tab w:leader="none" w:pos="45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left="-8" w:right="80" w:firstLine="464"/>
        <w:spacing w:after="0" w:line="291" w:lineRule="auto"/>
        <w:tabs>
          <w:tab w:leader="none" w:pos="69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7" w:lineRule="exact"/>
        <w:rPr>
          <w:rFonts w:ascii="Arial" w:cs="Arial" w:eastAsia="Arial" w:hAnsi="Arial"/>
          <w:sz w:val="16"/>
          <w:szCs w:val="16"/>
          <w:color w:val="auto"/>
        </w:rPr>
      </w:pPr>
    </w:p>
    <w:p>
      <w:pPr>
        <w:ind w:left="-8" w:right="260" w:firstLine="464"/>
        <w:spacing w:after="0" w:line="264" w:lineRule="auto"/>
        <w:tabs>
          <w:tab w:leader="none" w:pos="70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66" w:name="page167"/>
    <w:bookmarkEnd w:id="16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8" w:lineRule="exact"/>
        <w:rPr>
          <w:sz w:val="20"/>
          <w:szCs w:val="20"/>
          <w:color w:val="auto"/>
        </w:rPr>
      </w:pPr>
    </w:p>
    <w:p>
      <w:pPr>
        <w:ind w:right="180" w:firstLine="464"/>
        <w:spacing w:after="0" w:line="297" w:lineRule="auto"/>
        <w:tabs>
          <w:tab w:leader="none" w:pos="70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firstLine="464"/>
        <w:spacing w:after="0" w:line="302" w:lineRule="auto"/>
        <w:tabs>
          <w:tab w:leader="none" w:pos="70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54" w:lineRule="exact"/>
        <w:rPr>
          <w:rFonts w:ascii="Arial" w:cs="Arial" w:eastAsia="Arial" w:hAnsi="Arial"/>
          <w:sz w:val="16"/>
          <w:szCs w:val="16"/>
          <w:color w:val="auto"/>
        </w:rPr>
      </w:pPr>
    </w:p>
    <w:p>
      <w:pPr>
        <w:ind w:right="140" w:firstLine="464"/>
        <w:spacing w:after="0" w:line="273" w:lineRule="auto"/>
        <w:tabs>
          <w:tab w:leader="none" w:pos="711"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7" w:name="page168"/>
    <w:bookmarkEnd w:id="167"/>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may, in its sole discretion, decide to deliver any documents related to the Restricted Stock Units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RESTRICTED STOCK UNIT AGREEMENT (this “Agreement”), dated as of the award date designated on the Grant Details referenced below (the “Award Date”), between TripAdvisor, Inc., a U.S. Delaware corporation (the “Company”), and the employee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121" w:lineRule="exact"/>
        <w:rPr>
          <w:rFonts w:ascii="Arial" w:cs="Arial" w:eastAsia="Arial" w:hAnsi="Arial"/>
          <w:sz w:val="18"/>
          <w:szCs w:val="18"/>
          <w:b w:val="1"/>
          <w:bCs w:val="1"/>
          <w:color w:val="auto"/>
        </w:rPr>
      </w:pPr>
    </w:p>
    <w:p>
      <w:pPr>
        <w:ind w:right="40" w:firstLine="464"/>
        <w:spacing w:after="0" w:line="255" w:lineRule="auto"/>
        <w:tabs>
          <w:tab w:leader="none" w:pos="70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the Plan and the Grant Details,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Your Grant Details, which sets forth the number of Restricted Stock Units granted to you by the Company, the Award Date and the vesting schedule of the Restricted Stock Units (among other information), is hereby incorporated by reference into, and shall be read as part and parcel of, this Agreement.</w:t>
      </w:r>
    </w:p>
    <w:p>
      <w:pPr>
        <w:spacing w:after="0" w:line="193" w:lineRule="exact"/>
        <w:rPr>
          <w:rFonts w:ascii="Arial" w:cs="Arial" w:eastAsia="Arial" w:hAnsi="Arial"/>
          <w:sz w:val="18"/>
          <w:szCs w:val="18"/>
          <w:color w:val="auto"/>
        </w:rPr>
      </w:pPr>
    </w:p>
    <w:p>
      <w:pPr>
        <w:ind w:right="140" w:firstLine="464"/>
        <w:spacing w:after="0" w:line="308" w:lineRule="auto"/>
        <w:tabs>
          <w:tab w:leader="none" w:pos="71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and the provisions of the Plan, the Restricted Stock Units shall vest and no longer be subject to any restriction (such period during which restrictions apply is the “Restriction Period”) on the dates detailed in the Grant Details.</w:t>
      </w:r>
    </w:p>
    <w:p>
      <w:pPr>
        <w:spacing w:after="0" w:line="146" w:lineRule="exact"/>
        <w:rPr>
          <w:rFonts w:ascii="Arial" w:cs="Arial" w:eastAsia="Arial" w:hAnsi="Arial"/>
          <w:sz w:val="17"/>
          <w:szCs w:val="17"/>
          <w:color w:val="auto"/>
        </w:rPr>
      </w:pPr>
    </w:p>
    <w:p>
      <w:pPr>
        <w:ind w:right="80" w:firstLine="464"/>
        <w:spacing w:after="0" w:line="254" w:lineRule="auto"/>
        <w:tabs>
          <w:tab w:leader="none" w:pos="70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in the event of Termination of Employment of the Eligible Individual (whether or not in breach of local labor laws), the Eligible Individual’s right to receive the Restricted Stock Unit award and any vesting in the Restricted Stock Units under the Plan, if any, will terminate effective as of the date of the Termination of Employment of the Eligible Individual and will not be extended by any notice period mandated under local law (e.g., active employment would not include a period of “garden leave” or similar period pursuant to local law); furthermore, in the event of Termination of Employment (whether or not in breach of local labor laws), the Eligible Individual’s right to vest in Restricted Stock Units after Termination of Employment, if any, will be measured by the date of the Termination of Employment and will not be extended by any notice period mandated under local law. The Committee shall have the exclusive discretion to determine the date of the Termination of Employment of the Eligible Individual for purposes of this Agreement.</w:t>
      </w:r>
    </w:p>
    <w:p>
      <w:pPr>
        <w:sectPr>
          <w:pgSz w:w="11900" w:h="16838" w:orient="portrait"/>
          <w:cols w:equalWidth="0" w:num="1">
            <w:col w:w="11420"/>
          </w:cols>
          <w:pgMar w:left="240" w:top="121" w:right="239" w:bottom="1440" w:gutter="0" w:footer="0" w:header="0"/>
        </w:sectPr>
      </w:pPr>
    </w:p>
    <w:bookmarkStart w:id="169" w:name="page170"/>
    <w:bookmarkEnd w:id="169"/>
    <w:p>
      <w:pPr>
        <w:ind w:firstLine="464"/>
        <w:spacing w:after="0" w:line="270" w:lineRule="auto"/>
        <w:tabs>
          <w:tab w:leader="none" w:pos="711" w:val="left"/>
        </w:tabs>
        <w:numPr>
          <w:ilvl w:val="1"/>
          <w:numId w:val="1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either to return the shares issued upon settlement of Restricted Stock Units that vested during the two-year period after the events or circumstances giving rise to or constituting grounds for such Termination of Employment for Cause or to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77" w:lineRule="exact"/>
        <w:rPr>
          <w:rFonts w:ascii="Arial" w:cs="Arial" w:eastAsia="Arial" w:hAnsi="Arial"/>
          <w:sz w:val="17"/>
          <w:szCs w:val="17"/>
          <w:color w:val="auto"/>
        </w:rPr>
      </w:pPr>
    </w:p>
    <w:p>
      <w:pPr>
        <w:ind w:right="100" w:firstLine="464"/>
        <w:spacing w:after="0" w:line="255" w:lineRule="auto"/>
        <w:tabs>
          <w:tab w:leader="none" w:pos="7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purposes of this Agreement, employment with the Company shall include employment with the Company’s Subsidiaries, Affiliates and successors. Nothing in this Agreement or the Plan shall confer upon the Eligible Individual any right to continue in the employ of the Company or any of its Subsidiaries or Affiliates or interfere in any way with the right of the Company or any such Subsidiaries or Affiliates to terminate the Eligible Individual’s employment pursuant to relevant employment contract between the Company or any Subsidiaries or Affiliates located in China and the Eligible Individual. For the avoidance of doubt, the employment relationship between the Eligible Individual and the Company, or any Subsidiaries or Affiliates located in China shall be governed by relevant employment contracts between them. The Committee shall have the exclusive discretion to determine whether there has been any interruption or Termination of Employment.</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soon as practicable after any Restricted Stock Units have vested and are no longer subject to the Restriction Period (or at such later date specified by the Committee or in accordance with the election of the Eligible Individual, if the Committee so permits), such Restricted Stock Units shall be settled. Subject to Section 8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0" w:name="page171"/>
    <w:bookmarkEnd w:id="170"/>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the Restricted Stock Units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During the Restriction Period and until such time as the Restricted Stock Units are ultimately settled as provided in Section 2 above, the Restricted Stock Units shall not be transferable by the Eligible Individual by means of sale, assignment, exchange, encumbrance, pledge, hedge or otherwise.</w:t>
      </w:r>
    </w:p>
    <w:p>
      <w:pPr>
        <w:spacing w:after="0" w:line="268"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specifically provided in this Agreement, during the Restriction Period, the Eligible Individual shall not be entitled to any rights of a stockholder with respect to the Restricted Stock Units. Regardless of whether the Company declares and pays dividends on the Common Stock during the Restriction Period, the Eligible Individual will not be credited with any additional amounts or additional Restricted Stock Units, including additional Restricted Stock Unit equal to the dividend that would have been paid with respect to such Restricted Stock Unit if it had been an actual share of Common Stock. Notwithstanding the foregoing, dividends and distributions other than regular cash dividends, if any, may result in an adjustment pursuant to Section 5, rather than under this Section 4.</w:t>
      </w:r>
    </w:p>
    <w:p>
      <w:pPr>
        <w:spacing w:after="0" w:line="338"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70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93" w:lineRule="exact"/>
        <w:rPr>
          <w:rFonts w:ascii="Arial" w:cs="Arial" w:eastAsia="Arial" w:hAnsi="Arial"/>
          <w:sz w:val="18"/>
          <w:szCs w:val="18"/>
          <w:color w:val="auto"/>
        </w:rPr>
      </w:pPr>
    </w:p>
    <w:p>
      <w:pPr>
        <w:ind w:right="60" w:firstLine="464"/>
        <w:spacing w:after="0" w:line="271" w:lineRule="auto"/>
        <w:tabs>
          <w:tab w:leader="none" w:pos="71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Affiliate, or by the entity that controls such Subsidiary or Affiliate, following such Disaffiliation (as well as any corresponding adjustments to any Restricted Stock Units that remain based upon securities of the Company).</w:t>
      </w:r>
    </w:p>
    <w:p>
      <w:pPr>
        <w:spacing w:after="0" w:line="178" w:lineRule="exact"/>
        <w:rPr>
          <w:rFonts w:ascii="Arial" w:cs="Arial" w:eastAsia="Arial" w:hAnsi="Arial"/>
          <w:sz w:val="17"/>
          <w:szCs w:val="17"/>
          <w:color w:val="auto"/>
        </w:rPr>
      </w:pPr>
    </w:p>
    <w:p>
      <w:pPr>
        <w:ind w:left="700" w:hanging="236"/>
        <w:spacing w:after="0"/>
        <w:tabs>
          <w:tab w:leader="none" w:pos="7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 Participants.</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71" w:name="page172"/>
    <w:bookmarkEnd w:id="171"/>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Transfer Taxes, Fees and Other Expenses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32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121" w:lineRule="exact"/>
        <w:rPr>
          <w:rFonts w:ascii="Arial" w:cs="Arial" w:eastAsia="Arial" w:hAnsi="Arial"/>
          <w:sz w:val="18"/>
          <w:szCs w:val="18"/>
          <w:b w:val="1"/>
          <w:bCs w:val="1"/>
          <w:color w:val="auto"/>
        </w:rPr>
      </w:pPr>
    </w:p>
    <w:p>
      <w:pPr>
        <w:ind w:right="200" w:firstLine="464"/>
        <w:spacing w:after="0" w:line="297" w:lineRule="auto"/>
        <w:tabs>
          <w:tab w:leader="none" w:pos="70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(including, without limitation, the registration of the Plan with the PRC State Administration of Foreign Exchange (SAFE) or its local offices),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158" w:lineRule="exact"/>
        <w:rPr>
          <w:rFonts w:ascii="Arial" w:cs="Arial" w:eastAsia="Arial" w:hAnsi="Arial"/>
          <w:sz w:val="16"/>
          <w:szCs w:val="16"/>
          <w:color w:val="auto"/>
        </w:rPr>
      </w:pPr>
    </w:p>
    <w:p>
      <w:pPr>
        <w:ind w:right="60" w:firstLine="464"/>
        <w:spacing w:after="0" w:line="255" w:lineRule="auto"/>
        <w:tabs>
          <w:tab w:leader="none" w:pos="71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Eligible Individual acknowledges that the Eligible Individual is subject to the Company’s policies regarding compliance with securities laws, including but not limited to its Securities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9" w:lineRule="exact"/>
        <w:rPr>
          <w:rFonts w:ascii="Arial" w:cs="Arial" w:eastAsia="Arial" w:hAnsi="Arial"/>
          <w:sz w:val="18"/>
          <w:szCs w:val="18"/>
          <w:color w:val="auto"/>
        </w:rPr>
      </w:pPr>
    </w:p>
    <w:p>
      <w:pPr>
        <w:ind w:right="80" w:firstLine="464"/>
        <w:spacing w:after="0" w:line="276" w:lineRule="auto"/>
        <w:tabs>
          <w:tab w:leader="none" w:pos="70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Eligible Individual agrees that he or she shall keep the shares of Common Stock released upon vesting of Restricted Stock Units in special accounts at the brokerage firm(s) designated by the Company and shall not transfer such shares to any other brokerage firm(s). The Eligible Individual shall have the right to hold or sell shares released to their accounts upon vesting at any time but agrees that all cash proceeds from such sale (as well as any dividend after deduction of relevant individual income tax pursuant to law) shall be distributed to the Eligible Individual through an authorized bank account established in China upon the approval of the SAFE (the “Authorized China Bank Account”).</w:t>
      </w:r>
    </w:p>
    <w:p>
      <w:pPr>
        <w:spacing w:after="0" w:line="172" w:lineRule="exact"/>
        <w:rPr>
          <w:rFonts w:ascii="Arial" w:cs="Arial" w:eastAsia="Arial" w:hAnsi="Arial"/>
          <w:sz w:val="17"/>
          <w:szCs w:val="17"/>
          <w:color w:val="auto"/>
        </w:rPr>
      </w:pPr>
    </w:p>
    <w:p>
      <w:pPr>
        <w:ind w:firstLine="464"/>
        <w:spacing w:after="0" w:line="286" w:lineRule="auto"/>
        <w:tabs>
          <w:tab w:leader="none" w:pos="71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Upon the Eligible Individual’s Termination of Employment, any remaining equity will be sold by the brokerage firm(s) as designated by the Company as soon as practicable, in no event later than ninety (90) days after the date of such Termination of Employment, and cash proceeds (after deduction of relevant individual income tax pursuant to law) shall be distributed to the Eligible Individual through the Authorized China Bank Account.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172" w:name="page173"/>
    <w:bookmarkEnd w:id="172"/>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Responsibility for Taxes and Withholding</w:t>
      </w:r>
    </w:p>
    <w:p>
      <w:pPr>
        <w:spacing w:after="0" w:line="121" w:lineRule="exact"/>
        <w:rPr>
          <w:rFonts w:ascii="Arial" w:cs="Arial" w:eastAsia="Arial" w:hAnsi="Arial"/>
          <w:sz w:val="18"/>
          <w:szCs w:val="18"/>
          <w:b w:val="1"/>
          <w:bCs w:val="1"/>
          <w:color w:val="auto"/>
        </w:rPr>
      </w:pPr>
    </w:p>
    <w:p>
      <w:pPr>
        <w:ind w:right="60" w:firstLine="464"/>
        <w:spacing w:after="0" w:line="288" w:lineRule="auto"/>
        <w:tabs>
          <w:tab w:leader="none" w:pos="70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Regardless of any action the Company or the Eligible Individual’s employer (“Employer”)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the Employer</w:t>
      </w: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(1) make no representations or undertakings regarding the treatment of any Tax-Related Items in connection with any aspect of the Restricted Stock Unit award, including the grant and vesting of the Restricted Stock Units; and (2) do not commit to structure the terms of the award or any aspect of the Restricted Stock Units to reduce or eliminate the Eligible Individual’s liability for Tax-Related Items.</w:t>
      </w:r>
    </w:p>
    <w:p>
      <w:pPr>
        <w:spacing w:after="0" w:line="190" w:lineRule="exact"/>
        <w:rPr>
          <w:rFonts w:ascii="Arial" w:cs="Arial" w:eastAsia="Arial" w:hAnsi="Arial"/>
          <w:sz w:val="16"/>
          <w:szCs w:val="16"/>
          <w:color w:val="auto"/>
        </w:rPr>
      </w:pPr>
    </w:p>
    <w:p>
      <w:pPr>
        <w:ind w:right="20" w:firstLine="464"/>
        <w:spacing w:after="0" w:line="287" w:lineRule="auto"/>
        <w:tabs>
          <w:tab w:leader="none" w:pos="71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Tax-Related Items as a result of the award or vesting of the Restricted Stock Units,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the Employer to withhold all applicable Tax-Related Items legally payable by the Eligible Individual from his or her wages or other cash compensation paid to the Eligible Individual by the Company and/or the Employer. Alternatively, or in addition, if permissible under local law, the Company may withhold in shares of Common Stock, provided that the Company only withholds the amount of shares of Common Stock necessary to satisfy the minimum withholding amount. Finally, the Eligible Individual will pay to the Company or the Employer any amount of Tax-Related Items that the Company or the Employer may be required to withhold as a result of the Eligible Individual’s participation in the Plan or the Eligible Individual’s award that cannot be satisfied by the means previously described. The Company may refuse to deliver the stock underlying the Restricted Stock Unit award under the Plan if the Eligible Individual fails to comply with his or her obligations in connection with the Tax-Related Items as described in this Section.</w:t>
      </w:r>
    </w:p>
    <w:p>
      <w:pPr>
        <w:spacing w:after="0" w:line="172" w:lineRule="exact"/>
        <w:rPr>
          <w:rFonts w:ascii="Arial" w:cs="Arial" w:eastAsia="Arial" w:hAnsi="Arial"/>
          <w:sz w:val="16"/>
          <w:szCs w:val="16"/>
          <w:color w:val="auto"/>
        </w:rPr>
      </w:pPr>
    </w:p>
    <w:p>
      <w:pPr>
        <w:ind w:firstLine="464"/>
        <w:spacing w:after="0" w:line="254" w:lineRule="auto"/>
        <w:tabs>
          <w:tab w:leader="none" w:pos="70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173" w:name="page174"/>
    <w:bookmarkEnd w:id="173"/>
    <w:p>
      <w:pPr>
        <w:ind w:left="452" w:hanging="452"/>
        <w:spacing w:after="0"/>
        <w:tabs>
          <w:tab w:leader="none" w:pos="45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Restricted Stock Unit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8" w:right="300" w:firstLine="464"/>
        <w:spacing w:after="0" w:line="308" w:lineRule="auto"/>
        <w:tabs>
          <w:tab w:leader="none" w:pos="70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award of the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38" w:lineRule="exact"/>
        <w:rPr>
          <w:rFonts w:ascii="Arial" w:cs="Arial" w:eastAsia="Arial" w:hAnsi="Arial"/>
          <w:sz w:val="17"/>
          <w:szCs w:val="17"/>
          <w:color w:val="auto"/>
        </w:rPr>
      </w:pPr>
    </w:p>
    <w:p>
      <w:pPr>
        <w:ind w:left="692" w:hanging="236"/>
        <w:spacing w:after="0"/>
        <w:tabs>
          <w:tab w:leader="none" w:pos="6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117" w:lineRule="exact"/>
        <w:rPr>
          <w:rFonts w:ascii="Arial" w:cs="Arial" w:eastAsia="Arial" w:hAnsi="Arial"/>
          <w:sz w:val="18"/>
          <w:szCs w:val="18"/>
          <w:color w:val="auto"/>
        </w:rPr>
      </w:pPr>
    </w:p>
    <w:p>
      <w:pPr>
        <w:ind w:left="-8" w:right="280" w:firstLine="464"/>
        <w:spacing w:after="0" w:line="277" w:lineRule="auto"/>
        <w:tabs>
          <w:tab w:leader="none" w:pos="7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Eligible Individual’s participation in the Plan will not create a right to further employment with the Employer and shall not interfere with the ability of the Employer to terminate the Eligible Individual’s employment relationship at any time with or without cause;</w:t>
      </w:r>
    </w:p>
    <w:p>
      <w:pPr>
        <w:spacing w:after="0" w:line="62" w:lineRule="exact"/>
        <w:rPr>
          <w:rFonts w:ascii="Arial" w:cs="Arial" w:eastAsia="Arial" w:hAnsi="Arial"/>
          <w:sz w:val="18"/>
          <w:szCs w:val="18"/>
          <w:color w:val="auto"/>
        </w:rPr>
      </w:pPr>
    </w:p>
    <w:p>
      <w:pPr>
        <w:ind w:left="692" w:hanging="236"/>
        <w:spacing w:after="0"/>
        <w:tabs>
          <w:tab w:leader="none" w:pos="6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117" w:lineRule="exact"/>
        <w:rPr>
          <w:rFonts w:ascii="Arial" w:cs="Arial" w:eastAsia="Arial" w:hAnsi="Arial"/>
          <w:sz w:val="18"/>
          <w:szCs w:val="18"/>
          <w:color w:val="auto"/>
        </w:rPr>
      </w:pPr>
    </w:p>
    <w:p>
      <w:pPr>
        <w:ind w:left="-8" w:right="160" w:firstLine="464"/>
        <w:spacing w:after="0" w:line="308" w:lineRule="auto"/>
        <w:tabs>
          <w:tab w:leader="none" w:pos="67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Restricted Stock Unit award is an extraordinary item that does not constitute compensation of any kind for services of any kind rendered to the Company, Subsidiary, Affiliate, or the Employer, and such award is outside the scope of the Eligible Individual’s employment contract, if any;</w:t>
      </w:r>
    </w:p>
    <w:p>
      <w:pPr>
        <w:spacing w:after="0" w:line="38" w:lineRule="exact"/>
        <w:rPr>
          <w:rFonts w:ascii="Arial" w:cs="Arial" w:eastAsia="Arial" w:hAnsi="Arial"/>
          <w:sz w:val="17"/>
          <w:szCs w:val="17"/>
          <w:color w:val="auto"/>
        </w:rPr>
      </w:pPr>
    </w:p>
    <w:p>
      <w:pPr>
        <w:ind w:left="-8" w:right="40" w:firstLine="464"/>
        <w:spacing w:after="0" w:line="259" w:lineRule="auto"/>
        <w:tabs>
          <w:tab w:leader="none" w:pos="7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Restricted Stock Unit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Affiliate or the Employer;</w:t>
      </w:r>
    </w:p>
    <w:p>
      <w:pPr>
        <w:spacing w:after="0" w:line="78" w:lineRule="exact"/>
        <w:rPr>
          <w:rFonts w:ascii="Arial" w:cs="Arial" w:eastAsia="Arial" w:hAnsi="Arial"/>
          <w:sz w:val="18"/>
          <w:szCs w:val="18"/>
          <w:color w:val="auto"/>
        </w:rPr>
      </w:pPr>
    </w:p>
    <w:p>
      <w:pPr>
        <w:ind w:left="-8" w:right="320" w:firstLine="464"/>
        <w:spacing w:after="0" w:line="277" w:lineRule="auto"/>
        <w:tabs>
          <w:tab w:leader="none" w:pos="7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Subsidiary or Affiliate , the Restricted Stock Unit award will not be interpreted to form an employment contract or relationship with the Company, Subsidiary or Affiliate; and</w:t>
      </w:r>
    </w:p>
    <w:p>
      <w:pPr>
        <w:spacing w:after="0" w:line="62" w:lineRule="exact"/>
        <w:rPr>
          <w:rFonts w:ascii="Arial" w:cs="Arial" w:eastAsia="Arial" w:hAnsi="Arial"/>
          <w:sz w:val="18"/>
          <w:szCs w:val="18"/>
          <w:color w:val="auto"/>
        </w:rPr>
      </w:pPr>
    </w:p>
    <w:p>
      <w:pPr>
        <w:ind w:left="-8" w:firstLine="464"/>
        <w:spacing w:after="0" w:line="255" w:lineRule="auto"/>
        <w:tabs>
          <w:tab w:leader="none" w:pos="66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consideration of the award of the Restricted Stock Units, no claim or entitlement to compensation or damages shall arise from termination of the Restricted Stock Unit award or diminution in value of the Restricted Stock Unit award resulting from Termination of the Eligible Individual’s Employment by the Company, Subsidiary, Affiliate, or Employer (for any reason whatsoever and whether or not in breach of local labor laws) and the Eligible Individual irrevocably releases the Company, Subsidiary or Affiliate and the Employer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0" w:right="259" w:bottom="1440" w:gutter="0" w:footer="0" w:header="0"/>
        </w:sectPr>
      </w:pPr>
    </w:p>
    <w:bookmarkStart w:id="174" w:name="page175"/>
    <w:bookmarkEnd w:id="174"/>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Advice Regarding Grant</w:t>
      </w:r>
      <w:r>
        <w:rPr>
          <w:rFonts w:ascii="Arial" w:cs="Arial" w:eastAsia="Arial" w:hAnsi="Arial"/>
          <w:sz w:val="18"/>
          <w:szCs w:val="18"/>
          <w:b w:val="1"/>
          <w:bCs w:val="1"/>
          <w:color w:val="auto"/>
        </w:rPr>
        <w: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All notices and other communications under this Agreement shall be in writing and shall be given by hand delivery to the other party or by facsimile, overnight courier or registered or certified mail, return receipt requested, postage prepaid, addressed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Eligible Individual: at the last known address on record at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TripAdvisor,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141 Needham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Newton, MA 02464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(617) 670-6301</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or to such other address or facsimile number as any party shall have furnished to the other in writing in accordance with this Section 10. Notice and communications shall be effective when actually received by the addressee. Notwithstanding the foregoing, the Eligible Individual consents to electronic delivery of documents required to be delivered by the Company under the securities laws.</w:t>
      </w:r>
    </w:p>
    <w:p>
      <w:pPr>
        <w:spacing w:after="0" w:line="32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326"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firstLine="464"/>
        <w:spacing w:after="0" w:line="312" w:lineRule="auto"/>
        <w:tabs>
          <w:tab w:leader="none" w:pos="70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0" w:right="399" w:bottom="1440" w:gutter="0" w:footer="0" w:header="0"/>
        </w:sectPr>
      </w:pPr>
    </w:p>
    <w:bookmarkStart w:id="175" w:name="page176"/>
    <w:bookmarkEnd w:id="175"/>
    <w:p>
      <w:pPr>
        <w:ind w:right="20" w:firstLine="464"/>
        <w:spacing w:after="0" w:line="279" w:lineRule="auto"/>
        <w:tabs>
          <w:tab w:leader="none" w:pos="7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right="140" w:firstLine="464"/>
        <w:spacing w:after="0" w:line="259" w:lineRule="auto"/>
        <w:tabs>
          <w:tab w:leader="none" w:pos="70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86" w:lineRule="exact"/>
        <w:rPr>
          <w:rFonts w:ascii="Arial" w:cs="Arial" w:eastAsia="Arial" w:hAnsi="Arial"/>
          <w:sz w:val="18"/>
          <w:szCs w:val="18"/>
          <w:color w:val="auto"/>
        </w:rPr>
      </w:pPr>
    </w:p>
    <w:p>
      <w:pPr>
        <w:ind w:right="40" w:firstLine="464"/>
        <w:spacing w:after="0" w:line="286" w:lineRule="auto"/>
        <w:tabs>
          <w:tab w:leader="none" w:pos="71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the event of any (i) conflict between the Grant Details (or any other information posted on the Plan Administrator website or successor website) and this Agreement, the Plan and/or the books and records of the Company or (ii) ambiguity in the Grant Details (or any other information posted on the Plan Administrator website), this Agreement, the Plan and/or the books and records of the Company, as applicable, shall control.</w:t>
      </w:r>
    </w:p>
    <w:p>
      <w:pPr>
        <w:spacing w:after="0" w:line="310" w:lineRule="exact"/>
        <w:rPr>
          <w:rFonts w:ascii="Arial" w:cs="Arial" w:eastAsia="Arial" w:hAnsi="Arial"/>
          <w:sz w:val="17"/>
          <w:szCs w:val="17"/>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31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right="160" w:firstLine="464"/>
        <w:spacing w:after="0" w:line="257" w:lineRule="auto"/>
        <w:tabs>
          <w:tab w:leader="none" w:pos="70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Eligible Individual understands that the Company, Subsidiary, Affiliate and the Employer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Employee’s favor, for the purpose of implementing, administering and managing the Plan (“Data”).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76" w:name="page177"/>
    <w:bookmarkEnd w:id="176"/>
    <w:p>
      <w:pPr>
        <w:ind w:right="140" w:firstLine="464"/>
        <w:spacing w:after="0" w:line="264" w:lineRule="auto"/>
        <w:tabs>
          <w:tab w:leader="none" w:pos="7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Eligible Individual hereby explicitly and unambiguously consents to the collection, use and transfer, in electronic or other form, of the Data as described in this document by and among, as applicable, the Employer, the Company and its Subsidiaries or Affiliates for the exclusive purpose of implementing, administering and managing the Eligible Individual’s participation in the Plan.</w:t>
      </w:r>
    </w:p>
    <w:p>
      <w:pPr>
        <w:spacing w:after="0" w:line="181" w:lineRule="exact"/>
        <w:rPr>
          <w:rFonts w:ascii="Arial" w:cs="Arial" w:eastAsia="Arial" w:hAnsi="Arial"/>
          <w:sz w:val="18"/>
          <w:szCs w:val="18"/>
          <w:color w:val="auto"/>
        </w:rPr>
      </w:pPr>
    </w:p>
    <w:p>
      <w:pPr>
        <w:ind w:firstLine="464"/>
        <w:spacing w:after="0" w:line="286" w:lineRule="auto"/>
        <w:tabs>
          <w:tab w:leader="none" w:pos="70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(e.g., the United States) may have different data privacy laws and protections than the Eligible Individual’s country. The Eligible Individual understands that he or she may request a list with the names and addresses of any potential recipients of the Data by contacting the Eligible Individual’s local human resources representative. The Eligible Individual authorizes the Company, its Subsidiary,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The Eligible Individual understands that Data will be held only as long as is necessary to implement, administer and manage his or her participation in the Plan.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16"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Grantee has received this Agreement and any other related communications and consents to having received these documents solely in English. If, however, the Grantee receives this or any other document related to the Plan translated into a language other than English and if the translated version is different than the English version in any way, the English version will control.</w:t>
      </w:r>
    </w:p>
    <w:p>
      <w:pPr>
        <w:spacing w:after="0" w:line="326"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in its sole discretion, decide to deliver any documents related to the Restricted Stock Units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77" w:name="page178"/>
    <w:bookmarkEnd w:id="177"/>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its behalf by a duly authorized officer and the Eligible Individual has hereunto set the Eligible Individual’s hand. Electronic acceptance of this Agreement pursuant to the Company’s instructions to Eligible Individual (including through an online acceptance process managed by the Agent) is acceptable.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TRIPADVISOR,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Seth Kalvert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 and Secretary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121" w:lineRule="exact"/>
        <w:rPr>
          <w:rFonts w:ascii="Arial" w:cs="Arial" w:eastAsia="Arial" w:hAnsi="Arial"/>
          <w:sz w:val="18"/>
          <w:szCs w:val="18"/>
          <w:b w:val="1"/>
          <w:bCs w:val="1"/>
          <w:color w:val="auto"/>
        </w:rPr>
      </w:pPr>
    </w:p>
    <w:p>
      <w:pPr>
        <w:ind w:right="60" w:firstLine="464"/>
        <w:spacing w:after="0" w:line="255" w:lineRule="auto"/>
        <w:tabs>
          <w:tab w:leader="none" w:pos="70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and the provisions of the Plan,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93" w:lineRule="exact"/>
        <w:rPr>
          <w:rFonts w:ascii="Arial" w:cs="Arial" w:eastAsia="Arial" w:hAnsi="Arial"/>
          <w:sz w:val="18"/>
          <w:szCs w:val="18"/>
          <w:color w:val="auto"/>
        </w:rPr>
      </w:pPr>
    </w:p>
    <w:p>
      <w:pPr>
        <w:jc w:val="both"/>
        <w:ind w:right="60" w:firstLine="464"/>
        <w:spacing w:after="0" w:line="342" w:lineRule="auto"/>
        <w:tabs>
          <w:tab w:leader="none" w:pos="71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Grant Details and the Plan, the Restricted Stock Units shall vest and no longer be subject to any restriction (such period during which restrictions apply shall be referred to as the “RSU Restriction Period”) on the dates detailed in the Grant Details.</w:t>
      </w:r>
    </w:p>
    <w:p>
      <w:pPr>
        <w:spacing w:after="0" w:line="123" w:lineRule="exact"/>
        <w:rPr>
          <w:rFonts w:ascii="Arial" w:cs="Arial" w:eastAsia="Arial" w:hAnsi="Arial"/>
          <w:sz w:val="16"/>
          <w:szCs w:val="16"/>
          <w:color w:val="auto"/>
        </w:rPr>
      </w:pPr>
    </w:p>
    <w:p>
      <w:pPr>
        <w:ind w:right="40" w:firstLine="464"/>
        <w:spacing w:after="0" w:line="293" w:lineRule="auto"/>
        <w:tabs>
          <w:tab w:leader="none" w:pos="70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 the event a Termination of Employment of the Eligible Individual occurs during the RSU Restriction Period for any reason (whether or not in breach of local labor laws), the Eligible Individual’s right to receive the Restricted Stock Unit award and any vesting in the Restricted Stock Units under the Plan, if any, will terminate effective as of the date of the Termination of Employment and will not be extended by any notice period mandated under local law (e.g., active employment would not include a period of “garden leave” or similar period pursuant to local law); furthermore, in the event of a Termination of Employment (whether or not in breach of local labor laws), the Eligible Individual’s right to vest in Restricted Stock Units after Termination of Employment, if any, will be measured to the date of the Termination of Employment and will not be extended by any notice period mandated under local law.</w:t>
      </w:r>
    </w:p>
    <w:p>
      <w:pPr>
        <w:spacing w:after="0" w:line="164" w:lineRule="exact"/>
        <w:rPr>
          <w:rFonts w:ascii="Arial" w:cs="Arial" w:eastAsia="Arial" w:hAnsi="Arial"/>
          <w:sz w:val="16"/>
          <w:szCs w:val="16"/>
          <w:color w:val="auto"/>
        </w:rPr>
      </w:pPr>
    </w:p>
    <w:p>
      <w:pPr>
        <w:ind w:right="20" w:firstLine="464"/>
        <w:spacing w:after="0" w:line="264" w:lineRule="auto"/>
        <w:tabs>
          <w:tab w:leader="none" w:pos="71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w:t>
      </w:r>
    </w:p>
    <w:p>
      <w:pPr>
        <w:sectPr>
          <w:pgSz w:w="11900" w:h="16838" w:orient="portrait"/>
          <w:cols w:equalWidth="0" w:num="1">
            <w:col w:w="11420"/>
          </w:cols>
          <w:pgMar w:left="240" w:top="121" w:right="239" w:bottom="1440" w:gutter="0" w:footer="0" w:header="0"/>
        </w:sectPr>
      </w:pPr>
    </w:p>
    <w:bookmarkStart w:id="179" w:name="page180"/>
    <w:bookmarkEnd w:id="1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w:t>
      </w:r>
    </w:p>
    <w:p>
      <w:pPr>
        <w:ind w:right="40" w:firstLine="8"/>
        <w:spacing w:after="0" w:line="292" w:lineRule="auto"/>
        <w:tabs>
          <w:tab w:leader="none" w:pos="21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62" w:lineRule="exact"/>
        <w:rPr>
          <w:rFonts w:ascii="Arial" w:cs="Arial" w:eastAsia="Arial" w:hAnsi="Arial"/>
          <w:sz w:val="16"/>
          <w:szCs w:val="16"/>
          <w:color w:val="auto"/>
        </w:rPr>
      </w:pPr>
    </w:p>
    <w:p>
      <w:pPr>
        <w:jc w:val="both"/>
        <w:ind w:right="420" w:firstLine="464"/>
        <w:spacing w:after="0" w:line="342" w:lineRule="auto"/>
        <w:tabs>
          <w:tab w:leader="none" w:pos="70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68"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soon as practicable after any Restricted Stock Units have vested and are no longer subject to the RSU Restriction Period (or at such later date specified by the Committee or in accordance with the election of the Eligible Individual, if the Committee so permits),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Plan Administrator shall have received from the Eligible Individual a duly executed Form W-9 or Form W-8, as applicable, as well as such other documents as may be legally required.</w:t>
      </w:r>
    </w:p>
    <w:p>
      <w:pPr>
        <w:spacing w:after="0" w:line="312"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Restricted Stock Units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326"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80" w:name="page181"/>
    <w:bookmarkEnd w:id="18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29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70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93" w:lineRule="exact"/>
        <w:rPr>
          <w:rFonts w:ascii="Arial" w:cs="Arial" w:eastAsia="Arial" w:hAnsi="Arial"/>
          <w:sz w:val="18"/>
          <w:szCs w:val="18"/>
          <w:color w:val="auto"/>
        </w:rPr>
      </w:pPr>
    </w:p>
    <w:p>
      <w:pPr>
        <w:ind w:right="60" w:firstLine="464"/>
        <w:spacing w:after="0" w:line="271" w:lineRule="auto"/>
        <w:tabs>
          <w:tab w:leader="none" w:pos="71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 ).</w:t>
      </w:r>
    </w:p>
    <w:p>
      <w:pPr>
        <w:spacing w:after="0" w:line="178" w:lineRule="exact"/>
        <w:rPr>
          <w:rFonts w:ascii="Arial" w:cs="Arial" w:eastAsia="Arial" w:hAnsi="Arial"/>
          <w:sz w:val="17"/>
          <w:szCs w:val="17"/>
          <w:color w:val="auto"/>
        </w:rPr>
      </w:pPr>
    </w:p>
    <w:p>
      <w:pPr>
        <w:ind w:right="820" w:firstLine="464"/>
        <w:spacing w:after="0" w:line="277" w:lineRule="auto"/>
        <w:tabs>
          <w:tab w:leader="none" w:pos="70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determination of the Committee regarding any such adjustment will be final and conclusive and need not be the same for all Eligible Individuals.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381" w:lineRule="exact"/>
        <w:rPr>
          <w:rFonts w:ascii="Arial" w:cs="Arial" w:eastAsia="Arial" w:hAnsi="Arial"/>
          <w:sz w:val="17"/>
          <w:szCs w:val="17"/>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121" w:lineRule="exact"/>
        <w:rPr>
          <w:rFonts w:ascii="Arial" w:cs="Arial" w:eastAsia="Arial" w:hAnsi="Arial"/>
          <w:sz w:val="18"/>
          <w:szCs w:val="18"/>
          <w:b w:val="1"/>
          <w:bCs w:val="1"/>
          <w:color w:val="auto"/>
        </w:rPr>
      </w:pPr>
    </w:p>
    <w:p>
      <w:pPr>
        <w:jc w:val="both"/>
        <w:ind w:right="180" w:firstLine="464"/>
        <w:spacing w:after="0" w:line="264" w:lineRule="auto"/>
        <w:tabs>
          <w:tab w:leader="none" w:pos="70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1" w:name="page182"/>
    <w:bookmarkEnd w:id="181"/>
    <w:p>
      <w:pPr>
        <w:ind w:left="-40" w:right="20" w:firstLine="464"/>
        <w:spacing w:after="0" w:line="293" w:lineRule="auto"/>
        <w:tabs>
          <w:tab w:leader="none" w:pos="671"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Restricted Stock Unit award, including the grant and vesting of the Restricted Stock Units, the receipt of cash or any dividends or dividend equivalents; and (2) do not commit to structure the terms of the award or any aspect of the Restricted Stock Units to reduce or eliminate the Eligible Individual’s liability for Tax-Related Items.</w:t>
      </w:r>
    </w:p>
    <w:p>
      <w:pPr>
        <w:spacing w:after="0" w:line="164" w:lineRule="exact"/>
        <w:rPr>
          <w:rFonts w:ascii="Arial" w:cs="Arial" w:eastAsia="Arial" w:hAnsi="Arial"/>
          <w:sz w:val="16"/>
          <w:szCs w:val="16"/>
          <w:color w:val="auto"/>
        </w:rPr>
      </w:pPr>
    </w:p>
    <w:p>
      <w:pPr>
        <w:ind w:left="-40" w:firstLine="464"/>
        <w:spacing w:after="0" w:line="253" w:lineRule="auto"/>
        <w:tabs>
          <w:tab w:leader="none" w:pos="6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of Common Stock,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award under the Plan if the Eligible Individual fails to comply with his or her obligations in connection with the Tax-Related Items as described in this Section.</w:t>
      </w:r>
    </w:p>
    <w:p>
      <w:pPr>
        <w:spacing w:after="0" w:line="190" w:lineRule="exact"/>
        <w:rPr>
          <w:rFonts w:ascii="Arial" w:cs="Arial" w:eastAsia="Arial" w:hAnsi="Arial"/>
          <w:sz w:val="18"/>
          <w:szCs w:val="18"/>
          <w:color w:val="auto"/>
        </w:rPr>
      </w:pPr>
    </w:p>
    <w:p>
      <w:pPr>
        <w:ind w:left="-40" w:firstLine="464"/>
        <w:spacing w:after="0" w:line="254" w:lineRule="auto"/>
        <w:tabs>
          <w:tab w:leader="none" w:pos="6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182" w:name="page183"/>
    <w:bookmarkEnd w:id="182"/>
    <w:p>
      <w:pPr>
        <w:ind w:left="452" w:hanging="452"/>
        <w:spacing w:after="0"/>
        <w:tabs>
          <w:tab w:leader="none" w:pos="45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Restrictions</w:t>
      </w:r>
    </w:p>
    <w:p>
      <w:pPr>
        <w:spacing w:after="0" w:line="121" w:lineRule="exact"/>
        <w:rPr>
          <w:rFonts w:ascii="Arial" w:cs="Arial" w:eastAsia="Arial" w:hAnsi="Arial"/>
          <w:sz w:val="18"/>
          <w:szCs w:val="18"/>
          <w:b w:val="1"/>
          <w:bCs w:val="1"/>
          <w:color w:val="auto"/>
        </w:rPr>
      </w:pPr>
    </w:p>
    <w:p>
      <w:pPr>
        <w:jc w:val="both"/>
        <w:ind w:left="-8" w:right="40" w:firstLine="464"/>
        <w:spacing w:after="0" w:line="302" w:lineRule="auto"/>
        <w:tabs>
          <w:tab w:leader="none" w:pos="69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154" w:lineRule="exact"/>
        <w:rPr>
          <w:rFonts w:ascii="Arial" w:cs="Arial" w:eastAsia="Arial" w:hAnsi="Arial"/>
          <w:sz w:val="16"/>
          <w:szCs w:val="16"/>
          <w:color w:val="auto"/>
        </w:rPr>
      </w:pPr>
    </w:p>
    <w:p>
      <w:pPr>
        <w:ind w:left="-8" w:firstLine="464"/>
        <w:spacing w:after="0" w:line="293" w:lineRule="auto"/>
        <w:tabs>
          <w:tab w:leader="none" w:pos="70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Restricted Stock Unit award, the Eligible Individual acknowledges that:</w:t>
      </w:r>
    </w:p>
    <w:p>
      <w:pPr>
        <w:spacing w:after="0" w:line="117" w:lineRule="exact"/>
        <w:rPr>
          <w:rFonts w:ascii="Arial" w:cs="Arial" w:eastAsia="Arial" w:hAnsi="Arial"/>
          <w:sz w:val="18"/>
          <w:szCs w:val="18"/>
          <w:b w:val="1"/>
          <w:bCs w:val="1"/>
          <w:color w:val="auto"/>
        </w:rPr>
      </w:pPr>
    </w:p>
    <w:p>
      <w:pPr>
        <w:ind w:left="-8" w:right="160" w:firstLine="464"/>
        <w:spacing w:after="0" w:line="277" w:lineRule="auto"/>
        <w:tabs>
          <w:tab w:leader="none" w:pos="69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300" w:firstLine="464"/>
        <w:spacing w:after="0" w:line="308" w:lineRule="auto"/>
        <w:tabs>
          <w:tab w:leader="none" w:pos="70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award of the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146" w:lineRule="exact"/>
        <w:rPr>
          <w:rFonts w:ascii="Arial" w:cs="Arial" w:eastAsia="Arial" w:hAnsi="Arial"/>
          <w:sz w:val="17"/>
          <w:szCs w:val="17"/>
          <w:color w:val="auto"/>
        </w:rPr>
      </w:pPr>
    </w:p>
    <w:p>
      <w:pPr>
        <w:ind w:left="692" w:hanging="236"/>
        <w:spacing w:after="0"/>
        <w:tabs>
          <w:tab w:leader="none" w:pos="6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left="-8" w:right="340" w:firstLine="464"/>
        <w:spacing w:after="0" w:line="342" w:lineRule="auto"/>
        <w:tabs>
          <w:tab w:leader="none" w:pos="70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692" w:hanging="236"/>
        <w:spacing w:after="0"/>
        <w:tabs>
          <w:tab w:leader="none" w:pos="6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5" w:lineRule="exact"/>
        <w:rPr>
          <w:rFonts w:ascii="Arial" w:cs="Arial" w:eastAsia="Arial" w:hAnsi="Arial"/>
          <w:sz w:val="18"/>
          <w:szCs w:val="18"/>
          <w:color w:val="auto"/>
        </w:rPr>
      </w:pPr>
    </w:p>
    <w:p>
      <w:pPr>
        <w:ind w:left="-8" w:right="160" w:firstLine="464"/>
        <w:spacing w:after="0" w:line="277" w:lineRule="auto"/>
        <w:tabs>
          <w:tab w:leader="none" w:pos="67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Restricted Stock Unit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0" w:right="259" w:bottom="1440" w:gutter="0" w:footer="0" w:header="0"/>
        </w:sectPr>
      </w:pPr>
    </w:p>
    <w:bookmarkStart w:id="183" w:name="page184"/>
    <w:bookmarkEnd w:id="183"/>
    <w:p>
      <w:pPr>
        <w:ind w:right="40" w:firstLine="464"/>
        <w:spacing w:after="0" w:line="312" w:lineRule="auto"/>
        <w:tabs>
          <w:tab w:leader="none" w:pos="711"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Restricted Stock Unit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46" w:lineRule="exact"/>
        <w:rPr>
          <w:rFonts w:ascii="Arial" w:cs="Arial" w:eastAsia="Arial" w:hAnsi="Arial"/>
          <w:sz w:val="16"/>
          <w:szCs w:val="16"/>
          <w:color w:val="auto"/>
        </w:rPr>
      </w:pPr>
    </w:p>
    <w:p>
      <w:pPr>
        <w:ind w:right="360" w:firstLine="464"/>
        <w:spacing w:after="0" w:line="277" w:lineRule="auto"/>
        <w:tabs>
          <w:tab w:leader="none" w:pos="71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Subsidiary or Affiliate, the Restricted Stock Unit award will not be interpreted to form an employment contract or relationship with the Company; and</w:t>
      </w:r>
    </w:p>
    <w:p>
      <w:pPr>
        <w:spacing w:after="0" w:line="170" w:lineRule="exact"/>
        <w:rPr>
          <w:rFonts w:ascii="Arial" w:cs="Arial" w:eastAsia="Arial" w:hAnsi="Arial"/>
          <w:sz w:val="18"/>
          <w:szCs w:val="18"/>
          <w:color w:val="auto"/>
        </w:rPr>
      </w:pPr>
    </w:p>
    <w:p>
      <w:pPr>
        <w:ind w:firstLine="464"/>
        <w:spacing w:after="0" w:line="255" w:lineRule="auto"/>
        <w:tabs>
          <w:tab w:leader="none" w:pos="67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consideration of the award of the Restricted Stock Units, no claim or entitlement to compensation or damages shall arise from termination of the Restricted Stock Unit award or diminution in value of the Restricted Stock Unit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315"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4" w:name="page185"/>
    <w:bookmarkEnd w:id="184"/>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Applicable to Construction; Consent to Jurisdiction</w:t>
      </w:r>
    </w:p>
    <w:p>
      <w:pPr>
        <w:spacing w:after="0" w:line="121" w:lineRule="exact"/>
        <w:rPr>
          <w:rFonts w:ascii="Arial" w:cs="Arial" w:eastAsia="Arial" w:hAnsi="Arial"/>
          <w:sz w:val="18"/>
          <w:szCs w:val="18"/>
          <w:b w:val="1"/>
          <w:bCs w:val="1"/>
          <w:color w:val="auto"/>
        </w:rPr>
      </w:pPr>
    </w:p>
    <w:p>
      <w:pPr>
        <w:ind w:right="140" w:firstLine="464"/>
        <w:spacing w:after="0" w:line="312" w:lineRule="auto"/>
        <w:tabs>
          <w:tab w:leader="none" w:pos="70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46" w:lineRule="exact"/>
        <w:rPr>
          <w:rFonts w:ascii="Arial" w:cs="Arial" w:eastAsia="Arial" w:hAnsi="Arial"/>
          <w:sz w:val="16"/>
          <w:szCs w:val="16"/>
          <w:color w:val="auto"/>
        </w:rPr>
      </w:pPr>
    </w:p>
    <w:p>
      <w:pPr>
        <w:ind w:right="20" w:firstLine="464"/>
        <w:spacing w:after="0" w:line="279" w:lineRule="auto"/>
        <w:tabs>
          <w:tab w:leader="none" w:pos="71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right="20" w:firstLine="464"/>
        <w:spacing w:after="0" w:line="264" w:lineRule="auto"/>
        <w:tabs>
          <w:tab w:leader="none" w:pos="70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firstLine="464"/>
        <w:spacing w:after="0" w:line="255" w:lineRule="auto"/>
        <w:tabs>
          <w:tab w:leader="none" w:pos="7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Exchange Risk</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Exchange Risk”). Eligible Individual waives and releases the Company, its Subsidiaries and Affiliates and the Plan Administrator from any potential claims arising out of the Currency Exchange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85" w:name="page186"/>
    <w:bookmarkEnd w:id="185"/>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Notwithstanding any provisions in this Agreement to the contrary, the Restricted Stock Units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The Appendix constitutes a party of this Agreement.</w:t>
      </w:r>
    </w:p>
    <w:p>
      <w:pPr>
        <w:spacing w:after="0" w:line="333"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326"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316"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right="80" w:firstLine="464"/>
        <w:spacing w:after="0" w:line="291" w:lineRule="auto"/>
        <w:tabs>
          <w:tab w:leader="none" w:pos="70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7" w:lineRule="exact"/>
        <w:rPr>
          <w:rFonts w:ascii="Arial" w:cs="Arial" w:eastAsia="Arial" w:hAnsi="Arial"/>
          <w:sz w:val="16"/>
          <w:szCs w:val="16"/>
          <w:color w:val="auto"/>
        </w:rPr>
      </w:pPr>
    </w:p>
    <w:p>
      <w:pPr>
        <w:ind w:right="260" w:firstLine="464"/>
        <w:spacing w:after="0" w:line="312" w:lineRule="auto"/>
        <w:tabs>
          <w:tab w:leader="none" w:pos="71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86" w:name="page187"/>
    <w:bookmarkEnd w:id="186"/>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7" w:lineRule="exact"/>
        <w:rPr>
          <w:sz w:val="20"/>
          <w:szCs w:val="20"/>
          <w:color w:val="auto"/>
        </w:rPr>
      </w:pPr>
    </w:p>
    <w:p>
      <w:pPr>
        <w:ind w:right="100" w:firstLine="464"/>
        <w:spacing w:after="0" w:line="297" w:lineRule="auto"/>
        <w:tabs>
          <w:tab w:leader="none" w:pos="70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 may, in its sole discretion, decide to deliver any documents related to the Restricted Stock Units awarded under and participation in the</w:t>
      </w:r>
    </w:p>
    <w:p>
      <w:pPr>
        <w:spacing w:after="0" w:line="46"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 TRIPADVISOR,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May 2011.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17"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Notwithstanding any other provision of this Agreement, (a) the Restricted Stock Units may not be settled in cash; and (b) the vesting of Restricted Stock Units may be accelerated by the Plan Administrator only upon the death or total permanent disablement of Eligible Individual, and to the extent permitted by applicable law.</w:t>
      </w:r>
    </w:p>
    <w:p>
      <w:pPr>
        <w:spacing w:after="0" w:line="7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Restricted Stock Units; (b) a holding company (within the meaning of the </w:t>
      </w:r>
      <w:r>
        <w:rPr>
          <w:rFonts w:ascii="Arial" w:cs="Arial" w:eastAsia="Arial" w:hAnsi="Arial"/>
          <w:sz w:val="18"/>
          <w:szCs w:val="18"/>
          <w:i w:val="1"/>
          <w:iCs w:val="1"/>
          <w:color w:val="auto"/>
        </w:rPr>
        <w:t xml:space="preserve">Corporations Act 2001 </w:t>
      </w:r>
      <w:r>
        <w:rPr>
          <w:rFonts w:ascii="Arial" w:cs="Arial" w:eastAsia="Arial" w:hAnsi="Arial"/>
          <w:sz w:val="18"/>
          <w:szCs w:val="18"/>
          <w:color w:val="auto"/>
        </w:rPr>
        <w:t>(Cth)) of Eligible Individual’s employer in the employment in respect of which Eligible Individual acquired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Units; (c) a subsidiary (within the meaning of the </w:t>
      </w:r>
      <w:r>
        <w:rPr>
          <w:rFonts w:ascii="Arial" w:cs="Arial" w:eastAsia="Arial" w:hAnsi="Arial"/>
          <w:sz w:val="18"/>
          <w:szCs w:val="18"/>
          <w:i w:val="1"/>
          <w:iCs w:val="1"/>
          <w:color w:val="auto"/>
        </w:rPr>
        <w:t>Income Tax Assessment Act 1997</w:t>
      </w:r>
      <w:r>
        <w:rPr>
          <w:rFonts w:ascii="Arial" w:cs="Arial" w:eastAsia="Arial" w:hAnsi="Arial"/>
          <w:sz w:val="18"/>
          <w:szCs w:val="18"/>
          <w:color w:val="auto"/>
        </w:rPr>
        <w:t xml:space="preserve"> (Cth)) of Eligible Individual’s employer in the employment in respect of which Eligible Individual acquired the Restricted Stock Units;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88" w:name="page189"/>
    <w:bookmarkEnd w:id="188"/>
    <w:p>
      <w:pPr>
        <w:ind w:left="460" w:right="140" w:firstLine="4"/>
        <w:spacing w:after="0" w:line="342" w:lineRule="auto"/>
        <w:tabs>
          <w:tab w:leader="none" w:pos="7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subsidiary (within the meaning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xml:space="preserve"> (Cth) of a holding company (within the meaning of the </w:t>
      </w:r>
      <w:r>
        <w:rPr>
          <w:rFonts w:ascii="Arial" w:cs="Arial" w:eastAsia="Arial" w:hAnsi="Arial"/>
          <w:sz w:val="16"/>
          <w:szCs w:val="16"/>
          <w:i w:val="1"/>
          <w:iCs w:val="1"/>
          <w:color w:val="auto"/>
        </w:rPr>
        <w:t>Corporations 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2001 </w:t>
      </w:r>
      <w:r>
        <w:rPr>
          <w:rFonts w:ascii="Arial" w:cs="Arial" w:eastAsia="Arial" w:hAnsi="Arial"/>
          <w:sz w:val="16"/>
          <w:szCs w:val="16"/>
          <w:color w:val="auto"/>
        </w:rPr>
        <w:t>(Cth)) of Eligible Individual’s employer in the employment in respect of which Eligible Individual acquired the Restricted Stock Units.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13" w:lineRule="exact"/>
        <w:rPr>
          <w:sz w:val="20"/>
          <w:szCs w:val="20"/>
          <w:color w:val="auto"/>
        </w:rPr>
      </w:pPr>
    </w:p>
    <w:p>
      <w:pPr>
        <w:ind w:left="460" w:right="220"/>
        <w:spacing w:after="0" w:line="282" w:lineRule="auto"/>
        <w:rPr>
          <w:sz w:val="20"/>
          <w:szCs w:val="20"/>
          <w:color w:val="auto"/>
        </w:rPr>
      </w:pPr>
      <w:r>
        <w:rPr>
          <w:rFonts w:ascii="Arial" w:cs="Arial" w:eastAsia="Arial" w:hAnsi="Arial"/>
          <w:sz w:val="18"/>
          <w:szCs w:val="18"/>
          <w:b w:val="1"/>
          <w:bCs w:val="1"/>
          <w:color w:val="auto"/>
        </w:rPr>
        <w:t xml:space="preserve">Settlement of Stock Awards. </w:t>
      </w:r>
      <w:r>
        <w:rPr>
          <w:rFonts w:ascii="Arial" w:cs="Arial" w:eastAsia="Arial" w:hAnsi="Arial"/>
          <w:sz w:val="18"/>
          <w:szCs w:val="18"/>
          <w:color w:val="auto"/>
        </w:rPr>
        <w:t>Notwithstanding any discretion or anything to the contrary in the Plan, the grant of the Stock Awards does not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for Eligible Individual to receive a cash payment and the Awards will be settled in Shares only.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Authorization to Release and Transfer Necessary Personal Information. </w:t>
      </w:r>
      <w:r>
        <w:rPr>
          <w:rFonts w:ascii="Arial" w:cs="Arial" w:eastAsia="Arial" w:hAnsi="Arial"/>
          <w:sz w:val="18"/>
          <w:szCs w:val="18"/>
          <w:color w:val="auto"/>
        </w:rPr>
        <w:t>This provision supplements Section 21 of the Agreement:</w:t>
      </w:r>
    </w:p>
    <w:p>
      <w:pPr>
        <w:spacing w:after="0" w:line="121"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Taxation of Award. </w:t>
      </w:r>
      <w:r>
        <w:rPr>
          <w:rFonts w:ascii="Arial" w:cs="Arial" w:eastAsia="Arial" w:hAnsi="Arial"/>
          <w:sz w:val="18"/>
          <w:szCs w:val="18"/>
          <w:color w:val="auto"/>
        </w:rPr>
        <w:t>This Award is not intended to be French tax-qualified.</w:t>
      </w:r>
    </w:p>
    <w:p>
      <w:pPr>
        <w:spacing w:after="0" w:line="117"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Eligible Individual may hold Shares acquired under the Plan outside of France provided he or she declares all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Hong Kong</w:t>
      </w:r>
    </w:p>
    <w:p>
      <w:pPr>
        <w:spacing w:after="0" w:line="113"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The Award and Shares issued upon vesting (if any) do not constitute a public offering of securities under Hong Kong law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64" w:lineRule="exact"/>
        <w:rPr>
          <w:sz w:val="20"/>
          <w:szCs w:val="20"/>
          <w:color w:val="auto"/>
        </w:rPr>
      </w:pPr>
    </w:p>
    <w:p>
      <w:pPr>
        <w:jc w:val="both"/>
        <w:ind w:left="460" w:right="20"/>
        <w:spacing w:after="0" w:line="266" w:lineRule="auto"/>
        <w:rPr>
          <w:sz w:val="20"/>
          <w:szCs w:val="20"/>
          <w:color w:val="auto"/>
        </w:rPr>
      </w:pPr>
      <w:r>
        <w:rPr>
          <w:rFonts w:ascii="Arial" w:cs="Arial" w:eastAsia="Arial" w:hAnsi="Arial"/>
          <w:sz w:val="18"/>
          <w:szCs w:val="18"/>
          <w:b w:val="1"/>
          <w:bCs w:val="1"/>
          <w:color w:val="auto"/>
        </w:rPr>
        <w:t xml:space="preserve">Vesting of Stock Awards and Sale of Shares. </w:t>
      </w:r>
      <w:r>
        <w:rPr>
          <w:rFonts w:ascii="Arial" w:cs="Arial" w:eastAsia="Arial" w:hAnsi="Arial"/>
          <w:sz w:val="18"/>
          <w:szCs w:val="18"/>
          <w:color w:val="auto"/>
        </w:rPr>
        <w:t>In the event the Eligible Individual’s Awards vest and Shares are issued to the Eligible Individual within</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of the date of grant, the Eligible Individual agrees that he or she will not dispose of any of such Shares prior to the six-month anniversary of the date of grant.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India</w:t>
      </w:r>
    </w:p>
    <w:p>
      <w:pPr>
        <w:spacing w:after="0" w:line="113" w:lineRule="exact"/>
        <w:rPr>
          <w:sz w:val="20"/>
          <w:szCs w:val="20"/>
          <w:color w:val="auto"/>
        </w:rPr>
      </w:pPr>
    </w:p>
    <w:p>
      <w:pPr>
        <w:jc w:val="both"/>
        <w:ind w:left="460" w:right="60"/>
        <w:spacing w:after="0" w:line="266" w:lineRule="auto"/>
        <w:rPr>
          <w:sz w:val="20"/>
          <w:szCs w:val="20"/>
          <w:color w:val="auto"/>
        </w:rPr>
      </w:pPr>
      <w:r>
        <w:rPr>
          <w:rFonts w:ascii="Arial" w:cs="Arial" w:eastAsia="Arial" w:hAnsi="Arial"/>
          <w:sz w:val="18"/>
          <w:szCs w:val="18"/>
          <w:b w:val="1"/>
          <w:bCs w:val="1"/>
          <w:color w:val="auto"/>
        </w:rPr>
        <w:t xml:space="preserve">Tax Information. </w:t>
      </w:r>
      <w:r>
        <w:rPr>
          <w:rFonts w:ascii="Arial" w:cs="Arial" w:eastAsia="Arial" w:hAnsi="Arial"/>
          <w:sz w:val="18"/>
          <w:szCs w:val="18"/>
          <w:color w:val="auto"/>
        </w:rPr>
        <w:t>The amount subject to tax at vesting may be dependent upon a valuation of Shares from a Merchant Banker in India.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no responsibility or obligation to obtain the most favorable valuation possible nor obtain valuations more frequently than required under Indian tax law.</w:t>
      </w:r>
    </w:p>
    <w:p>
      <w:pPr>
        <w:spacing w:after="0" w:line="68"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b w:val="1"/>
          <w:bCs w:val="1"/>
          <w:color w:val="auto"/>
        </w:rPr>
        <w:t xml:space="preserve">Exchange Control Obligations. </w:t>
      </w:r>
      <w:r>
        <w:rPr>
          <w:rFonts w:ascii="Arial" w:cs="Arial" w:eastAsia="Arial" w:hAnsi="Arial"/>
          <w:sz w:val="18"/>
          <w:szCs w:val="18"/>
          <w:color w:val="auto"/>
        </w:rPr>
        <w:t>Eligible Individual understands that he or she must repatriate any proceeds from the sale of Shares acquired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any dividends received in relation to the Shares to India and convert the proceeds into local currency within ninety (90) days of receipt. Eligible Individual will receive a foreign inward remittance certificate (“FIRC”) from the bank where he or she deposits the foreign currency. Eligible Individual should maintain the FIRC as evidence of the repatriation of fund in the event the Reserve Bank of India or the Employer requests proof of repatriation.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Korea</w:t>
      </w:r>
    </w:p>
    <w:p>
      <w:pPr>
        <w:spacing w:after="0" w:line="113" w:lineRule="exact"/>
        <w:rPr>
          <w:sz w:val="20"/>
          <w:szCs w:val="20"/>
          <w:color w:val="auto"/>
        </w:rPr>
      </w:pPr>
    </w:p>
    <w:p>
      <w:pPr>
        <w:ind w:left="460" w:right="660"/>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laws require Korean residents who realize US$500,000 or more from the sale of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repatriate the proceeds to Korea within 18 months of the sale.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Singapore</w:t>
      </w:r>
    </w:p>
    <w:p>
      <w:pPr>
        <w:spacing w:after="0" w:line="113" w:lineRule="exact"/>
        <w:rPr>
          <w:sz w:val="20"/>
          <w:szCs w:val="20"/>
          <w:color w:val="auto"/>
        </w:rPr>
      </w:pPr>
    </w:p>
    <w:p>
      <w:pPr>
        <w:ind w:left="460" w:right="440"/>
        <w:spacing w:after="0" w:line="282"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this Award is made in reliance on section 273(1)(f) of the Securities and Futures Act (Cap. 289) (“SFA”)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exempt from the prospectus and registration requirements under the SFA.</w:t>
      </w:r>
    </w:p>
    <w:p>
      <w:pPr>
        <w:spacing w:after="0" w:line="54"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Eligible Individual is a director, associate director or shadow director (i.e., a non-director who has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Kingdom</w:t>
      </w:r>
    </w:p>
    <w:p>
      <w:pPr>
        <w:spacing w:after="0" w:line="113" w:lineRule="exact"/>
        <w:rPr>
          <w:sz w:val="20"/>
          <w:szCs w:val="20"/>
          <w:color w:val="auto"/>
        </w:rPr>
      </w:pPr>
    </w:p>
    <w:p>
      <w:pPr>
        <w:ind w:left="460" w:right="40"/>
        <w:spacing w:after="0" w:line="282" w:lineRule="auto"/>
        <w:rPr>
          <w:sz w:val="20"/>
          <w:szCs w:val="20"/>
          <w:color w:val="auto"/>
        </w:rPr>
      </w:pPr>
      <w:r>
        <w:rPr>
          <w:rFonts w:ascii="Arial" w:cs="Arial" w:eastAsia="Arial" w:hAnsi="Arial"/>
          <w:sz w:val="18"/>
          <w:szCs w:val="18"/>
          <w:b w:val="1"/>
          <w:bCs w:val="1"/>
          <w:color w:val="auto"/>
        </w:rPr>
        <w:t xml:space="preserve">Settlement of Stock Awards. </w:t>
      </w:r>
      <w:r>
        <w:rPr>
          <w:rFonts w:ascii="Arial" w:cs="Arial" w:eastAsia="Arial" w:hAnsi="Arial"/>
          <w:sz w:val="18"/>
          <w:szCs w:val="18"/>
          <w:color w:val="auto"/>
        </w:rPr>
        <w:t>Notwithstanding any discretion or anything to the contrary in the Plan, the grant of the Award does not provide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for Eligible Individual to receive a cash payment and the Awards will be settled in Shares only.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 and National Insurance Contributions Acknowledgment. </w:t>
      </w:r>
      <w:r>
        <w:rPr>
          <w:rFonts w:ascii="Arial" w:cs="Arial" w:eastAsia="Arial" w:hAnsi="Arial"/>
          <w:sz w:val="18"/>
          <w:szCs w:val="18"/>
          <w:color w:val="auto"/>
        </w:rPr>
        <w:t>The following provision supplements Section 8 7 of the Agreement:</w:t>
      </w:r>
    </w:p>
    <w:p>
      <w:pPr>
        <w:spacing w:after="0" w:line="121"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Arial" w:cs="Arial" w:eastAsia="Arial" w:hAnsi="Arial"/>
          <w:sz w:val="16"/>
          <w:szCs w:val="16"/>
          <w:i w:val="1"/>
          <w:iCs w:val="1"/>
          <w:color w:val="auto"/>
        </w:rPr>
        <w:t>Taxable Event</w:t>
      </w:r>
      <w:r>
        <w:rPr>
          <w:rFonts w:ascii="Arial" w:cs="Arial" w:eastAsia="Arial" w:hAnsi="Arial"/>
          <w:sz w:val="16"/>
          <w:szCs w:val="16"/>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6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121" w:lineRule="exact"/>
        <w:rPr>
          <w:rFonts w:ascii="Arial" w:cs="Arial" w:eastAsia="Arial" w:hAnsi="Arial"/>
          <w:sz w:val="18"/>
          <w:szCs w:val="18"/>
          <w:b w:val="1"/>
          <w:bCs w:val="1"/>
          <w:color w:val="auto"/>
        </w:rPr>
      </w:pPr>
    </w:p>
    <w:p>
      <w:pPr>
        <w:ind w:right="60" w:firstLine="464"/>
        <w:spacing w:after="0" w:line="255" w:lineRule="auto"/>
        <w:tabs>
          <w:tab w:leader="none" w:pos="70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and the Plan and the Grant Details,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93" w:lineRule="exact"/>
        <w:rPr>
          <w:rFonts w:ascii="Arial" w:cs="Arial" w:eastAsia="Arial" w:hAnsi="Arial"/>
          <w:sz w:val="18"/>
          <w:szCs w:val="18"/>
          <w:color w:val="auto"/>
        </w:rPr>
      </w:pPr>
    </w:p>
    <w:p>
      <w:pPr>
        <w:jc w:val="both"/>
        <w:ind w:right="60" w:firstLine="464"/>
        <w:spacing w:after="0" w:line="342" w:lineRule="auto"/>
        <w:tabs>
          <w:tab w:leader="none" w:pos="71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Grant Details and the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Restricted Stock Units shall vest and no longer be subject to any restriction (such period during which restrictions apply shall be referred to as the “RSU Restriction Period”) on the dates detailed in the Grant Details.</w:t>
      </w:r>
    </w:p>
    <w:p>
      <w:pPr>
        <w:spacing w:after="0" w:line="123" w:lineRule="exact"/>
        <w:rPr>
          <w:rFonts w:ascii="Arial" w:cs="Arial" w:eastAsia="Arial" w:hAnsi="Arial"/>
          <w:sz w:val="16"/>
          <w:szCs w:val="16"/>
          <w:color w:val="auto"/>
        </w:rPr>
      </w:pPr>
    </w:p>
    <w:p>
      <w:pPr>
        <w:ind w:right="100" w:firstLine="464"/>
        <w:spacing w:after="0" w:line="264" w:lineRule="auto"/>
        <w:tabs>
          <w:tab w:leader="none" w:pos="70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soon as practicable after any Restricted Stock Units have vested and are no longer subject to the RSU Restriction Period (or at such later date specified by the Committee or in accordance with the election of the Eligible Individual, if the Committee so permits),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ectPr>
          <w:pgSz w:w="11900" w:h="16838" w:orient="portrait"/>
          <w:cols w:equalWidth="0" w:num="1">
            <w:col w:w="11420"/>
          </w:cols>
          <w:pgMar w:left="240" w:top="121" w:right="239" w:bottom="1440" w:gutter="0" w:footer="0" w:header="0"/>
        </w:sectPr>
      </w:pPr>
    </w:p>
    <w:bookmarkStart w:id="192" w:name="page193"/>
    <w:bookmarkEnd w:id="192"/>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the Restricted Stock Units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326"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337"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70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93" w:lineRule="exact"/>
        <w:rPr>
          <w:rFonts w:ascii="Arial" w:cs="Arial" w:eastAsia="Arial" w:hAnsi="Arial"/>
          <w:sz w:val="18"/>
          <w:szCs w:val="18"/>
          <w:color w:val="auto"/>
        </w:rPr>
      </w:pPr>
    </w:p>
    <w:p>
      <w:pPr>
        <w:ind w:right="60" w:firstLine="464"/>
        <w:spacing w:after="0" w:line="271" w:lineRule="auto"/>
        <w:tabs>
          <w:tab w:leader="none" w:pos="711"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93" w:name="page194"/>
    <w:bookmarkEnd w:id="193"/>
    <w:p>
      <w:pPr>
        <w:ind w:left="-8" w:right="800" w:firstLine="464"/>
        <w:spacing w:after="0" w:line="277" w:lineRule="auto"/>
        <w:tabs>
          <w:tab w:leader="none" w:pos="693" w:val="left"/>
        </w:tabs>
        <w:numPr>
          <w:ilvl w:val="1"/>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of the Committee regarding any such adjustment will be final and conclusive and need not be the same for all Eligible Individuals.</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381" w:lineRule="exact"/>
        <w:rPr>
          <w:rFonts w:ascii="Arial" w:cs="Arial" w:eastAsia="Arial" w:hAnsi="Arial"/>
          <w:sz w:val="17"/>
          <w:szCs w:val="17"/>
          <w:color w:val="auto"/>
        </w:rPr>
      </w:pPr>
    </w:p>
    <w:p>
      <w:pPr>
        <w:ind w:left="452" w:hanging="452"/>
        <w:spacing w:after="0"/>
        <w:tabs>
          <w:tab w:leader="none" w:pos="45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121" w:lineRule="exact"/>
        <w:rPr>
          <w:rFonts w:ascii="Arial" w:cs="Arial" w:eastAsia="Arial" w:hAnsi="Arial"/>
          <w:sz w:val="18"/>
          <w:szCs w:val="18"/>
          <w:b w:val="1"/>
          <w:bCs w:val="1"/>
          <w:color w:val="auto"/>
        </w:rPr>
      </w:pPr>
    </w:p>
    <w:p>
      <w:pPr>
        <w:jc w:val="both"/>
        <w:ind w:left="-8" w:right="160" w:firstLine="464"/>
        <w:spacing w:after="0" w:line="264" w:lineRule="auto"/>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81" w:lineRule="exact"/>
        <w:rPr>
          <w:rFonts w:ascii="Arial" w:cs="Arial" w:eastAsia="Arial" w:hAnsi="Arial"/>
          <w:sz w:val="18"/>
          <w:szCs w:val="18"/>
          <w:color w:val="auto"/>
        </w:rPr>
      </w:pPr>
    </w:p>
    <w:p>
      <w:pPr>
        <w:ind w:left="-8" w:right="20" w:firstLine="464"/>
        <w:spacing w:after="0" w:line="293" w:lineRule="auto"/>
        <w:tabs>
          <w:tab w:leader="none" w:pos="703" w:val="left"/>
        </w:tabs>
        <w:numPr>
          <w:ilvl w:val="1"/>
          <w:numId w:val="162"/>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Restricted Stock Unit award, including the grant and vesting of the Restricted Stock Units, the receipt of cash or any dividends or dividend equivalents; and (2) do not commit to structure the terms of the award or any aspect of the Restricted Stock Units to reduce or eliminate the Eligible Individual’s liability for Tax-Related Items.</w:t>
      </w:r>
    </w:p>
    <w:p>
      <w:pPr>
        <w:spacing w:after="0" w:line="164" w:lineRule="exact"/>
        <w:rPr>
          <w:rFonts w:ascii="Arial" w:cs="Arial" w:eastAsia="Arial" w:hAnsi="Arial"/>
          <w:sz w:val="16"/>
          <w:szCs w:val="16"/>
          <w:color w:val="auto"/>
        </w:rPr>
      </w:pPr>
    </w:p>
    <w:p>
      <w:pPr>
        <w:ind w:left="-8" w:firstLine="464"/>
        <w:spacing w:after="0" w:line="253" w:lineRule="auto"/>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of Common Stock,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award under the Plan if the Eligible Individual fails to comply with his or her obligations in connection with the Tax-Related Items as described in this Section.</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194" w:name="page195"/>
    <w:bookmarkEnd w:id="194"/>
    <w:p>
      <w:pPr>
        <w:ind w:left="-8" w:right="20" w:firstLine="464"/>
        <w:spacing w:after="0" w:line="254" w:lineRule="auto"/>
        <w:tabs>
          <w:tab w:leader="none" w:pos="7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336" w:lineRule="exact"/>
        <w:rPr>
          <w:rFonts w:ascii="Arial" w:cs="Arial" w:eastAsia="Arial" w:hAnsi="Arial"/>
          <w:sz w:val="18"/>
          <w:szCs w:val="18"/>
          <w:color w:val="auto"/>
        </w:rPr>
      </w:pPr>
    </w:p>
    <w:p>
      <w:pPr>
        <w:ind w:left="452" w:hanging="452"/>
        <w:spacing w:after="0"/>
        <w:tabs>
          <w:tab w:leader="none" w:pos="452"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121" w:lineRule="exact"/>
        <w:rPr>
          <w:rFonts w:ascii="Arial" w:cs="Arial" w:eastAsia="Arial" w:hAnsi="Arial"/>
          <w:sz w:val="18"/>
          <w:szCs w:val="18"/>
          <w:b w:val="1"/>
          <w:bCs w:val="1"/>
          <w:color w:val="auto"/>
        </w:rPr>
      </w:pPr>
    </w:p>
    <w:p>
      <w:pPr>
        <w:jc w:val="both"/>
        <w:ind w:left="-8" w:right="40" w:firstLine="464"/>
        <w:spacing w:after="0" w:line="302" w:lineRule="auto"/>
        <w:tabs>
          <w:tab w:leader="none" w:pos="69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154" w:lineRule="exact"/>
        <w:rPr>
          <w:rFonts w:ascii="Arial" w:cs="Arial" w:eastAsia="Arial" w:hAnsi="Arial"/>
          <w:sz w:val="16"/>
          <w:szCs w:val="16"/>
          <w:color w:val="auto"/>
        </w:rPr>
      </w:pPr>
    </w:p>
    <w:p>
      <w:pPr>
        <w:ind w:left="-8" w:firstLine="464"/>
        <w:spacing w:after="0" w:line="293" w:lineRule="auto"/>
        <w:tabs>
          <w:tab w:leader="none" w:pos="70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Restricted Stock Unit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300" w:firstLine="464"/>
        <w:spacing w:after="0" w:line="308" w:lineRule="auto"/>
        <w:tabs>
          <w:tab w:leader="none" w:pos="70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award of the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95" w:name="page196"/>
    <w:bookmarkEnd w:id="195"/>
    <w:p>
      <w:pPr>
        <w:ind w:left="700" w:hanging="236"/>
        <w:spacing w:after="0"/>
        <w:tabs>
          <w:tab w:leader="none" w:pos="7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right="340" w:firstLine="464"/>
        <w:spacing w:after="0" w:line="342" w:lineRule="auto"/>
        <w:tabs>
          <w:tab w:leader="none" w:pos="71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5" w:lineRule="exact"/>
        <w:rPr>
          <w:rFonts w:ascii="Arial" w:cs="Arial" w:eastAsia="Arial" w:hAnsi="Arial"/>
          <w:sz w:val="18"/>
          <w:szCs w:val="18"/>
          <w:color w:val="auto"/>
        </w:rPr>
      </w:pPr>
    </w:p>
    <w:p>
      <w:pPr>
        <w:ind w:right="160" w:firstLine="464"/>
        <w:spacing w:after="0" w:line="308" w:lineRule="auto"/>
        <w:tabs>
          <w:tab w:leader="none" w:pos="681" w:val="left"/>
        </w:tabs>
        <w:numPr>
          <w:ilvl w:val="1"/>
          <w:numId w:val="165"/>
        </w:numPr>
        <w:rPr>
          <w:rFonts w:ascii="Arial" w:cs="Arial" w:eastAsia="Arial" w:hAnsi="Arial"/>
          <w:sz w:val="17"/>
          <w:szCs w:val="17"/>
          <w:color w:val="auto"/>
        </w:rPr>
      </w:pPr>
      <w:r>
        <w:rPr>
          <w:rFonts w:ascii="Arial" w:cs="Arial" w:eastAsia="Arial" w:hAnsi="Arial"/>
          <w:sz w:val="17"/>
          <w:szCs w:val="17"/>
          <w:color w:val="auto"/>
        </w:rPr>
        <w:t>the Restricted Stock Unit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46" w:lineRule="exact"/>
        <w:rPr>
          <w:rFonts w:ascii="Arial" w:cs="Arial" w:eastAsia="Arial" w:hAnsi="Arial"/>
          <w:sz w:val="17"/>
          <w:szCs w:val="17"/>
          <w:color w:val="auto"/>
        </w:rPr>
      </w:pPr>
    </w:p>
    <w:p>
      <w:pPr>
        <w:ind w:right="40" w:firstLine="464"/>
        <w:spacing w:after="0" w:line="312" w:lineRule="auto"/>
        <w:tabs>
          <w:tab w:leader="none" w:pos="71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Restricted Stock Unit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46" w:lineRule="exact"/>
        <w:rPr>
          <w:rFonts w:ascii="Arial" w:cs="Arial" w:eastAsia="Arial" w:hAnsi="Arial"/>
          <w:sz w:val="16"/>
          <w:szCs w:val="16"/>
          <w:color w:val="auto"/>
        </w:rPr>
      </w:pPr>
    </w:p>
    <w:p>
      <w:pPr>
        <w:ind w:right="20" w:firstLine="464"/>
        <w:spacing w:after="0" w:line="277" w:lineRule="auto"/>
        <w:tabs>
          <w:tab w:leader="none" w:pos="71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Restricted Stock Unit award will not be interpreted to form an employment contract or relationship with the Company; and</w:t>
      </w:r>
    </w:p>
    <w:p>
      <w:pPr>
        <w:spacing w:after="0" w:line="170" w:lineRule="exact"/>
        <w:rPr>
          <w:rFonts w:ascii="Arial" w:cs="Arial" w:eastAsia="Arial" w:hAnsi="Arial"/>
          <w:sz w:val="18"/>
          <w:szCs w:val="18"/>
          <w:color w:val="auto"/>
        </w:rPr>
      </w:pPr>
    </w:p>
    <w:p>
      <w:pPr>
        <w:ind w:firstLine="464"/>
        <w:spacing w:after="0" w:line="255" w:lineRule="auto"/>
        <w:tabs>
          <w:tab w:leader="none" w:pos="67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consideration of the award of the Restricted Stock Units, no claim or entitlement to compensation or damages shall arise from termination of the Restricted Stock Unit award or diminution in value of the Restricted Stock Unit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96" w:name="page197"/>
    <w:bookmarkEnd w:id="196"/>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32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326"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right="140" w:firstLine="464"/>
        <w:spacing w:after="0" w:line="312" w:lineRule="auto"/>
        <w:tabs>
          <w:tab w:leader="none" w:pos="701"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46" w:lineRule="exact"/>
        <w:rPr>
          <w:rFonts w:ascii="Arial" w:cs="Arial" w:eastAsia="Arial" w:hAnsi="Arial"/>
          <w:sz w:val="16"/>
          <w:szCs w:val="16"/>
          <w:color w:val="auto"/>
        </w:rPr>
      </w:pPr>
    </w:p>
    <w:p>
      <w:pPr>
        <w:ind w:right="20" w:firstLine="464"/>
        <w:spacing w:after="0" w:line="279" w:lineRule="auto"/>
        <w:tabs>
          <w:tab w:leader="none" w:pos="711"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right="20" w:firstLine="464"/>
        <w:spacing w:after="0" w:line="264" w:lineRule="auto"/>
        <w:tabs>
          <w:tab w:leader="none" w:pos="70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firstLine="464"/>
        <w:spacing w:after="0" w:line="255" w:lineRule="auto"/>
        <w:tabs>
          <w:tab w:leader="none" w:pos="71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97" w:name="page198"/>
    <w:bookmarkEnd w:id="197"/>
    <w:p>
      <w:pPr>
        <w:ind w:left="452" w:hanging="452"/>
        <w:spacing w:after="0"/>
        <w:tabs>
          <w:tab w:leader="none" w:pos="452"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Privacy</w:t>
      </w:r>
    </w:p>
    <w:p>
      <w:pPr>
        <w:spacing w:after="0" w:line="121" w:lineRule="exact"/>
        <w:rPr>
          <w:rFonts w:ascii="Arial" w:cs="Arial" w:eastAsia="Arial" w:hAnsi="Arial"/>
          <w:sz w:val="18"/>
          <w:szCs w:val="18"/>
          <w:b w:val="1"/>
          <w:bCs w:val="1"/>
          <w:color w:val="auto"/>
        </w:rPr>
      </w:pPr>
    </w:p>
    <w:p>
      <w:pPr>
        <w:ind w:left="-8" w:right="80" w:firstLine="464"/>
        <w:spacing w:after="0" w:line="291" w:lineRule="auto"/>
        <w:tabs>
          <w:tab w:leader="none" w:pos="69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7" w:lineRule="exact"/>
        <w:rPr>
          <w:rFonts w:ascii="Arial" w:cs="Arial" w:eastAsia="Arial" w:hAnsi="Arial"/>
          <w:sz w:val="16"/>
          <w:szCs w:val="16"/>
          <w:color w:val="auto"/>
        </w:rPr>
      </w:pPr>
    </w:p>
    <w:p>
      <w:pPr>
        <w:ind w:left="-8" w:right="120" w:firstLine="464"/>
        <w:spacing w:after="0" w:line="255" w:lineRule="auto"/>
        <w:tabs>
          <w:tab w:leader="none" w:pos="70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Arial" w:cs="Arial" w:eastAsia="Arial" w:hAnsi="Arial"/>
          <w:sz w:val="18"/>
          <w:szCs w:val="18"/>
          <w:color w:val="auto"/>
        </w:rPr>
      </w:pPr>
    </w:p>
    <w:p>
      <w:pPr>
        <w:ind w:left="-8" w:right="180" w:firstLine="464"/>
        <w:spacing w:after="0" w:line="297" w:lineRule="auto"/>
        <w:tabs>
          <w:tab w:leader="none" w:pos="69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Arial" w:cs="Arial" w:eastAsia="Arial" w:hAnsi="Arial"/>
          <w:sz w:val="16"/>
          <w:szCs w:val="16"/>
          <w:color w:val="auto"/>
        </w:rPr>
      </w:pPr>
    </w:p>
    <w:p>
      <w:pPr>
        <w:ind w:left="452" w:hanging="452"/>
        <w:spacing w:after="0"/>
        <w:tabs>
          <w:tab w:leader="none" w:pos="452"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left="-8" w:firstLine="464"/>
        <w:spacing w:after="0" w:line="302" w:lineRule="auto"/>
        <w:tabs>
          <w:tab w:leader="none" w:pos="69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0" w:right="259" w:bottom="1440" w:gutter="0" w:footer="0" w:header="0"/>
        </w:sectPr>
      </w:pPr>
    </w:p>
    <w:bookmarkStart w:id="198" w:name="page199"/>
    <w:bookmarkEnd w:id="198"/>
    <w:p>
      <w:pPr>
        <w:ind w:right="100" w:firstLine="464"/>
        <w:spacing w:after="0" w:line="273" w:lineRule="auto"/>
        <w:tabs>
          <w:tab w:leader="none" w:pos="711" w:val="left"/>
        </w:tabs>
        <w:numPr>
          <w:ilvl w:val="1"/>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Eligible Individual has received this Agreement and any other related communications and consents to having received these documents solely in</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328"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may, in its sole discretion, decide to deliver any documents related to the Restricted Stock Units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Based—Domestic)</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2011 Stock and Annual Incentive Plan (as amended from time to time, the “Plan”).</w:t>
      </w:r>
    </w:p>
    <w:p>
      <w:pPr>
        <w:spacing w:after="0" w:line="315"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121" w:lineRule="exact"/>
        <w:rPr>
          <w:rFonts w:ascii="Arial" w:cs="Arial" w:eastAsia="Arial" w:hAnsi="Arial"/>
          <w:sz w:val="18"/>
          <w:szCs w:val="18"/>
          <w:b w:val="1"/>
          <w:bCs w:val="1"/>
          <w:color w:val="auto"/>
        </w:rPr>
      </w:pPr>
    </w:p>
    <w:p>
      <w:pPr>
        <w:ind w:right="60" w:firstLine="464"/>
        <w:spacing w:after="0" w:line="255" w:lineRule="auto"/>
        <w:tabs>
          <w:tab w:leader="none" w:pos="70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and the Plan and the Grant Details,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93" w:lineRule="exact"/>
        <w:rPr>
          <w:rFonts w:ascii="Arial" w:cs="Arial" w:eastAsia="Arial" w:hAnsi="Arial"/>
          <w:sz w:val="18"/>
          <w:szCs w:val="18"/>
          <w:color w:val="auto"/>
        </w:rPr>
      </w:pPr>
    </w:p>
    <w:p>
      <w:pPr>
        <w:ind w:right="60" w:firstLine="464"/>
        <w:spacing w:after="0" w:line="264" w:lineRule="auto"/>
        <w:tabs>
          <w:tab w:leader="none" w:pos="71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Grant Details and the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Restricted Stock Units shall vest and no longer be subject to any restriction (such period during which restrictions apply shall be referred to as the “RSU Restriction Period”) if and to the extent that the performance goals specified in Appendix A hereto are satisfied.</w:t>
      </w:r>
    </w:p>
    <w:p>
      <w:pPr>
        <w:spacing w:after="0" w:line="181" w:lineRule="exact"/>
        <w:rPr>
          <w:rFonts w:ascii="Arial" w:cs="Arial" w:eastAsia="Arial" w:hAnsi="Arial"/>
          <w:sz w:val="18"/>
          <w:szCs w:val="18"/>
          <w:color w:val="auto"/>
        </w:rPr>
      </w:pPr>
    </w:p>
    <w:p>
      <w:pPr>
        <w:ind w:right="100" w:firstLine="464"/>
        <w:spacing w:after="0" w:line="264" w:lineRule="auto"/>
        <w:tabs>
          <w:tab w:leader="none" w:pos="70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181" w:lineRule="exact"/>
        <w:rPr>
          <w:rFonts w:ascii="Arial" w:cs="Arial" w:eastAsia="Arial" w:hAnsi="Arial"/>
          <w:sz w:val="18"/>
          <w:szCs w:val="18"/>
          <w:color w:val="auto"/>
        </w:rPr>
      </w:pPr>
    </w:p>
    <w:p>
      <w:pPr>
        <w:ind w:firstLine="464"/>
        <w:spacing w:after="0" w:line="254" w:lineRule="auto"/>
        <w:tabs>
          <w:tab w:leader="none" w:pos="71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w:t>
      </w:r>
    </w:p>
    <w:p>
      <w:pPr>
        <w:sectPr>
          <w:pgSz w:w="11900" w:h="16838" w:orient="portrait"/>
          <w:cols w:equalWidth="0" w:num="1">
            <w:col w:w="11420"/>
          </w:cols>
          <w:pgMar w:left="240" w:top="121" w:right="239" w:bottom="1440" w:gutter="0" w:footer="0" w:header="0"/>
        </w:sectPr>
      </w:pPr>
    </w:p>
    <w:bookmarkStart w:id="200" w:name="page201"/>
    <w:bookmarkEnd w:id="200"/>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1" w:lineRule="exact"/>
        <w:rPr>
          <w:sz w:val="20"/>
          <w:szCs w:val="20"/>
          <w:color w:val="auto"/>
        </w:rPr>
      </w:pPr>
    </w:p>
    <w:p>
      <w:pPr>
        <w:jc w:val="both"/>
        <w:ind w:right="400" w:firstLine="464"/>
        <w:spacing w:after="0" w:line="342" w:lineRule="auto"/>
        <w:tabs>
          <w:tab w:leader="none" w:pos="70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68" w:lineRule="exact"/>
        <w:rPr>
          <w:rFonts w:ascii="Arial" w:cs="Arial" w:eastAsia="Arial" w:hAnsi="Arial"/>
          <w:sz w:val="16"/>
          <w:szCs w:val="16"/>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soon as practicable after any Restricted Stock Units have vested and are no longer subject to the RSU Restriction Period (or at such later date</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specified by the Committee or in accordance with the election of the Eligible Individual, if the Committee so permits), such Restricted Stock Units shall be settled. Subject to Section 8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pacing w:after="0" w:line="309"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Restricted Stock Units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326"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1" w:name="page202"/>
    <w:bookmarkEnd w:id="201"/>
    <w:p>
      <w:pPr>
        <w:ind w:left="452" w:hanging="452"/>
        <w:spacing w:after="0"/>
        <w:tabs>
          <w:tab w:leader="none" w:pos="4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in the Event of Change in Stock; Change in Control</w:t>
      </w:r>
    </w:p>
    <w:p>
      <w:pPr>
        <w:spacing w:after="0" w:line="121" w:lineRule="exact"/>
        <w:rPr>
          <w:rFonts w:ascii="Arial" w:cs="Arial" w:eastAsia="Arial" w:hAnsi="Arial"/>
          <w:sz w:val="18"/>
          <w:szCs w:val="18"/>
          <w:b w:val="1"/>
          <w:bCs w:val="1"/>
          <w:color w:val="auto"/>
        </w:rPr>
      </w:pPr>
    </w:p>
    <w:p>
      <w:pPr>
        <w:ind w:left="-8" w:firstLine="464"/>
        <w:spacing w:after="0" w:line="255" w:lineRule="auto"/>
        <w:tabs>
          <w:tab w:leader="none" w:pos="69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93" w:lineRule="exact"/>
        <w:rPr>
          <w:rFonts w:ascii="Arial" w:cs="Arial" w:eastAsia="Arial" w:hAnsi="Arial"/>
          <w:sz w:val="18"/>
          <w:szCs w:val="18"/>
          <w:color w:val="auto"/>
        </w:rPr>
      </w:pPr>
    </w:p>
    <w:p>
      <w:pPr>
        <w:ind w:left="-8" w:right="60" w:firstLine="464"/>
        <w:spacing w:after="0" w:line="271" w:lineRule="auto"/>
        <w:tabs>
          <w:tab w:leader="none" w:pos="703"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78" w:lineRule="exact"/>
        <w:rPr>
          <w:rFonts w:ascii="Arial" w:cs="Arial" w:eastAsia="Arial" w:hAnsi="Arial"/>
          <w:sz w:val="17"/>
          <w:szCs w:val="17"/>
          <w:color w:val="auto"/>
        </w:rPr>
      </w:pPr>
    </w:p>
    <w:p>
      <w:pPr>
        <w:ind w:left="-8" w:right="820" w:firstLine="464"/>
        <w:spacing w:after="0" w:line="277" w:lineRule="auto"/>
        <w:tabs>
          <w:tab w:leader="none" w:pos="69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determination of the Committee regarding any such adjustment will be final and conclusive and need not be the same for all Eligible Individuals.</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Unless otherwise determined by the Committee, in the event of a Change in Control, the provisions of Section 10 of the Plan shall apply.</w:t>
      </w:r>
    </w:p>
    <w:p>
      <w:pPr>
        <w:spacing w:after="0" w:line="381" w:lineRule="exact"/>
        <w:rPr>
          <w:rFonts w:ascii="Arial" w:cs="Arial" w:eastAsia="Arial" w:hAnsi="Arial"/>
          <w:sz w:val="17"/>
          <w:szCs w:val="17"/>
          <w:color w:val="auto"/>
        </w:rPr>
      </w:pPr>
    </w:p>
    <w:p>
      <w:pPr>
        <w:ind w:left="452" w:hanging="452"/>
        <w:spacing w:after="0"/>
        <w:tabs>
          <w:tab w:leader="none" w:pos="4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121" w:lineRule="exact"/>
        <w:rPr>
          <w:rFonts w:ascii="Arial" w:cs="Arial" w:eastAsia="Arial" w:hAnsi="Arial"/>
          <w:sz w:val="18"/>
          <w:szCs w:val="18"/>
          <w:b w:val="1"/>
          <w:bCs w:val="1"/>
          <w:color w:val="auto"/>
        </w:rPr>
      </w:pPr>
    </w:p>
    <w:p>
      <w:pPr>
        <w:jc w:val="both"/>
        <w:ind w:left="-8" w:right="180" w:firstLine="464"/>
        <w:spacing w:after="0" w:line="264" w:lineRule="auto"/>
        <w:tabs>
          <w:tab w:leader="none" w:pos="69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81" w:lineRule="exact"/>
        <w:rPr>
          <w:rFonts w:ascii="Arial" w:cs="Arial" w:eastAsia="Arial" w:hAnsi="Arial"/>
          <w:sz w:val="18"/>
          <w:szCs w:val="18"/>
          <w:color w:val="auto"/>
        </w:rPr>
      </w:pPr>
    </w:p>
    <w:p>
      <w:pPr>
        <w:ind w:left="-8" w:right="40" w:firstLine="464"/>
        <w:spacing w:after="0" w:line="293" w:lineRule="auto"/>
        <w:tabs>
          <w:tab w:leader="none" w:pos="70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Restricted Stock Unit award, including the grant and vesting of the Restricted Stock Units, the receipt of cash or any dividends or dividend equivalents; and (2) do not commit to structure the terms of the award or any aspect of the Restricted Stock Units to reduce or eliminate the Eligible Individual’s liability for Tax-Related Items.</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0" w:right="259" w:bottom="1440" w:gutter="0" w:footer="0" w:header="0"/>
        </w:sectPr>
      </w:pPr>
    </w:p>
    <w:bookmarkStart w:id="202" w:name="page203"/>
    <w:bookmarkEnd w:id="202"/>
    <w:p>
      <w:pPr>
        <w:ind w:left="-8" w:firstLine="464"/>
        <w:spacing w:after="0" w:line="253" w:lineRule="auto"/>
        <w:tabs>
          <w:tab w:leader="none" w:pos="693" w:val="left"/>
        </w:tabs>
        <w:numPr>
          <w:ilvl w:val="1"/>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of Common Stock,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award under the Plan if the Eligible Individual fails to comply with his or her obligations in connection with the Tax-Related Items as described in this Section.</w:t>
      </w:r>
    </w:p>
    <w:p>
      <w:pPr>
        <w:spacing w:after="0" w:line="190" w:lineRule="exact"/>
        <w:rPr>
          <w:rFonts w:ascii="Arial" w:cs="Arial" w:eastAsia="Arial" w:hAnsi="Arial"/>
          <w:sz w:val="18"/>
          <w:szCs w:val="18"/>
          <w:color w:val="auto"/>
        </w:rPr>
      </w:pPr>
    </w:p>
    <w:p>
      <w:pPr>
        <w:ind w:left="-8" w:firstLine="464"/>
        <w:spacing w:after="0" w:line="254" w:lineRule="auto"/>
        <w:tabs>
          <w:tab w:leader="none" w:pos="70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336" w:lineRule="exact"/>
        <w:rPr>
          <w:rFonts w:ascii="Arial" w:cs="Arial" w:eastAsia="Arial" w:hAnsi="Arial"/>
          <w:sz w:val="18"/>
          <w:szCs w:val="18"/>
          <w:color w:val="auto"/>
        </w:rPr>
      </w:pPr>
    </w:p>
    <w:p>
      <w:pPr>
        <w:ind w:left="452" w:hanging="452"/>
        <w:spacing w:after="0"/>
        <w:tabs>
          <w:tab w:leader="none" w:pos="452"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121" w:lineRule="exact"/>
        <w:rPr>
          <w:rFonts w:ascii="Arial" w:cs="Arial" w:eastAsia="Arial" w:hAnsi="Arial"/>
          <w:sz w:val="18"/>
          <w:szCs w:val="18"/>
          <w:b w:val="1"/>
          <w:bCs w:val="1"/>
          <w:color w:val="auto"/>
        </w:rPr>
      </w:pPr>
    </w:p>
    <w:p>
      <w:pPr>
        <w:jc w:val="both"/>
        <w:ind w:left="-8" w:right="20" w:firstLine="464"/>
        <w:spacing w:after="0" w:line="302" w:lineRule="auto"/>
        <w:tabs>
          <w:tab w:leader="none" w:pos="69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203" w:name="page204"/>
    <w:bookmarkEnd w:id="203"/>
    <w:p>
      <w:pPr>
        <w:ind w:left="-8" w:firstLine="464"/>
        <w:spacing w:after="0" w:line="293" w:lineRule="auto"/>
        <w:tabs>
          <w:tab w:leader="none" w:pos="703" w:val="left"/>
        </w:tabs>
        <w:numPr>
          <w:ilvl w:val="1"/>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accepting the Restricted Stock Unit award, the Eligible Individual acknowledges that:</w:t>
      </w:r>
    </w:p>
    <w:p>
      <w:pPr>
        <w:spacing w:after="0" w:line="117" w:lineRule="exact"/>
        <w:rPr>
          <w:rFonts w:ascii="Arial" w:cs="Arial" w:eastAsia="Arial" w:hAnsi="Arial"/>
          <w:sz w:val="18"/>
          <w:szCs w:val="18"/>
          <w:b w:val="1"/>
          <w:bCs w:val="1"/>
          <w:color w:val="auto"/>
        </w:rPr>
      </w:pPr>
    </w:p>
    <w:p>
      <w:pPr>
        <w:ind w:left="-8" w:right="220" w:firstLine="464"/>
        <w:spacing w:after="0" w:line="277" w:lineRule="auto"/>
        <w:tabs>
          <w:tab w:leader="none" w:pos="69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8" w:right="300" w:firstLine="464"/>
        <w:spacing w:after="0" w:line="308" w:lineRule="auto"/>
        <w:tabs>
          <w:tab w:leader="none" w:pos="70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award of the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146" w:lineRule="exact"/>
        <w:rPr>
          <w:rFonts w:ascii="Arial" w:cs="Arial" w:eastAsia="Arial" w:hAnsi="Arial"/>
          <w:sz w:val="17"/>
          <w:szCs w:val="17"/>
          <w:color w:val="auto"/>
        </w:rPr>
      </w:pPr>
    </w:p>
    <w:p>
      <w:pPr>
        <w:ind w:left="692" w:hanging="236"/>
        <w:spacing w:after="0"/>
        <w:tabs>
          <w:tab w:leader="none" w:pos="6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5" w:lineRule="exact"/>
        <w:rPr>
          <w:rFonts w:ascii="Arial" w:cs="Arial" w:eastAsia="Arial" w:hAnsi="Arial"/>
          <w:sz w:val="18"/>
          <w:szCs w:val="18"/>
          <w:color w:val="auto"/>
        </w:rPr>
      </w:pPr>
    </w:p>
    <w:p>
      <w:pPr>
        <w:ind w:left="-8" w:right="340" w:firstLine="464"/>
        <w:spacing w:after="0" w:line="342" w:lineRule="auto"/>
        <w:tabs>
          <w:tab w:leader="none" w:pos="70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23" w:lineRule="exact"/>
        <w:rPr>
          <w:rFonts w:ascii="Arial" w:cs="Arial" w:eastAsia="Arial" w:hAnsi="Arial"/>
          <w:sz w:val="16"/>
          <w:szCs w:val="16"/>
          <w:color w:val="auto"/>
        </w:rPr>
      </w:pPr>
    </w:p>
    <w:p>
      <w:pPr>
        <w:ind w:left="692" w:hanging="236"/>
        <w:spacing w:after="0"/>
        <w:tabs>
          <w:tab w:leader="none" w:pos="6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5" w:lineRule="exact"/>
        <w:rPr>
          <w:rFonts w:ascii="Arial" w:cs="Arial" w:eastAsia="Arial" w:hAnsi="Arial"/>
          <w:sz w:val="18"/>
          <w:szCs w:val="18"/>
          <w:color w:val="auto"/>
        </w:rPr>
      </w:pPr>
    </w:p>
    <w:p>
      <w:pPr>
        <w:ind w:left="-8" w:right="160" w:firstLine="464"/>
        <w:spacing w:after="0" w:line="308" w:lineRule="auto"/>
        <w:tabs>
          <w:tab w:leader="none" w:pos="67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Restricted Stock Unit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46" w:lineRule="exact"/>
        <w:rPr>
          <w:rFonts w:ascii="Arial" w:cs="Arial" w:eastAsia="Arial" w:hAnsi="Arial"/>
          <w:sz w:val="17"/>
          <w:szCs w:val="17"/>
          <w:color w:val="auto"/>
        </w:rPr>
      </w:pPr>
    </w:p>
    <w:p>
      <w:pPr>
        <w:ind w:left="-8" w:right="40" w:firstLine="464"/>
        <w:spacing w:after="0" w:line="312" w:lineRule="auto"/>
        <w:tabs>
          <w:tab w:leader="none" w:pos="70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Restricted Stock Unit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04" w:name="page205"/>
    <w:bookmarkEnd w:id="204"/>
    <w:p>
      <w:pPr>
        <w:ind w:right="20" w:firstLine="464"/>
        <w:spacing w:after="0" w:line="277" w:lineRule="auto"/>
        <w:tabs>
          <w:tab w:leader="none" w:pos="711" w:val="left"/>
        </w:tabs>
        <w:numPr>
          <w:ilvl w:val="1"/>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Eligible Individual is not an employee of the Company, a Subsidiary or an Affiliate, the Restricted Stock Unit award will not be interpreted to form an employment contract or relationship with the Company; and</w:t>
      </w:r>
    </w:p>
    <w:p>
      <w:pPr>
        <w:spacing w:after="0" w:line="170" w:lineRule="exact"/>
        <w:rPr>
          <w:rFonts w:ascii="Arial" w:cs="Arial" w:eastAsia="Arial" w:hAnsi="Arial"/>
          <w:sz w:val="18"/>
          <w:szCs w:val="18"/>
          <w:color w:val="auto"/>
        </w:rPr>
      </w:pPr>
    </w:p>
    <w:p>
      <w:pPr>
        <w:ind w:firstLine="464"/>
        <w:spacing w:after="0" w:line="255" w:lineRule="auto"/>
        <w:tabs>
          <w:tab w:leader="none" w:pos="67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consideration of the award of the Restricted Stock Units, no claim or entitlement to compensation or damages shall arise from termination of the Restricted Stock Unit award or diminution in value of the Restricted Stock Unit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33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326"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326"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right="140" w:firstLine="464"/>
        <w:spacing w:after="0" w:line="312" w:lineRule="auto"/>
        <w:tabs>
          <w:tab w:leader="none" w:pos="70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05" w:name="page206"/>
    <w:bookmarkEnd w:id="205"/>
    <w:p>
      <w:pPr>
        <w:ind w:left="-8" w:right="20" w:firstLine="464"/>
        <w:spacing w:after="0" w:line="279" w:lineRule="auto"/>
        <w:tabs>
          <w:tab w:leader="none" w:pos="703" w:val="left"/>
        </w:tabs>
        <w:numPr>
          <w:ilvl w:val="1"/>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316" w:lineRule="exact"/>
        <w:rPr>
          <w:rFonts w:ascii="Arial" w:cs="Arial" w:eastAsia="Arial" w:hAnsi="Arial"/>
          <w:sz w:val="17"/>
          <w:szCs w:val="17"/>
          <w:color w:val="auto"/>
        </w:rPr>
      </w:pPr>
    </w:p>
    <w:p>
      <w:pPr>
        <w:ind w:left="452" w:hanging="452"/>
        <w:spacing w:after="0"/>
        <w:tabs>
          <w:tab w:leader="none" w:pos="45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21" w:lineRule="exact"/>
        <w:rPr>
          <w:rFonts w:ascii="Arial" w:cs="Arial" w:eastAsia="Arial" w:hAnsi="Arial"/>
          <w:sz w:val="18"/>
          <w:szCs w:val="18"/>
          <w:b w:val="1"/>
          <w:bCs w:val="1"/>
          <w:color w:val="auto"/>
        </w:rPr>
      </w:pPr>
    </w:p>
    <w:p>
      <w:pPr>
        <w:ind w:left="-8" w:right="20" w:firstLine="464"/>
        <w:spacing w:after="0" w:line="264" w:lineRule="auto"/>
        <w:tabs>
          <w:tab w:leader="none" w:pos="69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1"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333" w:lineRule="exact"/>
        <w:rPr>
          <w:rFonts w:ascii="Arial" w:cs="Arial" w:eastAsia="Arial" w:hAnsi="Arial"/>
          <w:sz w:val="18"/>
          <w:szCs w:val="18"/>
          <w:color w:val="auto"/>
        </w:rPr>
      </w:pPr>
    </w:p>
    <w:p>
      <w:pPr>
        <w:ind w:left="452" w:hanging="452"/>
        <w:spacing w:after="0"/>
        <w:tabs>
          <w:tab w:leader="none" w:pos="45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21" w:lineRule="exact"/>
        <w:rPr>
          <w:rFonts w:ascii="Arial" w:cs="Arial" w:eastAsia="Arial" w:hAnsi="Arial"/>
          <w:sz w:val="18"/>
          <w:szCs w:val="18"/>
          <w:b w:val="1"/>
          <w:bCs w:val="1"/>
          <w:color w:val="auto"/>
        </w:rPr>
      </w:pPr>
    </w:p>
    <w:p>
      <w:pPr>
        <w:ind w:left="-8" w:right="80" w:firstLine="464"/>
        <w:spacing w:after="0" w:line="291" w:lineRule="auto"/>
        <w:tabs>
          <w:tab w:leader="none" w:pos="69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7" w:lineRule="exact"/>
        <w:rPr>
          <w:rFonts w:ascii="Arial" w:cs="Arial" w:eastAsia="Arial" w:hAnsi="Arial"/>
          <w:sz w:val="16"/>
          <w:szCs w:val="16"/>
          <w:color w:val="auto"/>
        </w:rPr>
      </w:pPr>
    </w:p>
    <w:p>
      <w:pPr>
        <w:ind w:left="-8" w:right="260" w:firstLine="464"/>
        <w:spacing w:after="0" w:line="264" w:lineRule="auto"/>
        <w:tabs>
          <w:tab w:leader="none" w:pos="70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206" w:name="page207"/>
    <w:bookmarkEnd w:id="20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8" w:lineRule="exact"/>
        <w:rPr>
          <w:sz w:val="20"/>
          <w:szCs w:val="20"/>
          <w:color w:val="auto"/>
        </w:rPr>
      </w:pPr>
    </w:p>
    <w:p>
      <w:pPr>
        <w:ind w:right="200" w:firstLine="464"/>
        <w:spacing w:after="0" w:line="297" w:lineRule="auto"/>
        <w:tabs>
          <w:tab w:leader="none" w:pos="70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right="240" w:firstLine="464"/>
        <w:spacing w:after="0" w:line="342" w:lineRule="auto"/>
        <w:tabs>
          <w:tab w:leader="none" w:pos="70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This Agreement, including Appendix A, constitutes the entire agreement between the parties with respect to the Restricted Stock Unit award, and supersedes all prior agreements, understandings, and communications between the parties, whether oral or written, relating to the same subject matter.</w:t>
      </w:r>
    </w:p>
    <w:p>
      <w:pPr>
        <w:spacing w:after="0" w:line="123" w:lineRule="exact"/>
        <w:rPr>
          <w:rFonts w:ascii="Arial" w:cs="Arial" w:eastAsia="Arial" w:hAnsi="Arial"/>
          <w:sz w:val="16"/>
          <w:szCs w:val="16"/>
          <w:color w:val="auto"/>
        </w:rPr>
      </w:pPr>
    </w:p>
    <w:p>
      <w:pPr>
        <w:ind w:right="20" w:firstLine="464"/>
        <w:spacing w:after="0" w:line="302" w:lineRule="auto"/>
        <w:tabs>
          <w:tab w:leader="none" w:pos="71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54" w:lineRule="exact"/>
        <w:rPr>
          <w:rFonts w:ascii="Arial" w:cs="Arial" w:eastAsia="Arial" w:hAnsi="Arial"/>
          <w:sz w:val="16"/>
          <w:szCs w:val="16"/>
          <w:color w:val="auto"/>
        </w:rPr>
      </w:pPr>
    </w:p>
    <w:p>
      <w:pPr>
        <w:ind w:firstLine="464"/>
        <w:spacing w:after="0" w:line="273" w:lineRule="auto"/>
        <w:tabs>
          <w:tab w:leader="none" w:pos="70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7" w:name="page208"/>
    <w:bookmarkEnd w:id="207"/>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Language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326"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may, in its sole discretion, decide to deliver any documents related to the Restricted Stock Units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Performance Goals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270" w:right="1440"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10.21</w:t>
            </w:r>
          </w:p>
        </w:tc>
        <w:tc>
          <w:tcPr>
            <w:tcW w:w="0" w:type="dxa"/>
            <w:vAlign w:val="bottom"/>
          </w:tcPr>
          <w:p>
            <w:pPr>
              <w:spacing w:after="0"/>
              <w:rPr>
                <w:sz w:val="1"/>
                <w:szCs w:val="1"/>
                <w:color w:val="auto"/>
              </w:rPr>
            </w:pPr>
          </w:p>
        </w:tc>
      </w:tr>
      <w:tr>
        <w:trPr>
          <w:trHeight w:val="378"/>
        </w:trPr>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INSERTION ORDER</w:t>
            </w:r>
          </w:p>
        </w:tc>
        <w:tc>
          <w:tcPr>
            <w:tcW w:w="0" w:type="dxa"/>
            <w:vAlign w:val="bottom"/>
          </w:tcPr>
          <w:p>
            <w:pPr>
              <w:spacing w:after="0"/>
              <w:rPr>
                <w:sz w:val="1"/>
                <w:szCs w:val="1"/>
                <w:color w:val="auto"/>
              </w:rPr>
            </w:pPr>
          </w:p>
        </w:tc>
      </w:tr>
      <w:tr>
        <w:trPr>
          <w:trHeight w:val="412"/>
        </w:trPr>
        <w:tc>
          <w:tcPr>
            <w:tcW w:w="2860" w:type="dxa"/>
            <w:vAlign w:val="bottom"/>
            <w:gridSpan w:val="5"/>
          </w:tcPr>
          <w:p>
            <w:pPr>
              <w:spacing w:after="0"/>
              <w:rPr>
                <w:sz w:val="20"/>
                <w:szCs w:val="20"/>
                <w:color w:val="auto"/>
              </w:rPr>
            </w:pPr>
            <w:r>
              <w:rPr>
                <w:rFonts w:ascii="Arial" w:cs="Arial" w:eastAsia="Arial" w:hAnsi="Arial"/>
                <w:sz w:val="18"/>
                <w:szCs w:val="18"/>
                <w:color w:val="auto"/>
              </w:rPr>
              <w:t>TripAdvisor LLC</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Customer Reference:</w:t>
            </w:r>
          </w:p>
        </w:tc>
        <w:tc>
          <w:tcPr>
            <w:tcW w:w="5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60" w:type="dxa"/>
            <w:vAlign w:val="bottom"/>
            <w:gridSpan w:val="5"/>
          </w:tcPr>
          <w:p>
            <w:pPr>
              <w:spacing w:after="0" w:line="184" w:lineRule="exact"/>
              <w:rPr>
                <w:sz w:val="20"/>
                <w:szCs w:val="20"/>
                <w:color w:val="auto"/>
              </w:rPr>
            </w:pPr>
            <w:r>
              <w:rPr>
                <w:rFonts w:ascii="Arial" w:cs="Arial" w:eastAsia="Arial" w:hAnsi="Arial"/>
                <w:sz w:val="18"/>
                <w:szCs w:val="18"/>
                <w:color w:val="auto"/>
              </w:rPr>
              <w:t>141 Needham Street</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60" w:type="dxa"/>
            <w:vAlign w:val="bottom"/>
            <w:gridSpan w:val="5"/>
          </w:tcPr>
          <w:p>
            <w:pPr>
              <w:spacing w:after="0" w:line="196" w:lineRule="exact"/>
              <w:rPr>
                <w:sz w:val="20"/>
                <w:szCs w:val="20"/>
                <w:color w:val="auto"/>
              </w:rPr>
            </w:pPr>
            <w:r>
              <w:rPr>
                <w:rFonts w:ascii="Arial" w:cs="Arial" w:eastAsia="Arial" w:hAnsi="Arial"/>
                <w:sz w:val="18"/>
                <w:szCs w:val="18"/>
                <w:color w:val="auto"/>
              </w:rPr>
              <w:t>Newton, MA 02464</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Insertion Order Number:</w:t>
            </w: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5"/>
            <w:vMerge w:val="restart"/>
          </w:tcPr>
          <w:p>
            <w:pPr>
              <w:spacing w:after="0"/>
              <w:rPr>
                <w:sz w:val="20"/>
                <w:szCs w:val="20"/>
                <w:color w:val="auto"/>
              </w:rPr>
            </w:pPr>
            <w:r>
              <w:rPr>
                <w:rFonts w:ascii="Arial" w:cs="Arial" w:eastAsia="Arial" w:hAnsi="Arial"/>
                <w:sz w:val="18"/>
                <w:szCs w:val="18"/>
                <w:color w:val="auto"/>
              </w:rPr>
              <w:t>Phone: 617-670-6300</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Sales Manager:</w:t>
            </w: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gridSpan w:val="5"/>
            <w:vMerge w:val="continue"/>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2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Order Date:</w:t>
            </w:r>
          </w:p>
        </w:tc>
        <w:tc>
          <w:tcPr>
            <w:tcW w:w="0" w:type="dxa"/>
            <w:vAlign w:val="bottom"/>
          </w:tcPr>
          <w:p>
            <w:pPr>
              <w:spacing w:after="0"/>
              <w:rPr>
                <w:sz w:val="1"/>
                <w:szCs w:val="1"/>
                <w:color w:val="auto"/>
              </w:rPr>
            </w:pPr>
          </w:p>
        </w:tc>
      </w:tr>
      <w:tr>
        <w:trPr>
          <w:trHeight w:val="184"/>
        </w:trPr>
        <w:tc>
          <w:tcPr>
            <w:tcW w:w="2860" w:type="dxa"/>
            <w:vAlign w:val="bottom"/>
            <w:gridSpan w:val="5"/>
          </w:tcPr>
          <w:p>
            <w:pPr>
              <w:spacing w:after="0" w:line="184" w:lineRule="exact"/>
              <w:rPr>
                <w:sz w:val="20"/>
                <w:szCs w:val="20"/>
                <w:color w:val="auto"/>
              </w:rPr>
            </w:pPr>
            <w:r>
              <w:rPr>
                <w:rFonts w:ascii="Arial" w:cs="Arial" w:eastAsia="Arial" w:hAnsi="Arial"/>
                <w:sz w:val="18"/>
                <w:szCs w:val="18"/>
                <w:color w:val="auto"/>
              </w:rPr>
              <w:t>Sales Fax: 781-559-3255</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2860" w:type="dxa"/>
            <w:vAlign w:val="bottom"/>
            <w:gridSpan w:val="5"/>
          </w:tcPr>
          <w:p>
            <w:pPr>
              <w:spacing w:after="0"/>
              <w:rPr>
                <w:sz w:val="20"/>
                <w:szCs w:val="20"/>
                <w:color w:val="auto"/>
              </w:rPr>
            </w:pPr>
            <w:r>
              <w:rPr>
                <w:rFonts w:ascii="Arial" w:cs="Arial" w:eastAsia="Arial" w:hAnsi="Arial"/>
                <w:sz w:val="18"/>
                <w:szCs w:val="18"/>
                <w:b w:val="1"/>
                <w:bCs w:val="1"/>
                <w:color w:val="auto"/>
              </w:rPr>
              <w:t>SEND INVOICE TO:</w:t>
            </w:r>
          </w:p>
        </w:tc>
        <w:tc>
          <w:tcPr>
            <w:tcW w:w="1200" w:type="dxa"/>
            <w:vAlign w:val="bottom"/>
          </w:tcPr>
          <w:p>
            <w:pPr>
              <w:ind w:left="48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b w:val="1"/>
                <w:bCs w:val="1"/>
                <w:color w:val="auto"/>
                <w:w w:val="95"/>
              </w:rPr>
              <w:t xml:space="preserve"> Client</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40" w:type="dxa"/>
            <w:vAlign w:val="bottom"/>
            <w:gridSpan w:val="6"/>
          </w:tcPr>
          <w:p>
            <w:pPr>
              <w:jc w:val="right"/>
              <w:ind w:right="5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Agency</w:t>
            </w:r>
          </w:p>
        </w:tc>
        <w:tc>
          <w:tcPr>
            <w:tcW w:w="0" w:type="dxa"/>
            <w:vAlign w:val="bottom"/>
          </w:tcPr>
          <w:p>
            <w:pPr>
              <w:spacing w:after="0"/>
              <w:rPr>
                <w:sz w:val="1"/>
                <w:szCs w:val="1"/>
                <w:color w:val="auto"/>
              </w:rPr>
            </w:pPr>
          </w:p>
        </w:tc>
      </w:tr>
      <w:tr>
        <w:trPr>
          <w:trHeight w:val="185"/>
        </w:trPr>
        <w:tc>
          <w:tcPr>
            <w:tcW w:w="15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540" w:type="dxa"/>
            <w:vAlign w:val="bottom"/>
            <w:gridSpan w:val="2"/>
            <w:vMerge w:val="restart"/>
          </w:tcPr>
          <w:p>
            <w:pPr>
              <w:spacing w:after="0"/>
              <w:rPr>
                <w:sz w:val="16"/>
                <w:szCs w:val="16"/>
                <w:color w:val="auto"/>
              </w:rPr>
            </w:pPr>
          </w:p>
        </w:tc>
        <w:tc>
          <w:tcPr>
            <w:tcW w:w="740" w:type="dxa"/>
            <w:vAlign w:val="bottom"/>
            <w:gridSpan w:val="2"/>
            <w:vMerge w:val="restart"/>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Agency</w:t>
            </w:r>
            <w:r>
              <w:rPr>
                <w:rFonts w:ascii="Arial" w:cs="Arial" w:eastAsia="Arial" w:hAnsi="Arial"/>
                <w:sz w:val="18"/>
                <w:szCs w:val="18"/>
                <w:color w:val="auto"/>
              </w:rPr>
              <w:t>:</w:t>
            </w:r>
          </w:p>
        </w:tc>
        <w:tc>
          <w:tcPr>
            <w:tcW w:w="540" w:type="dxa"/>
            <w:vAlign w:val="bottom"/>
            <w:vMerge w:val="restart"/>
          </w:tcPr>
          <w:p>
            <w:pPr>
              <w:spacing w:after="0"/>
              <w:rPr>
                <w:sz w:val="16"/>
                <w:szCs w:val="16"/>
                <w:color w:val="auto"/>
              </w:rPr>
            </w:pPr>
          </w:p>
        </w:tc>
        <w:tc>
          <w:tcPr>
            <w:tcW w:w="322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58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7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Address:</w:t>
            </w:r>
          </w:p>
        </w:tc>
        <w:tc>
          <w:tcPr>
            <w:tcW w:w="540" w:type="dxa"/>
            <w:vAlign w:val="bottom"/>
            <w:tcBorders>
              <w:bottom w:val="single" w:sz="8" w:color="auto"/>
            </w:tcBorders>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Address:</w:t>
            </w:r>
          </w:p>
        </w:tc>
        <w:tc>
          <w:tcPr>
            <w:tcW w:w="540" w:type="dxa"/>
            <w:vAlign w:val="bottom"/>
            <w:tcBorders>
              <w:bottom w:val="single" w:sz="8" w:color="auto"/>
            </w:tcBorders>
          </w:tcPr>
          <w:p>
            <w:pPr>
              <w:spacing w:after="0"/>
              <w:rPr>
                <w:sz w:val="17"/>
                <w:szCs w:val="17"/>
                <w:color w:val="auto"/>
              </w:rPr>
            </w:pPr>
          </w:p>
        </w:tc>
        <w:tc>
          <w:tcPr>
            <w:tcW w:w="3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City, State:</w:t>
            </w:r>
          </w:p>
        </w:tc>
        <w:tc>
          <w:tcPr>
            <w:tcW w:w="540" w:type="dxa"/>
            <w:vAlign w:val="bottom"/>
            <w:tcBorders>
              <w:bottom w:val="single" w:sz="8" w:color="auto"/>
            </w:tcBorders>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City, State:</w:t>
            </w:r>
          </w:p>
        </w:tc>
        <w:tc>
          <w:tcPr>
            <w:tcW w:w="540" w:type="dxa"/>
            <w:vAlign w:val="bottom"/>
            <w:tcBorders>
              <w:bottom w:val="single" w:sz="8" w:color="auto"/>
            </w:tcBorders>
          </w:tcPr>
          <w:p>
            <w:pPr>
              <w:spacing w:after="0"/>
              <w:rPr>
                <w:sz w:val="17"/>
                <w:szCs w:val="17"/>
                <w:color w:val="auto"/>
              </w:rPr>
            </w:pPr>
          </w:p>
        </w:tc>
        <w:tc>
          <w:tcPr>
            <w:tcW w:w="3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Country:</w:t>
            </w:r>
          </w:p>
        </w:tc>
        <w:tc>
          <w:tcPr>
            <w:tcW w:w="540" w:type="dxa"/>
            <w:vAlign w:val="bottom"/>
            <w:tcBorders>
              <w:bottom w:val="single" w:sz="8" w:color="auto"/>
            </w:tcBorders>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Country:</w:t>
            </w:r>
          </w:p>
        </w:tc>
        <w:tc>
          <w:tcPr>
            <w:tcW w:w="540" w:type="dxa"/>
            <w:vAlign w:val="bottom"/>
            <w:tcBorders>
              <w:bottom w:val="single" w:sz="8" w:color="auto"/>
            </w:tcBorders>
          </w:tcPr>
          <w:p>
            <w:pPr>
              <w:spacing w:after="0"/>
              <w:rPr>
                <w:sz w:val="17"/>
                <w:szCs w:val="17"/>
                <w:color w:val="auto"/>
              </w:rPr>
            </w:pPr>
          </w:p>
        </w:tc>
        <w:tc>
          <w:tcPr>
            <w:tcW w:w="3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5"/>
          </w:tcPr>
          <w:p>
            <w:pPr>
              <w:jc w:val="right"/>
              <w:ind w:right="1380"/>
              <w:spacing w:after="0" w:line="196" w:lineRule="exact"/>
              <w:rPr>
                <w:sz w:val="20"/>
                <w:szCs w:val="20"/>
                <w:color w:val="auto"/>
              </w:rPr>
            </w:pPr>
            <w:r>
              <w:rPr>
                <w:rFonts w:ascii="Arial" w:cs="Arial" w:eastAsia="Arial" w:hAnsi="Arial"/>
                <w:sz w:val="18"/>
                <w:szCs w:val="18"/>
                <w:color w:val="auto"/>
              </w:rPr>
              <w:t>Zip:</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5480" w:type="dxa"/>
            <w:vAlign w:val="bottom"/>
            <w:gridSpan w:val="5"/>
          </w:tcPr>
          <w:p>
            <w:pPr>
              <w:jc w:val="right"/>
              <w:ind w:right="3860"/>
              <w:spacing w:after="0" w:line="196" w:lineRule="exact"/>
              <w:rPr>
                <w:sz w:val="20"/>
                <w:szCs w:val="20"/>
                <w:color w:val="auto"/>
              </w:rPr>
            </w:pPr>
            <w:r>
              <w:rPr>
                <w:rFonts w:ascii="Arial" w:cs="Arial" w:eastAsia="Arial" w:hAnsi="Arial"/>
                <w:sz w:val="18"/>
                <w:szCs w:val="18"/>
                <w:color w:val="auto"/>
              </w:rPr>
              <w:t>Zip:</w:t>
            </w:r>
          </w:p>
        </w:tc>
        <w:tc>
          <w:tcPr>
            <w:tcW w:w="0" w:type="dxa"/>
            <w:vAlign w:val="bottom"/>
          </w:tcPr>
          <w:p>
            <w:pPr>
              <w:spacing w:after="0"/>
              <w:rPr>
                <w:sz w:val="1"/>
                <w:szCs w:val="1"/>
                <w:color w:val="auto"/>
              </w:rPr>
            </w:pPr>
          </w:p>
        </w:tc>
      </w:tr>
      <w:tr>
        <w:trPr>
          <w:trHeight w:val="237"/>
        </w:trPr>
        <w:tc>
          <w:tcPr>
            <w:tcW w:w="15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580" w:type="dxa"/>
            <w:vAlign w:val="bottom"/>
          </w:tcPr>
          <w:p>
            <w:pPr>
              <w:jc w:val="right"/>
              <w:ind w:right="12"/>
              <w:spacing w:after="0"/>
              <w:rPr>
                <w:sz w:val="20"/>
                <w:szCs w:val="20"/>
                <w:color w:val="auto"/>
              </w:rPr>
            </w:pPr>
            <w:r>
              <w:rPr>
                <w:rFonts w:ascii="Arial" w:cs="Arial" w:eastAsia="Arial" w:hAnsi="Arial"/>
                <w:sz w:val="18"/>
                <w:szCs w:val="18"/>
                <w:color w:val="auto"/>
              </w:rPr>
              <w:t>Sales Contact:</w:t>
            </w:r>
          </w:p>
        </w:tc>
        <w:tc>
          <w:tcPr>
            <w:tcW w:w="540" w:type="dxa"/>
            <w:vAlign w:val="bottom"/>
            <w:tcBorders>
              <w:bottom w:val="single" w:sz="8" w:color="auto"/>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Billing Contact:</w:t>
            </w:r>
          </w:p>
        </w:tc>
        <w:tc>
          <w:tcPr>
            <w:tcW w:w="540" w:type="dxa"/>
            <w:vAlign w:val="bottom"/>
            <w:tcBorders>
              <w:bottom w:val="single" w:sz="8" w:color="auto"/>
            </w:tcBorders>
          </w:tcPr>
          <w:p>
            <w:pPr>
              <w:spacing w:after="0"/>
              <w:rPr>
                <w:sz w:val="24"/>
                <w:szCs w:val="24"/>
                <w:color w:val="auto"/>
              </w:rPr>
            </w:pPr>
          </w:p>
        </w:tc>
        <w:tc>
          <w:tcPr>
            <w:tcW w:w="3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80" w:type="dxa"/>
            <w:vAlign w:val="bottom"/>
          </w:tcPr>
          <w:p>
            <w:pPr>
              <w:jc w:val="right"/>
              <w:ind w:right="12"/>
              <w:spacing w:after="0"/>
              <w:rPr>
                <w:sz w:val="20"/>
                <w:szCs w:val="20"/>
                <w:color w:val="auto"/>
              </w:rPr>
            </w:pPr>
            <w:r>
              <w:rPr>
                <w:rFonts w:ascii="Arial" w:cs="Arial" w:eastAsia="Arial" w:hAnsi="Arial"/>
                <w:sz w:val="18"/>
                <w:szCs w:val="18"/>
                <w:color w:val="auto"/>
              </w:rPr>
              <w:t>Fax:</w:t>
            </w:r>
          </w:p>
        </w:tc>
        <w:tc>
          <w:tcPr>
            <w:tcW w:w="540" w:type="dxa"/>
            <w:vAlign w:val="bottom"/>
            <w:tcBorders>
              <w:bottom w:val="single" w:sz="8" w:color="auto"/>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Fax:</w:t>
            </w:r>
          </w:p>
        </w:tc>
        <w:tc>
          <w:tcPr>
            <w:tcW w:w="540" w:type="dxa"/>
            <w:vAlign w:val="bottom"/>
            <w:tcBorders>
              <w:bottom w:val="single" w:sz="8" w:color="auto"/>
            </w:tcBorders>
          </w:tcPr>
          <w:p>
            <w:pPr>
              <w:spacing w:after="0"/>
              <w:rPr>
                <w:sz w:val="24"/>
                <w:szCs w:val="24"/>
                <w:color w:val="auto"/>
              </w:rPr>
            </w:pPr>
          </w:p>
        </w:tc>
        <w:tc>
          <w:tcPr>
            <w:tcW w:w="3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80" w:type="dxa"/>
            <w:vAlign w:val="bottom"/>
          </w:tcPr>
          <w:p>
            <w:pPr>
              <w:jc w:val="right"/>
              <w:ind w:right="12"/>
              <w:spacing w:after="0"/>
              <w:rPr>
                <w:sz w:val="20"/>
                <w:szCs w:val="20"/>
                <w:color w:val="auto"/>
              </w:rPr>
            </w:pPr>
            <w:r>
              <w:rPr>
                <w:rFonts w:ascii="Arial" w:cs="Arial" w:eastAsia="Arial" w:hAnsi="Arial"/>
                <w:sz w:val="18"/>
                <w:szCs w:val="18"/>
                <w:color w:val="auto"/>
              </w:rPr>
              <w:t>Phone:</w:t>
            </w:r>
          </w:p>
        </w:tc>
        <w:tc>
          <w:tcPr>
            <w:tcW w:w="540" w:type="dxa"/>
            <w:vAlign w:val="bottom"/>
            <w:tcBorders>
              <w:bottom w:val="single" w:sz="8" w:color="auto"/>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Phone:</w:t>
            </w:r>
          </w:p>
        </w:tc>
        <w:tc>
          <w:tcPr>
            <w:tcW w:w="540" w:type="dxa"/>
            <w:vAlign w:val="bottom"/>
            <w:tcBorders>
              <w:bottom w:val="single" w:sz="8" w:color="auto"/>
            </w:tcBorders>
          </w:tcPr>
          <w:p>
            <w:pPr>
              <w:spacing w:after="0"/>
              <w:rPr>
                <w:sz w:val="24"/>
                <w:szCs w:val="24"/>
                <w:color w:val="auto"/>
              </w:rPr>
            </w:pPr>
          </w:p>
        </w:tc>
        <w:tc>
          <w:tcPr>
            <w:tcW w:w="3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60" w:type="dxa"/>
            <w:vAlign w:val="bottom"/>
            <w:gridSpan w:val="5"/>
          </w:tcPr>
          <w:p>
            <w:pPr>
              <w:jc w:val="right"/>
              <w:ind w:right="1380"/>
              <w:spacing w:after="0"/>
              <w:rPr>
                <w:sz w:val="20"/>
                <w:szCs w:val="20"/>
                <w:color w:val="auto"/>
              </w:rPr>
            </w:pPr>
            <w:r>
              <w:rPr>
                <w:rFonts w:ascii="Arial" w:cs="Arial" w:eastAsia="Arial" w:hAnsi="Arial"/>
                <w:sz w:val="18"/>
                <w:szCs w:val="18"/>
                <w:color w:val="auto"/>
              </w:rPr>
              <w:t>Email:</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80" w:type="dxa"/>
            <w:vAlign w:val="bottom"/>
            <w:gridSpan w:val="5"/>
          </w:tcPr>
          <w:p>
            <w:pPr>
              <w:ind w:left="38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50"/>
        </w:trPr>
        <w:tc>
          <w:tcPr>
            <w:tcW w:w="158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2860" w:type="dxa"/>
            <w:vAlign w:val="bottom"/>
            <w:gridSpan w:val="5"/>
          </w:tcPr>
          <w:p>
            <w:pPr>
              <w:spacing w:after="0"/>
              <w:rPr>
                <w:sz w:val="20"/>
                <w:szCs w:val="20"/>
                <w:color w:val="auto"/>
              </w:rPr>
            </w:pPr>
            <w:r>
              <w:rPr>
                <w:rFonts w:ascii="Arial" w:cs="Arial" w:eastAsia="Arial" w:hAnsi="Arial"/>
                <w:sz w:val="18"/>
                <w:szCs w:val="18"/>
                <w:b w:val="1"/>
                <w:bCs w:val="1"/>
                <w:color w:val="auto"/>
              </w:rPr>
              <w:t>CAMPAIGN INFORMATION:</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60" w:type="dxa"/>
            <w:vAlign w:val="bottom"/>
            <w:gridSpan w:val="5"/>
          </w:tcPr>
          <w:p>
            <w:pPr>
              <w:spacing w:after="0" w:line="190" w:lineRule="exact"/>
              <w:rPr>
                <w:sz w:val="20"/>
                <w:szCs w:val="20"/>
                <w:color w:val="auto"/>
              </w:rPr>
            </w:pPr>
            <w:r>
              <w:rPr>
                <w:rFonts w:ascii="Arial" w:cs="Arial" w:eastAsia="Arial" w:hAnsi="Arial"/>
                <w:sz w:val="18"/>
                <w:szCs w:val="18"/>
                <w:b w:val="1"/>
                <w:bCs w:val="1"/>
                <w:color w:val="auto"/>
              </w:rPr>
              <w:t>Campaign Name:</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860" w:type="dxa"/>
            <w:vAlign w:val="bottom"/>
            <w:gridSpan w:val="5"/>
          </w:tcPr>
          <w:p>
            <w:pPr>
              <w:spacing w:after="0"/>
              <w:rPr>
                <w:sz w:val="20"/>
                <w:szCs w:val="20"/>
                <w:color w:val="auto"/>
              </w:rPr>
            </w:pPr>
            <w:r>
              <w:rPr>
                <w:rFonts w:ascii="Arial" w:cs="Arial" w:eastAsia="Arial" w:hAnsi="Arial"/>
                <w:sz w:val="18"/>
                <w:szCs w:val="18"/>
                <w:color w:val="auto"/>
              </w:rPr>
              <w:t>Start Date:</w:t>
            </w:r>
          </w:p>
        </w:tc>
        <w:tc>
          <w:tcPr>
            <w:tcW w:w="8560" w:type="dxa"/>
            <w:vAlign w:val="bottom"/>
            <w:gridSpan w:val="9"/>
          </w:tcPr>
          <w:p>
            <w:pPr>
              <w:jc w:val="right"/>
              <w:ind w:right="7240"/>
              <w:spacing w:after="0"/>
              <w:rPr>
                <w:sz w:val="20"/>
                <w:szCs w:val="20"/>
                <w:color w:val="auto"/>
              </w:rPr>
            </w:pPr>
            <w:r>
              <w:rPr>
                <w:rFonts w:ascii="Arial" w:cs="Arial" w:eastAsia="Arial" w:hAnsi="Arial"/>
                <w:sz w:val="18"/>
                <w:szCs w:val="18"/>
                <w:color w:val="auto"/>
              </w:rPr>
              <w:t>End Date:</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96"/>
              </w:rPr>
              <w:t>Run</w:t>
            </w:r>
          </w:p>
        </w:tc>
        <w:tc>
          <w:tcPr>
            <w:tcW w:w="6540" w:type="dxa"/>
            <w:vAlign w:val="bottom"/>
            <w:gridSpan w:val="6"/>
          </w:tcPr>
          <w:p>
            <w:pPr>
              <w:jc w:val="right"/>
              <w:ind w:right="4800"/>
              <w:spacing w:after="0" w:line="195" w:lineRule="exact"/>
              <w:rPr>
                <w:sz w:val="20"/>
                <w:szCs w:val="20"/>
                <w:color w:val="auto"/>
              </w:rPr>
            </w:pPr>
            <w:r>
              <w:rPr>
                <w:rFonts w:ascii="Arial" w:cs="Arial" w:eastAsia="Arial" w:hAnsi="Arial"/>
                <w:sz w:val="18"/>
                <w:szCs w:val="18"/>
                <w:color w:val="auto"/>
                <w:w w:val="86"/>
              </w:rPr>
              <w:t>until budget is exhausted</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360" w:type="dxa"/>
            <w:vAlign w:val="bottom"/>
            <w:gridSpan w:val="8"/>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Run until end date is reached</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Cancellation:</w:t>
      </w:r>
      <w:r>
        <w:rPr>
          <w:sz w:val="20"/>
          <w:szCs w:val="20"/>
          <w:color w:val="auto"/>
        </w:rPr>
        <w:tab/>
      </w:r>
      <w:r>
        <w:rPr>
          <w:rFonts w:ascii="Arial" w:cs="Arial" w:eastAsia="Arial" w:hAnsi="Arial"/>
          <w:sz w:val="18"/>
          <w:szCs w:val="18"/>
          <w:color w:val="auto"/>
        </w:rPr>
        <w:t xml:space="preserve">This Insertion Order may be cancelled by either party with the following number of business days written notice: </w:t>
      </w:r>
      <w:r>
        <w:rPr>
          <w:rFonts w:ascii="Arial" w:cs="Arial" w:eastAsia="Arial" w:hAnsi="Arial"/>
          <w:sz w:val="18"/>
          <w:szCs w:val="18"/>
          <w:b w:val="1"/>
          <w:bCs w:val="1"/>
          <w:u w:val="single" w:color="auto"/>
          <w:color w:val="auto"/>
        </w:rPr>
        <w:t>twenty (20)</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u w:val="single" w:color="auto"/>
          <w:color w:val="auto"/>
        </w:rPr>
        <w:t>Links are subject to removal from the TripAdvisor site if payment is not received 10 (ten) calendar days after due date.</w:t>
      </w:r>
    </w:p>
    <w:p>
      <w:pPr>
        <w:spacing w:after="0" w:line="117" w:lineRule="exact"/>
        <w:rPr>
          <w:sz w:val="20"/>
          <w:szCs w:val="20"/>
          <w:color w:val="auto"/>
        </w:rPr>
      </w:pPr>
    </w:p>
    <w:p>
      <w:pPr>
        <w:ind w:left="1380" w:right="220"/>
        <w:spacing w:after="0" w:line="301" w:lineRule="auto"/>
        <w:rPr>
          <w:sz w:val="20"/>
          <w:szCs w:val="20"/>
          <w:color w:val="auto"/>
        </w:rPr>
      </w:pPr>
      <w:r>
        <w:rPr>
          <w:rFonts w:ascii="Arial" w:cs="Arial" w:eastAsia="Arial" w:hAnsi="Arial"/>
          <w:sz w:val="16"/>
          <w:szCs w:val="16"/>
          <w:b w:val="1"/>
          <w:bCs w:val="1"/>
          <w:color w:val="auto"/>
        </w:rPr>
        <w:t xml:space="preserve">The terms of this Insertion Order are subject to the TripAdvisor Internet Advertising Insertion Order Terms and Conditions (NA) which is incorporated herein by reference and can also be found at: </w:t>
      </w:r>
      <w:r>
        <w:rPr>
          <w:rFonts w:ascii="Arial" w:cs="Arial" w:eastAsia="Arial" w:hAnsi="Arial"/>
          <w:sz w:val="16"/>
          <w:szCs w:val="16"/>
          <w:b w:val="1"/>
          <w:bCs w:val="1"/>
          <w:u w:val="single" w:color="auto"/>
          <w:color w:val="auto"/>
        </w:rPr>
        <w:t>http://www.tripadvisor.com/pages/ioterms050409.html</w:t>
      </w:r>
      <w:r>
        <w:rPr>
          <w:rFonts w:ascii="Arial" w:cs="Arial" w:eastAsia="Arial" w:hAnsi="Arial"/>
          <w:sz w:val="16"/>
          <w:szCs w:val="16"/>
          <w:b w:val="1"/>
          <w:bCs w:val="1"/>
          <w:color w:val="auto"/>
        </w:rPr>
        <w:t xml:space="preserve"> The TripAdvisor Internet Advertising Insertion Order Terms and Conditions will take precedence over the commercial terms herein, in case of any conflict, except for alternate (a) payment or (b) cancellation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BILLING INFORMATION:</w:t>
            </w: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CPC/CPM Budget</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80" w:type="dxa"/>
            <w:vAlign w:val="bottom"/>
          </w:tcPr>
          <w:p>
            <w:pPr>
              <w:ind w:left="1120"/>
              <w:spacing w:after="0"/>
              <w:rPr>
                <w:sz w:val="20"/>
                <w:szCs w:val="20"/>
                <w:color w:val="auto"/>
              </w:rPr>
            </w:pPr>
            <w:r>
              <w:rPr>
                <w:rFonts w:ascii="Arial" w:cs="Arial" w:eastAsia="Arial" w:hAnsi="Arial"/>
                <w:sz w:val="18"/>
                <w:szCs w:val="18"/>
                <w:color w:val="auto"/>
              </w:rPr>
              <w:t>Payment Terms:</w:t>
            </w:r>
          </w:p>
        </w:tc>
        <w:tc>
          <w:tcPr>
            <w:tcW w:w="540" w:type="dxa"/>
            <w:vAlign w:val="bottom"/>
            <w:gridSpan w:val="3"/>
          </w:tcPr>
          <w:p>
            <w:pPr>
              <w:spacing w:after="0"/>
              <w:rPr>
                <w:sz w:val="20"/>
                <w:szCs w:val="20"/>
                <w:color w:val="auto"/>
              </w:rPr>
            </w:pPr>
            <w:r>
              <w:rPr>
                <w:rFonts w:ascii="Arial" w:cs="Arial" w:eastAsia="Arial" w:hAnsi="Arial"/>
                <w:sz w:val="18"/>
                <w:szCs w:val="18"/>
                <w:color w:val="auto"/>
                <w:w w:val="97"/>
              </w:rPr>
              <w:t>Net 30</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CPC/CPM:</w:t>
            </w: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80" w:type="dxa"/>
            <w:vAlign w:val="bottom"/>
          </w:tcPr>
          <w:p>
            <w:pPr>
              <w:ind w:left="1120"/>
              <w:spacing w:after="0" w:line="196" w:lineRule="exact"/>
              <w:rPr>
                <w:sz w:val="20"/>
                <w:szCs w:val="20"/>
                <w:color w:val="auto"/>
              </w:rPr>
            </w:pPr>
            <w:r>
              <w:rPr>
                <w:rFonts w:ascii="Arial" w:cs="Arial" w:eastAsia="Arial" w:hAnsi="Arial"/>
                <w:sz w:val="18"/>
                <w:szCs w:val="18"/>
                <w:color w:val="auto"/>
                <w:w w:val="99"/>
              </w:rPr>
              <w:t>Cookie Duration:</w:t>
            </w:r>
          </w:p>
        </w:tc>
        <w:tc>
          <w:tcPr>
            <w:tcW w:w="160" w:type="dxa"/>
            <w:vAlign w:val="bottom"/>
            <w:tcBorders>
              <w:bottom w:val="single" w:sz="8" w:color="auto"/>
            </w:tcBorders>
          </w:tcPr>
          <w:p>
            <w:pPr>
              <w:spacing w:after="0"/>
              <w:rPr>
                <w:sz w:val="17"/>
                <w:szCs w:val="17"/>
                <w:color w:val="auto"/>
              </w:rPr>
            </w:pPr>
          </w:p>
        </w:tc>
        <w:tc>
          <w:tcPr>
            <w:tcW w:w="38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78"/>
              </w:rPr>
              <w:t>days</w:t>
            </w: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Clicks</w:t>
            </w: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880" w:type="dxa"/>
            <w:vAlign w:val="bottom"/>
            <w:gridSpan w:val="3"/>
          </w:tcPr>
          <w:p>
            <w:pPr>
              <w:spacing w:after="0"/>
              <w:rPr>
                <w:sz w:val="20"/>
                <w:szCs w:val="20"/>
                <w:color w:val="auto"/>
              </w:rPr>
            </w:pPr>
            <w:r>
              <w:rPr>
                <w:rFonts w:ascii="Arial" w:cs="Arial" w:eastAsia="Arial" w:hAnsi="Arial"/>
                <w:sz w:val="18"/>
                <w:szCs w:val="18"/>
                <w:color w:val="auto"/>
              </w:rPr>
              <w:t>Currency: USD</w:t>
            </w:r>
          </w:p>
        </w:tc>
        <w:tc>
          <w:tcPr>
            <w:tcW w:w="5900" w:type="dxa"/>
            <w:vAlign w:val="bottom"/>
            <w:gridSpan w:val="5"/>
          </w:tcPr>
          <w:p>
            <w:pPr>
              <w:ind w:left="60"/>
              <w:spacing w:after="0"/>
              <w:rPr>
                <w:sz w:val="20"/>
                <w:szCs w:val="20"/>
                <w:color w:val="auto"/>
              </w:rPr>
            </w:pPr>
            <w:r>
              <w:rPr>
                <w:rFonts w:ascii="Arial" w:cs="Arial" w:eastAsia="Arial" w:hAnsi="Arial"/>
                <w:sz w:val="18"/>
                <w:szCs w:val="18"/>
                <w:color w:val="auto"/>
              </w:rPr>
              <w:t>Exchange based on: Conversion Day of Invoice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6"/>
        </w:trPr>
        <w:tc>
          <w:tcPr>
            <w:tcW w:w="2460" w:type="dxa"/>
            <w:vAlign w:val="bottom"/>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Based on Third Party:</w:t>
            </w:r>
          </w:p>
        </w:tc>
        <w:tc>
          <w:tcPr>
            <w:tcW w:w="920" w:type="dxa"/>
            <w:vAlign w:val="bottom"/>
          </w:tcPr>
          <w:p>
            <w:pPr>
              <w:spacing w:after="0"/>
              <w:rPr>
                <w:sz w:val="24"/>
                <w:szCs w:val="24"/>
                <w:color w:val="auto"/>
              </w:rPr>
            </w:pPr>
          </w:p>
        </w:tc>
        <w:tc>
          <w:tcPr>
            <w:tcW w:w="4400" w:type="dxa"/>
            <w:vAlign w:val="bottom"/>
            <w:gridSpan w:val="2"/>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Based on TripAdvisor Data</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ind w:left="1300" w:hanging="428"/>
        <w:spacing w:after="0"/>
        <w:tabs>
          <w:tab w:leader="none" w:pos="130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Dart</w:t>
      </w:r>
    </w:p>
    <w:p>
      <w:pPr>
        <w:spacing w:after="0" w:line="15" w:lineRule="exact"/>
        <w:rPr>
          <w:rFonts w:ascii="MS PGothic" w:cs="MS PGothic" w:eastAsia="MS PGothic" w:hAnsi="MS PGothic"/>
          <w:sz w:val="18"/>
          <w:szCs w:val="18"/>
          <w:color w:val="auto"/>
        </w:rPr>
      </w:pPr>
    </w:p>
    <w:p>
      <w:pPr>
        <w:ind w:left="1280" w:hanging="408"/>
        <w:spacing w:after="0"/>
        <w:tabs>
          <w:tab w:leader="none" w:pos="128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Atlas</w:t>
      </w:r>
    </w:p>
    <w:p>
      <w:pPr>
        <w:spacing w:after="0" w:line="9" w:lineRule="exact"/>
        <w:rPr>
          <w:rFonts w:ascii="MS PGothic" w:cs="MS PGothic" w:eastAsia="MS PGothic" w:hAnsi="MS PGothic"/>
          <w:sz w:val="18"/>
          <w:szCs w:val="18"/>
          <w:color w:val="auto"/>
        </w:rPr>
      </w:pPr>
    </w:p>
    <w:p>
      <w:pPr>
        <w:ind w:left="1300" w:hanging="428"/>
        <w:spacing w:after="0"/>
        <w:tabs>
          <w:tab w:leader="none" w:pos="130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Mediaplex</w:t>
      </w:r>
    </w:p>
    <w:p>
      <w:pPr>
        <w:spacing w:after="0" w:line="9" w:lineRule="exact"/>
        <w:rPr>
          <w:rFonts w:ascii="MS PGothic" w:cs="MS PGothic" w:eastAsia="MS PGothic" w:hAnsi="MS PGothic"/>
          <w:sz w:val="18"/>
          <w:szCs w:val="18"/>
          <w:color w:val="auto"/>
        </w:rPr>
      </w:pPr>
    </w:p>
    <w:p>
      <w:pPr>
        <w:ind w:left="1300" w:hanging="428"/>
        <w:spacing w:after="0"/>
        <w:tabs>
          <w:tab w:leader="none" w:pos="130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-22860</wp:posOffset>
            </wp:positionV>
            <wp:extent cx="3346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-10160</wp:posOffset>
            </wp:positionV>
            <wp:extent cx="3346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TripAdvisor LLC – May 4, 2009</w:t>
      </w:r>
    </w:p>
    <w:p>
      <w:pPr>
        <w:sectPr>
          <w:pgSz w:w="11900" w:h="16838" w:orient="portrait"/>
          <w:cols w:equalWidth="0" w:num="1">
            <w:col w:w="11420"/>
          </w:cols>
          <w:pgMar w:left="240" w:top="125" w:right="239"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28"/>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PLACEMENTS:</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80"/>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Placement Name: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color w:val="auto"/>
              </w:rPr>
              <w:t>Clicks/Impressions:</w:t>
            </w: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IP Targeting:</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Flight Dates:</w:t>
            </w:r>
          </w:p>
        </w:tc>
        <w:tc>
          <w:tcPr>
            <w:tcW w:w="540" w:type="dxa"/>
            <w:vAlign w:val="bottom"/>
          </w:tcPr>
          <w:p>
            <w:pPr>
              <w:spacing w:after="0"/>
              <w:rPr>
                <w:sz w:val="17"/>
                <w:szCs w:val="17"/>
                <w:color w:val="auto"/>
              </w:rPr>
            </w:pP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w:t>
            </w: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8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CPC/CPM Rate:</w:t>
            </w:r>
          </w:p>
        </w:tc>
        <w:tc>
          <w:tcPr>
            <w:tcW w:w="540" w:type="dxa"/>
            <w:vAlign w:val="bottom"/>
            <w:tcBorders>
              <w:top w:val="single" w:sz="8" w:color="auto"/>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right"/>
              <w:ind w:right="2220"/>
              <w:spacing w:after="0"/>
              <w:rPr>
                <w:sz w:val="20"/>
                <w:szCs w:val="20"/>
                <w:color w:val="auto"/>
              </w:rPr>
            </w:pPr>
            <w:r>
              <w:rPr>
                <w:rFonts w:ascii="Arial" w:cs="Arial" w:eastAsia="Arial" w:hAnsi="Arial"/>
                <w:sz w:val="18"/>
                <w:szCs w:val="18"/>
                <w:b w:val="1"/>
                <w:bCs w:val="1"/>
                <w:color w:val="auto"/>
              </w:rPr>
              <w:t>Total Clicks/Impressions:</w:t>
            </w:r>
          </w:p>
        </w:tc>
      </w:tr>
      <w:tr>
        <w:trPr>
          <w:trHeight w:val="478"/>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Notes: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r>
        <w:trPr>
          <w:trHeight w:val="232"/>
        </w:trPr>
        <w:tc>
          <w:tcPr>
            <w:tcW w:w="212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43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CPM INVENTORY:</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5"/>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140"/>
              <w:spacing w:after="0"/>
              <w:rPr>
                <w:sz w:val="20"/>
                <w:szCs w:val="20"/>
                <w:color w:val="auto"/>
              </w:rPr>
            </w:pPr>
            <w:r>
              <w:rPr>
                <w:rFonts w:ascii="Arial" w:cs="Arial" w:eastAsia="Arial" w:hAnsi="Arial"/>
                <w:sz w:val="18"/>
                <w:szCs w:val="18"/>
                <w:color w:val="auto"/>
                <w:w w:val="89"/>
              </w:rPr>
              <w:t>Banners - Leaderboard</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ind w:left="2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gridSpan w:val="4"/>
          </w:tcPr>
          <w:p>
            <w:pPr>
              <w:ind w:left="180"/>
              <w:spacing w:after="0"/>
              <w:rPr>
                <w:sz w:val="20"/>
                <w:szCs w:val="20"/>
                <w:color w:val="auto"/>
              </w:rPr>
            </w:pPr>
            <w:r>
              <w:rPr>
                <w:rFonts w:ascii="Arial" w:cs="Arial" w:eastAsia="Arial" w:hAnsi="Arial"/>
                <w:sz w:val="18"/>
                <w:szCs w:val="18"/>
                <w:color w:val="auto"/>
              </w:rPr>
              <w:t>Banners - Wide SkyScraper</w:t>
            </w:r>
          </w:p>
        </w:tc>
      </w:tr>
      <w:tr>
        <w:trPr>
          <w:trHeight w:val="275"/>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140"/>
              <w:spacing w:after="0"/>
              <w:rPr>
                <w:sz w:val="20"/>
                <w:szCs w:val="20"/>
                <w:color w:val="auto"/>
              </w:rPr>
            </w:pPr>
            <w:r>
              <w:rPr>
                <w:rFonts w:ascii="Arial" w:cs="Arial" w:eastAsia="Arial" w:hAnsi="Arial"/>
                <w:sz w:val="18"/>
                <w:szCs w:val="18"/>
                <w:color w:val="auto"/>
              </w:rPr>
              <w:t>Banners - Rectangle</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00" w:type="dxa"/>
            <w:vAlign w:val="bottom"/>
          </w:tcPr>
          <w:p>
            <w:pPr>
              <w:ind w:left="2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gridSpan w:val="4"/>
          </w:tcPr>
          <w:p>
            <w:pPr>
              <w:ind w:left="180"/>
              <w:spacing w:after="0"/>
              <w:rPr>
                <w:sz w:val="20"/>
                <w:szCs w:val="20"/>
                <w:color w:val="auto"/>
              </w:rPr>
            </w:pPr>
            <w:r>
              <w:rPr>
                <w:rFonts w:ascii="Arial" w:cs="Arial" w:eastAsia="Arial" w:hAnsi="Arial"/>
                <w:sz w:val="18"/>
                <w:szCs w:val="18"/>
                <w:color w:val="auto"/>
              </w:rPr>
              <w:t>Banners - Bonus</w:t>
            </w:r>
          </w:p>
        </w:tc>
      </w:tr>
      <w:tr>
        <w:trPr>
          <w:trHeight w:val="198"/>
        </w:trPr>
        <w:tc>
          <w:tcPr>
            <w:tcW w:w="212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43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CPC INVENTORY:</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5"/>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140"/>
              <w:spacing w:after="0"/>
              <w:rPr>
                <w:sz w:val="20"/>
                <w:szCs w:val="20"/>
                <w:color w:val="auto"/>
              </w:rPr>
            </w:pPr>
            <w:r>
              <w:rPr>
                <w:rFonts w:ascii="Arial" w:cs="Arial" w:eastAsia="Arial" w:hAnsi="Arial"/>
                <w:sz w:val="18"/>
                <w:szCs w:val="18"/>
                <w:color w:val="auto"/>
              </w:rPr>
              <w:t>Property Pages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Destination Pages</w:t>
            </w:r>
          </w:p>
        </w:tc>
      </w:t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140"/>
              <w:spacing w:after="0"/>
              <w:rPr>
                <w:sz w:val="20"/>
                <w:szCs w:val="20"/>
                <w:color w:val="auto"/>
              </w:rPr>
            </w:pPr>
            <w:r>
              <w:rPr>
                <w:rFonts w:ascii="Arial" w:cs="Arial" w:eastAsia="Arial" w:hAnsi="Arial"/>
                <w:sz w:val="18"/>
                <w:szCs w:val="18"/>
                <w:color w:val="auto"/>
              </w:rPr>
              <w:t>Air</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Photos</w:t>
            </w:r>
          </w:p>
        </w:tc>
      </w:tr>
      <w:tr>
        <w:trPr>
          <w:trHeight w:val="25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ind w:left="140"/>
              <w:spacing w:after="0"/>
              <w:rPr>
                <w:sz w:val="20"/>
                <w:szCs w:val="20"/>
                <w:color w:val="auto"/>
              </w:rPr>
            </w:pPr>
            <w:r>
              <w:rPr>
                <w:rFonts w:ascii="Arial" w:cs="Arial" w:eastAsia="Arial" w:hAnsi="Arial"/>
                <w:sz w:val="18"/>
                <w:szCs w:val="18"/>
                <w:color w:val="auto"/>
              </w:rPr>
              <w:t>Maps</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Amenities</w:t>
            </w:r>
          </w:p>
        </w:tc>
      </w:tr>
    </w:tbl>
    <w:p>
      <w:pPr>
        <w:ind w:left="440" w:hanging="432"/>
        <w:spacing w:after="0"/>
        <w:tabs>
          <w:tab w:leader="none" w:pos="440" w:val="left"/>
        </w:tabs>
        <w:numPr>
          <w:ilvl w:val="0"/>
          <w:numId w:val="19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t>Other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AUTHORIZATION</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Client/Agency Signature</w:t>
            </w:r>
          </w:p>
        </w:tc>
        <w:tc>
          <w:tcPr>
            <w:tcW w:w="6180" w:type="dxa"/>
            <w:vAlign w:val="bottom"/>
            <w:gridSpan w:val="3"/>
          </w:tcPr>
          <w:p>
            <w:pPr>
              <w:ind w:left="660"/>
              <w:spacing w:after="0"/>
              <w:rPr>
                <w:sz w:val="20"/>
                <w:szCs w:val="20"/>
                <w:color w:val="auto"/>
              </w:rPr>
            </w:pPr>
            <w:r>
              <w:rPr>
                <w:rFonts w:ascii="Arial" w:cs="Arial" w:eastAsia="Arial" w:hAnsi="Arial"/>
                <w:sz w:val="18"/>
                <w:szCs w:val="18"/>
                <w:b w:val="1"/>
                <w:bCs w:val="1"/>
                <w:color w:val="auto"/>
              </w:rPr>
              <w:t>TripAdvisor LLC Signature</w:t>
            </w:r>
          </w:p>
        </w:tc>
      </w:tr>
      <w:tr>
        <w:trPr>
          <w:trHeight w:val="433"/>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X</w:t>
            </w:r>
          </w:p>
        </w:tc>
        <w:tc>
          <w:tcPr>
            <w:tcW w:w="660" w:type="dxa"/>
            <w:vAlign w:val="bottom"/>
          </w:tcPr>
          <w:p>
            <w:pPr>
              <w:spacing w:after="0"/>
              <w:rPr>
                <w:sz w:val="24"/>
                <w:szCs w:val="24"/>
                <w:color w:val="auto"/>
              </w:rPr>
            </w:pP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X</w:t>
            </w:r>
          </w:p>
        </w:tc>
      </w:tr>
      <w:tr>
        <w:trPr>
          <w:trHeight w:val="33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4"/>
                <w:szCs w:val="24"/>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4"/>
                <w:szCs w:val="24"/>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4"/>
                <w:szCs w:val="24"/>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4"/>
                <w:szCs w:val="24"/>
                <w:color w:val="auto"/>
              </w:rPr>
            </w:pPr>
          </w:p>
        </w:tc>
      </w:tr>
      <w:tr>
        <w:trPr>
          <w:trHeight w:val="370"/>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TripAdvisor LLC – May 4, 2009</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463" w:right="239" w:bottom="605"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TRIPADVISOR MEDIA GROUP INTERNET ADVERTISING INSERTION ORDER TERMS AND CONDITIONS (NA)</w:t>
      </w:r>
    </w:p>
    <w:p>
      <w:pPr>
        <w:spacing w:after="0" w:line="90" w:lineRule="exact"/>
        <w:rPr>
          <w:sz w:val="20"/>
          <w:szCs w:val="20"/>
          <w:color w:val="auto"/>
        </w:rPr>
      </w:pPr>
    </w:p>
    <w:p>
      <w:pPr>
        <w:ind w:left="460" w:right="40" w:hanging="452"/>
        <w:spacing w:after="0" w:line="255" w:lineRule="auto"/>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Service. </w:t>
      </w:r>
      <w:r>
        <w:rPr>
          <w:rFonts w:ascii="Arial" w:cs="Arial" w:eastAsia="Arial" w:hAnsi="Arial"/>
          <w:sz w:val="18"/>
          <w:szCs w:val="18"/>
          <w:color w:val="auto"/>
        </w:rPr>
        <w:t>Except as otherwise provided in Sections 2, 3 and 4 of these TripAdvisor Media Group Internet Advertising Insertion Order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(referred to as the “Agreement”, “IO”, or “Terms &amp; Conditions”), TripAdvisor shall display the advertisement(s) beginning on the Start Date and ending on the sooner of (a) the End Date or (b) the end date that the overall sum of the total cost per click charges, impression levels, or flight duration commitments stipulated in the TripAdvisor Schedule Detail page of the Insertion Order reach the net amount of advertising purchased. TripAdvisor shall use good faith efforts to deliver the desired number of click-throughs or impressions within the time period stated, but shall not be liable at all for failing to do so.</w:t>
      </w:r>
    </w:p>
    <w:p>
      <w:pPr>
        <w:spacing w:after="0" w:line="58" w:lineRule="exact"/>
        <w:rPr>
          <w:rFonts w:ascii="Arial" w:cs="Arial" w:eastAsia="Arial" w:hAnsi="Arial"/>
          <w:sz w:val="18"/>
          <w:szCs w:val="18"/>
          <w:b w:val="1"/>
          <w:bCs w:val="1"/>
          <w:color w:val="auto"/>
        </w:rPr>
      </w:pPr>
    </w:p>
    <w:p>
      <w:pPr>
        <w:ind w:left="460" w:hanging="452"/>
        <w:spacing w:after="0" w:line="286" w:lineRule="auto"/>
        <w:tabs>
          <w:tab w:leader="none" w:pos="46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Insertion Order Rules. </w:t>
      </w:r>
      <w:r>
        <w:rPr>
          <w:rFonts w:ascii="Arial" w:cs="Arial" w:eastAsia="Arial" w:hAnsi="Arial"/>
          <w:sz w:val="16"/>
          <w:szCs w:val="16"/>
          <w:color w:val="auto"/>
        </w:rPr>
        <w:t>All requests by Customer for advertising on TripAdvisor’s, or its Affiliates’ web sites and/or newsletters, are governed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For each advertising request, Customer shall complete and submit to TripAdvisor an Insertion Order (“IO”). Each IO shall be signed by Customer and TripAdvisor and numbered with an individual IO number. Upon mutual written consent and approval (which may occur via email), the Parties may make changes to the non-financial details of an advertising campaign previously set forth in an executed IO (e.g., changes to the placement description, creative unit, start/end dates and number of ad requests). No other conditions, provisions, or terms of any sort appearing in any writings or other communications made in connection with such IOs, including without limitation those contained on or accompanying checks or other forms of payment, will be binding on TripAdvisor, whether in conflict with or in addition to these Terms and Conditions. Any IO’s which quote rates which vary from the rates offered by TripAdvisor will not be binding on TripAdvisor, and will be deemed requests for advertising at TripAdvisor then-current rates unless signed by both parties. IO’s are binding on Customer and not subject to cancellation, except as provided below under Section 6. Customer will use TripAdvisor services in accordance with applicable law and in a manner which does not interfere with, disturb, or disrupt other network users, services, or equipment, as determined by TripAdvisor in its sole discretion. Each IO shall specify the types and amount of inventory to be delivered (e.g. impressions, clicks, or other desired actions as the “Deliverables”), the price for such Deliverables, the maximum amount of money to be spent pursuant to the IO (if applicable), the start and end date of the campaign, if applicable.</w:t>
      </w:r>
    </w:p>
    <w:p>
      <w:pPr>
        <w:spacing w:after="0" w:line="39" w:lineRule="exact"/>
        <w:rPr>
          <w:rFonts w:ascii="Arial" w:cs="Arial" w:eastAsia="Arial" w:hAnsi="Arial"/>
          <w:sz w:val="16"/>
          <w:szCs w:val="16"/>
          <w:b w:val="1"/>
          <w:bCs w:val="1"/>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Advertisements</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TripAdvisor reserves the right, without liability, to reject, remove and/or cancel any ads which contain content or links which do not meet TripAdvisor’s advertising specifications, at TripAdvisor’s sole discretion. TripAdvisor’s sole liability under this Section shall be to refund the pro-rata portion of amounts paid for the unfulfilled advertising term, if any. TripAdvisor may redesign its site at its sole discretion at any time.</w:t>
      </w:r>
    </w:p>
    <w:p>
      <w:pPr>
        <w:spacing w:after="0" w:line="25" w:lineRule="exact"/>
        <w:rPr>
          <w:rFonts w:ascii="Arial" w:cs="Arial" w:eastAsia="Arial" w:hAnsi="Arial"/>
          <w:sz w:val="18"/>
          <w:szCs w:val="18"/>
          <w:b w:val="1"/>
          <w:bCs w:val="1"/>
          <w:color w:val="auto"/>
        </w:rPr>
      </w:pPr>
    </w:p>
    <w:p>
      <w:pPr>
        <w:ind w:left="900" w:right="160" w:hanging="446"/>
        <w:spacing w:after="0" w:line="306" w:lineRule="auto"/>
        <w:tabs>
          <w:tab w:leader="none" w:pos="9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Customer hereby grants TripAdvisor the right to display its advertisement(s) on both the TripAdvisor Media Group branded Web sites, partner web sites, and emails that are related to the TripAdvisor Media Group, as defined at http://www.tripadvisor.com/pages/about_us.html. Failure by TripAdvisor to publish any requested advertisement does not constitute a breach of contract or otherwise entitle Customer to any legal remedy.</w:t>
      </w:r>
    </w:p>
    <w:p>
      <w:pPr>
        <w:spacing w:after="0" w:line="25"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Customer’s failure to comply with all applicable requirements of the Advertising Specifications may delay or prevent delivery of the advertisements and shall give TripAdvisor the right to immediately terminate the applicable IO;</w:t>
      </w:r>
    </w:p>
    <w:p>
      <w:pPr>
        <w:spacing w:after="0" w:line="50" w:lineRule="exact"/>
        <w:rPr>
          <w:rFonts w:ascii="Arial" w:cs="Arial" w:eastAsia="Arial" w:hAnsi="Arial"/>
          <w:sz w:val="18"/>
          <w:szCs w:val="18"/>
          <w:color w:val="auto"/>
        </w:rPr>
      </w:pPr>
    </w:p>
    <w:p>
      <w:pPr>
        <w:ind w:left="900" w:right="40" w:hanging="446"/>
        <w:spacing w:after="0" w:line="288" w:lineRule="auto"/>
        <w:tabs>
          <w:tab w:leader="none" w:pos="9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Customer shall be solely responsible for the content of its advertisements and any web site linked to from such advertisements and shall indemnify TripAdvisor for all loss, costs, and damages in connection with any claims of infringement of any third party rights. Customer represents, warrants and covenants to TripAdvisor that at all times, (a) it is fully authorized to publish the entire contents and subject matter of all requested advertisements (including, without limitation, all text, graphics, URLs, and Internet sites to which URLs are linked); (b) all such materials and Internet sites comply with all applicable laws and regulations and do not violate the rights (including, but not limited to, intellectual property rights) of any third party; (c) it has the full corporate rights, power and authority to enter into this IO and to perform the acts required of it hereunder, and its execution of this IO does not and will not violate any agreement to which it is a Party or by which it is otherwise bound, or any applicable law, rule or regulation; and (d) each such Internet site is controlled by Customer and operated by Customer or its independent contractors, is functional and accessible at all times, and is suitable in all respects to be linked to from the applicable site containing the advertisement.</w:t>
      </w:r>
    </w:p>
    <w:p>
      <w:pPr>
        <w:spacing w:after="0" w:line="38" w:lineRule="exact"/>
        <w:rPr>
          <w:rFonts w:ascii="Arial" w:cs="Arial" w:eastAsia="Arial" w:hAnsi="Arial"/>
          <w:sz w:val="16"/>
          <w:szCs w:val="16"/>
          <w:color w:val="auto"/>
        </w:rPr>
      </w:pPr>
    </w:p>
    <w:p>
      <w:pPr>
        <w:ind w:left="900" w:right="120" w:hanging="446"/>
        <w:spacing w:after="0" w:line="298" w:lineRule="auto"/>
        <w:tabs>
          <w:tab w:leader="none" w:pos="9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It is the Customer’s obligation to submit Advertising Material in accordance with TripAdvisor’s then existing advertising criteria or specifications (including content limitations, technical specifications, privacy policies, user experience policies, policies regarding consistency with TripAdvisor’s public image, community standards regarding obscenity or indecency (taking into consideration the portion(s) of the Site on which the Ads are to appear), other editorial or advertising policies, and material due dates) (collectively “Policies”).</w:t>
      </w:r>
    </w:p>
    <w:p>
      <w:pPr>
        <w:spacing w:after="0" w:line="31" w:lineRule="exact"/>
        <w:rPr>
          <w:rFonts w:ascii="Arial" w:cs="Arial" w:eastAsia="Arial" w:hAnsi="Arial"/>
          <w:sz w:val="16"/>
          <w:szCs w:val="16"/>
          <w:color w:val="auto"/>
        </w:rPr>
      </w:pPr>
    </w:p>
    <w:p>
      <w:pPr>
        <w:jc w:val="both"/>
        <w:ind w:left="900" w:right="400" w:hanging="446"/>
        <w:spacing w:after="0" w:line="332" w:lineRule="auto"/>
        <w:tabs>
          <w:tab w:leader="none" w:pos="9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Public Announcements. Customer hereby grants TripAdvisor permission to publicize the fact that it is a client of TripAdvisor in a press release. However, Customer shall not use, display or modify TripAdvisor’s trademarks in any manner without the prior written consent of TripAdvisor.</w:t>
      </w:r>
    </w:p>
    <w:p>
      <w:pPr>
        <w:spacing w:after="0" w:line="79" w:lineRule="exact"/>
        <w:rPr>
          <w:rFonts w:ascii="Arial" w:cs="Arial" w:eastAsia="Arial" w:hAnsi="Arial"/>
          <w:sz w:val="16"/>
          <w:szCs w:val="16"/>
          <w:color w:val="auto"/>
        </w:rPr>
      </w:pPr>
    </w:p>
    <w:p>
      <w:pPr>
        <w:ind w:right="40" w:firstLine="8"/>
        <w:spacing w:after="0" w:line="291" w:lineRule="auto"/>
        <w:tabs>
          <w:tab w:leader="none" w:pos="19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Privacy and Compliance. </w:t>
      </w:r>
      <w:r>
        <w:rPr>
          <w:rFonts w:ascii="Arial" w:cs="Arial" w:eastAsia="Arial" w:hAnsi="Arial"/>
          <w:sz w:val="16"/>
          <w:szCs w:val="16"/>
          <w:color w:val="auto"/>
        </w:rPr>
        <w:t>From the date that an advertisement begins to run, through the expiration or termination of the Agreement or applicable IO,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shall have a privacy policy in place governing Customer’s use of end users’ personal information that meets or exceeds any applicable laws, rules and regulations governing the use of such information. Both parties shall ensure that any collection, use and disclosure of information obtained pursuant to the related IO comply with all applicable laws, regulations and privacy policies, including all of the requirements the CAN-SPAM Act. Customer agrees not to send any unsolicited, commercial email or other online communication (e.g., “spam”) through to TripAdvisor users and shall comply with all applicable TripAdvisor policies regarding bulk mail. For the purposes of any email or advertising placements, Customer designates TripAdvisor as the senders for compliance with the CAN-SPAM Act. This section shall survive the completion, expiration, termination or cancellation of this IO for a period of five (5) years.</w:t>
      </w:r>
    </w:p>
    <w:p>
      <w:pPr>
        <w:spacing w:after="0" w:line="113" w:lineRule="exact"/>
        <w:rPr>
          <w:rFonts w:ascii="Arial" w:cs="Arial" w:eastAsia="Arial" w:hAnsi="Arial"/>
          <w:sz w:val="16"/>
          <w:szCs w:val="16"/>
          <w:b w:val="1"/>
          <w:bCs w:val="1"/>
          <w:color w:val="auto"/>
        </w:rPr>
      </w:pPr>
    </w:p>
    <w:p>
      <w:pPr>
        <w:ind w:right="100" w:firstLine="8"/>
        <w:spacing w:after="0" w:line="291" w:lineRule="auto"/>
        <w:tabs>
          <w:tab w:leader="none" w:pos="19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Terms and Calculations. </w:t>
      </w:r>
      <w:r>
        <w:rPr>
          <w:rFonts w:ascii="Arial" w:cs="Arial" w:eastAsia="Arial" w:hAnsi="Arial"/>
          <w:sz w:val="16"/>
          <w:szCs w:val="16"/>
          <w:color w:val="auto"/>
        </w:rPr>
        <w:t>Customer shall be invoiced by TripAdvisor on a monthly basis upon completion of the calendar month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advertising was displayed. TripAdvisor’s payment terms are net 30 days from the date of invoice. In addition to any other rights, TripAdvisor may immediately remove Customer’s advertisements in the event of non-payment by Customer within such time period. All sums payable by Customer to TripAdvisor under this Agreement are exclusive of any sales tax, indirect or similar taxes chargeable on any supply to which those sums relate. All unpaid advertising fees shall accrue interest at the rate of 1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per month until paid, or the legal maximum, whichever is less. All billing calculations are based solely on the ad impression or quick count metrics as calculated by TripAdvisor (including, but not limited to CPM and CPC), not Customer or third party calculations, unless otherwise agreed to in writing in the TripAdvisor IO or Schedule Detail page.</w:t>
      </w:r>
    </w:p>
    <w:p>
      <w:pPr>
        <w:spacing w:after="0" w:line="113" w:lineRule="exact"/>
        <w:rPr>
          <w:rFonts w:ascii="Arial" w:cs="Arial" w:eastAsia="Arial" w:hAnsi="Arial"/>
          <w:sz w:val="16"/>
          <w:szCs w:val="16"/>
          <w:b w:val="1"/>
          <w:bCs w:val="1"/>
          <w:color w:val="auto"/>
        </w:rPr>
      </w:pPr>
    </w:p>
    <w:p>
      <w:pPr>
        <w:ind w:right="220" w:firstLine="8"/>
        <w:spacing w:after="0" w:line="306" w:lineRule="auto"/>
        <w:tabs>
          <w:tab w:leader="none" w:pos="190" w:val="left"/>
        </w:tabs>
        <w:numPr>
          <w:ilvl w:val="0"/>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 and Termination. </w:t>
      </w:r>
      <w:r>
        <w:rPr>
          <w:rFonts w:ascii="Arial" w:cs="Arial" w:eastAsia="Arial" w:hAnsi="Arial"/>
          <w:sz w:val="15"/>
          <w:szCs w:val="15"/>
          <w:color w:val="auto"/>
        </w:rPr>
        <w:t>This Agreement is effective upon the signature of both parties of the terms and conditions stated herein by signing the attached IO.</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terminated by Customer only if a material breach of this Agreement remains uncured after the non-breaching party has given thirty (30) days prior written notice to the breaching party specifying the breach. However, either Party may cancel any specific IO at any time with at least twenty</w:t>
      </w:r>
    </w:p>
    <w:p>
      <w:pPr>
        <w:ind w:right="400"/>
        <w:spacing w:after="0" w:line="292" w:lineRule="auto"/>
        <w:rPr>
          <w:rFonts w:ascii="Arial" w:cs="Arial" w:eastAsia="Arial" w:hAnsi="Arial"/>
          <w:sz w:val="15"/>
          <w:szCs w:val="15"/>
          <w:b w:val="1"/>
          <w:bCs w:val="1"/>
          <w:color w:val="auto"/>
        </w:rPr>
      </w:pPr>
      <w:r>
        <w:rPr>
          <w:rFonts w:ascii="Arial" w:cs="Arial" w:eastAsia="Arial" w:hAnsi="Arial"/>
          <w:sz w:val="16"/>
          <w:szCs w:val="16"/>
          <w:color w:val="auto"/>
        </w:rPr>
        <w:t>(20) days’ prior written notice to the other Party. So long as any IO remains in effect, these Terms and Conditions shall also remain in effect. If any IO is cancelled for any reason, Customer shall pay to TripAdvisor, within thirty (30) days after such cancellation, all amounts not yet paid for such delivered ad requests up to the effective date of cancellation. IF EITHER PARTY TERMINATES ANY IO, CUSTOMER’S SOLE REMEDY WILL BE A REFUND OF ANY PRE-PAID FEES IN EXCESS OF THE FEES OWED TO TRIPADVISOR UNDER THE IO. NEITHER TRIPADVISOR NOR ANY OF ITS AFFILIATES WILL HAVE ANY OTHER LIABILITY OF ANY NATURE TO CUSTOMER.</w:t>
      </w:r>
    </w:p>
    <w:p>
      <w:pPr>
        <w:sectPr>
          <w:pgSz w:w="11900" w:h="16838" w:orient="portrait"/>
          <w:cols w:equalWidth="0" w:num="1">
            <w:col w:w="11400"/>
          </w:cols>
          <w:pgMar w:left="240" w:top="274" w:right="259" w:bottom="184"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TripAdvisor LLC – May 4, 2009</w:t>
      </w:r>
    </w:p>
    <w:p>
      <w:pPr>
        <w:sectPr>
          <w:pgSz w:w="11900" w:h="16838" w:orient="portrait"/>
          <w:cols w:equalWidth="0" w:num="1">
            <w:col w:w="11400"/>
          </w:cols>
          <w:pgMar w:left="240" w:top="274" w:right="259" w:bottom="184" w:gutter="0" w:footer="0" w:header="0"/>
          <w:type w:val="continuous"/>
        </w:sectPr>
      </w:pPr>
    </w:p>
    <w:bookmarkStart w:id="212" w:name="page213"/>
    <w:bookmarkEnd w:id="212"/>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Warranty &amp; Indemnity</w:t>
      </w:r>
    </w:p>
    <w:p>
      <w:pPr>
        <w:spacing w:after="0" w:line="96" w:lineRule="exact"/>
        <w:rPr>
          <w:rFonts w:ascii="Arial" w:cs="Arial" w:eastAsia="Arial" w:hAnsi="Arial"/>
          <w:sz w:val="18"/>
          <w:szCs w:val="18"/>
          <w:b w:val="1"/>
          <w:bCs w:val="1"/>
          <w:color w:val="auto"/>
        </w:rPr>
      </w:pPr>
    </w:p>
    <w:p>
      <w:pPr>
        <w:ind w:left="900" w:hanging="446"/>
        <w:spacing w:after="0" w:line="288" w:lineRule="auto"/>
        <w:tabs>
          <w:tab w:leader="none" w:pos="90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EXCEPT AS OTHERWISE STATED HEREIN, TRIPADVISOR MAKES NO WARRANTIES, EXPRESS OR IMPLIED, INCLUDING WITHOUT LIMITATION, ANY IMPLIED WARRANTIES OF MERCHANTABILITY OR FITNESS FOR A PARTICULAR PURPOSE, OR ANY WARRANTIES AS TO THE NUMBER OF VISITORS TO OR PAGES DISPLAYED ON THE TRIPADVISOR SITE OR THE FUNCTIONALITY, PERFORMANCE, OR RESPONSE TIMES OF THE TRIPADVISOR SITE. TRIPADVISOR DISCLAIMS AND SHALL NOT BE LIABLE FOR ANY OTHER LOSS, INJURY, COST OR DAMAGE SUFFERED BY CUSTOMER OR ANY THIRD PARTY AND SHALL IN NO EVENT BE LIABLE FOR CONSEQUENTIAL, SPECIAL OR INCIDENTAL DAMAGES, INCLUDING LOST PROFITS. THIS PROVISION SHALL SURVIVE ANY EXPIRATION OR TERMINATION OF THIS AGREEMENT. IN NO EVENT SHALL TRIPADVISOR OR ANY OF ITS AFFILIATES BE LIABLE TO CUSTOMER FOR AN AMOUNT IN EXCESS OF THE TOTAL DOLLAR AMOUNT ACTUALLY RECEIVED BY TRIPADVISOR FROM CUSTOMER FOR THE SPECIFIC AD AT ISSUE.</w:t>
      </w:r>
    </w:p>
    <w:p>
      <w:pPr>
        <w:spacing w:after="0" w:line="259" w:lineRule="exact"/>
        <w:rPr>
          <w:rFonts w:ascii="Arial" w:cs="Arial" w:eastAsia="Arial" w:hAnsi="Arial"/>
          <w:sz w:val="16"/>
          <w:szCs w:val="16"/>
          <w:color w:val="auto"/>
        </w:rPr>
      </w:pPr>
    </w:p>
    <w:p>
      <w:pPr>
        <w:ind w:left="900" w:right="20" w:hanging="446"/>
        <w:spacing w:after="0" w:line="255"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Customer agrees to defend, indemnify and hold harmless TripAdvisor and each of TripAdvisor’s agents, customers, subcontractors and affiliates, and the officers, directors, and employees of any of the foregoing, from, against and in respect of any and all losses, costs, (including reasonable attorney’s fees) expenses, damages, assessments, or judgments (collectively, “Liabilities”), resulting from any claim against any such parties in connection with Customer’s advertisement, except to the extent that such claims directly resulted from the gross negligence or willful misconduct of TripAdvisor.</w:t>
      </w:r>
    </w:p>
    <w:p>
      <w:pPr>
        <w:spacing w:after="0" w:line="136" w:lineRule="exact"/>
        <w:rPr>
          <w:rFonts w:ascii="Arial" w:cs="Arial" w:eastAsia="Arial" w:hAnsi="Arial"/>
          <w:sz w:val="18"/>
          <w:szCs w:val="18"/>
          <w:color w:val="auto"/>
        </w:rPr>
      </w:pPr>
    </w:p>
    <w:p>
      <w:pPr>
        <w:ind w:right="20" w:firstLine="8"/>
        <w:spacing w:after="0" w:line="284" w:lineRule="auto"/>
        <w:tabs>
          <w:tab w:leader="none" w:pos="190"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Provisions. </w:t>
      </w:r>
      <w:r>
        <w:rPr>
          <w:rFonts w:ascii="Arial" w:cs="Arial" w:eastAsia="Arial" w:hAnsi="Arial"/>
          <w:sz w:val="16"/>
          <w:szCs w:val="16"/>
          <w:color w:val="auto"/>
        </w:rPr>
        <w:t>These terms and conditions are governed by the laws of the Commonwealth of Massachusetts, USA. Customer consents to the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and venue of courts of Boston, Massachusetts, for all disputes related to the subject matter hereof. No joint venture, partnership, employment, or agency relationship exists between Customer and TripAdvisor. TripAdvisor will not be deemed to have waived or modified any of these terms and conditions except in writing signed by its duly authorized representative. Customer may not assign its rights hereunder to any third party unless TripAdvisor expressly consents to such assignment in writing, not to be unreasonably withheld. Modifications to the originally submitted IO will not be binding unless signed by both parties. If any provision of these standard terms and conditions is found invalid or unenforceable pursuant to judicial decree or decision, the remaining provisions will remain valid and enforceable, and the unenforceable provisions will be deemed modified to the extent necessary to make them enforceable. These Terms and Conditions will be deemed to be controlling over all other writings or agreements of any kind between the parties covering the subject matter of the IO, except for alternate (a) payment or (b) cancellation language, as specifically provided in the business terms in the IO or Schedule Detail Page. All notices to TripAdvisor relating to any legal claims or matters must be made in writing to TripAdvisor, attn: Group Corporate Counsel, 141 Needham St., Newton MA 02464. If TripAdvisor and Customer have entered into a Non-Disclosure Agreement, TripAdvisor and Customer agree that the terms of such agreement will be deemed incorporated herein and further, that all terms and conditions of this Agreement will be deemed Confidential Information as defined therein. If TripAdvisor and Customer have not entered into a Non-Disclosure Agreement, then each Party expressly undertakes to retain in confidence and to require its agents and contractors to retain in confidence all information and know-how transmitted to such Party that the disclosing Party has identified as being proprietary and/or confidential or which, by the nature of the circumstances surrounding the disclosure, ought in good faith to be treated as proprietary and/or confidential. All terms and conditions of this Agreement will be considered confidential and will not be disclosed (except to both Party’s attorneys and accountants on a need-to-know basis) without the prior written consent of the other Party. The Parties acknowledge and agree that TripAdvisor may archive an electronic copy of the fully executed Agreement. Except as specifically provided herein, this Insertion Order and Terms &amp; Conditions constitute the entire understanding and Agreement between the parties and supersedes any and all prior understandings and/or Agreements between the parties with respect to the subject matter. No change, amendment or modification of any provision of this Agreement or waiver of any of its terms will be valid unless set forth in writing and mutually agreed to by the parties.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ind w:left="580"/>
              <w:spacing w:after="0"/>
              <w:rPr>
                <w:sz w:val="20"/>
                <w:szCs w:val="20"/>
                <w:color w:val="auto"/>
              </w:rPr>
            </w:pPr>
            <w:r>
              <w:rPr>
                <w:rFonts w:ascii="Arial" w:cs="Arial" w:eastAsia="Arial" w:hAnsi="Arial"/>
                <w:sz w:val="18"/>
                <w:szCs w:val="18"/>
                <w:b w:val="1"/>
                <w:bCs w:val="1"/>
                <w:color w:val="auto"/>
              </w:rPr>
              <w:t>Customer:</w:t>
            </w:r>
          </w:p>
        </w:tc>
        <w:tc>
          <w:tcPr>
            <w:tcW w:w="5240" w:type="dxa"/>
            <w:vAlign w:val="bottom"/>
            <w:gridSpan w:val="2"/>
          </w:tcPr>
          <w:p>
            <w:pPr>
              <w:ind w:left="680"/>
              <w:spacing w:after="0"/>
              <w:rPr>
                <w:sz w:val="20"/>
                <w:szCs w:val="20"/>
                <w:color w:val="auto"/>
              </w:rPr>
            </w:pPr>
            <w:r>
              <w:rPr>
                <w:rFonts w:ascii="Arial" w:cs="Arial" w:eastAsia="Arial" w:hAnsi="Arial"/>
                <w:sz w:val="18"/>
                <w:szCs w:val="18"/>
                <w:b w:val="1"/>
                <w:bCs w:val="1"/>
                <w:color w:val="auto"/>
              </w:rPr>
              <w:t>TripAdvisor LLC:</w:t>
            </w:r>
          </w:p>
        </w:tc>
      </w:tr>
      <w:tr>
        <w:trPr>
          <w:trHeight w:val="325"/>
        </w:trPr>
        <w:tc>
          <w:tcPr>
            <w:tcW w:w="1620" w:type="dxa"/>
            <w:vAlign w:val="bottom"/>
          </w:tcPr>
          <w:p>
            <w:pPr>
              <w:ind w:left="580"/>
              <w:spacing w:after="0"/>
              <w:rPr>
                <w:sz w:val="20"/>
                <w:szCs w:val="20"/>
                <w:color w:val="auto"/>
              </w:rPr>
            </w:pPr>
            <w:r>
              <w:rPr>
                <w:rFonts w:ascii="Arial" w:cs="Arial" w:eastAsia="Arial" w:hAnsi="Arial"/>
                <w:sz w:val="18"/>
                <w:szCs w:val="18"/>
                <w:color w:val="auto"/>
              </w:rPr>
              <w:t>Company:</w:t>
            </w:r>
          </w:p>
        </w:tc>
        <w:tc>
          <w:tcPr>
            <w:tcW w:w="40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31"/>
        </w:trPr>
        <w:tc>
          <w:tcPr>
            <w:tcW w:w="1620" w:type="dxa"/>
            <w:vAlign w:val="bottom"/>
          </w:tcPr>
          <w:p>
            <w:pPr>
              <w:ind w:left="580"/>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4"/>
                <w:szCs w:val="24"/>
                <w:color w:val="auto"/>
              </w:rPr>
            </w:pPr>
          </w:p>
        </w:tc>
      </w:tr>
      <w:tr>
        <w:trPr>
          <w:trHeight w:val="331"/>
        </w:trPr>
        <w:tc>
          <w:tcPr>
            <w:tcW w:w="1620" w:type="dxa"/>
            <w:vAlign w:val="bottom"/>
          </w:tcPr>
          <w:p>
            <w:pPr>
              <w:ind w:left="580"/>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Date:</w:t>
            </w:r>
          </w:p>
        </w:tc>
        <w:tc>
          <w:tcPr>
            <w:tcW w:w="3980" w:type="dxa"/>
            <w:vAlign w:val="bottom"/>
            <w:tcBorders>
              <w:bottom w:val="single" w:sz="8" w:color="auto"/>
            </w:tcBorders>
          </w:tcPr>
          <w:p>
            <w:pPr>
              <w:spacing w:after="0"/>
              <w:rPr>
                <w:sz w:val="24"/>
                <w:szCs w:val="24"/>
                <w:color w:val="auto"/>
              </w:rPr>
            </w:pPr>
          </w:p>
        </w:tc>
      </w:tr>
      <w:tr>
        <w:trPr>
          <w:trHeight w:val="371"/>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TripAdvisor LLC – May 4, 2009</w:t>
            </w: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1420" w:type="dxa"/>
            <w:vAlign w:val="bottom"/>
            <w:gridSpan w:val="4"/>
          </w:tcPr>
          <w:p>
            <w:pPr>
              <w:jc w:val="center"/>
              <w:ind w:left="393"/>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9640" w:type="dxa"/>
            <w:vAlign w:val="bottom"/>
          </w:tcPr>
          <w:p>
            <w:pPr>
              <w:ind w:left="4220"/>
              <w:spacing w:after="0"/>
              <w:rPr>
                <w:sz w:val="20"/>
                <w:szCs w:val="20"/>
                <w:color w:val="auto"/>
              </w:rPr>
            </w:pPr>
            <w:r>
              <w:rPr>
                <w:rFonts w:ascii="Arial" w:cs="Arial" w:eastAsia="Arial" w:hAnsi="Arial"/>
                <w:sz w:val="18"/>
                <w:szCs w:val="18"/>
                <w:b w:val="1"/>
                <w:bCs w:val="1"/>
                <w:color w:val="auto"/>
              </w:rPr>
              <w:t>Subsidiaries of the Registrant</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DOMESTIC</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Jurisdiction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964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Formation</w:t>
            </w:r>
          </w:p>
        </w:tc>
        <w:tc>
          <w:tcPr>
            <w:tcW w:w="0" w:type="dxa"/>
            <w:vAlign w:val="bottom"/>
          </w:tcPr>
          <w:p>
            <w:pPr>
              <w:spacing w:after="0"/>
              <w:rPr>
                <w:sz w:val="1"/>
                <w:szCs w:val="1"/>
                <w:color w:val="auto"/>
              </w:rPr>
            </w:pPr>
          </w:p>
        </w:tc>
      </w:tr>
      <w:tr>
        <w:trPr>
          <w:trHeight w:val="195"/>
        </w:trPr>
        <w:tc>
          <w:tcPr>
            <w:tcW w:w="10020" w:type="dxa"/>
            <w:vAlign w:val="bottom"/>
            <w:gridSpan w:val="2"/>
          </w:tcPr>
          <w:p>
            <w:pPr>
              <w:spacing w:after="0" w:line="195" w:lineRule="exact"/>
              <w:rPr>
                <w:sz w:val="20"/>
                <w:szCs w:val="20"/>
                <w:color w:val="auto"/>
              </w:rPr>
            </w:pPr>
            <w:r>
              <w:rPr>
                <w:rFonts w:ascii="Arial" w:cs="Arial" w:eastAsia="Arial" w:hAnsi="Arial"/>
                <w:sz w:val="18"/>
                <w:szCs w:val="18"/>
                <w:color w:val="auto"/>
              </w:rPr>
              <w:t>FlipKey, Inc.</w:t>
            </w:r>
          </w:p>
        </w:tc>
        <w:tc>
          <w:tcPr>
            <w:tcW w:w="58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GlobalMotion Media,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Beem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Gate Guru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Oyster Travel Corp.</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Smarter Travel Media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NV</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Jetsetter,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The Independent Traveler,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APAC Holdings Corp.</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Holdings,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GP1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GP2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Finance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LP2 LLC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The TripAdvisor Charitable Foundation</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Wanderfly, Inc.</w:t>
            </w:r>
          </w:p>
        </w:tc>
        <w:tc>
          <w:tcPr>
            <w:tcW w:w="5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Securities Corporation</w:t>
            </w:r>
          </w:p>
        </w:tc>
        <w:tc>
          <w:tcPr>
            <w:tcW w:w="5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47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9640" w:type="dxa"/>
            <w:vAlign w:val="bottom"/>
            <w:vMerge w:val="restart"/>
          </w:tcPr>
          <w:p>
            <w:pPr>
              <w:spacing w:after="0"/>
              <w:rPr>
                <w:sz w:val="24"/>
                <w:szCs w:val="2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640" w:type="dxa"/>
            <w:vAlign w:val="bottom"/>
            <w:vMerge w:val="continue"/>
          </w:tcPr>
          <w:p>
            <w:pPr>
              <w:spacing w:after="0"/>
              <w:rPr>
                <w:sz w:val="14"/>
                <w:szCs w:val="14"/>
                <w:color w:val="auto"/>
              </w:rPr>
            </w:pPr>
          </w:p>
        </w:tc>
        <w:tc>
          <w:tcPr>
            <w:tcW w:w="1420" w:type="dxa"/>
            <w:vAlign w:val="bottom"/>
            <w:gridSpan w:val="4"/>
          </w:tcPr>
          <w:p>
            <w:pPr>
              <w:ind w:left="400"/>
              <w:spacing w:after="0" w:line="148" w:lineRule="exact"/>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195"/>
        </w:trPr>
        <w:tc>
          <w:tcPr>
            <w:tcW w:w="10020" w:type="dxa"/>
            <w:vAlign w:val="bottom"/>
            <w:gridSpan w:val="2"/>
          </w:tcPr>
          <w:p>
            <w:pPr>
              <w:spacing w:after="0" w:line="195" w:lineRule="exact"/>
              <w:rPr>
                <w:sz w:val="20"/>
                <w:szCs w:val="20"/>
                <w:color w:val="auto"/>
              </w:rPr>
            </w:pPr>
            <w:r>
              <w:rPr>
                <w:rFonts w:ascii="Arial" w:cs="Arial" w:eastAsia="Arial" w:hAnsi="Arial"/>
                <w:sz w:val="18"/>
                <w:szCs w:val="18"/>
                <w:color w:val="auto"/>
              </w:rPr>
              <w:t>Beijing Kuxun Interactive Technology Co., Ltd. (beneficial ownership)</w:t>
            </w: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Beijing Kuxun Technology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WFOE 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Bookingbuddy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Consulting Services (Beijing)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Guia de Apartamentos Niumba, S.L.</w:t>
            </w:r>
          </w:p>
        </w:tc>
        <w:tc>
          <w:tcPr>
            <w:tcW w:w="1420" w:type="dxa"/>
            <w:vAlign w:val="bottom"/>
            <w:gridSpan w:val="4"/>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Holiday Lettings (Holdings)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Holiday Lettings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Jetsetter Holdings UK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Jetsetter UK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Jetsetter HK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Kooxoo, Inc.</w:t>
            </w:r>
          </w:p>
        </w:tc>
        <w:tc>
          <w:tcPr>
            <w:tcW w:w="1420" w:type="dxa"/>
            <w:vAlign w:val="bottom"/>
            <w:gridSpan w:val="4"/>
          </w:tcPr>
          <w:p>
            <w:pPr>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Smartertravel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Brazil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Ireland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Korea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Italy Srl</w:t>
            </w:r>
          </w:p>
        </w:tc>
        <w:tc>
          <w:tcPr>
            <w:tcW w:w="1420" w:type="dxa"/>
            <w:vAlign w:val="bottom"/>
            <w:gridSpan w:val="4"/>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Spain, S.L.</w:t>
            </w:r>
          </w:p>
        </w:tc>
        <w:tc>
          <w:tcPr>
            <w:tcW w:w="1420" w:type="dxa"/>
            <w:vAlign w:val="bottom"/>
            <w:gridSpan w:val="4"/>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GmbH</w:t>
            </w:r>
          </w:p>
        </w:tc>
        <w:tc>
          <w:tcPr>
            <w:tcW w:w="1420" w:type="dxa"/>
            <w:vAlign w:val="bottom"/>
            <w:gridSpan w:val="4"/>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France SAS</w:t>
            </w:r>
          </w:p>
        </w:tc>
        <w:tc>
          <w:tcPr>
            <w:tcW w:w="1420" w:type="dxa"/>
            <w:vAlign w:val="bottom"/>
            <w:gridSpan w:val="4"/>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Australia Pty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Canada Corp.</w:t>
            </w:r>
          </w:p>
        </w:tc>
        <w:tc>
          <w:tcPr>
            <w:tcW w:w="1420" w:type="dxa"/>
            <w:vAlign w:val="bottom"/>
            <w:gridSpan w:val="4"/>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Travel India Private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Singapore Private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Hong Kong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China Cayman Holdings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420" w:type="dxa"/>
            <w:vAlign w:val="bottom"/>
            <w:gridSpan w:val="4"/>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UK1 LP</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UK2 LP</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 Holdco,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Registration Statement (Form S-8 No. 333-190384) pertaining to the TripAdvisor, Inc. 2011 Stock and Annual Incentive Plan, as amended, and</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Registration Statement (Form S-8 No. 333-178637) pertaining to the TripAdvisor, Inc. 2011 Stock and Annual Incentive Plan and TripAdvisor, Inc. Deferred Compensation Plan for Non-Employee Directors;</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of our reports dated February 11, 2014, with respect to the consolidated and combined financial statements of TripAdvisor, Inc., and the effectiveness of internal control over financial reporting of TripAdvisor, Inc., included in this Annual Report (Form 10-K) for the year ended December 31, 2013.</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ectPr>
          <w:pgSz w:w="11900" w:h="16838" w:orient="portrait"/>
          <w:cols w:equalWidth="0" w:num="1">
            <w:col w:w="11420"/>
          </w:cols>
          <w:pgMar w:left="240" w:top="125"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90"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11, 2014</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420"/>
          </w:cols>
          <w:pgMar w:left="240" w:top="12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11, 2014</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2013,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11, 2014</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420"/>
          </w:cols>
          <w:pgMar w:left="240" w:top="12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2013,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11, 2014</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1)"/>
      <w:numFmt w:val="decimal"/>
      <w:start w:val="1"/>
    </w:lvl>
  </w:abstractNum>
  <w:abstractNum w:abstractNumId="22">
    <w:nsid w:val="45E6D486"/>
    <w:multiLevelType w:val="hybridMultilevel"/>
    <w:lvl w:ilvl="0">
      <w:lvlJc w:val="left"/>
      <w:lvlText w:val="(%1)"/>
      <w:numFmt w:val="decimal"/>
      <w:start w:val="1"/>
    </w:lvl>
  </w:abstractNum>
  <w:abstractNum w:abstractNumId="23">
    <w:nsid w:val="5C10FE21"/>
    <w:multiLevelType w:val="hybridMultilevel"/>
    <w:lvl w:ilvl="0">
      <w:lvlJc w:val="left"/>
      <w:lvlText w:val="(%1)"/>
      <w:numFmt w:val="decimal"/>
      <w:start w:val="3"/>
    </w:lvl>
  </w:abstractNum>
  <w:abstractNum w:abstractNumId="24">
    <w:nsid w:val="E7FFA2B"/>
    <w:multiLevelType w:val="hybridMultilevel"/>
    <w:lvl w:ilvl="0">
      <w:lvlJc w:val="left"/>
      <w:lvlText w:val="(%1)"/>
      <w:numFmt w:val="decimal"/>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1)"/>
      <w:numFmt w:val="decimal"/>
      <w:start w:val="3"/>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1)"/>
      <w:numFmt w:val="decimal"/>
      <w:start w:val="1"/>
    </w:lvl>
  </w:abstractNum>
  <w:abstractNum w:abstractNumId="29">
    <w:nsid w:val="2B0D8DBE"/>
    <w:multiLevelType w:val="hybridMultilevel"/>
    <w:lvl w:ilvl="0">
      <w:lvlJc w:val="left"/>
      <w:lvlText w:val="(%1)"/>
      <w:numFmt w:val="decimal"/>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1)"/>
      <w:numFmt w:val="decimal"/>
      <w:start w:val="1"/>
    </w:lvl>
  </w:abstractNum>
  <w:abstractNum w:abstractNumId="32">
    <w:nsid w:val="69E373"/>
    <w:multiLevelType w:val="hybridMultilevel"/>
    <w:lvl w:ilvl="0">
      <w:lvlJc w:val="left"/>
      <w:lvlText w:val="(%1)"/>
      <w:numFmt w:val="decimal"/>
      <w:start w:val="2"/>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1)"/>
      <w:numFmt w:val="decimal"/>
      <w:start w:val="1"/>
    </w:lvl>
  </w:abstractNum>
  <w:abstractNum w:abstractNumId="36">
    <w:nsid w:val="1DF029D3"/>
    <w:multiLevelType w:val="hybridMultilevel"/>
    <w:lvl w:ilvl="0">
      <w:lvlJc w:val="left"/>
      <w:lvlText w:val="(%1)"/>
      <w:numFmt w:val="decimal"/>
      <w:start w:val="1"/>
    </w:lvl>
  </w:abstractNum>
  <w:abstractNum w:abstractNumId="37">
    <w:nsid w:val="5675FF36"/>
    <w:multiLevelType w:val="hybridMultilevel"/>
    <w:lvl w:ilvl="0">
      <w:lvlJc w:val="left"/>
      <w:lvlText w:val="(%1)"/>
      <w:numFmt w:val="decimal"/>
      <w:start w:val="1"/>
    </w:lvl>
  </w:abstractNum>
  <w:abstractNum w:abstractNumId="38">
    <w:nsid w:val="3DD15094"/>
    <w:multiLevelType w:val="hybridMultilevel"/>
    <w:lvl w:ilvl="0">
      <w:lvlJc w:val="left"/>
      <w:lvlText w:val="(%1)"/>
      <w:numFmt w:val="decimal"/>
      <w:start w:val="3"/>
    </w:lvl>
  </w:abstractNum>
  <w:abstractNum w:abstractNumId="39">
    <w:nsid w:val="3DB012B3"/>
    <w:multiLevelType w:val="hybridMultilevel"/>
    <w:lvl w:ilvl="0">
      <w:lvlJc w:val="left"/>
      <w:lvlText w:val="(%1)"/>
      <w:numFmt w:val="decimal"/>
      <w:start w:val="1"/>
    </w:lvl>
  </w:abstractNum>
  <w:abstractNum w:abstractNumId="40">
    <w:nsid w:val="2708C9AF"/>
    <w:multiLevelType w:val="hybridMultilevel"/>
    <w:lvl w:ilvl="0">
      <w:lvlJc w:val="left"/>
      <w:lvlText w:val="(%1)"/>
      <w:numFmt w:val="decimal"/>
      <w:start w:val="1"/>
    </w:lvl>
  </w:abstractNum>
  <w:abstractNum w:abstractNumId="41">
    <w:nsid w:val="5B25ACE2"/>
    <w:multiLevelType w:val="hybridMultilevel"/>
    <w:lvl w:ilvl="0">
      <w:lvlJc w:val="left"/>
      <w:lvlText w:val="(%1)"/>
      <w:numFmt w:val="decimal"/>
      <w:start w:val="1"/>
    </w:lvl>
  </w:abstractNum>
  <w:abstractNum w:abstractNumId="42">
    <w:nsid w:val="175DFCF0"/>
    <w:multiLevelType w:val="hybridMultilevel"/>
    <w:lvl w:ilvl="0">
      <w:lvlJc w:val="left"/>
      <w:lvlText w:val="(%1)"/>
      <w:numFmt w:val="decimal"/>
      <w:start w:val="1"/>
    </w:lvl>
  </w:abstractNum>
  <w:abstractNum w:abstractNumId="43">
    <w:nsid w:val="4F97E3E4"/>
    <w:multiLevelType w:val="hybridMultilevel"/>
    <w:lvl w:ilvl="0">
      <w:lvlJc w:val="left"/>
      <w:lvlText w:val="(%1)"/>
      <w:numFmt w:val="decimal"/>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1)"/>
      <w:numFmt w:val="decimal"/>
      <w:start w:val="1"/>
    </w:lvl>
  </w:abstractNum>
  <w:abstractNum w:abstractNumId="46">
    <w:nsid w:val="5915FF32"/>
    <w:multiLevelType w:val="hybridMultilevel"/>
    <w:lvl w:ilvl="0">
      <w:lvlJc w:val="left"/>
      <w:lvlText w:val="(%1)"/>
      <w:numFmt w:val="decimal"/>
      <w:start w:val="1"/>
    </w:lvl>
  </w:abstractNum>
  <w:abstractNum w:abstractNumId="47">
    <w:nsid w:val="56438D15"/>
    <w:multiLevelType w:val="hybridMultilevel"/>
    <w:lvl w:ilvl="0">
      <w:lvlJc w:val="left"/>
      <w:lvlText w:val="(%1)"/>
      <w:numFmt w:val="decimal"/>
      <w:start w:val="2"/>
    </w:lvl>
  </w:abstractNum>
  <w:abstractNum w:abstractNumId="48">
    <w:nsid w:val="519E3149"/>
    <w:multiLevelType w:val="hybridMultilevel"/>
    <w:lvl w:ilvl="0">
      <w:lvlJc w:val="left"/>
      <w:lvlText w:val="(%1)"/>
      <w:numFmt w:val="decimal"/>
      <w:start w:val="1"/>
    </w:lvl>
  </w:abstractNum>
  <w:abstractNum w:abstractNumId="49">
    <w:nsid w:val="2C6E4AFD"/>
    <w:multiLevelType w:val="hybridMultilevel"/>
    <w:lvl w:ilvl="0">
      <w:lvlJc w:val="left"/>
      <w:lvlText w:val="(%1)"/>
      <w:numFmt w:val="decimal"/>
      <w:start w:val="6"/>
    </w:lvl>
  </w:abstractNum>
  <w:abstractNum w:abstractNumId="50">
    <w:nsid w:val="17A1B582"/>
    <w:multiLevelType w:val="hybridMultilevel"/>
    <w:lvl w:ilvl="0">
      <w:lvlJc w:val="left"/>
      <w:lvlText w:val="(%1)"/>
      <w:numFmt w:val="decimal"/>
      <w:start w:val="1"/>
    </w:lvl>
  </w:abstractNum>
  <w:abstractNum w:abstractNumId="51">
    <w:nsid w:val="4DF72E4E"/>
    <w:multiLevelType w:val="hybridMultilevel"/>
    <w:lvl w:ilvl="0">
      <w:lvlJc w:val="left"/>
      <w:lvlText w:val="(%1)"/>
      <w:numFmt w:val="decimal"/>
      <w:start w:val="1"/>
    </w:lvl>
  </w:abstractNum>
  <w:abstractNum w:abstractNumId="52">
    <w:nsid w:val="5046B5A9"/>
    <w:multiLevelType w:val="hybridMultilevel"/>
    <w:lvl w:ilvl="0">
      <w:lvlJc w:val="left"/>
      <w:lvlText w:val="(%1)"/>
      <w:numFmt w:val="decimal"/>
      <w:start w:val="1"/>
    </w:lvl>
  </w:abstractNum>
  <w:abstractNum w:abstractNumId="53">
    <w:nsid w:val="5D888A08"/>
    <w:multiLevelType w:val="hybridMultilevel"/>
    <w:lvl w:ilvl="0">
      <w:lvlJc w:val="left"/>
      <w:lvlText w:val="(%1)"/>
      <w:numFmt w:val="decimal"/>
      <w:start w:val="1"/>
    </w:lvl>
  </w:abstractNum>
  <w:abstractNum w:abstractNumId="54">
    <w:nsid w:val="2A082C70"/>
    <w:multiLevelType w:val="hybridMultilevel"/>
    <w:lvl w:ilvl="0">
      <w:lvlJc w:val="left"/>
      <w:lvlText w:val="%1."/>
      <w:numFmt w:val="decimal"/>
      <w:start w:val="1"/>
    </w:lvl>
  </w:abstractNum>
  <w:abstractNum w:abstractNumId="55">
    <w:nsid w:val="5EC6AFD4"/>
    <w:multiLevelType w:val="hybridMultilevel"/>
    <w:lvl w:ilvl="0">
      <w:lvlJc w:val="left"/>
      <w:lvlText w:val="(%1)"/>
      <w:numFmt w:val="lowerLetter"/>
      <w:start w:val="2"/>
    </w:lvl>
  </w:abstractNum>
  <w:abstractNum w:abstractNumId="56">
    <w:nsid w:val="19E21BB2"/>
    <w:multiLevelType w:val="hybridMultilevel"/>
    <w:lvl w:ilvl="0">
      <w:lvlJc w:val="left"/>
      <w:lvlText w:val="+"/>
      <w:numFmt w:val="bullet"/>
      <w:start w:val="1"/>
    </w:lvl>
    <w:lvl w:ilvl="1">
      <w:lvlJc w:val="left"/>
      <w:lvlText w:val="%2"/>
      <w:numFmt w:val="decimal"/>
      <w:start w:val="101"/>
    </w:lvl>
  </w:abstractNum>
  <w:abstractNum w:abstractNumId="57">
    <w:nsid w:val="75E0858A"/>
    <w:multiLevelType w:val="hybridMultilevel"/>
    <w:lvl w:ilvl="0">
      <w:lvlJc w:val="left"/>
      <w:lvlText w:val="(%1)"/>
      <w:numFmt w:val="lowerLetter"/>
      <w:start w:val="2"/>
    </w:lvl>
  </w:abstractNum>
  <w:abstractNum w:abstractNumId="58">
    <w:nsid w:val="57A61A29"/>
    <w:multiLevelType w:val="hybridMultilevel"/>
    <w:lvl w:ilvl="0">
      <w:lvlJc w:val="left"/>
      <w:lvlText w:val="(%1)"/>
      <w:numFmt w:val="lowerRoman"/>
      <w:start w:val="3"/>
    </w:lvl>
  </w:abstractNum>
  <w:abstractNum w:abstractNumId="59">
    <w:nsid w:val="5399C654"/>
    <w:multiLevelType w:val="hybridMultilevel"/>
    <w:lvl w:ilvl="0">
      <w:lvlJc w:val="left"/>
      <w:lvlText w:val="(%1)"/>
      <w:numFmt w:val="lowerLetter"/>
      <w:start w:val="1"/>
    </w:lvl>
  </w:abstractNum>
  <w:abstractNum w:abstractNumId="60">
    <w:nsid w:val="20EE1348"/>
    <w:multiLevelType w:val="hybridMultilevel"/>
    <w:lvl w:ilvl="0">
      <w:lvlJc w:val="left"/>
      <w:lvlText w:val="(%1)"/>
      <w:numFmt w:val="lowerLetter"/>
      <w:start w:val="2"/>
    </w:lvl>
  </w:abstractNum>
  <w:abstractNum w:abstractNumId="61">
    <w:nsid w:val="4427069A"/>
    <w:multiLevelType w:val="hybridMultilevel"/>
    <w:lvl w:ilvl="0">
      <w:lvlJc w:val="left"/>
      <w:lvlText w:val="(%1)"/>
      <w:numFmt w:val="lowerLetter"/>
      <w:start w:val="1"/>
    </w:lvl>
  </w:abstractNum>
  <w:abstractNum w:abstractNumId="62">
    <w:nsid w:val="B37E80A"/>
    <w:multiLevelType w:val="hybridMultilevel"/>
    <w:lvl w:ilvl="0">
      <w:lvlJc w:val="left"/>
      <w:lvlText w:val="%1."/>
      <w:numFmt w:val="decimal"/>
      <w:start w:val="1"/>
    </w:lvl>
    <w:lvl w:ilvl="1">
      <w:lvlJc w:val="left"/>
      <w:lvlText w:val="(%2)"/>
      <w:numFmt w:val="lowerLetter"/>
      <w:start w:val="1"/>
    </w:lvl>
  </w:abstractNum>
  <w:abstractNum w:abstractNumId="63">
    <w:nsid w:val="2157F6BC"/>
    <w:multiLevelType w:val="hybridMultilevel"/>
    <w:lvl w:ilvl="0">
      <w:lvlJc w:val="left"/>
      <w:lvlText w:val="%1."/>
      <w:numFmt w:val="decimal"/>
      <w:start w:val="3"/>
    </w:lvl>
    <w:lvl w:ilvl="1">
      <w:lvlJc w:val="left"/>
      <w:lvlText w:val="(%2)"/>
      <w:numFmt w:val="lowerLetter"/>
      <w:start w:val="1"/>
    </w:lvl>
  </w:abstractNum>
  <w:abstractNum w:abstractNumId="64">
    <w:nsid w:val="704E1DD5"/>
    <w:multiLevelType w:val="hybridMultilevel"/>
    <w:lvl w:ilvl="0">
      <w:lvlJc w:val="left"/>
      <w:lvlText w:val="%1"/>
      <w:numFmt w:val="lowerLetter"/>
      <w:start w:val="1"/>
    </w:lvl>
    <w:lvl w:ilvl="1">
      <w:lvlJc w:val="left"/>
      <w:lvlText w:val="(%2)"/>
      <w:numFmt w:val="lowerLetter"/>
      <w:start w:val="2"/>
    </w:lvl>
  </w:abstractNum>
  <w:abstractNum w:abstractNumId="65">
    <w:nsid w:val="57D2F10E"/>
    <w:multiLevelType w:val="hybridMultilevel"/>
    <w:lvl w:ilvl="0">
      <w:lvlJc w:val="left"/>
      <w:lvlText w:val="(%1)"/>
      <w:numFmt w:val="lowerLetter"/>
      <w:start w:val="9"/>
    </w:lvl>
    <w:lvl w:ilvl="1">
      <w:lvlJc w:val="left"/>
      <w:lvlText w:val="(%2)"/>
      <w:numFmt w:val="lowerLetter"/>
      <w:start w:val="3"/>
    </w:lvl>
  </w:abstractNum>
  <w:abstractNum w:abstractNumId="66">
    <w:nsid w:val="BFFAE18"/>
    <w:multiLevelType w:val="hybridMultilevel"/>
    <w:lvl w:ilvl="0">
      <w:lvlJc w:val="left"/>
      <w:lvlText w:val="%1."/>
      <w:numFmt w:val="decimal"/>
      <w:start w:val="4"/>
    </w:lvl>
    <w:lvl w:ilvl="1">
      <w:lvlJc w:val="left"/>
      <w:lvlText w:val="(%2)"/>
      <w:numFmt w:val="lowerLetter"/>
      <w:start w:val="1"/>
    </w:lvl>
  </w:abstractNum>
  <w:abstractNum w:abstractNumId="67">
    <w:nsid w:val="E3E47A8"/>
    <w:multiLevelType w:val="hybridMultilevel"/>
    <w:lvl w:ilvl="0">
      <w:lvlJc w:val="left"/>
      <w:lvlText w:val="%1."/>
      <w:numFmt w:val="decimal"/>
      <w:start w:val="6"/>
    </w:lvl>
  </w:abstractNum>
  <w:abstractNum w:abstractNumId="68">
    <w:nsid w:val="2E48F044"/>
    <w:multiLevelType w:val="hybridMultilevel"/>
    <w:lvl w:ilvl="0">
      <w:lvlJc w:val="left"/>
      <w:lvlText w:val="%1."/>
      <w:numFmt w:val="decimal"/>
      <w:start w:val="7"/>
    </w:lvl>
    <w:lvl w:ilvl="1">
      <w:lvlJc w:val="left"/>
      <w:lvlText w:val="(%2)"/>
      <w:numFmt w:val="lowerLetter"/>
      <w:start w:val="1"/>
    </w:lvl>
  </w:abstractNum>
  <w:abstractNum w:abstractNumId="69">
    <w:nsid w:val="49D0FEAC"/>
    <w:multiLevelType w:val="hybridMultilevel"/>
    <w:lvl w:ilvl="0">
      <w:lvlJc w:val="left"/>
      <w:lvlText w:val="(%1)"/>
      <w:numFmt w:val="lowerLetter"/>
      <w:start w:val="2"/>
    </w:lvl>
  </w:abstractNum>
  <w:abstractNum w:abstractNumId="70">
    <w:nsid w:val="4BEE5A5B"/>
    <w:multiLevelType w:val="hybridMultilevel"/>
    <w:lvl w:ilvl="0">
      <w:lvlJc w:val="left"/>
      <w:lvlText w:val="%1."/>
      <w:numFmt w:val="decimal"/>
      <w:start w:val="9"/>
    </w:lvl>
    <w:lvl w:ilvl="1">
      <w:lvlJc w:val="left"/>
      <w:lvlText w:val="(%2)"/>
      <w:numFmt w:val="lowerLetter"/>
      <w:start w:val="1"/>
    </w:lvl>
  </w:abstractNum>
  <w:abstractNum w:abstractNumId="71">
    <w:nsid w:val="5551B9F3"/>
    <w:multiLevelType w:val="hybridMultilevel"/>
    <w:lvl w:ilvl="0">
      <w:lvlJc w:val="left"/>
      <w:lvlText w:val="%1"/>
      <w:numFmt w:val="decimal"/>
      <w:start w:val="1"/>
    </w:lvl>
    <w:lvl w:ilvl="1">
      <w:lvlJc w:val="left"/>
      <w:lvlText w:val="(%2)"/>
      <w:numFmt w:val="lowerLetter"/>
      <w:start w:val="7"/>
    </w:lvl>
  </w:abstractNum>
  <w:abstractNum w:abstractNumId="72">
    <w:nsid w:val="24F6AB8E"/>
    <w:multiLevelType w:val="hybridMultilevel"/>
    <w:lvl w:ilvl="0">
      <w:lvlJc w:val="left"/>
      <w:lvlText w:val="%1."/>
      <w:numFmt w:val="decimal"/>
      <w:start w:val="11"/>
    </w:lvl>
    <w:lvl w:ilvl="1">
      <w:lvlJc w:val="left"/>
      <w:lvlText w:val="%2"/>
      <w:numFmt w:val="lowerLetter"/>
      <w:start w:val="1"/>
    </w:lvl>
  </w:abstractNum>
  <w:abstractNum w:abstractNumId="73">
    <w:nsid w:val="634C574C"/>
    <w:multiLevelType w:val="hybridMultilevel"/>
    <w:lvl w:ilvl="0">
      <w:lvlJc w:val="left"/>
      <w:lvlText w:val="%1."/>
      <w:numFmt w:val="decimal"/>
      <w:start w:val="12"/>
    </w:lvl>
  </w:abstractNum>
  <w:abstractNum w:abstractNumId="74">
    <w:nsid w:val="24E99DD7"/>
    <w:multiLevelType w:val="hybridMultilevel"/>
    <w:lvl w:ilvl="0">
      <w:lvlJc w:val="left"/>
      <w:lvlText w:val="%1."/>
      <w:numFmt w:val="decimal"/>
      <w:start w:val="13"/>
    </w:lvl>
  </w:abstractNum>
  <w:abstractNum w:abstractNumId="75">
    <w:nsid w:val="2A31B62D"/>
    <w:multiLevelType w:val="hybridMultilevel"/>
    <w:lvl w:ilvl="0">
      <w:lvlJc w:val="left"/>
      <w:lvlText w:val="%1."/>
      <w:numFmt w:val="decimal"/>
      <w:start w:val="14"/>
    </w:lvl>
    <w:lvl w:ilvl="1">
      <w:lvlJc w:val="left"/>
      <w:lvlText w:val="(%2)"/>
      <w:numFmt w:val="lowerLetter"/>
      <w:start w:val="1"/>
    </w:lvl>
  </w:abstractNum>
  <w:abstractNum w:abstractNumId="76">
    <w:nsid w:val="1849C29B"/>
    <w:multiLevelType w:val="hybridMultilevel"/>
    <w:lvl w:ilvl="0">
      <w:lvlJc w:val="left"/>
      <w:lvlText w:val="%1"/>
      <w:numFmt w:val="decimal"/>
      <w:start w:val="1"/>
    </w:lvl>
    <w:lvl w:ilvl="1">
      <w:lvlJc w:val="left"/>
      <w:lvlText w:val="(%2)"/>
      <w:numFmt w:val="lowerLetter"/>
      <w:start w:val="2"/>
    </w:lvl>
  </w:abstractNum>
  <w:abstractNum w:abstractNumId="77">
    <w:nsid w:val="7DFF9D09"/>
    <w:multiLevelType w:val="hybridMultilevel"/>
    <w:lvl w:ilvl="0">
      <w:lvlJc w:val="left"/>
      <w:lvlText w:val="%1."/>
      <w:numFmt w:val="decimal"/>
      <w:start w:val="17"/>
    </w:lvl>
    <w:lvl w:ilvl="1">
      <w:lvlJc w:val="left"/>
      <w:lvlText w:val="(%2)"/>
      <w:numFmt w:val="lowerLetter"/>
      <w:start w:val="1"/>
    </w:lvl>
  </w:abstractNum>
  <w:abstractNum w:abstractNumId="78">
    <w:nsid w:val="754342"/>
    <w:multiLevelType w:val="hybridMultilevel"/>
    <w:lvl w:ilvl="0">
      <w:lvlJc w:val="left"/>
      <w:lvlText w:val="%1."/>
      <w:numFmt w:val="decimal"/>
      <w:start w:val="18"/>
    </w:lvl>
  </w:abstractNum>
  <w:abstractNum w:abstractNumId="79">
    <w:nsid w:val="69E7F3E5"/>
    <w:multiLevelType w:val="hybridMultilevel"/>
    <w:lvl w:ilvl="0">
      <w:lvlJc w:val="left"/>
      <w:lvlText w:val="%1."/>
      <w:numFmt w:val="decimal"/>
      <w:start w:val="19"/>
    </w:lvl>
  </w:abstractNum>
  <w:abstractNum w:abstractNumId="80">
    <w:nsid w:val="2A6DE806"/>
    <w:multiLevelType w:val="hybridMultilevel"/>
    <w:lvl w:ilvl="0">
      <w:lvlJc w:val="left"/>
      <w:lvlText w:val="%1."/>
      <w:numFmt w:val="decimal"/>
      <w:start w:val="1"/>
    </w:lvl>
    <w:lvl w:ilvl="1">
      <w:lvlJc w:val="left"/>
      <w:lvlText w:val="(%2)"/>
      <w:numFmt w:val="lowerLetter"/>
      <w:start w:val="1"/>
    </w:lvl>
  </w:abstractNum>
  <w:abstractNum w:abstractNumId="81">
    <w:nsid w:val="1816F8C4"/>
    <w:multiLevelType w:val="hybridMultilevel"/>
    <w:lvl w:ilvl="0">
      <w:lvlJc w:val="left"/>
      <w:lvlText w:val="%1."/>
      <w:numFmt w:val="decimal"/>
      <w:start w:val="3"/>
    </w:lvl>
    <w:lvl w:ilvl="1">
      <w:lvlJc w:val="left"/>
      <w:lvlText w:val="(%2)"/>
      <w:numFmt w:val="lowerLetter"/>
      <w:start w:val="1"/>
    </w:lvl>
  </w:abstractNum>
  <w:abstractNum w:abstractNumId="82">
    <w:nsid w:val="37DF2233"/>
    <w:multiLevelType w:val="hybridMultilevel"/>
    <w:lvl w:ilvl="0">
      <w:lvlJc w:val="left"/>
      <w:lvlText w:val="%1."/>
      <w:numFmt w:val="decimal"/>
      <w:start w:val="6"/>
    </w:lvl>
  </w:abstractNum>
  <w:abstractNum w:abstractNumId="83">
    <w:nsid w:val="7AB49DAF"/>
    <w:multiLevelType w:val="hybridMultilevel"/>
    <w:lvl w:ilvl="0">
      <w:lvlJc w:val="left"/>
      <w:lvlText w:val="%1."/>
      <w:numFmt w:val="decimal"/>
      <w:start w:val="7"/>
    </w:lvl>
    <w:lvl w:ilvl="1">
      <w:lvlJc w:val="left"/>
      <w:lvlText w:val="(%2)"/>
      <w:numFmt w:val="lowerLetter"/>
      <w:start w:val="1"/>
    </w:lvl>
  </w:abstractNum>
  <w:abstractNum w:abstractNumId="84">
    <w:nsid w:val="759F82CD"/>
    <w:multiLevelType w:val="hybridMultilevel"/>
    <w:lvl w:ilvl="0">
      <w:lvlJc w:val="left"/>
      <w:lvlText w:val="%1."/>
      <w:numFmt w:val="decimal"/>
      <w:start w:val="8"/>
    </w:lvl>
    <w:lvl w:ilvl="1">
      <w:lvlJc w:val="left"/>
      <w:lvlText w:val="(%2)"/>
      <w:numFmt w:val="lowerLetter"/>
      <w:start w:val="1"/>
    </w:lvl>
  </w:abstractNum>
  <w:abstractNum w:abstractNumId="85">
    <w:nsid w:val="61E74EA3"/>
    <w:multiLevelType w:val="hybridMultilevel"/>
    <w:lvl w:ilvl="0">
      <w:lvlJc w:val="left"/>
      <w:lvlText w:val="%1."/>
      <w:numFmt w:val="decimal"/>
      <w:start w:val="9"/>
    </w:lvl>
    <w:lvl w:ilvl="1">
      <w:lvlJc w:val="left"/>
      <w:lvlText w:val="(%2)"/>
      <w:numFmt w:val="lowerLetter"/>
      <w:start w:val="1"/>
    </w:lvl>
  </w:abstractNum>
  <w:abstractNum w:abstractNumId="86">
    <w:nsid w:val="597B4D84"/>
    <w:multiLevelType w:val="hybridMultilevel"/>
    <w:lvl w:ilvl="0">
      <w:lvlJc w:val="left"/>
      <w:lvlText w:val="%1"/>
      <w:numFmt w:val="decimal"/>
      <w:start w:val="1"/>
    </w:lvl>
    <w:lvl w:ilvl="1">
      <w:lvlJc w:val="left"/>
      <w:lvlText w:val="(%2)"/>
      <w:numFmt w:val="lowerLetter"/>
      <w:start w:val="6"/>
    </w:lvl>
  </w:abstractNum>
  <w:abstractNum w:abstractNumId="87">
    <w:nsid w:val="F819E7F"/>
    <w:multiLevelType w:val="hybridMultilevel"/>
    <w:lvl w:ilvl="0">
      <w:lvlJc w:val="left"/>
      <w:lvlText w:val="%1."/>
      <w:numFmt w:val="decimal"/>
      <w:start w:val="11"/>
    </w:lvl>
    <w:lvl w:ilvl="1">
      <w:lvlJc w:val="left"/>
      <w:lvlText w:val="%2"/>
      <w:numFmt w:val="lowerLetter"/>
      <w:start w:val="1"/>
    </w:lvl>
  </w:abstractNum>
  <w:abstractNum w:abstractNumId="88">
    <w:nsid w:val="57C7D42D"/>
    <w:multiLevelType w:val="hybridMultilevel"/>
    <w:lvl w:ilvl="0">
      <w:lvlJc w:val="left"/>
      <w:lvlText w:val="%1."/>
      <w:numFmt w:val="decimal"/>
      <w:start w:val="12"/>
    </w:lvl>
  </w:abstractNum>
  <w:abstractNum w:abstractNumId="89">
    <w:nsid w:val="312167AD"/>
    <w:multiLevelType w:val="hybridMultilevel"/>
    <w:lvl w:ilvl="0">
      <w:lvlJc w:val="left"/>
      <w:lvlText w:val="%1."/>
      <w:numFmt w:val="decimal"/>
      <w:start w:val="13"/>
    </w:lvl>
  </w:abstractNum>
  <w:abstractNum w:abstractNumId="90">
    <w:nsid w:val="631B64D4"/>
    <w:multiLevelType w:val="hybridMultilevel"/>
    <w:lvl w:ilvl="0">
      <w:lvlJc w:val="left"/>
      <w:lvlText w:val="%1."/>
      <w:numFmt w:val="decimal"/>
      <w:start w:val="14"/>
    </w:lvl>
    <w:lvl w:ilvl="1">
      <w:lvlJc w:val="left"/>
      <w:lvlText w:val="(%2)"/>
      <w:numFmt w:val="lowerLetter"/>
      <w:start w:val="1"/>
    </w:lvl>
  </w:abstractNum>
  <w:abstractNum w:abstractNumId="91">
    <w:nsid w:val="78B5E776"/>
    <w:multiLevelType w:val="hybridMultilevel"/>
    <w:lvl w:ilvl="0">
      <w:lvlJc w:val="left"/>
      <w:lvlText w:val="%1."/>
      <w:numFmt w:val="decimal"/>
      <w:start w:val="17"/>
    </w:lvl>
  </w:abstractNum>
  <w:abstractNum w:abstractNumId="92">
    <w:nsid w:val="75486E47"/>
    <w:multiLevelType w:val="hybridMultilevel"/>
    <w:lvl w:ilvl="0">
      <w:lvlJc w:val="left"/>
      <w:lvlText w:val="%1."/>
      <w:numFmt w:val="decimal"/>
      <w:start w:val="18"/>
    </w:lvl>
    <w:lvl w:ilvl="1">
      <w:lvlJc w:val="left"/>
      <w:lvlText w:val="(%2)"/>
      <w:numFmt w:val="lowerLetter"/>
      <w:start w:val="1"/>
    </w:lvl>
  </w:abstractNum>
  <w:abstractNum w:abstractNumId="93">
    <w:nsid w:val="6E534CDE"/>
    <w:multiLevelType w:val="hybridMultilevel"/>
    <w:lvl w:ilvl="0">
      <w:lvlJc w:val="left"/>
      <w:lvlText w:val="%1."/>
      <w:numFmt w:val="decimal"/>
      <w:start w:val="19"/>
    </w:lvl>
  </w:abstractNum>
  <w:abstractNum w:abstractNumId="94">
    <w:nsid w:val="1A0DDE32"/>
    <w:multiLevelType w:val="hybridMultilevel"/>
    <w:lvl w:ilvl="0">
      <w:lvlJc w:val="left"/>
      <w:lvlText w:val="%1."/>
      <w:numFmt w:val="decimal"/>
      <w:start w:val="20"/>
    </w:lvl>
  </w:abstractNum>
  <w:abstractNum w:abstractNumId="95">
    <w:nsid w:val="65968C1C"/>
    <w:multiLevelType w:val="hybridMultilevel"/>
    <w:lvl w:ilvl="0">
      <w:lvlJc w:val="left"/>
      <w:lvlText w:val="%1."/>
      <w:numFmt w:val="decimal"/>
      <w:start w:val="21"/>
    </w:lvl>
  </w:abstractNum>
  <w:abstractNum w:abstractNumId="96">
    <w:nsid w:val="46263DEC"/>
    <w:multiLevelType w:val="hybridMultilevel"/>
    <w:lvl w:ilvl="0">
      <w:lvlJc w:val="left"/>
      <w:lvlText w:val="%1."/>
      <w:numFmt w:val="decimal"/>
      <w:start w:val="1"/>
    </w:lvl>
    <w:lvl w:ilvl="1">
      <w:lvlJc w:val="left"/>
      <w:lvlText w:val="(%2)"/>
      <w:numFmt w:val="lowerLetter"/>
      <w:start w:val="1"/>
    </w:lvl>
  </w:abstractNum>
  <w:abstractNum w:abstractNumId="97">
    <w:nsid w:val="260D8C4A"/>
    <w:multiLevelType w:val="hybridMultilevel"/>
    <w:lvl w:ilvl="0">
      <w:lvlJc w:val="left"/>
      <w:lvlText w:val="%1"/>
      <w:numFmt w:val="decimal"/>
      <w:start w:val="1"/>
    </w:lvl>
    <w:lvl w:ilvl="1">
      <w:lvlJc w:val="left"/>
      <w:lvlText w:val="(%2)"/>
      <w:numFmt w:val="lowerLetter"/>
      <w:start w:val="5"/>
    </w:lvl>
  </w:abstractNum>
  <w:abstractNum w:abstractNumId="98">
    <w:nsid w:val="73D4D3C4"/>
    <w:multiLevelType w:val="hybridMultilevel"/>
    <w:lvl w:ilvl="0">
      <w:lvlJc w:val="left"/>
      <w:lvlText w:val="%1."/>
      <w:numFmt w:val="decimal"/>
      <w:start w:val="2"/>
    </w:lvl>
    <w:lvl w:ilvl="1">
      <w:lvlJc w:val="left"/>
      <w:lvlText w:val="%2"/>
      <w:numFmt w:val="lowerLetter"/>
      <w:start w:val="1"/>
    </w:lvl>
  </w:abstractNum>
  <w:abstractNum w:abstractNumId="99">
    <w:nsid w:val="746F2E30"/>
    <w:multiLevelType w:val="hybridMultilevel"/>
    <w:lvl w:ilvl="0">
      <w:lvlJc w:val="left"/>
      <w:lvlText w:val="%1."/>
      <w:numFmt w:val="decimal"/>
      <w:start w:val="3"/>
    </w:lvl>
  </w:abstractNum>
  <w:abstractNum w:abstractNumId="100">
    <w:nsid w:val="6FDE8AF6"/>
    <w:multiLevelType w:val="hybridMultilevel"/>
    <w:lvl w:ilvl="0">
      <w:lvlJc w:val="left"/>
      <w:lvlText w:val="%1."/>
      <w:numFmt w:val="decimal"/>
      <w:start w:val="4"/>
    </w:lvl>
  </w:abstractNum>
  <w:abstractNum w:abstractNumId="101">
    <w:nsid w:val="3FC32E20"/>
    <w:multiLevelType w:val="hybridMultilevel"/>
    <w:lvl w:ilvl="0">
      <w:lvlJc w:val="left"/>
      <w:lvlText w:val="%1."/>
      <w:numFmt w:val="decimal"/>
      <w:start w:val="5"/>
    </w:lvl>
    <w:lvl w:ilvl="1">
      <w:lvlJc w:val="left"/>
      <w:lvlText w:val="(%2)"/>
      <w:numFmt w:val="lowerLetter"/>
      <w:start w:val="1"/>
    </w:lvl>
  </w:abstractNum>
  <w:abstractNum w:abstractNumId="102">
    <w:nsid w:val="49C0E823"/>
    <w:multiLevelType w:val="hybridMultilevel"/>
    <w:lvl w:ilvl="0">
      <w:lvlJc w:val="left"/>
      <w:lvlText w:val="%1"/>
      <w:numFmt w:val="decimal"/>
      <w:start w:val="1"/>
    </w:lvl>
    <w:lvl w:ilvl="1">
      <w:lvlJc w:val="left"/>
      <w:lvlText w:val="(%2)"/>
      <w:numFmt w:val="lowerLetter"/>
      <w:start w:val="3"/>
    </w:lvl>
  </w:abstractNum>
  <w:abstractNum w:abstractNumId="103">
    <w:nsid w:val="14D53685"/>
    <w:multiLevelType w:val="hybridMultilevel"/>
    <w:lvl w:ilvl="0">
      <w:lvlJc w:val="left"/>
      <w:lvlText w:val="%1."/>
      <w:numFmt w:val="decimal"/>
      <w:start w:val="7"/>
    </w:lvl>
    <w:lvl w:ilvl="1">
      <w:lvlJc w:val="left"/>
      <w:lvlText w:val="(%2)"/>
      <w:numFmt w:val="lowerLetter"/>
      <w:start w:val="1"/>
    </w:lvl>
  </w:abstractNum>
  <w:abstractNum w:abstractNumId="104">
    <w:nsid w:val="230F856C"/>
    <w:multiLevelType w:val="hybridMultilevel"/>
    <w:lvl w:ilvl="0">
      <w:lvlJc w:val="left"/>
      <w:lvlText w:val="%1"/>
      <w:numFmt w:val="decimal"/>
      <w:start w:val="1"/>
    </w:lvl>
    <w:lvl w:ilvl="1">
      <w:lvlJc w:val="left"/>
      <w:lvlText w:val="(%2)"/>
      <w:numFmt w:val="lowerLetter"/>
      <w:start w:val="2"/>
    </w:lvl>
  </w:abstractNum>
  <w:abstractNum w:abstractNumId="105">
    <w:nsid w:val="6EAA85FB"/>
    <w:multiLevelType w:val="hybridMultilevel"/>
    <w:lvl w:ilvl="0">
      <w:lvlJc w:val="left"/>
      <w:lvlText w:val="%1."/>
      <w:numFmt w:val="decimal"/>
      <w:start w:val="8"/>
    </w:lvl>
    <w:lvl w:ilvl="1">
      <w:lvlJc w:val="left"/>
      <w:lvlText w:val="(%2)"/>
      <w:numFmt w:val="lowerLetter"/>
      <w:start w:val="1"/>
    </w:lvl>
  </w:abstractNum>
  <w:abstractNum w:abstractNumId="106">
    <w:nsid w:val="3F06ECB2"/>
    <w:multiLevelType w:val="hybridMultilevel"/>
    <w:lvl w:ilvl="0">
      <w:lvlJc w:val="left"/>
      <w:lvlText w:val="%1"/>
      <w:numFmt w:val="decimal"/>
      <w:start w:val="1"/>
    </w:lvl>
    <w:lvl w:ilvl="1">
      <w:lvlJc w:val="left"/>
      <w:lvlText w:val="(%2)"/>
      <w:numFmt w:val="lowerLetter"/>
      <w:start w:val="8"/>
    </w:lvl>
  </w:abstractNum>
  <w:abstractNum w:abstractNumId="107">
    <w:nsid w:val="3B594807"/>
    <w:multiLevelType w:val="hybridMultilevel"/>
    <w:lvl w:ilvl="0">
      <w:lvlJc w:val="left"/>
      <w:lvlText w:val="%1."/>
      <w:numFmt w:val="decimal"/>
      <w:start w:val="9"/>
    </w:lvl>
    <w:lvl w:ilvl="1">
      <w:lvlJc w:val="left"/>
      <w:lvlText w:val="%2"/>
      <w:numFmt w:val="lowerLetter"/>
      <w:start w:val="1"/>
    </w:lvl>
  </w:abstractNum>
  <w:abstractNum w:abstractNumId="108">
    <w:nsid w:val="6CAA2304"/>
    <w:multiLevelType w:val="hybridMultilevel"/>
    <w:lvl w:ilvl="0">
      <w:lvlJc w:val="left"/>
      <w:lvlText w:val="%1."/>
      <w:numFmt w:val="decimal"/>
      <w:start w:val="10"/>
    </w:lvl>
  </w:abstractNum>
  <w:abstractNum w:abstractNumId="109">
    <w:nsid w:val="3F7C2FF4"/>
    <w:multiLevelType w:val="hybridMultilevel"/>
    <w:lvl w:ilvl="0">
      <w:lvlJc w:val="left"/>
      <w:lvlText w:val="%1."/>
      <w:numFmt w:val="decimal"/>
      <w:start w:val="11"/>
    </w:lvl>
  </w:abstractNum>
  <w:abstractNum w:abstractNumId="110">
    <w:nsid w:val="25413BEC"/>
    <w:multiLevelType w:val="hybridMultilevel"/>
    <w:lvl w:ilvl="0">
      <w:lvlJc w:val="left"/>
      <w:lvlText w:val="%1."/>
      <w:numFmt w:val="decimal"/>
      <w:start w:val="12"/>
    </w:lvl>
    <w:lvl w:ilvl="1">
      <w:lvlJc w:val="left"/>
      <w:lvlText w:val="(%2)"/>
      <w:numFmt w:val="lowerLetter"/>
      <w:start w:val="1"/>
    </w:lvl>
  </w:abstractNum>
  <w:abstractNum w:abstractNumId="111">
    <w:nsid w:val="17180B0B"/>
    <w:multiLevelType w:val="hybridMultilevel"/>
    <w:lvl w:ilvl="0">
      <w:lvlJc w:val="left"/>
      <w:lvlText w:val="%1"/>
      <w:numFmt w:val="decimal"/>
      <w:start w:val="1"/>
    </w:lvl>
    <w:lvl w:ilvl="1">
      <w:lvlJc w:val="left"/>
      <w:lvlText w:val="(%2)"/>
      <w:numFmt w:val="lowerLetter"/>
      <w:start w:val="2"/>
    </w:lvl>
  </w:abstractNum>
  <w:abstractNum w:abstractNumId="112">
    <w:nsid w:val="579328B9"/>
    <w:multiLevelType w:val="hybridMultilevel"/>
    <w:lvl w:ilvl="0">
      <w:lvlJc w:val="left"/>
      <w:lvlText w:val="%1."/>
      <w:numFmt w:val="decimal"/>
      <w:start w:val="13"/>
    </w:lvl>
    <w:lvl w:ilvl="1">
      <w:lvlJc w:val="left"/>
      <w:lvlText w:val="(%2)"/>
      <w:numFmt w:val="lowerLetter"/>
      <w:start w:val="1"/>
    </w:lvl>
  </w:abstractNum>
  <w:abstractNum w:abstractNumId="113">
    <w:nsid w:val="5D205E20"/>
    <w:multiLevelType w:val="hybridMultilevel"/>
    <w:lvl w:ilvl="0">
      <w:lvlJc w:val="left"/>
      <w:lvlText w:val="%1"/>
      <w:numFmt w:val="decimal"/>
      <w:start w:val="1"/>
    </w:lvl>
    <w:lvl w:ilvl="1">
      <w:lvlJc w:val="left"/>
      <w:lvlText w:val="(%2)"/>
      <w:numFmt w:val="lowerLetter"/>
      <w:start w:val="3"/>
    </w:lvl>
  </w:abstractNum>
  <w:abstractNum w:abstractNumId="114">
    <w:nsid w:val="11CCA8BA"/>
    <w:multiLevelType w:val="hybridMultilevel"/>
    <w:lvl w:ilvl="0">
      <w:lvlJc w:val="left"/>
      <w:lvlText w:val="%1."/>
      <w:numFmt w:val="decimal"/>
      <w:start w:val="15"/>
    </w:lvl>
    <w:lvl w:ilvl="1">
      <w:lvlJc w:val="left"/>
      <w:lvlText w:val="(%2)"/>
      <w:numFmt w:val="lowerLetter"/>
      <w:start w:val="1"/>
    </w:lvl>
  </w:abstractNum>
  <w:abstractNum w:abstractNumId="115">
    <w:nsid w:val="4D32AB86"/>
    <w:multiLevelType w:val="hybridMultilevel"/>
    <w:lvl w:ilvl="0">
      <w:lvlJc w:val="left"/>
      <w:lvlText w:val="%1."/>
      <w:numFmt w:val="decimal"/>
      <w:start w:val="17"/>
    </w:lvl>
  </w:abstractNum>
  <w:abstractNum w:abstractNumId="116">
    <w:nsid w:val="3F07ACC3"/>
    <w:multiLevelType w:val="hybridMultilevel"/>
    <w:lvl w:ilvl="0">
      <w:lvlJc w:val="left"/>
      <w:lvlText w:val="%1."/>
      <w:numFmt w:val="decimal"/>
      <w:start w:val="1"/>
    </w:lvl>
    <w:lvl w:ilvl="1">
      <w:lvlJc w:val="left"/>
      <w:lvlText w:val="(%2)"/>
      <w:numFmt w:val="lowerLetter"/>
      <w:start w:val="1"/>
    </w:lvl>
  </w:abstractNum>
  <w:abstractNum w:abstractNumId="117">
    <w:nsid w:val="6B47F63E"/>
    <w:multiLevelType w:val="hybridMultilevel"/>
    <w:lvl w:ilvl="0">
      <w:lvlJc w:val="left"/>
      <w:lvlText w:val="%1"/>
      <w:numFmt w:val="decimal"/>
      <w:start w:val="1"/>
    </w:lvl>
    <w:lvl w:ilvl="1">
      <w:lvlJc w:val="left"/>
      <w:lvlText w:val="(%2)"/>
      <w:numFmt w:val="lowerLetter"/>
      <w:start w:val="4"/>
    </w:lvl>
  </w:abstractNum>
  <w:abstractNum w:abstractNumId="118">
    <w:nsid w:val="5CB44A05"/>
    <w:multiLevelType w:val="hybridMultilevel"/>
    <w:lvl w:ilvl="0">
      <w:lvlJc w:val="left"/>
      <w:lvlText w:val="%1."/>
      <w:numFmt w:val="decimal"/>
      <w:start w:val="2"/>
    </w:lvl>
    <w:lvl w:ilvl="1">
      <w:lvlJc w:val="left"/>
      <w:lvlText w:val="%2"/>
      <w:numFmt w:val="lowerLetter"/>
      <w:start w:val="1"/>
    </w:lvl>
  </w:abstractNum>
  <w:abstractNum w:abstractNumId="119">
    <w:nsid w:val="16CF80F1"/>
    <w:multiLevelType w:val="hybridMultilevel"/>
    <w:lvl w:ilvl="0">
      <w:lvlJc w:val="left"/>
      <w:lvlText w:val="%1."/>
      <w:numFmt w:val="decimal"/>
      <w:start w:val="3"/>
    </w:lvl>
  </w:abstractNum>
  <w:abstractNum w:abstractNumId="120">
    <w:nsid w:val="1C695DEC"/>
    <w:multiLevelType w:val="hybridMultilevel"/>
    <w:lvl w:ilvl="0">
      <w:lvlJc w:val="left"/>
      <w:lvlText w:val="%1."/>
      <w:numFmt w:val="decimal"/>
      <w:start w:val="4"/>
    </w:lvl>
  </w:abstractNum>
  <w:abstractNum w:abstractNumId="121">
    <w:nsid w:val="3FCFAED9"/>
    <w:multiLevelType w:val="hybridMultilevel"/>
    <w:lvl w:ilvl="0">
      <w:lvlJc w:val="left"/>
      <w:lvlText w:val="%1."/>
      <w:numFmt w:val="decimal"/>
      <w:start w:val="5"/>
    </w:lvl>
    <w:lvl w:ilvl="1">
      <w:lvlJc w:val="left"/>
      <w:lvlText w:val="(%2)"/>
      <w:numFmt w:val="lowerLetter"/>
      <w:start w:val="1"/>
    </w:lvl>
  </w:abstractNum>
  <w:abstractNum w:abstractNumId="122">
    <w:nsid w:val="F856867"/>
    <w:multiLevelType w:val="hybridMultilevel"/>
    <w:lvl w:ilvl="0">
      <w:lvlJc w:val="left"/>
      <w:lvlText w:val="%1."/>
      <w:numFmt w:val="decimal"/>
      <w:start w:val="6"/>
    </w:lvl>
  </w:abstractNum>
  <w:abstractNum w:abstractNumId="123">
    <w:nsid w:val="11B1CC33"/>
    <w:multiLevelType w:val="hybridMultilevel"/>
    <w:lvl w:ilvl="0">
      <w:lvlJc w:val="left"/>
      <w:lvlText w:val="%1."/>
      <w:numFmt w:val="decimal"/>
      <w:start w:val="7"/>
    </w:lvl>
    <w:lvl w:ilvl="1">
      <w:lvlJc w:val="left"/>
      <w:lvlText w:val="(%2)"/>
      <w:numFmt w:val="lowerLetter"/>
      <w:start w:val="1"/>
    </w:lvl>
  </w:abstractNum>
  <w:abstractNum w:abstractNumId="124">
    <w:nsid w:val="2E22FBB7"/>
    <w:multiLevelType w:val="hybridMultilevel"/>
    <w:lvl w:ilvl="0">
      <w:lvlJc w:val="left"/>
      <w:lvlText w:val="%1."/>
      <w:numFmt w:val="decimal"/>
      <w:start w:val="8"/>
    </w:lvl>
    <w:lvl w:ilvl="1">
      <w:lvlJc w:val="left"/>
      <w:lvlText w:val="(%2)"/>
      <w:numFmt w:val="lowerLetter"/>
      <w:start w:val="1"/>
    </w:lvl>
  </w:abstractNum>
  <w:abstractNum w:abstractNumId="125">
    <w:nsid w:val="29934699"/>
    <w:multiLevelType w:val="hybridMultilevel"/>
    <w:lvl w:ilvl="0">
      <w:lvlJc w:val="left"/>
      <w:lvlText w:val="%1."/>
      <w:numFmt w:val="decimal"/>
      <w:start w:val="9"/>
    </w:lvl>
    <w:lvl w:ilvl="1">
      <w:lvlJc w:val="left"/>
      <w:lvlText w:val="(%2)"/>
      <w:numFmt w:val="lowerLetter"/>
      <w:start w:val="1"/>
    </w:lvl>
  </w:abstractNum>
  <w:abstractNum w:abstractNumId="126">
    <w:nsid w:val="77485850"/>
    <w:multiLevelType w:val="hybridMultilevel"/>
    <w:lvl w:ilvl="0">
      <w:lvlJc w:val="left"/>
      <w:lvlText w:val="%1."/>
      <w:numFmt w:val="decimal"/>
      <w:start w:val="10"/>
    </w:lvl>
  </w:abstractNum>
  <w:abstractNum w:abstractNumId="127">
    <w:nsid w:val="744939A3"/>
    <w:multiLevelType w:val="hybridMultilevel"/>
    <w:lvl w:ilvl="0">
      <w:lvlJc w:val="left"/>
      <w:lvlText w:val="%1."/>
      <w:numFmt w:val="decimal"/>
      <w:start w:val="11"/>
    </w:lvl>
  </w:abstractNum>
  <w:abstractNum w:abstractNumId="128">
    <w:nsid w:val="4FA0D2E3"/>
    <w:multiLevelType w:val="hybridMultilevel"/>
    <w:lvl w:ilvl="0">
      <w:lvlJc w:val="left"/>
      <w:lvlText w:val="%1."/>
      <w:numFmt w:val="decimal"/>
      <w:start w:val="12"/>
    </w:lvl>
  </w:abstractNum>
  <w:abstractNum w:abstractNumId="129">
    <w:nsid w:val="6B1D2C14"/>
    <w:multiLevelType w:val="hybridMultilevel"/>
    <w:lvl w:ilvl="0">
      <w:lvlJc w:val="left"/>
      <w:lvlText w:val="%1."/>
      <w:numFmt w:val="decimal"/>
      <w:start w:val="13"/>
    </w:lvl>
    <w:lvl w:ilvl="1">
      <w:lvlJc w:val="left"/>
      <w:lvlText w:val="(%2)"/>
      <w:numFmt w:val="lowerLetter"/>
      <w:start w:val="1"/>
    </w:lvl>
  </w:abstractNum>
  <w:abstractNum w:abstractNumId="130">
    <w:nsid w:val="68B867D3"/>
    <w:multiLevelType w:val="hybridMultilevel"/>
    <w:lvl w:ilvl="0">
      <w:lvlJc w:val="left"/>
      <w:lvlText w:val="%1"/>
      <w:numFmt w:val="decimal"/>
      <w:start w:val="1"/>
    </w:lvl>
    <w:lvl w:ilvl="1">
      <w:lvlJc w:val="left"/>
      <w:lvlText w:val="(%2)"/>
      <w:numFmt w:val="lowerLetter"/>
      <w:start w:val="2"/>
    </w:lvl>
  </w:abstractNum>
  <w:abstractNum w:abstractNumId="131">
    <w:nsid w:val="3F7F5DD9"/>
    <w:multiLevelType w:val="hybridMultilevel"/>
    <w:lvl w:ilvl="0">
      <w:lvlJc w:val="left"/>
      <w:lvlText w:val="%1."/>
      <w:numFmt w:val="decimal"/>
      <w:start w:val="14"/>
    </w:lvl>
    <w:lvl w:ilvl="1">
      <w:lvlJc w:val="left"/>
      <w:lvlText w:val="(%2)"/>
      <w:numFmt w:val="lowerLetter"/>
      <w:start w:val="1"/>
    </w:lvl>
  </w:abstractNum>
  <w:abstractNum w:abstractNumId="132">
    <w:nsid w:val="2AE05A34"/>
    <w:multiLevelType w:val="hybridMultilevel"/>
    <w:lvl w:ilvl="0">
      <w:lvlJc w:val="left"/>
      <w:lvlText w:val="%1."/>
      <w:numFmt w:val="decimal"/>
      <w:start w:val="16"/>
    </w:lvl>
    <w:lvl w:ilvl="1">
      <w:lvlJc w:val="left"/>
      <w:lvlText w:val="(%2)"/>
      <w:numFmt w:val="lowerLetter"/>
      <w:start w:val="1"/>
    </w:lvl>
  </w:abstractNum>
  <w:abstractNum w:abstractNumId="133">
    <w:nsid w:val="32794FF7"/>
    <w:multiLevelType w:val="hybridMultilevel"/>
    <w:lvl w:ilvl="0">
      <w:lvlJc w:val="left"/>
      <w:lvlText w:val="%1"/>
      <w:numFmt w:val="decimal"/>
      <w:start w:val="1"/>
    </w:lvl>
    <w:lvl w:ilvl="1">
      <w:lvlJc w:val="left"/>
      <w:lvlText w:val="(%2)"/>
      <w:numFmt w:val="lowerLetter"/>
      <w:start w:val="2"/>
    </w:lvl>
  </w:abstractNum>
  <w:abstractNum w:abstractNumId="134">
    <w:nsid w:val="5454945E"/>
    <w:multiLevelType w:val="hybridMultilevel"/>
    <w:lvl w:ilvl="0">
      <w:lvlJc w:val="left"/>
      <w:lvlText w:val="%1."/>
      <w:numFmt w:val="decimal"/>
      <w:start w:val="17"/>
    </w:lvl>
    <w:lvl w:ilvl="1">
      <w:lvlJc w:val="left"/>
      <w:lvlText w:val="%2"/>
      <w:numFmt w:val="lowerLetter"/>
      <w:start w:val="1"/>
    </w:lvl>
  </w:abstractNum>
  <w:abstractNum w:abstractNumId="135">
    <w:nsid w:val="4DEFDFA0"/>
    <w:multiLevelType w:val="hybridMultilevel"/>
    <w:lvl w:ilvl="0">
      <w:lvlJc w:val="left"/>
      <w:lvlText w:val="%1."/>
      <w:numFmt w:val="decimal"/>
      <w:start w:val="18"/>
    </w:lvl>
  </w:abstractNum>
  <w:abstractNum w:abstractNumId="136">
    <w:nsid w:val="2123D5F2"/>
    <w:multiLevelType w:val="hybridMultilevel"/>
    <w:lvl w:ilvl="0">
      <w:lvlJc w:val="left"/>
      <w:lvlText w:val="%1."/>
      <w:numFmt w:val="decimal"/>
      <w:start w:val="1"/>
    </w:lvl>
    <w:lvl w:ilvl="1">
      <w:lvlJc w:val="left"/>
      <w:lvlText w:val="(%2)"/>
      <w:numFmt w:val="lowerLetter"/>
      <w:start w:val="1"/>
    </w:lvl>
  </w:abstractNum>
  <w:abstractNum w:abstractNumId="137">
    <w:nsid w:val="135B8110"/>
    <w:multiLevelType w:val="hybridMultilevel"/>
    <w:lvl w:ilvl="0">
      <w:lvlJc w:val="left"/>
      <w:lvlText w:val="(%1)"/>
      <w:numFmt w:val="lowerLetter"/>
      <w:start w:val="9"/>
    </w:lvl>
    <w:lvl w:ilvl="1">
      <w:lvlJc w:val="left"/>
      <w:lvlText w:val="(%2)"/>
      <w:numFmt w:val="lowerLetter"/>
      <w:start w:val="5"/>
    </w:lvl>
  </w:abstractNum>
  <w:abstractNum w:abstractNumId="138">
    <w:nsid w:val="94927A8"/>
    <w:multiLevelType w:val="hybridMultilevel"/>
    <w:lvl w:ilvl="0">
      <w:lvlJc w:val="left"/>
      <w:lvlText w:val="%1."/>
      <w:numFmt w:val="decimal"/>
      <w:start w:val="2"/>
    </w:lvl>
  </w:abstractNum>
  <w:abstractNum w:abstractNumId="139">
    <w:nsid w:val="DCDF8F6"/>
    <w:multiLevelType w:val="hybridMultilevel"/>
    <w:lvl w:ilvl="0">
      <w:lvlJc w:val="left"/>
      <w:lvlText w:val="%1."/>
      <w:numFmt w:val="decimal"/>
      <w:start w:val="3"/>
    </w:lvl>
  </w:abstractNum>
  <w:abstractNum w:abstractNumId="140">
    <w:nsid w:val="52D7B105"/>
    <w:multiLevelType w:val="hybridMultilevel"/>
    <w:lvl w:ilvl="0">
      <w:lvlJc w:val="left"/>
      <w:lvlText w:val="%1."/>
      <w:numFmt w:val="decimal"/>
      <w:start w:val="4"/>
    </w:lvl>
  </w:abstractNum>
  <w:abstractNum w:abstractNumId="141">
    <w:nsid w:val="2E8A6394"/>
    <w:multiLevelType w:val="hybridMultilevel"/>
    <w:lvl w:ilvl="0">
      <w:lvlJc w:val="left"/>
      <w:lvlText w:val="%1."/>
      <w:numFmt w:val="decimal"/>
      <w:start w:val="5"/>
    </w:lvl>
    <w:lvl w:ilvl="1">
      <w:lvlJc w:val="left"/>
      <w:lvlText w:val="(%2)"/>
      <w:numFmt w:val="lowerLetter"/>
      <w:start w:val="1"/>
    </w:lvl>
  </w:abstractNum>
  <w:abstractNum w:abstractNumId="142">
    <w:nsid w:val="24E60401"/>
    <w:multiLevelType w:val="hybridMultilevel"/>
    <w:lvl w:ilvl="0">
      <w:lvlJc w:val="left"/>
      <w:lvlText w:val="(%1)"/>
      <w:numFmt w:val="lowerLetter"/>
      <w:start w:val="2"/>
    </w:lvl>
  </w:abstractNum>
  <w:abstractNum w:abstractNumId="143">
    <w:nsid w:val="2A6AD9BE"/>
    <w:multiLevelType w:val="hybridMultilevel"/>
    <w:lvl w:ilvl="0">
      <w:lvlJc w:val="left"/>
      <w:lvlText w:val="%1."/>
      <w:numFmt w:val="decimal"/>
      <w:start w:val="7"/>
    </w:lvl>
    <w:lvl w:ilvl="1">
      <w:lvlJc w:val="left"/>
      <w:lvlText w:val="(%2)"/>
      <w:numFmt w:val="lowerLetter"/>
      <w:start w:val="1"/>
    </w:lvl>
  </w:abstractNum>
  <w:abstractNum w:abstractNumId="144">
    <w:nsid w:val="BAAC1B4"/>
    <w:multiLevelType w:val="hybridMultilevel"/>
    <w:lvl w:ilvl="0">
      <w:lvlJc w:val="left"/>
      <w:lvlText w:val="%1"/>
      <w:numFmt w:val="decimal"/>
      <w:start w:val="1"/>
    </w:lvl>
    <w:lvl w:ilvl="1">
      <w:lvlJc w:val="left"/>
      <w:lvlText w:val="(%2)"/>
      <w:numFmt w:val="lowerLetter"/>
      <w:start w:val="7"/>
    </w:lvl>
  </w:abstractNum>
  <w:abstractNum w:abstractNumId="145">
    <w:nsid w:val="36B2ACBC"/>
    <w:multiLevelType w:val="hybridMultilevel"/>
    <w:lvl w:ilvl="0">
      <w:lvlJc w:val="left"/>
      <w:lvlText w:val="%1."/>
      <w:numFmt w:val="decimal"/>
      <w:start w:val="9"/>
    </w:lvl>
    <w:lvl w:ilvl="1">
      <w:lvlJc w:val="left"/>
      <w:lvlText w:val="%2"/>
      <w:numFmt w:val="lowerLetter"/>
      <w:start w:val="1"/>
    </w:lvl>
  </w:abstractNum>
  <w:abstractNum w:abstractNumId="146">
    <w:nsid w:val="779D8544"/>
    <w:multiLevelType w:val="hybridMultilevel"/>
    <w:lvl w:ilvl="0">
      <w:lvlJc w:val="left"/>
      <w:lvlText w:val="%1."/>
      <w:numFmt w:val="decimal"/>
      <w:start w:val="10"/>
    </w:lvl>
  </w:abstractNum>
  <w:abstractNum w:abstractNumId="147">
    <w:nsid w:val="4AB26E78"/>
    <w:multiLevelType w:val="hybridMultilevel"/>
    <w:lvl w:ilvl="0">
      <w:lvlJc w:val="left"/>
      <w:lvlText w:val="%1."/>
      <w:numFmt w:val="decimal"/>
      <w:start w:val="11"/>
    </w:lvl>
  </w:abstractNum>
  <w:abstractNum w:abstractNumId="148">
    <w:nsid w:val="21FAA2FA"/>
    <w:multiLevelType w:val="hybridMultilevel"/>
    <w:lvl w:ilvl="0">
      <w:lvlJc w:val="left"/>
      <w:lvlText w:val="%1."/>
      <w:numFmt w:val="decimal"/>
      <w:start w:val="12"/>
    </w:lvl>
    <w:lvl w:ilvl="1">
      <w:lvlJc w:val="left"/>
      <w:lvlText w:val="(%2)"/>
      <w:numFmt w:val="lowerLetter"/>
      <w:start w:val="1"/>
    </w:lvl>
  </w:abstractNum>
  <w:abstractNum w:abstractNumId="149">
    <w:nsid w:val="5451CF49"/>
    <w:multiLevelType w:val="hybridMultilevel"/>
    <w:lvl w:ilvl="0">
      <w:lvlJc w:val="left"/>
      <w:lvlText w:val="%1."/>
      <w:numFmt w:val="decimal"/>
      <w:start w:val="15"/>
    </w:lvl>
  </w:abstractNum>
  <w:abstractNum w:abstractNumId="150">
    <w:nsid w:val="6181EF69"/>
    <w:multiLevelType w:val="hybridMultilevel"/>
    <w:lvl w:ilvl="0">
      <w:lvlJc w:val="left"/>
      <w:lvlText w:val="%1."/>
      <w:numFmt w:val="decimal"/>
      <w:start w:val="16"/>
    </w:lvl>
  </w:abstractNum>
  <w:abstractNum w:abstractNumId="151">
    <w:nsid w:val="3E6400E6"/>
    <w:multiLevelType w:val="hybridMultilevel"/>
    <w:lvl w:ilvl="0">
      <w:lvlJc w:val="left"/>
      <w:lvlText w:val="%1."/>
      <w:numFmt w:val="decimal"/>
      <w:start w:val="17"/>
    </w:lvl>
  </w:abstractNum>
  <w:abstractNum w:abstractNumId="152">
    <w:nsid w:val="14217E23"/>
    <w:multiLevelType w:val="hybridMultilevel"/>
    <w:lvl w:ilvl="0">
      <w:lvlJc w:val="left"/>
      <w:lvlText w:val="%1."/>
      <w:numFmt w:val="decimal"/>
      <w:start w:val="18"/>
    </w:lvl>
    <w:lvl w:ilvl="1">
      <w:lvlJc w:val="left"/>
      <w:lvlText w:val="(%2)"/>
      <w:numFmt w:val="lowerLetter"/>
      <w:start w:val="1"/>
    </w:lvl>
  </w:abstractNum>
  <w:abstractNum w:abstractNumId="153">
    <w:nsid w:val="710757D0"/>
    <w:multiLevelType w:val="hybridMultilevel"/>
    <w:lvl w:ilvl="0">
      <w:lvlJc w:val="left"/>
      <w:lvlText w:val="%1"/>
      <w:numFmt w:val="decimal"/>
      <w:start w:val="1"/>
    </w:lvl>
    <w:lvl w:ilvl="1">
      <w:lvlJc w:val="left"/>
      <w:lvlText w:val="(%2)"/>
      <w:numFmt w:val="lowerLetter"/>
      <w:start w:val="3"/>
    </w:lvl>
  </w:abstractNum>
  <w:abstractNum w:abstractNumId="154">
    <w:nsid w:val="5015CD1A"/>
    <w:multiLevelType w:val="hybridMultilevel"/>
    <w:lvl w:ilvl="0">
      <w:lvlJc w:val="left"/>
      <w:lvlText w:val="%1."/>
      <w:numFmt w:val="decimal"/>
      <w:start w:val="19"/>
    </w:lvl>
    <w:lvl w:ilvl="1">
      <w:lvlJc w:val="left"/>
      <w:lvlText w:val="%2"/>
      <w:numFmt w:val="lowerLetter"/>
      <w:start w:val="1"/>
    </w:lvl>
  </w:abstractNum>
  <w:abstractNum w:abstractNumId="155">
    <w:nsid w:val="424479DA"/>
    <w:multiLevelType w:val="hybridMultilevel"/>
    <w:lvl w:ilvl="0">
      <w:lvlJc w:val="left"/>
      <w:lvlText w:val="(%1)"/>
      <w:numFmt w:val="lowerLetter"/>
      <w:start w:val="4"/>
    </w:lvl>
  </w:abstractNum>
  <w:abstractNum w:abstractNumId="156">
    <w:nsid w:val="1A9A9E69"/>
    <w:multiLevelType w:val="hybridMultilevel"/>
    <w:lvl w:ilvl="0">
      <w:lvlJc w:val="left"/>
      <w:lvlText w:val="%1."/>
      <w:numFmt w:val="decimal"/>
      <w:start w:val="1"/>
    </w:lvl>
    <w:lvl w:ilvl="1">
      <w:lvlJc w:val="left"/>
      <w:lvlText w:val="(%2)"/>
      <w:numFmt w:val="lowerLetter"/>
      <w:start w:val="1"/>
    </w:lvl>
  </w:abstractNum>
  <w:abstractNum w:abstractNumId="157">
    <w:nsid w:val="475E256A"/>
    <w:multiLevelType w:val="hybridMultilevel"/>
    <w:lvl w:ilvl="0">
      <w:lvlJc w:val="left"/>
      <w:lvlText w:val="%1."/>
      <w:numFmt w:val="decimal"/>
      <w:start w:val="3"/>
    </w:lvl>
  </w:abstractNum>
  <w:abstractNum w:abstractNumId="158">
    <w:nsid w:val="368DB37E"/>
    <w:multiLevelType w:val="hybridMultilevel"/>
    <w:lvl w:ilvl="0">
      <w:lvlJc w:val="left"/>
      <w:lvlText w:val="%1."/>
      <w:numFmt w:val="decimal"/>
      <w:start w:val="4"/>
    </w:lvl>
  </w:abstractNum>
  <w:abstractNum w:abstractNumId="159">
    <w:nsid w:val="6A3B714C"/>
    <w:multiLevelType w:val="hybridMultilevel"/>
    <w:lvl w:ilvl="0">
      <w:lvlJc w:val="left"/>
      <w:lvlText w:val="%1."/>
      <w:numFmt w:val="decimal"/>
      <w:start w:val="5"/>
    </w:lvl>
    <w:lvl w:ilvl="1">
      <w:lvlJc w:val="left"/>
      <w:lvlText w:val="(%2)"/>
      <w:numFmt w:val="lowerLetter"/>
      <w:start w:val="1"/>
    </w:lvl>
  </w:abstractNum>
  <w:abstractNum w:abstractNumId="160">
    <w:nsid w:val="327B517E"/>
    <w:multiLevelType w:val="hybridMultilevel"/>
    <w:lvl w:ilvl="0">
      <w:lvlJc w:val="left"/>
      <w:lvlText w:val="%1"/>
      <w:numFmt w:val="decimal"/>
      <w:start w:val="1"/>
    </w:lvl>
    <w:lvl w:ilvl="1">
      <w:lvlJc w:val="left"/>
      <w:lvlText w:val="(%2)"/>
      <w:numFmt w:val="lowerLetter"/>
      <w:start w:val="3"/>
    </w:lvl>
  </w:abstractNum>
  <w:abstractNum w:abstractNumId="161">
    <w:nsid w:val="1F461B51"/>
    <w:multiLevelType w:val="hybridMultilevel"/>
    <w:lvl w:ilvl="0">
      <w:lvlJc w:val="left"/>
      <w:lvlText w:val="%1."/>
      <w:numFmt w:val="decimal"/>
      <w:start w:val="6"/>
    </w:lvl>
    <w:lvl w:ilvl="1">
      <w:lvlJc w:val="left"/>
      <w:lvlText w:val="(%2)"/>
      <w:numFmt w:val="lowerLetter"/>
      <w:start w:val="1"/>
    </w:lvl>
  </w:abstractNum>
  <w:abstractNum w:abstractNumId="162">
    <w:nsid w:val="29BACF25"/>
    <w:multiLevelType w:val="hybridMultilevel"/>
    <w:lvl w:ilvl="0">
      <w:lvlJc w:val="left"/>
      <w:lvlText w:val="%1"/>
      <w:numFmt w:val="decimal"/>
      <w:start w:val="1"/>
    </w:lvl>
    <w:lvl w:ilvl="1">
      <w:lvlJc w:val="left"/>
      <w:lvlText w:val="(%2)"/>
      <w:numFmt w:val="lowerLetter"/>
      <w:start w:val="4"/>
    </w:lvl>
  </w:abstractNum>
  <w:abstractNum w:abstractNumId="163">
    <w:nsid w:val="5D5BABB3"/>
    <w:multiLevelType w:val="hybridMultilevel"/>
    <w:lvl w:ilvl="0">
      <w:lvlJc w:val="left"/>
      <w:lvlText w:val="%1."/>
      <w:numFmt w:val="decimal"/>
      <w:start w:val="7"/>
    </w:lvl>
    <w:lvl w:ilvl="1">
      <w:lvlJc w:val="left"/>
      <w:lvlText w:val="(%2)"/>
      <w:numFmt w:val="lowerLetter"/>
      <w:start w:val="1"/>
    </w:lvl>
  </w:abstractNum>
  <w:abstractNum w:abstractNumId="164">
    <w:nsid w:val="51BF6B48"/>
    <w:multiLevelType w:val="hybridMultilevel"/>
    <w:lvl w:ilvl="0">
      <w:lvlJc w:val="left"/>
      <w:lvlText w:val="%1"/>
      <w:numFmt w:val="decimal"/>
      <w:start w:val="1"/>
    </w:lvl>
    <w:lvl w:ilvl="1">
      <w:lvlJc w:val="left"/>
      <w:lvlText w:val="(%2)"/>
      <w:numFmt w:val="lowerLetter"/>
      <w:start w:val="3"/>
    </w:lvl>
  </w:abstractNum>
  <w:abstractNum w:abstractNumId="165">
    <w:nsid w:val="7E0F6384"/>
    <w:multiLevelType w:val="hybridMultilevel"/>
    <w:lvl w:ilvl="0">
      <w:lvlJc w:val="left"/>
      <w:lvlText w:val="%1."/>
      <w:numFmt w:val="decimal"/>
      <w:start w:val="9"/>
    </w:lvl>
    <w:lvl w:ilvl="1">
      <w:lvlJc w:val="left"/>
      <w:lvlText w:val="%2"/>
      <w:numFmt w:val="lowerLetter"/>
      <w:start w:val="1"/>
    </w:lvl>
  </w:abstractNum>
  <w:abstractNum w:abstractNumId="166">
    <w:nsid w:val="2B4B8B53"/>
    <w:multiLevelType w:val="hybridMultilevel"/>
    <w:lvl w:ilvl="0">
      <w:lvlJc w:val="left"/>
      <w:lvlText w:val="%1."/>
      <w:numFmt w:val="decimal"/>
      <w:start w:val="10"/>
    </w:lvl>
  </w:abstractNum>
  <w:abstractNum w:abstractNumId="167">
    <w:nsid w:val="72E3413A"/>
    <w:multiLevelType w:val="hybridMultilevel"/>
    <w:lvl w:ilvl="0">
      <w:lvlJc w:val="left"/>
      <w:lvlText w:val="%1."/>
      <w:numFmt w:val="decimal"/>
      <w:start w:val="11"/>
    </w:lvl>
  </w:abstractNum>
  <w:abstractNum w:abstractNumId="168">
    <w:nsid w:val="116AE494"/>
    <w:multiLevelType w:val="hybridMultilevel"/>
    <w:lvl w:ilvl="0">
      <w:lvlJc w:val="left"/>
      <w:lvlText w:val="%1."/>
      <w:numFmt w:val="decimal"/>
      <w:start w:val="12"/>
    </w:lvl>
    <w:lvl w:ilvl="1">
      <w:lvlJc w:val="left"/>
      <w:lvlText w:val="(%2)"/>
      <w:numFmt w:val="lowerLetter"/>
      <w:start w:val="1"/>
    </w:lvl>
  </w:abstractNum>
  <w:abstractNum w:abstractNumId="169">
    <w:nsid w:val="3494B2FB"/>
    <w:multiLevelType w:val="hybridMultilevel"/>
    <w:lvl w:ilvl="0">
      <w:lvlJc w:val="left"/>
      <w:lvlText w:val="%1."/>
      <w:numFmt w:val="decimal"/>
      <w:start w:val="14"/>
    </w:lvl>
    <w:lvl w:ilvl="1">
      <w:lvlJc w:val="left"/>
      <w:lvlText w:val="(%2)"/>
      <w:numFmt w:val="lowerLetter"/>
      <w:start w:val="1"/>
    </w:lvl>
  </w:abstractNum>
  <w:abstractNum w:abstractNumId="170">
    <w:nsid w:val="B13A31"/>
    <w:multiLevelType w:val="hybridMultilevel"/>
    <w:lvl w:ilvl="0">
      <w:lvlJc w:val="left"/>
      <w:lvlText w:val="%1"/>
      <w:numFmt w:val="decimal"/>
      <w:start w:val="1"/>
    </w:lvl>
    <w:lvl w:ilvl="1">
      <w:lvlJc w:val="left"/>
      <w:lvlText w:val="(%2)"/>
      <w:numFmt w:val="lowerLetter"/>
      <w:start w:val="2"/>
    </w:lvl>
  </w:abstractNum>
  <w:abstractNum w:abstractNumId="171">
    <w:nsid w:val="64429599"/>
    <w:multiLevelType w:val="hybridMultilevel"/>
    <w:lvl w:ilvl="0">
      <w:lvlJc w:val="left"/>
      <w:lvlText w:val="%1."/>
      <w:numFmt w:val="decimal"/>
      <w:start w:val="16"/>
    </w:lvl>
    <w:lvl w:ilvl="1">
      <w:lvlJc w:val="left"/>
      <w:lvlText w:val="%2"/>
      <w:numFmt w:val="lowerLetter"/>
      <w:start w:val="1"/>
    </w:lvl>
  </w:abstractNum>
  <w:abstractNum w:abstractNumId="172">
    <w:nsid w:val="631F1690"/>
    <w:multiLevelType w:val="hybridMultilevel"/>
    <w:lvl w:ilvl="0">
      <w:lvlJc w:val="left"/>
      <w:lvlText w:val="%1."/>
      <w:numFmt w:val="decimal"/>
      <w:start w:val="17"/>
    </w:lvl>
  </w:abstractNum>
  <w:abstractNum w:abstractNumId="173">
    <w:nsid w:val="25973E32"/>
    <w:multiLevelType w:val="hybridMultilevel"/>
    <w:lvl w:ilvl="0">
      <w:lvlJc w:val="left"/>
      <w:lvlText w:val="%1."/>
      <w:numFmt w:val="decimal"/>
      <w:start w:val="1"/>
    </w:lvl>
    <w:lvl w:ilvl="1">
      <w:lvlJc w:val="left"/>
      <w:lvlText w:val="(%2)"/>
      <w:numFmt w:val="lowerLetter"/>
      <w:start w:val="1"/>
    </w:lvl>
  </w:abstractNum>
  <w:abstractNum w:abstractNumId="174">
    <w:nsid w:val="EAD6F57"/>
    <w:multiLevelType w:val="hybridMultilevel"/>
    <w:lvl w:ilvl="0">
      <w:lvlJc w:val="left"/>
      <w:lvlText w:val="%1"/>
      <w:numFmt w:val="decimal"/>
      <w:start w:val="1"/>
    </w:lvl>
    <w:lvl w:ilvl="1">
      <w:lvlJc w:val="left"/>
      <w:lvlText w:val="(%2)"/>
      <w:numFmt w:val="lowerLetter"/>
      <w:start w:val="5"/>
    </w:lvl>
  </w:abstractNum>
  <w:abstractNum w:abstractNumId="175">
    <w:nsid w:val="6EC9D844"/>
    <w:multiLevelType w:val="hybridMultilevel"/>
    <w:lvl w:ilvl="0">
      <w:lvlJc w:val="left"/>
      <w:lvlText w:val="%1."/>
      <w:numFmt w:val="decimal"/>
      <w:start w:val="2"/>
    </w:lvl>
    <w:lvl w:ilvl="1">
      <w:lvlJc w:val="left"/>
      <w:lvlText w:val="%2"/>
      <w:numFmt w:val="lowerLetter"/>
      <w:start w:val="1"/>
    </w:lvl>
  </w:abstractNum>
  <w:abstractNum w:abstractNumId="176">
    <w:nsid w:val="5C49EAEE"/>
    <w:multiLevelType w:val="hybridMultilevel"/>
    <w:lvl w:ilvl="0">
      <w:lvlJc w:val="left"/>
      <w:lvlText w:val="%1."/>
      <w:numFmt w:val="decimal"/>
      <w:start w:val="3"/>
    </w:lvl>
  </w:abstractNum>
  <w:abstractNum w:abstractNumId="177">
    <w:nsid w:val="64AF49B"/>
    <w:multiLevelType w:val="hybridMultilevel"/>
    <w:lvl w:ilvl="0">
      <w:lvlJc w:val="left"/>
      <w:lvlText w:val="%1."/>
      <w:numFmt w:val="decimal"/>
      <w:start w:val="4"/>
    </w:lvl>
  </w:abstractNum>
  <w:abstractNum w:abstractNumId="178">
    <w:nsid w:val="397C46BC"/>
    <w:multiLevelType w:val="hybridMultilevel"/>
    <w:lvl w:ilvl="0">
      <w:lvlJc w:val="left"/>
      <w:lvlText w:val="%1."/>
      <w:numFmt w:val="decimal"/>
      <w:start w:val="5"/>
    </w:lvl>
    <w:lvl w:ilvl="1">
      <w:lvlJc w:val="left"/>
      <w:lvlText w:val="(%2)"/>
      <w:numFmt w:val="lowerLetter"/>
      <w:start w:val="1"/>
    </w:lvl>
  </w:abstractNum>
  <w:abstractNum w:abstractNumId="179">
    <w:nsid w:val="7E448DE9"/>
    <w:multiLevelType w:val="hybridMultilevel"/>
    <w:lvl w:ilvl="0">
      <w:lvlJc w:val="left"/>
      <w:lvlText w:val="%1"/>
      <w:numFmt w:val="decimal"/>
      <w:start w:val="1"/>
    </w:lvl>
    <w:lvl w:ilvl="1">
      <w:lvlJc w:val="left"/>
      <w:lvlText w:val="(%2)"/>
      <w:numFmt w:val="lowerLetter"/>
      <w:start w:val="3"/>
    </w:lvl>
  </w:abstractNum>
  <w:abstractNum w:abstractNumId="180">
    <w:nsid w:val="5A9CC3E5"/>
    <w:multiLevelType w:val="hybridMultilevel"/>
    <w:lvl w:ilvl="0">
      <w:lvlJc w:val="left"/>
      <w:lvlText w:val="%1."/>
      <w:numFmt w:val="decimal"/>
      <w:start w:val="7"/>
    </w:lvl>
    <w:lvl w:ilvl="1">
      <w:lvlJc w:val="left"/>
      <w:lvlText w:val="(%2)"/>
      <w:numFmt w:val="lowerLetter"/>
      <w:start w:val="1"/>
    </w:lvl>
  </w:abstractNum>
  <w:abstractNum w:abstractNumId="181">
    <w:nsid w:val="1AFE3625"/>
    <w:multiLevelType w:val="hybridMultilevel"/>
    <w:lvl w:ilvl="0">
      <w:lvlJc w:val="left"/>
      <w:lvlText w:val="%1"/>
      <w:numFmt w:val="decimal"/>
      <w:start w:val="1"/>
    </w:lvl>
    <w:lvl w:ilvl="1">
      <w:lvlJc w:val="left"/>
      <w:lvlText w:val="(%2)"/>
      <w:numFmt w:val="lowerLetter"/>
      <w:start w:val="2"/>
    </w:lvl>
  </w:abstractNum>
  <w:abstractNum w:abstractNumId="182">
    <w:nsid w:val="3CA88ECF"/>
    <w:multiLevelType w:val="hybridMultilevel"/>
    <w:lvl w:ilvl="0">
      <w:lvlJc w:val="left"/>
      <w:lvlText w:val="%1."/>
      <w:numFmt w:val="decimal"/>
      <w:start w:val="8"/>
    </w:lvl>
    <w:lvl w:ilvl="1">
      <w:lvlJc w:val="left"/>
      <w:lvlText w:val="(%2)"/>
      <w:numFmt w:val="lowerLetter"/>
      <w:start w:val="1"/>
    </w:lvl>
  </w:abstractNum>
  <w:abstractNum w:abstractNumId="183">
    <w:nsid w:val="6EBE4208"/>
    <w:multiLevelType w:val="hybridMultilevel"/>
    <w:lvl w:ilvl="0">
      <w:lvlJc w:val="left"/>
      <w:lvlText w:val="%1"/>
      <w:numFmt w:val="decimal"/>
      <w:start w:val="1"/>
    </w:lvl>
    <w:lvl w:ilvl="1">
      <w:lvlJc w:val="left"/>
      <w:lvlText w:val="(%2)"/>
      <w:numFmt w:val="lowerLetter"/>
      <w:start w:val="8"/>
    </w:lvl>
  </w:abstractNum>
  <w:abstractNum w:abstractNumId="184">
    <w:nsid w:val="C058DF5"/>
    <w:multiLevelType w:val="hybridMultilevel"/>
    <w:lvl w:ilvl="0">
      <w:lvlJc w:val="left"/>
      <w:lvlText w:val="%1."/>
      <w:numFmt w:val="decimal"/>
      <w:start w:val="9"/>
    </w:lvl>
    <w:lvl w:ilvl="1">
      <w:lvlJc w:val="left"/>
      <w:lvlText w:val="%2"/>
      <w:numFmt w:val="lowerLetter"/>
      <w:start w:val="1"/>
    </w:lvl>
  </w:abstractNum>
  <w:abstractNum w:abstractNumId="185">
    <w:nsid w:val="CBE5BE9"/>
    <w:multiLevelType w:val="hybridMultilevel"/>
    <w:lvl w:ilvl="0">
      <w:lvlJc w:val="left"/>
      <w:lvlText w:val="%1."/>
      <w:numFmt w:val="decimal"/>
      <w:start w:val="10"/>
    </w:lvl>
  </w:abstractNum>
  <w:abstractNum w:abstractNumId="186">
    <w:nsid w:val="3102BBE2"/>
    <w:multiLevelType w:val="hybridMultilevel"/>
    <w:lvl w:ilvl="0">
      <w:lvlJc w:val="left"/>
      <w:lvlText w:val="%1."/>
      <w:numFmt w:val="decimal"/>
      <w:start w:val="11"/>
    </w:lvl>
  </w:abstractNum>
  <w:abstractNum w:abstractNumId="187">
    <w:nsid w:val="26A02C5E"/>
    <w:multiLevelType w:val="hybridMultilevel"/>
    <w:lvl w:ilvl="0">
      <w:lvlJc w:val="left"/>
      <w:lvlText w:val="%1."/>
      <w:numFmt w:val="decimal"/>
      <w:start w:val="12"/>
    </w:lvl>
    <w:lvl w:ilvl="1">
      <w:lvlJc w:val="left"/>
      <w:lvlText w:val="(%2)"/>
      <w:numFmt w:val="lowerLetter"/>
      <w:start w:val="1"/>
    </w:lvl>
  </w:abstractNum>
  <w:abstractNum w:abstractNumId="188">
    <w:nsid w:val="541C8153"/>
    <w:multiLevelType w:val="hybridMultilevel"/>
    <w:lvl w:ilvl="0">
      <w:lvlJc w:val="left"/>
      <w:lvlText w:val="%1"/>
      <w:numFmt w:val="decimal"/>
      <w:start w:val="1"/>
    </w:lvl>
    <w:lvl w:ilvl="1">
      <w:lvlJc w:val="left"/>
      <w:lvlText w:val="(%2)"/>
      <w:numFmt w:val="lowerLetter"/>
      <w:start w:val="2"/>
    </w:lvl>
  </w:abstractNum>
  <w:abstractNum w:abstractNumId="189">
    <w:nsid w:val="67906F60"/>
    <w:multiLevelType w:val="hybridMultilevel"/>
    <w:lvl w:ilvl="0">
      <w:lvlJc w:val="left"/>
      <w:lvlText w:val="%1."/>
      <w:numFmt w:val="decimal"/>
      <w:start w:val="13"/>
    </w:lvl>
    <w:lvl w:ilvl="1">
      <w:lvlJc w:val="left"/>
      <w:lvlText w:val="(%2)"/>
      <w:numFmt w:val="lowerLetter"/>
      <w:start w:val="1"/>
    </w:lvl>
  </w:abstractNum>
  <w:abstractNum w:abstractNumId="190">
    <w:nsid w:val="10DB9DAA"/>
    <w:multiLevelType w:val="hybridMultilevel"/>
    <w:lvl w:ilvl="0">
      <w:lvlJc w:val="left"/>
      <w:lvlText w:val="%1"/>
      <w:numFmt w:val="decimal"/>
      <w:start w:val="1"/>
    </w:lvl>
    <w:lvl w:ilvl="1">
      <w:lvlJc w:val="left"/>
      <w:lvlText w:val="(%2)"/>
      <w:numFmt w:val="lowerLetter"/>
      <w:start w:val="3"/>
    </w:lvl>
  </w:abstractNum>
  <w:abstractNum w:abstractNumId="191">
    <w:nsid w:val="697D2D2"/>
    <w:multiLevelType w:val="hybridMultilevel"/>
    <w:lvl w:ilvl="0">
      <w:lvlJc w:val="left"/>
      <w:lvlText w:val="%1."/>
      <w:numFmt w:val="decimal"/>
      <w:start w:val="15"/>
    </w:lvl>
    <w:lvl w:ilvl="1">
      <w:lvlJc w:val="left"/>
      <w:lvlText w:val="(%2)"/>
      <w:numFmt w:val="lowerLetter"/>
      <w:start w:val="1"/>
    </w:lvl>
  </w:abstractNum>
  <w:abstractNum w:abstractNumId="192">
    <w:nsid w:val="6D68AB2"/>
    <w:multiLevelType w:val="hybridMultilevel"/>
    <w:lvl w:ilvl="0">
      <w:lvlJc w:val="left"/>
      <w:lvlText w:val="%1."/>
      <w:numFmt w:val="decimal"/>
      <w:start w:val="16"/>
    </w:lvl>
  </w:abstractNum>
  <w:abstractNum w:abstractNumId="193">
    <w:nsid w:val="3A966CD0"/>
    <w:multiLevelType w:val="hybridMultilevel"/>
    <w:lvl w:ilvl="0">
      <w:lvlJc w:val="left"/>
      <w:lvlText w:val="%1."/>
      <w:numFmt w:val="decimal"/>
      <w:start w:val="17"/>
    </w:lvl>
  </w:abstractNum>
  <w:abstractNum w:abstractNumId="194">
    <w:nsid w:val="63F37E85"/>
    <w:multiLevelType w:val="hybridMultilevel"/>
    <w:lvl w:ilvl="0">
      <w:lvlJc w:val="left"/>
      <w:lvlText w:val="☐"/>
      <w:numFmt w:val="bullet"/>
      <w:start w:val="1"/>
    </w:lvl>
  </w:abstractNum>
  <w:abstractNum w:abstractNumId="195">
    <w:nsid w:val="5895F5FA"/>
    <w:multiLevelType w:val="hybridMultilevel"/>
    <w:lvl w:ilvl="0">
      <w:lvlJc w:val="left"/>
      <w:lvlText w:val="☐"/>
      <w:numFmt w:val="bullet"/>
      <w:start w:val="1"/>
    </w:lvl>
  </w:abstractNum>
  <w:abstractNum w:abstractNumId="196">
    <w:nsid w:val="38A5D054"/>
    <w:multiLevelType w:val="hybridMultilevel"/>
    <w:lvl w:ilvl="0">
      <w:lvlJc w:val="left"/>
      <w:lvlText w:val="%1)"/>
      <w:numFmt w:val="decimal"/>
      <w:start w:val="1"/>
    </w:lvl>
    <w:lvl w:ilvl="1">
      <w:lvlJc w:val="left"/>
      <w:lvlText w:val="%2)"/>
      <w:numFmt w:val="lowerLetter"/>
      <w:start w:val="1"/>
    </w:lvl>
  </w:abstractNum>
  <w:abstractNum w:abstractNumId="197">
    <w:nsid w:val="F3F09D8"/>
    <w:multiLevelType w:val="hybridMultilevel"/>
    <w:lvl w:ilvl="0">
      <w:lvlJc w:val="left"/>
      <w:lvlText w:val="%1)"/>
      <w:numFmt w:val="decimal"/>
      <w:start w:val="7"/>
    </w:lvl>
    <w:lvl w:ilvl="1">
      <w:lvlJc w:val="left"/>
      <w:lvlText w:val="%2)"/>
      <w:numFmt w:val="lowerLetter"/>
      <w:start w:val="6"/>
    </w:lvl>
  </w:abstractNum>
  <w:abstractNum w:abstractNumId="198">
    <w:nsid w:val="4B793735"/>
    <w:multiLevelType w:val="hybridMultilevel"/>
    <w:lvl w:ilvl="0">
      <w:lvlJc w:val="left"/>
      <w:lvlText w:val="(%1)"/>
      <w:numFmt w:val="decimal"/>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2019-12-08T01:53:34Z</dcterms:created>
  <dcterms:modified xsi:type="dcterms:W3CDTF">2019-12-08T01:53:34Z</dcterms:modified>
</cp:coreProperties>
</file>