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591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5919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84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Gouvalaris Geoffrey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1ST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TripAdvisor,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TRIP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841"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33"/>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NEEDHAM</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02494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7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jc w:val="center"/>
              <w:ind w:left="628"/>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M</w:t>
            </w:r>
          </w:p>
        </w:tc>
        <w:tc>
          <w:tcPr>
            <w:tcW w:w="140" w:type="dxa"/>
            <w:vAlign w:val="bottom"/>
          </w:tcPr>
          <w:p>
            <w:pPr>
              <w:spacing w:after="0"/>
              <w:rPr>
                <w:sz w:val="22"/>
                <w:szCs w:val="22"/>
                <w:color w:val="auto"/>
              </w:rPr>
            </w:pPr>
          </w:p>
        </w:tc>
        <w:tc>
          <w:tcPr>
            <w:tcW w:w="58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w w:val="99"/>
              </w:rPr>
              <w:t>1,370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103,621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F</w:t>
            </w:r>
          </w:p>
        </w:tc>
        <w:tc>
          <w:tcPr>
            <w:tcW w:w="140" w:type="dxa"/>
            <w:vAlign w:val="bottom"/>
          </w:tcPr>
          <w:p>
            <w:pPr>
              <w:spacing w:after="0"/>
              <w:rPr>
                <w:sz w:val="22"/>
                <w:szCs w:val="22"/>
                <w:color w:val="auto"/>
              </w:rPr>
            </w:pPr>
          </w:p>
        </w:tc>
        <w:tc>
          <w:tcPr>
            <w:tcW w:w="58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rPr>
              <w:t>403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103,218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M</w:t>
            </w:r>
          </w:p>
        </w:tc>
        <w:tc>
          <w:tcPr>
            <w:tcW w:w="140" w:type="dxa"/>
            <w:vAlign w:val="bottom"/>
          </w:tcPr>
          <w:p>
            <w:pPr>
              <w:spacing w:after="0"/>
              <w:rPr>
                <w:sz w:val="22"/>
                <w:szCs w:val="22"/>
                <w:color w:val="auto"/>
              </w:rPr>
            </w:pPr>
          </w:p>
        </w:tc>
        <w:tc>
          <w:tcPr>
            <w:tcW w:w="58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rPr>
              <w:t>867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104,085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F</w:t>
            </w:r>
          </w:p>
        </w:tc>
        <w:tc>
          <w:tcPr>
            <w:tcW w:w="140" w:type="dxa"/>
            <w:vAlign w:val="bottom"/>
          </w:tcPr>
          <w:p>
            <w:pPr>
              <w:spacing w:after="0"/>
              <w:rPr>
                <w:sz w:val="22"/>
                <w:szCs w:val="22"/>
                <w:color w:val="auto"/>
              </w:rPr>
            </w:pPr>
          </w:p>
        </w:tc>
        <w:tc>
          <w:tcPr>
            <w:tcW w:w="58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rPr>
              <w:t>255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103,830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M</w:t>
            </w:r>
          </w:p>
        </w:tc>
        <w:tc>
          <w:tcPr>
            <w:tcW w:w="140" w:type="dxa"/>
            <w:vAlign w:val="bottom"/>
          </w:tcPr>
          <w:p>
            <w:pPr>
              <w:spacing w:after="0"/>
              <w:rPr>
                <w:sz w:val="22"/>
                <w:szCs w:val="22"/>
                <w:color w:val="auto"/>
              </w:rPr>
            </w:pPr>
          </w:p>
        </w:tc>
        <w:tc>
          <w:tcPr>
            <w:tcW w:w="58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w w:val="99"/>
              </w:rPr>
              <w:t>2,200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106,030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628"/>
              <w:spacing w:after="0"/>
              <w:rPr>
                <w:sz w:val="20"/>
                <w:szCs w:val="20"/>
                <w:color w:val="auto"/>
              </w:rPr>
            </w:pPr>
            <w:r>
              <w:rPr>
                <w:rFonts w:ascii="Times New Roman" w:cs="Times New Roman" w:eastAsia="Times New Roman" w:hAnsi="Times New Roman"/>
                <w:sz w:val="17"/>
                <w:szCs w:val="17"/>
                <w:color w:val="0000FF"/>
                <w:w w:val="98"/>
              </w:rPr>
              <w:t>05/15/2026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0000FF"/>
              </w:rPr>
              <w:t>F</w:t>
            </w:r>
          </w:p>
        </w:tc>
        <w:tc>
          <w:tcPr>
            <w:tcW w:w="140" w:type="dxa"/>
            <w:vAlign w:val="bottom"/>
          </w:tcPr>
          <w:p>
            <w:pPr>
              <w:spacing w:after="0"/>
              <w:rPr>
                <w:sz w:val="22"/>
                <w:szCs w:val="22"/>
                <w:color w:val="auto"/>
              </w:rPr>
            </w:pPr>
          </w:p>
        </w:tc>
        <w:tc>
          <w:tcPr>
            <w:tcW w:w="580" w:type="dxa"/>
            <w:vAlign w:val="bottom"/>
          </w:tcPr>
          <w:p>
            <w:pPr>
              <w:jc w:val="center"/>
              <w:ind w:left="86"/>
              <w:spacing w:after="0"/>
              <w:rPr>
                <w:sz w:val="20"/>
                <w:szCs w:val="20"/>
                <w:color w:val="auto"/>
              </w:rPr>
            </w:pPr>
            <w:r>
              <w:rPr>
                <w:rFonts w:ascii="Times New Roman" w:cs="Times New Roman" w:eastAsia="Times New Roman" w:hAnsi="Times New Roman"/>
                <w:sz w:val="17"/>
                <w:szCs w:val="17"/>
                <w:color w:val="0000FF"/>
              </w:rPr>
              <w:t>646</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105,384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1,370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jc w:val="center"/>
              <w:ind w:left="321"/>
              <w:spacing w:after="0" w:line="142" w:lineRule="exact"/>
              <w:rPr>
                <w:sz w:val="20"/>
                <w:szCs w:val="20"/>
                <w:color w:val="auto"/>
              </w:rPr>
            </w:pPr>
            <w:r>
              <w:rPr>
                <w:rFonts w:ascii="Times New Roman" w:cs="Times New Roman" w:eastAsia="Times New Roman" w:hAnsi="Times New Roman"/>
                <w:sz w:val="13"/>
                <w:szCs w:val="13"/>
                <w:color w:val="0000FF"/>
                <w:w w:val="95"/>
              </w:rPr>
              <w:t>1,370</w:t>
            </w:r>
          </w:p>
        </w:tc>
        <w:tc>
          <w:tcPr>
            <w:tcW w:w="90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02/15/2024</w:t>
            </w:r>
          </w:p>
        </w:tc>
        <w:tc>
          <w:tcPr>
            <w:tcW w:w="72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02/15/2027</w:t>
            </w: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5"/>
              </w:rPr>
              <w:t>4,111</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867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27.03</w:t>
            </w: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jc w:val="center"/>
              <w:ind w:left="321"/>
              <w:spacing w:after="0" w:line="142" w:lineRule="exact"/>
              <w:rPr>
                <w:sz w:val="20"/>
                <w:szCs w:val="20"/>
                <w:color w:val="auto"/>
              </w:rPr>
            </w:pPr>
            <w:r>
              <w:rPr>
                <w:rFonts w:ascii="Times New Roman" w:cs="Times New Roman" w:eastAsia="Times New Roman" w:hAnsi="Times New Roman"/>
                <w:sz w:val="13"/>
                <w:szCs w:val="13"/>
                <w:color w:val="0000FF"/>
              </w:rPr>
              <w:t>867</w:t>
            </w:r>
          </w:p>
        </w:tc>
        <w:tc>
          <w:tcPr>
            <w:tcW w:w="90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02/15/2025</w:t>
            </w:r>
          </w:p>
        </w:tc>
        <w:tc>
          <w:tcPr>
            <w:tcW w:w="72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02/15/2028</w:t>
            </w: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rPr>
              <w:t>6,070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02/15/2026</w:t>
            </w:r>
            <w:r>
              <w:rPr>
                <w:rFonts w:ascii="Times New Roman" w:cs="Times New Roman" w:eastAsia="Times New Roman" w:hAnsi="Times New Roman"/>
                <w:sz w:val="21"/>
                <w:szCs w:val="21"/>
                <w:color w:val="008000"/>
                <w:w w:val="95"/>
                <w:vertAlign w:val="superscript"/>
              </w:rPr>
              <w:t>(1)</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14.91</w:t>
            </w: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vMerge w:val="restart"/>
          </w:tcPr>
          <w:p>
            <w:pPr>
              <w:jc w:val="center"/>
              <w:ind w:left="321"/>
              <w:spacing w:after="0" w:line="142" w:lineRule="exact"/>
              <w:rPr>
                <w:sz w:val="20"/>
                <w:szCs w:val="20"/>
                <w:color w:val="auto"/>
              </w:rPr>
            </w:pPr>
            <w:r>
              <w:rPr>
                <w:rFonts w:ascii="Times New Roman" w:cs="Times New Roman" w:eastAsia="Times New Roman" w:hAnsi="Times New Roman"/>
                <w:sz w:val="13"/>
                <w:szCs w:val="13"/>
                <w:color w:val="0000FF"/>
                <w:w w:val="95"/>
              </w:rPr>
              <w:t>2,200</w:t>
            </w:r>
          </w:p>
        </w:tc>
        <w:tc>
          <w:tcPr>
            <w:tcW w:w="900" w:type="dxa"/>
            <w:vAlign w:val="bottom"/>
            <w:gridSpan w:val="2"/>
            <w:vMerge w:val="continue"/>
          </w:tcPr>
          <w:p>
            <w:pPr>
              <w:spacing w:after="0"/>
              <w:rPr>
                <w:sz w:val="5"/>
                <w:szCs w:val="5"/>
                <w:color w:val="auto"/>
              </w:rPr>
            </w:pPr>
          </w:p>
        </w:tc>
        <w:tc>
          <w:tcPr>
            <w:tcW w:w="720" w:type="dxa"/>
            <w:vAlign w:val="bottom"/>
            <w:gridSpan w:val="2"/>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02/15/2029</w:t>
            </w: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4"/>
              </w:rPr>
              <w:t>24,209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-2799080</wp:posOffset>
            </wp:positionV>
            <wp:extent cx="29210" cy="2804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041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Date at which first vesting occurs is indicated. 25% of the total number of RSUs vest on February 15, 2026, and 6.25% will vest quarterly thereafter. The award is fully vested on February 15, 2029.</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Linda C. Frazier, attorney in </w:t>
      </w:r>
      <w:r>
        <w:rPr>
          <w:rFonts w:ascii="Times New Roman" w:cs="Times New Roman" w:eastAsia="Times New Roman" w:hAnsi="Times New Roman"/>
          <w:sz w:val="33"/>
          <w:szCs w:val="33"/>
          <w:color w:val="0000FF"/>
          <w:vertAlign w:val="subscript"/>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59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841" w:gutter="0" w:footer="0" w:header="0"/>
          <w:type w:val="continuous"/>
        </w:sectPr>
      </w:pPr>
    </w:p>
    <w:bookmarkStart w:id="1" w:name="page2"/>
    <w:bookmarkEnd w:id="1"/>
    <w:p>
      <w:pPr>
        <w:ind w:left="5484"/>
        <w:spacing w:after="0"/>
        <w:rPr>
          <w:sz w:val="20"/>
          <w:szCs w:val="20"/>
          <w:color w:val="auto"/>
        </w:rPr>
      </w:pPr>
      <w:r>
        <w:rPr>
          <w:rFonts w:ascii="Times New Roman" w:cs="Times New Roman" w:eastAsia="Times New Roman" w:hAnsi="Times New Roman"/>
          <w:sz w:val="29"/>
          <w:szCs w:val="29"/>
          <w:b w:val="1"/>
          <w:bCs w:val="1"/>
          <w:color w:val="auto"/>
        </w:rPr>
        <w:t>EXHIBIT 24</w:t>
      </w:r>
    </w:p>
    <w:p>
      <w:pPr>
        <w:spacing w:after="0" w:line="200" w:lineRule="exact"/>
        <w:rPr>
          <w:sz w:val="20"/>
          <w:szCs w:val="20"/>
          <w:color w:val="auto"/>
        </w:rPr>
      </w:pPr>
    </w:p>
    <w:p>
      <w:pPr>
        <w:spacing w:after="0" w:line="280" w:lineRule="exact"/>
        <w:rPr>
          <w:sz w:val="20"/>
          <w:szCs w:val="20"/>
          <w:color w:val="auto"/>
        </w:rPr>
      </w:pPr>
    </w:p>
    <w:p>
      <w:pPr>
        <w:ind w:left="2284"/>
        <w:spacing w:after="0"/>
        <w:rPr>
          <w:sz w:val="20"/>
          <w:szCs w:val="20"/>
          <w:color w:val="auto"/>
        </w:rPr>
      </w:pPr>
      <w:r>
        <w:rPr>
          <w:rFonts w:ascii="Times New Roman" w:cs="Times New Roman" w:eastAsia="Times New Roman" w:hAnsi="Times New Roman"/>
          <w:sz w:val="29"/>
          <w:szCs w:val="29"/>
          <w:b w:val="1"/>
          <w:bCs w:val="1"/>
          <w:color w:val="auto"/>
        </w:rPr>
        <w:t>Tripadvisor, Inc.</w:t>
      </w:r>
    </w:p>
    <w:p>
      <w:pPr>
        <w:spacing w:after="0" w:line="213" w:lineRule="exact"/>
        <w:rPr>
          <w:sz w:val="20"/>
          <w:szCs w:val="20"/>
          <w:color w:val="auto"/>
        </w:rPr>
      </w:pPr>
    </w:p>
    <w:p>
      <w:pPr>
        <w:jc w:val="center"/>
        <w:ind w:right="2895"/>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9" w:lineRule="exact"/>
        <w:rPr>
          <w:sz w:val="20"/>
          <w:szCs w:val="20"/>
          <w:color w:val="auto"/>
        </w:rPr>
      </w:pPr>
    </w:p>
    <w:p>
      <w:pPr>
        <w:jc w:val="center"/>
        <w:ind w:right="2895"/>
        <w:spacing w:after="0"/>
        <w:rPr>
          <w:sz w:val="20"/>
          <w:szCs w:val="20"/>
          <w:color w:val="auto"/>
        </w:rPr>
      </w:pPr>
      <w:r>
        <w:rPr>
          <w:rFonts w:ascii="Times New Roman" w:cs="Times New Roman" w:eastAsia="Times New Roman" w:hAnsi="Times New Roman"/>
          <w:sz w:val="25"/>
          <w:szCs w:val="25"/>
          <w:b w:val="1"/>
          <w:bCs w:val="1"/>
          <w:color w:val="auto"/>
        </w:rPr>
        <w:t>for Executing Forms 3, 4 and 5</w:t>
      </w:r>
    </w:p>
    <w:p>
      <w:pPr>
        <w:spacing w:after="0" w:line="334" w:lineRule="exact"/>
        <w:rPr>
          <w:sz w:val="20"/>
          <w:szCs w:val="20"/>
          <w:color w:val="auto"/>
        </w:rPr>
      </w:pPr>
    </w:p>
    <w:p>
      <w:pPr>
        <w:ind w:left="44" w:right="2519"/>
        <w:spacing w:after="0" w:line="244" w:lineRule="auto"/>
        <w:rPr>
          <w:sz w:val="20"/>
          <w:szCs w:val="20"/>
          <w:color w:val="auto"/>
        </w:rPr>
      </w:pPr>
      <w:r>
        <w:rPr>
          <w:rFonts w:ascii="Times New Roman" w:cs="Times New Roman" w:eastAsia="Times New Roman" w:hAnsi="Times New Roman"/>
          <w:sz w:val="21"/>
          <w:szCs w:val="21"/>
          <w:color w:val="auto"/>
        </w:rPr>
        <w:t>Know all men by these presents, that the undersigned, director or officer, or both, of Tripadvisor, Inc., hereby constitutes and appoints each of Linda C Frazier, Seth J. Kalvert, signing singly, the undersigned's true and lawful attorney-in-fact to:</w:t>
      </w:r>
    </w:p>
    <w:p>
      <w:pPr>
        <w:spacing w:after="0" w:line="116" w:lineRule="exact"/>
        <w:rPr>
          <w:sz w:val="20"/>
          <w:szCs w:val="20"/>
          <w:color w:val="auto"/>
        </w:rPr>
      </w:pPr>
    </w:p>
    <w:p>
      <w:pPr>
        <w:jc w:val="both"/>
        <w:ind w:left="744" w:right="2499" w:hanging="744"/>
        <w:spacing w:after="0" w:line="239" w:lineRule="auto"/>
        <w:tabs>
          <w:tab w:leader="none" w:pos="74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22" w:lineRule="exact"/>
        <w:rPr>
          <w:rFonts w:ascii="Times New Roman" w:cs="Times New Roman" w:eastAsia="Times New Roman" w:hAnsi="Times New Roman"/>
          <w:sz w:val="21"/>
          <w:szCs w:val="21"/>
          <w:color w:val="auto"/>
        </w:rPr>
      </w:pPr>
    </w:p>
    <w:p>
      <w:pPr>
        <w:ind w:left="744" w:right="2539" w:hanging="744"/>
        <w:spacing w:after="0" w:line="255" w:lineRule="auto"/>
        <w:tabs>
          <w:tab w:leader="none" w:pos="7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07" w:lineRule="exact"/>
        <w:rPr>
          <w:rFonts w:ascii="Times New Roman" w:cs="Times New Roman" w:eastAsia="Times New Roman" w:hAnsi="Times New Roman"/>
          <w:sz w:val="20"/>
          <w:szCs w:val="20"/>
          <w:color w:val="auto"/>
        </w:rPr>
      </w:pPr>
    </w:p>
    <w:p>
      <w:pPr>
        <w:ind w:left="744" w:right="2519" w:hanging="744"/>
        <w:spacing w:after="0" w:line="236" w:lineRule="auto"/>
        <w:tabs>
          <w:tab w:leader="none" w:pos="74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9" w:lineRule="exact"/>
        <w:rPr>
          <w:sz w:val="20"/>
          <w:szCs w:val="20"/>
          <w:color w:val="auto"/>
        </w:rPr>
      </w:pPr>
    </w:p>
    <w:p>
      <w:pPr>
        <w:ind w:left="44" w:right="2459"/>
        <w:spacing w:after="0" w:line="23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0" w:lineRule="exact"/>
        <w:rPr>
          <w:sz w:val="20"/>
          <w:szCs w:val="20"/>
          <w:color w:val="auto"/>
        </w:rPr>
      </w:pPr>
    </w:p>
    <w:p>
      <w:pPr>
        <w:ind w:left="44" w:right="2439"/>
        <w:spacing w:after="0" w:line="23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23" w:lineRule="exact"/>
        <w:rPr>
          <w:sz w:val="20"/>
          <w:szCs w:val="20"/>
          <w:color w:val="auto"/>
        </w:rPr>
      </w:pPr>
    </w:p>
    <w:p>
      <w:pPr>
        <w:ind w:left="44" w:right="2579"/>
        <w:spacing w:after="0" w:line="264" w:lineRule="auto"/>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this 16</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day of December, 2019</w:t>
      </w:r>
    </w:p>
    <w:p>
      <w:pPr>
        <w:spacing w:after="0" w:line="1"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20"/>
          <w:szCs w:val="20"/>
          <w:color w:val="auto"/>
        </w:rPr>
        <w:t>/s/ Geoff Gouvalaris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26035</wp:posOffset>
            </wp:positionV>
            <wp:extent cx="24841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484120" cy="8255"/>
                    </a:xfrm>
                    <a:prstGeom prst="rect">
                      <a:avLst/>
                    </a:prstGeom>
                    <a:noFill/>
                  </pic:spPr>
                </pic:pic>
              </a:graphicData>
            </a:graphic>
          </wp:anchor>
        </w:drawing>
      </w:r>
    </w:p>
    <w:p>
      <w:pPr>
        <w:spacing w:after="0" w:line="47"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21"/>
          <w:szCs w:val="21"/>
          <w:color w:val="auto"/>
        </w:rPr>
        <w:t>Geoff Gouvalaris</w:t>
      </w:r>
    </w:p>
    <w:sectPr>
      <w:pgSz w:w="11900" w:h="16838" w:orient="portrait"/>
      <w:cols w:equalWidth="0" w:num="1">
        <w:col w:w="9503"/>
      </w:cols>
      <w:pgMar w:left="956"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6889"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2026-05-18T15:49:10Z</dcterms:created>
  <dcterms:modified xsi:type="dcterms:W3CDTF">2026-05-18T15:49:10Z</dcterms:modified>
</cp:coreProperties>
</file>