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left="520" w:right="340" w:hanging="512"/>
        <w:spacing w:after="0" w:line="262" w:lineRule="auto"/>
        <w:tabs>
          <w:tab w:leader="none" w:pos="371"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360" w:hanging="512"/>
        <w:spacing w:after="0" w:line="245" w:lineRule="auto"/>
        <w:tabs>
          <w:tab w:leader="none" w:pos="37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9" w:lineRule="exact"/>
        <w:rPr>
          <w:sz w:val="24"/>
          <w:szCs w:val="24"/>
          <w:color w:val="auto"/>
        </w:rPr>
      </w:pPr>
    </w:p>
    <w:p>
      <w:pPr>
        <w:ind w:left="338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3648710</wp:posOffset>
            </wp:positionH>
            <wp:positionV relativeFrom="paragraph">
              <wp:posOffset>-5080</wp:posOffset>
            </wp:positionV>
            <wp:extent cx="571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p>
      <w:pPr>
        <w:spacing w:after="0" w:line="33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2">
            <w:col w:w="8020" w:space="720"/>
            <w:col w:w="2500"/>
          </w:cols>
          <w:pgMar w:left="320" w:top="848"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900" w:space="720"/>
            <w:col w:w="2620"/>
          </w:cols>
          <w:pgMar w:left="320" w:top="848" w:right="339" w:bottom="1440" w:gutter="0" w:footer="0" w:header="0"/>
          <w:type w:val="continuous"/>
        </w:sectPr>
      </w:pPr>
    </w:p>
    <w:p>
      <w:pPr>
        <w:ind w:left="506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1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8" w:right="339" w:bottom="1440" w:gutter="0" w:footer="0" w:header="0"/>
          <w:type w:val="continuous"/>
        </w:sectPr>
      </w:pP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690" w:type="dxa"/>
        <w:tblCellMar>
          <w:top w:w="0" w:type="dxa"/>
          <w:left w:w="0" w:type="dxa"/>
          <w:bottom w:w="0" w:type="dxa"/>
          <w:right w:w="0" w:type="dxa"/>
        </w:tblCellMar>
      </w:tblPr>
      <w:tr>
        <w:trPr>
          <w:trHeight w:val="23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w:t>
            </w:r>
          </w:p>
        </w:tc>
        <w:tc>
          <w:tcPr>
            <w:tcW w:w="4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79"/>
        </w:trPr>
        <w:tc>
          <w:tcPr>
            <w:tcW w:w="25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Common stock</w:t>
            </w:r>
          </w:p>
        </w:tc>
        <w:tc>
          <w:tcPr>
            <w:tcW w:w="250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TRIP</w:t>
            </w:r>
          </w:p>
        </w:tc>
        <w:tc>
          <w:tcPr>
            <w:tcW w:w="486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7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796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gridSpan w:val="2"/>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64"/>
        </w:trPr>
        <w:tc>
          <w:tcPr>
            <w:tcW w:w="796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color w:val="auto"/>
              </w:rPr>
              <w:t>Class</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Outstanding Shares at October 30, 2026</w:t>
            </w:r>
          </w:p>
        </w:tc>
        <w:tc>
          <w:tcPr>
            <w:tcW w:w="0" w:type="dxa"/>
            <w:vAlign w:val="bottom"/>
          </w:tcPr>
          <w:p>
            <w:pPr>
              <w:spacing w:after="0"/>
              <w:rPr>
                <w:sz w:val="1"/>
                <w:szCs w:val="1"/>
                <w:color w:val="auto"/>
              </w:rPr>
            </w:pPr>
          </w:p>
        </w:tc>
      </w:tr>
      <w:tr>
        <w:trPr>
          <w:trHeight w:val="20"/>
        </w:trPr>
        <w:tc>
          <w:tcPr>
            <w:tcW w:w="6980" w:type="dxa"/>
            <w:vAlign w:val="bottom"/>
            <w:tcBorders>
              <w:top w:val="single" w:sz="8" w:color="auto"/>
              <w:bottom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9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117,826,453 shares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69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2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80"/>
        </w:trPr>
        <w:tc>
          <w:tcPr>
            <w:tcW w:w="6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2026</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Pr>
          <w:p>
            <w:pPr>
              <w:spacing w:after="0"/>
              <w:rPr>
                <w:sz w:val="18"/>
                <w:szCs w:val="18"/>
                <w:color w:val="auto"/>
              </w:rPr>
            </w:pPr>
          </w:p>
        </w:tc>
      </w:tr>
      <w:tr>
        <w:trPr>
          <w:trHeight w:val="351"/>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103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and Nine Months Ended September 30, 2026 and 2025</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and Nine Months Ended September 30, 2026</w:t>
            </w:r>
          </w:p>
        </w:tc>
        <w:tc>
          <w:tcPr>
            <w:tcW w:w="3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94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2025</w:t>
            </w:r>
          </w:p>
        </w:tc>
        <w:tc>
          <w:tcPr>
            <w:tcW w:w="1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Balance Sheets at September 30, 2026 and December 31,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and Nine Months Ended September 30,</w:t>
            </w:r>
          </w:p>
        </w:tc>
        <w:tc>
          <w:tcPr>
            <w:tcW w:w="36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96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4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Nine Months Ended September 30, 2026 and 2025</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3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20" w:type="dxa"/>
            <w:vAlign w:val="bottom"/>
            <w:tcBorders>
              <w:right w:val="single" w:sz="8" w:color="0000EE"/>
            </w:tcBorders>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12"/>
        </w:trPr>
        <w:tc>
          <w:tcPr>
            <w:tcW w:w="10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96"/>
        </w:trPr>
        <w:tc>
          <w:tcPr>
            <w:tcW w:w="702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86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234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520" w:type="dxa"/>
            <w:vAlign w:val="bottom"/>
            <w:tcBorders>
              <w:top w:val="single" w:sz="8" w:color="0000FF"/>
            </w:tcBorders>
            <w:gridSpan w:val="2"/>
          </w:tcPr>
          <w:p>
            <w:pPr>
              <w:spacing w:after="0"/>
              <w:rPr>
                <w:sz w:val="17"/>
                <w:szCs w:val="17"/>
                <w:color w:val="auto"/>
              </w:rPr>
            </w:pPr>
          </w:p>
        </w:tc>
        <w:tc>
          <w:tcPr>
            <w:tcW w:w="602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412"/>
        </w:trPr>
        <w:tc>
          <w:tcPr>
            <w:tcW w:w="1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892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19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98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196"/>
        </w:trPr>
        <w:tc>
          <w:tcPr>
            <w:tcW w:w="1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28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0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49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98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234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tcPr>
          <w:p>
            <w:pPr>
              <w:spacing w:after="0"/>
              <w:rPr>
                <w:sz w:val="17"/>
                <w:szCs w:val="17"/>
                <w:color w:val="auto"/>
              </w:rPr>
            </w:pPr>
          </w:p>
        </w:tc>
        <w:tc>
          <w:tcPr>
            <w:tcW w:w="800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8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90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0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1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9720" w:type="dxa"/>
            <w:vAlign w:val="bottom"/>
            <w:gridSpan w:val="1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20"/>
        </w:trPr>
        <w:tc>
          <w:tcPr>
            <w:tcW w:w="5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6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(Note 4)</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shd w:val="clear" w:color="auto" w:fill="CFF0FC"/>
          </w:tcPr>
          <w:p>
            <w:pPr>
              <w:spacing w:after="0"/>
              <w:rPr>
                <w:sz w:val="18"/>
                <w:szCs w:val="18"/>
                <w:color w:val="auto"/>
              </w:rPr>
            </w:pPr>
          </w:p>
        </w:tc>
      </w:tr>
      <w:tr>
        <w:trPr>
          <w:trHeight w:val="198"/>
        </w:trPr>
        <w:tc>
          <w:tcPr>
            <w:tcW w:w="6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$15.3, $25.7, $50.5 and $77.1,</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Pr>
          <w:p>
            <w:pPr>
              <w:spacing w:after="0"/>
              <w:rPr>
                <w:sz w:val="20"/>
                <w:szCs w:val="20"/>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goodwill (Note 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reorganization costs (Note 7)</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(321.6)</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66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(346.1)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(347.4)</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 (Note 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 (Note 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(313.1)</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21"/>
                <w:szCs w:val="21"/>
                <w:color w:val="auto"/>
              </w:rPr>
            </w:pPr>
          </w:p>
        </w:tc>
      </w:tr>
      <w:tr>
        <w:trPr>
          <w:trHeight w:val="197"/>
        </w:trPr>
        <w:tc>
          <w:tcPr>
            <w:tcW w:w="66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98"/>
        </w:trPr>
        <w:tc>
          <w:tcPr>
            <w:tcW w:w="6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from continuing</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(Note 13):</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from discontinued</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(Note 13):</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(Note 13):</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(Note 13):</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-4191000</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-4191000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-4191000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-3350895</wp:posOffset>
            </wp:positionV>
            <wp:extent cx="768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-3350895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-3350895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-2493645</wp:posOffset>
            </wp:positionV>
            <wp:extent cx="76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-2493645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-2493645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-2476500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(313.1)</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53.2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(323.1)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8"/>
                <w:szCs w:val="18"/>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(314.5)</w:t>
            </w:r>
          </w:p>
        </w:tc>
        <w:tc>
          <w:tcPr>
            <w:tcW w:w="68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52.1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(334.1)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FF0FC"/>
          </w:tcPr>
          <w:p>
            <w:pPr>
              <w:spacing w:after="0"/>
              <w:rPr>
                <w:sz w:val="19"/>
                <w:szCs w:val="19"/>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-316230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-316230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-316230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(1)  Deferred income tax liabilities related to these amounts were not material.</w:t>
      </w: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8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199"/>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 (Note 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$16.4 and $15.4, respectively (Note 5)</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assets - held for sale from discontinued operations (Note 3)</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7"/>
                <w:szCs w:val="17"/>
                <w:color w:val="auto"/>
              </w:rPr>
            </w:pPr>
          </w:p>
        </w:tc>
      </w:tr>
      <w:tr>
        <w:trPr>
          <w:trHeight w:val="196"/>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1,260.1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1,290.7</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$582.3 and $537.7, respectively</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 net of accumulated amortization of $121.2 and $119.6, respectively</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Goodwill (Note 6)</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Non-marketable investments (Note 5)</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Noncurrent assets - held for sale from discontinued operations (Note 3)</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100" w:type="dxa"/>
            <w:vAlign w:val="bottom"/>
            <w:shd w:val="clear" w:color="auto" w:fill="CFF0FC"/>
          </w:tcPr>
          <w:p>
            <w:pPr>
              <w:spacing w:after="0"/>
              <w:rPr>
                <w:sz w:val="17"/>
                <w:szCs w:val="17"/>
                <w:color w:val="auto"/>
              </w:rPr>
            </w:pPr>
          </w:p>
        </w:tc>
      </w:tr>
      <w:tr>
        <w:trPr>
          <w:trHeight w:val="196"/>
        </w:trPr>
        <w:tc>
          <w:tcPr>
            <w:tcW w:w="8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2,052.5</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2,625.4</w:t>
            </w:r>
          </w:p>
        </w:tc>
        <w:tc>
          <w:tcPr>
            <w:tcW w:w="100" w:type="dxa"/>
            <w:vAlign w:val="bottom"/>
            <w:tcBorders>
              <w:top w:val="single" w:sz="8" w:color="CFF0FC"/>
            </w:tcBorders>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r>
      <w:tr>
        <w:trPr>
          <w:trHeight w:val="202"/>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396.8</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308.1</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 (Note 4)</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debt (Note 8)</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353.2</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 (Note 9)</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 (Note 7)</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liabilities - held for sale from discontinued operations (Note 3)</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7"/>
                <w:szCs w:val="17"/>
                <w:color w:val="auto"/>
              </w:rPr>
            </w:pPr>
          </w:p>
        </w:tc>
      </w:tr>
      <w:tr>
        <w:trPr>
          <w:trHeight w:val="196"/>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 (Note 8)</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819.0</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Noncurrent liabilities - held for sale from discontinued operations (Note 3)</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r>
      <w:tr>
        <w:trPr>
          <w:trHeight w:val="196"/>
        </w:trPr>
        <w:tc>
          <w:tcPr>
            <w:tcW w:w="8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1,686.2</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100" w:type="dxa"/>
            <w:vAlign w:val="bottom"/>
            <w:tcBorders>
              <w:top w:val="single" w:sz="8" w:color="CFF0FC"/>
            </w:tcBorders>
          </w:tcPr>
          <w:p>
            <w:pPr>
              <w:spacing w:after="0"/>
              <w:rPr>
                <w:sz w:val="17"/>
                <w:szCs w:val="17"/>
                <w:color w:val="auto"/>
              </w:rPr>
            </w:pPr>
          </w:p>
        </w:tc>
      </w:tr>
      <w:tr>
        <w:trPr>
          <w:trHeight w:val="196"/>
        </w:trPr>
        <w:tc>
          <w:tcPr>
            <w:tcW w:w="8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 (Note 12)</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14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issued and outstanding: 0 and 0, respectively</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Shares issued: 123,890,657 and 120,577,305, respectively</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Shares outstanding: 117,785,395 and 114,472,043, respectively</w:t>
            </w: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shd w:val="clear" w:color="auto" w:fill="CFF0FC"/>
          </w:tcPr>
          <w:p>
            <w:pPr>
              <w:spacing w:after="0"/>
              <w:rPr>
                <w:sz w:val="17"/>
                <w:szCs w:val="17"/>
                <w:color w:val="auto"/>
              </w:rPr>
            </w:pPr>
          </w:p>
        </w:tc>
      </w:tr>
      <w:tr>
        <w:trPr>
          <w:trHeight w:val="202"/>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tcPr>
          <w:p>
            <w:pPr>
              <w:spacing w:after="0"/>
              <w:rPr>
                <w:sz w:val="17"/>
                <w:szCs w:val="17"/>
                <w:color w:val="auto"/>
              </w:rPr>
            </w:pPr>
          </w:p>
        </w:tc>
      </w:tr>
      <w:tr>
        <w:trPr>
          <w:trHeight w:val="203"/>
        </w:trPr>
        <w:tc>
          <w:tcPr>
            <w:tcW w:w="8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(52.9)</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(41.9)</w:t>
            </w:r>
          </w:p>
        </w:tc>
      </w:tr>
      <w:tr>
        <w:trPr>
          <w:trHeight w:val="20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Treasury stock-common stock, at cost, 6,105,262 and 6,105,262 shares, respectively</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(89.6)</w:t>
            </w: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(90.2)</w:t>
            </w:r>
          </w:p>
        </w:tc>
      </w:tr>
      <w:tr>
        <w:trPr>
          <w:trHeight w:val="196"/>
        </w:trPr>
        <w:tc>
          <w:tcPr>
            <w:tcW w:w="8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2,625.4</w:t>
            </w:r>
          </w:p>
        </w:tc>
        <w:tc>
          <w:tcPr>
            <w:tcW w:w="10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-4602480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-2245360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Retain</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ulated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w:t>
            </w:r>
          </w:p>
        </w:tc>
        <w:tc>
          <w:tcPr>
            <w:tcW w:w="8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8"/>
              </w:rPr>
              <w:t>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gs</w:t>
            </w:r>
          </w:p>
        </w:tc>
        <w:tc>
          <w:tcPr>
            <w:tcW w:w="8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mulate</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w:t>
            </w:r>
          </w:p>
        </w:tc>
        <w:tc>
          <w:tcPr>
            <w:tcW w:w="174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hensive</w:t>
            </w:r>
          </w:p>
        </w:tc>
        <w:tc>
          <w:tcPr>
            <w:tcW w:w="17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income</w:t>
            </w: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80" w:type="dxa"/>
            <w:vAlign w:val="bottom"/>
          </w:tcPr>
          <w:p>
            <w:pPr>
              <w:spacing w:after="0"/>
              <w:rPr>
                <w:sz w:val="18"/>
                <w:szCs w:val="18"/>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10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123,213,74</w:t>
            </w: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(6,105,26</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497.5</w:t>
            </w:r>
          </w:p>
        </w:tc>
        <w:tc>
          <w:tcPr>
            <w:tcW w:w="140" w:type="dxa"/>
            <w:vAlign w:val="bottom"/>
            <w:shd w:val="clear" w:color="auto" w:fill="CFF0FC"/>
          </w:tcPr>
          <w:p>
            <w:pPr>
              <w:spacing w:after="0"/>
              <w:rPr>
                <w:sz w:val="18"/>
                <w:szCs w:val="18"/>
                <w:color w:val="auto"/>
              </w:rPr>
            </w:pPr>
          </w:p>
        </w:tc>
        <w:tc>
          <w:tcPr>
            <w:tcW w:w="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$ 306.6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(51.5)</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(90.2)</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(313.1)</w:t>
            </w:r>
          </w:p>
        </w:tc>
        <w:tc>
          <w:tcPr>
            <w:tcW w:w="0" w:type="dxa"/>
            <w:vAlign w:val="bottom"/>
          </w:tcPr>
          <w:p>
            <w:pPr>
              <w:spacing w:after="0"/>
              <w:rPr>
                <w:sz w:val="1"/>
                <w:szCs w:val="1"/>
                <w:color w:val="auto"/>
              </w:rPr>
            </w:pPr>
          </w:p>
        </w:tc>
      </w:tr>
      <w:tr>
        <w:trPr>
          <w:trHeight w:val="20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Refund of excise tax from repurchase of common stock</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related to Merger (Note 1) (Note 12)</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related to exercises of options</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vesting of RSUs, net of common stock withheld due to</w:t>
            </w: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share settlement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676,914</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on net share settlements of equity awards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tcBorders>
              <w:top w:val="single" w:sz="8" w:color="CFF0FC"/>
            </w:tcBorders>
          </w:tcPr>
          <w:p>
            <w:pPr>
              <w:spacing w:after="0"/>
              <w:rPr>
                <w:sz w:val="15"/>
                <w:szCs w:val="15"/>
                <w:color w:val="auto"/>
              </w:rPr>
            </w:pPr>
          </w:p>
        </w:tc>
        <w:tc>
          <w:tcPr>
            <w:tcW w:w="8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123,890,65</w:t>
            </w:r>
          </w:p>
        </w:tc>
        <w:tc>
          <w:tcPr>
            <w:tcW w:w="26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(6,105,26</w:t>
            </w:r>
          </w:p>
        </w:tc>
        <w:tc>
          <w:tcPr>
            <w:tcW w:w="2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515.2</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(6.5)</w:t>
            </w: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(89.6)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1"/>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Retain</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ed</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ulated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w:t>
            </w:r>
          </w:p>
        </w:tc>
        <w:tc>
          <w:tcPr>
            <w:tcW w:w="8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earnin</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8"/>
              </w:rPr>
              <w:t>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gs</w:t>
            </w:r>
          </w:p>
        </w:tc>
        <w:tc>
          <w:tcPr>
            <w:tcW w:w="8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13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mulate</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w:t>
            </w:r>
          </w:p>
        </w:tc>
        <w:tc>
          <w:tcPr>
            <w:tcW w:w="174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7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hensive</w:t>
            </w:r>
          </w:p>
        </w:tc>
        <w:tc>
          <w:tcPr>
            <w:tcW w:w="174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3"/>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income</w:t>
            </w: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0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80" w:type="dxa"/>
            <w:vAlign w:val="bottom"/>
          </w:tcPr>
          <w:p>
            <w:pPr>
              <w:spacing w:after="0"/>
              <w:rPr>
                <w:sz w:val="18"/>
                <w:szCs w:val="18"/>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80" w:type="dxa"/>
            <w:vAlign w:val="bottom"/>
          </w:tcPr>
          <w:p>
            <w:pPr>
              <w:spacing w:after="0"/>
              <w:rPr>
                <w:sz w:val="18"/>
                <w:szCs w:val="18"/>
                <w:color w:val="auto"/>
              </w:rPr>
            </w:pPr>
          </w:p>
        </w:tc>
        <w:tc>
          <w:tcPr>
            <w:tcW w:w="6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3"/>
        </w:trPr>
        <w:tc>
          <w:tcPr>
            <w:tcW w:w="410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120,577,30</w:t>
            </w: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(6,105,26</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460.3</w:t>
            </w: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$ 316.6</w:t>
            </w:r>
          </w:p>
        </w:tc>
        <w:tc>
          <w:tcPr>
            <w:tcW w:w="2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(41.9)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(90.2)</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(323.1)</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8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Refund of excise tax from repurchase of common stock</w:t>
            </w: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related to Merger (Note 1) (Note 12)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related to exercises of options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and vesting of RSUs, net of common stock withheld due to</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net share settlement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3,313,352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 on net share settlements of equity awards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0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123,890,65</w:t>
            </w:r>
          </w:p>
        </w:tc>
        <w:tc>
          <w:tcPr>
            <w:tcW w:w="26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(6,105,26</w:t>
            </w:r>
          </w:p>
        </w:tc>
        <w:tc>
          <w:tcPr>
            <w:tcW w:w="2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2026</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4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0.1</w:t>
            </w:r>
          </w:p>
        </w:tc>
        <w:tc>
          <w:tcPr>
            <w:tcW w:w="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515.</w:t>
            </w:r>
            <w:r>
              <w:rPr>
                <w:rFonts w:ascii="Times New Roman" w:cs="Times New Roman" w:eastAsia="Times New Roman" w:hAnsi="Times New Roman"/>
                <w:sz w:val="16"/>
                <w:szCs w:val="16"/>
                <w:b w:val="1"/>
                <w:bCs w:val="1"/>
                <w:u w:val="single" w:color="auto"/>
                <w:color w:val="auto"/>
              </w:rPr>
              <w:t>2</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(6.5)</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(52.9)</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(89.6)</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366.3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-3685540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-3685540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-3685540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-3685540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-3685540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-3685540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-3685540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-24765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-8255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77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Stockho</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lder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220" w:type="dxa"/>
            <w:vAlign w:val="bottom"/>
            <w:gridSpan w:val="3"/>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7"/>
                <w:szCs w:val="17"/>
                <w:color w:val="auto"/>
              </w:rPr>
            </w:pPr>
          </w:p>
        </w:tc>
        <w:tc>
          <w:tcPr>
            <w:tcW w:w="12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2980" w:type="dxa"/>
            <w:vAlign w:val="bottom"/>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rPr>
              <w:t>paid-   receivab   Retai   compreh</w:t>
            </w:r>
          </w:p>
        </w:tc>
        <w:tc>
          <w:tcPr>
            <w:tcW w:w="15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le -</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ensive</w:t>
            </w:r>
          </w:p>
        </w:tc>
        <w:tc>
          <w:tcPr>
            <w:tcW w:w="15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Am</w:t>
            </w:r>
          </w:p>
        </w:tc>
        <w:tc>
          <w:tcPr>
            <w:tcW w:w="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oun</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w:t>
            </w:r>
          </w:p>
        </w:tc>
        <w:tc>
          <w:tcPr>
            <w:tcW w:w="22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capit</w:t>
            </w:r>
          </w:p>
        </w:tc>
        <w:tc>
          <w:tcPr>
            <w:tcW w:w="8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220" w:type="dxa"/>
            <w:vAlign w:val="bottom"/>
          </w:tcPr>
          <w:p>
            <w:pPr>
              <w:spacing w:after="0"/>
              <w:rPr>
                <w:sz w:val="17"/>
                <w:szCs w:val="17"/>
                <w:color w:val="auto"/>
              </w:rPr>
            </w:pP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earni</w:t>
            </w:r>
          </w:p>
        </w:tc>
        <w:tc>
          <w:tcPr>
            <w:tcW w:w="220" w:type="dxa"/>
            <w:vAlign w:val="bottom"/>
          </w:tcPr>
          <w:p>
            <w:pPr>
              <w:spacing w:after="0"/>
              <w:rPr>
                <w:sz w:val="17"/>
                <w:szCs w:val="17"/>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74"/>
              </w:rPr>
              <w:t>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unt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118,858</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(2,808,0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(46.6)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and vesting of RSUs, net of common</w:t>
            </w: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withheld due to net share settlement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752,723</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on net share settlements of</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31.8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6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119,611</w:t>
            </w:r>
          </w:p>
        </w:tc>
        <w:tc>
          <w:tcPr>
            <w:tcW w:w="2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9"/>
              </w:rPr>
              <w:t>440.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355.</w:t>
            </w: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(2,808,0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707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$ 0.1</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(47.7)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-290830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-290830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-290830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-290830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-290830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-290830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-290830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-290830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-290830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15"/>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6"/>
        </w:trPr>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Stockho</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lder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4"/>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ional</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42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2980" w:type="dxa"/>
            <w:vAlign w:val="bottom"/>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rPr>
              <w:t>paid-   receivab   Retai   compreh</w:t>
            </w:r>
          </w:p>
        </w:tc>
        <w:tc>
          <w:tcPr>
            <w:tcW w:w="1540" w:type="dxa"/>
            <w:vAlign w:val="bottom"/>
            <w:gridSpan w:val="5"/>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60" w:type="dxa"/>
            <w:vAlign w:val="bottom"/>
          </w:tcPr>
          <w:p>
            <w:pPr>
              <w:spacing w:after="0"/>
              <w:rPr>
                <w:sz w:val="17"/>
                <w:szCs w:val="17"/>
                <w:color w:val="auto"/>
              </w:rPr>
            </w:pPr>
          </w:p>
        </w:tc>
        <w:tc>
          <w:tcPr>
            <w:tcW w:w="1420" w:type="dxa"/>
            <w:vAlign w:val="bottom"/>
            <w:gridSpan w:val="4"/>
            <w:vMerge w:val="continue"/>
          </w:tcPr>
          <w:p>
            <w:pPr>
              <w:spacing w:after="0"/>
              <w:rPr>
                <w:sz w:val="17"/>
                <w:szCs w:val="17"/>
                <w:color w:val="auto"/>
              </w:rPr>
            </w:pPr>
          </w:p>
        </w:tc>
        <w:tc>
          <w:tcPr>
            <w:tcW w:w="1200" w:type="dxa"/>
            <w:vAlign w:val="bottom"/>
            <w:gridSpan w:val="5"/>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 -</w:t>
            </w:r>
          </w:p>
        </w:tc>
        <w:tc>
          <w:tcPr>
            <w:tcW w:w="80" w:type="dxa"/>
            <w:vAlign w:val="bottom"/>
          </w:tcPr>
          <w:p>
            <w:pPr>
              <w:spacing w:after="0"/>
              <w:rPr>
                <w:sz w:val="17"/>
                <w:szCs w:val="17"/>
                <w:color w:val="auto"/>
              </w:rPr>
            </w:pPr>
          </w:p>
        </w:tc>
        <w:tc>
          <w:tcPr>
            <w:tcW w:w="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ensive</w:t>
            </w:r>
          </w:p>
        </w:tc>
        <w:tc>
          <w:tcPr>
            <w:tcW w:w="154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3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Am</w:t>
            </w:r>
          </w:p>
        </w:tc>
        <w:tc>
          <w:tcPr>
            <w:tcW w:w="2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oun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w:t>
            </w:r>
          </w:p>
        </w:tc>
        <w:tc>
          <w:tcPr>
            <w:tcW w:w="220" w:type="dxa"/>
            <w:vAlign w:val="bottom"/>
          </w:tcPr>
          <w:p>
            <w:pPr>
              <w:spacing w:after="0"/>
              <w:rPr>
                <w:sz w:val="17"/>
                <w:szCs w:val="17"/>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capit</w:t>
            </w:r>
          </w:p>
        </w:tc>
        <w:tc>
          <w:tcPr>
            <w:tcW w:w="80" w:type="dxa"/>
            <w:vAlign w:val="bottom"/>
          </w:tcPr>
          <w:p>
            <w:pPr>
              <w:spacing w:after="0"/>
              <w:rPr>
                <w:sz w:val="17"/>
                <w:szCs w:val="17"/>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earni</w:t>
            </w:r>
          </w:p>
        </w:tc>
        <w:tc>
          <w:tcPr>
            <w:tcW w:w="220" w:type="dxa"/>
            <w:vAlign w:val="bottom"/>
          </w:tcPr>
          <w:p>
            <w:pPr>
              <w:spacing w:after="0"/>
              <w:rPr>
                <w:sz w:val="17"/>
                <w:szCs w:val="17"/>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74"/>
              </w:rPr>
              <w:t>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party</w:t>
            </w:r>
          </w:p>
        </w:tc>
        <w:tc>
          <w:tcPr>
            <w:tcW w:w="80" w:type="dxa"/>
            <w:vAlign w:val="bottom"/>
          </w:tcPr>
          <w:p>
            <w:pPr>
              <w:spacing w:after="0"/>
              <w:rPr>
                <w:sz w:val="18"/>
                <w:szCs w:val="18"/>
                <w:color w:val="auto"/>
              </w:rPr>
            </w:pPr>
          </w:p>
        </w:tc>
        <w:tc>
          <w:tcPr>
            <w:tcW w:w="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unt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153,655</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(26,260,</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,038</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$ 0.2</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999</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(91.5)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252)</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7.6)</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 note receivable - related party (Note</w:t>
            </w: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(326.7)</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 related to Merger,</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net of issuance of common stock as Merger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3,037,9</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consideration (Note 1) (Note 12)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of treasury shares (Note 12)</w:t>
            </w: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(40,283,</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53,083,9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936)</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9,999)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 under share</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repurchase program (Note 12)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Issuance of common stock related to exercises of</w:t>
            </w: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and vesting of RSUs, net of common</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3,201,9</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withheld due to net share settlement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 on net share settlements of</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equity awards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336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95.5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360" w:type="dxa"/>
            <w:vAlign w:val="bottom"/>
            <w:tcBorders>
              <w:top w:val="single" w:sz="8" w:color="CFF0FC"/>
            </w:tcBorders>
          </w:tcPr>
          <w:p>
            <w:pPr>
              <w:spacing w:after="0"/>
              <w:rPr>
                <w:sz w:val="15"/>
                <w:szCs w:val="15"/>
                <w:color w:val="auto"/>
              </w:rPr>
            </w:pPr>
          </w:p>
        </w:tc>
        <w:tc>
          <w:tcPr>
            <w:tcW w:w="6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119,611</w:t>
            </w:r>
          </w:p>
        </w:tc>
        <w:tc>
          <w:tcPr>
            <w:tcW w:w="20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9"/>
              </w:rPr>
              <w:t>440.</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355.</w:t>
            </w: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(2,808,0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(40.</w:t>
            </w:r>
          </w:p>
        </w:tc>
        <w:tc>
          <w:tcPr>
            <w:tcW w:w="2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707</w:t>
            </w:r>
          </w:p>
        </w:tc>
        <w:tc>
          <w:tcPr>
            <w:tcW w:w="12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$ 0.1</w:t>
            </w:r>
          </w:p>
        </w:tc>
        <w:tc>
          <w:tcPr>
            <w:tcW w:w="2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14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(47.7)</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w:t>
            </w:r>
          </w:p>
        </w:tc>
        <w:tc>
          <w:tcPr>
            <w:tcW w:w="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-290830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-290830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-290830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-290830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-290830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-290830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-290830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-290830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-290830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-290830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-290830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Pr>
          <w:p>
            <w:pPr>
              <w:spacing w:after="0"/>
              <w:rPr>
                <w:sz w:val="18"/>
                <w:szCs w:val="18"/>
                <w:color w:val="auto"/>
              </w:rPr>
            </w:pPr>
          </w:p>
        </w:tc>
        <w:tc>
          <w:tcPr>
            <w:tcW w:w="3180" w:type="dxa"/>
            <w:vAlign w:val="bottom"/>
            <w:gridSpan w:val="6"/>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9"/>
        </w:trPr>
        <w:tc>
          <w:tcPr>
            <w:tcW w:w="80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19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(323.1)</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Net income (loss) from discontinued operations, net of tax</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from continuing operations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(324.7)</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 - continuing operations: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 expense (benefit) (Note 9)</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(42.8)</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Impairment of goodwill (Note 6)</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net</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 net:</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 prepaid expenses and other assets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(56.9)</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r>
      <w:tr>
        <w:trPr>
          <w:trHeight w:val="203"/>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(25.0)</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Income tax receivables/payables, net</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r>
      <w:tr>
        <w:trPr>
          <w:trHeight w:val="203"/>
        </w:trPr>
        <w:tc>
          <w:tcPr>
            <w:tcW w:w="80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7"/>
                <w:szCs w:val="17"/>
                <w:color w:val="auto"/>
              </w:rPr>
            </w:pPr>
          </w:p>
        </w:tc>
      </w:tr>
      <w:tr>
        <w:trPr>
          <w:trHeight w:val="19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 - continuing operations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337.5</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 - discontinued operations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r>
      <w:tr>
        <w:trPr>
          <w:trHeight w:val="196"/>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expenditures, including capitalized website development</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(31.8)</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(48.2)</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 - continuing operations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(31.8)</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(50.4)</w:t>
            </w: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 - discontinued operations</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(15.7)</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w:t>
            </w: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(47.5)</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(65.3)</w:t>
            </w:r>
          </w:p>
        </w:tc>
      </w:tr>
      <w:tr>
        <w:trPr>
          <w:trHeight w:val="203"/>
        </w:trPr>
        <w:tc>
          <w:tcPr>
            <w:tcW w:w="80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Proceeds from the issuance of Term Loan B Facility, net of financing costs (Note 8)</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shd w:val="clear" w:color="auto" w:fill="CFF0FC"/>
          </w:tcPr>
          <w:p>
            <w:pPr>
              <w:spacing w:after="0"/>
              <w:rPr>
                <w:sz w:val="17"/>
                <w:szCs w:val="17"/>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2026 Senior Notes (Note 8)</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(345.0)</w:t>
            </w:r>
          </w:p>
        </w:tc>
        <w:tc>
          <w:tcPr>
            <w:tcW w:w="3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Principal payments on Term Loan B Facility (Note 8)</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(6.4)</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common stock related to Merger, including transaction costs (Note 1)</w:t>
            </w:r>
          </w:p>
        </w:tc>
        <w:tc>
          <w:tcPr>
            <w:tcW w:w="880" w:type="dxa"/>
            <w:vAlign w:val="bottom"/>
          </w:tcPr>
          <w:p>
            <w:pPr>
              <w:spacing w:after="0"/>
              <w:rPr>
                <w:sz w:val="17"/>
                <w:szCs w:val="17"/>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(410.7)</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Repurchase of common stock under the share repurchase program (Note 12)</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(40.0)</w:t>
            </w: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 of withholding taxes on net share settlements of equity awards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of finance lease obligation and other financing activities, net</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(7.8)</w:t>
            </w: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 - continuing operations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(366.4)</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(134.3)</w:t>
            </w:r>
          </w:p>
        </w:tc>
      </w:tr>
      <w:tr>
        <w:trPr>
          <w:trHeight w:val="20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 - discontinued operations</w:t>
            </w:r>
          </w:p>
        </w:tc>
        <w:tc>
          <w:tcPr>
            <w:tcW w:w="88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(366.0)</w:t>
            </w: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(136.7)</w:t>
            </w: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8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(5.4)</w:t>
            </w: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7"/>
                <w:szCs w:val="17"/>
                <w:color w:val="auto"/>
              </w:rPr>
            </w:pPr>
          </w:p>
        </w:tc>
      </w:tr>
      <w:tr>
        <w:trPr>
          <w:trHeight w:val="20"/>
        </w:trPr>
        <w:tc>
          <w:tcPr>
            <w:tcW w:w="80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88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(284.8)</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1,034.9</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tcPr>
          <w:p>
            <w:pPr>
              <w:spacing w:after="0"/>
              <w:rPr>
                <w:sz w:val="17"/>
                <w:szCs w:val="17"/>
                <w:color w:val="auto"/>
              </w:rPr>
            </w:pPr>
          </w:p>
        </w:tc>
      </w:tr>
      <w:tr>
        <w:trPr>
          <w:trHeight w:val="203"/>
        </w:trPr>
        <w:tc>
          <w:tcPr>
            <w:tcW w:w="8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Cash, cash equivalents and restricted cash at end of period from discontinued operations</w:t>
            </w:r>
          </w:p>
        </w:tc>
        <w:tc>
          <w:tcPr>
            <w:tcW w:w="88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 from continuing operations</w:t>
            </w:r>
          </w:p>
        </w:tc>
        <w:tc>
          <w:tcPr>
            <w:tcW w:w="8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706.8</w:t>
            </w:r>
          </w:p>
        </w:tc>
        <w:tc>
          <w:tcPr>
            <w:tcW w:w="300" w:type="dxa"/>
            <w:vAlign w:val="bottom"/>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1,155.3</w:t>
            </w:r>
          </w:p>
        </w:tc>
        <w:tc>
          <w:tcPr>
            <w:tcW w:w="100" w:type="dxa"/>
            <w:vAlign w:val="bottom"/>
          </w:tcPr>
          <w:p>
            <w:pPr>
              <w:spacing w:after="0"/>
              <w:rPr>
                <w:sz w:val="17"/>
                <w:szCs w:val="17"/>
                <w:color w:val="auto"/>
              </w:rPr>
            </w:pPr>
          </w:p>
        </w:tc>
      </w:tr>
      <w:tr>
        <w:trPr>
          <w:trHeight w:val="20"/>
        </w:trPr>
        <w:tc>
          <w:tcPr>
            <w:tcW w:w="8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88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during the period for income taxes, net of refunds</w:t>
            </w:r>
          </w:p>
        </w:tc>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8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FF0FC"/>
          </w:tcPr>
          <w:p>
            <w:pPr>
              <w:spacing w:after="0"/>
              <w:rPr>
                <w:sz w:val="17"/>
                <w:szCs w:val="17"/>
                <w:color w:val="auto"/>
              </w:rPr>
            </w:pPr>
          </w:p>
        </w:tc>
      </w:tr>
      <w:tr>
        <w:trPr>
          <w:trHeight w:val="202"/>
        </w:trPr>
        <w:tc>
          <w:tcPr>
            <w:tcW w:w="8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flow financing activities:</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Issuance of common stock related to Merger (Note 1)</w:t>
            </w:r>
          </w:p>
        </w:tc>
        <w:tc>
          <w:tcPr>
            <w:tcW w:w="88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FF0FC"/>
          </w:tcPr>
          <w:p>
            <w:pPr>
              <w:spacing w:after="0"/>
              <w:rPr>
                <w:sz w:val="17"/>
                <w:szCs w:val="17"/>
                <w:color w:val="auto"/>
              </w:rPr>
            </w:pPr>
          </w:p>
        </w:tc>
      </w:tr>
      <w:tr>
        <w:trPr>
          <w:trHeight w:val="210"/>
        </w:trPr>
        <w:tc>
          <w:tcPr>
            <w:tcW w:w="8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operating loss carryforwards retained related to Merger (Note 1)</w:t>
            </w:r>
          </w:p>
        </w:tc>
        <w:tc>
          <w:tcPr>
            <w:tcW w:w="88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-6159500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-3561715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-3561715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-3296285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-3296285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-2001520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-2001520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-1736090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-1736090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-1470025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-1470025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-1204595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-1204595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-938530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-938530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“the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w:t>
      </w:r>
    </w:p>
    <w:p>
      <w:pPr>
        <w:spacing w:after="0" w:line="140" w:lineRule="exact"/>
        <w:rPr>
          <w:sz w:val="20"/>
          <w:szCs w:val="20"/>
          <w:color w:val="auto"/>
        </w:rPr>
      </w:pPr>
    </w:p>
    <w:p>
      <w:pPr>
        <w:jc w:val="both"/>
        <w:ind w:right="140" w:firstLine="509"/>
        <w:spacing w:after="0" w:line="289" w:lineRule="auto"/>
        <w:rPr>
          <w:sz w:val="20"/>
          <w:szCs w:val="20"/>
          <w:color w:val="auto"/>
        </w:rPr>
      </w:pPr>
      <w:r>
        <w:rPr>
          <w:rFonts w:ascii="Times New Roman" w:cs="Times New Roman" w:eastAsia="Times New Roman" w:hAnsi="Times New Roman"/>
          <w:sz w:val="17"/>
          <w:szCs w:val="17"/>
          <w:color w:val="auto"/>
        </w:rPr>
        <w:t>We offer travelers the ability to search, discover, book, and review experiences, hotels, and restaurants seamlessly through our primary consumer-facing brands: Viator, our two-sided marketplace for experiences and Tripadvisor, our travel planning and guidance platform. Tripadvisor offers authentic traveler-submitted reviews and content, travel planning tools and related technology to instill confidence for travelers in every part of their travel journey.</w:t>
      </w:r>
    </w:p>
    <w:p>
      <w:pPr>
        <w:spacing w:after="0" w:line="15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Company's strategy is focused on growing and scaling its Experiences marketplace, which we believe represents an attractive long-term value creation opportunity, while optimizing our legacy offerings within the Hotels and Other segment for profitability. As part of its Experiences strategy, on June 14, 2026, the Company entered into a put option agreement for the sale of TheFork. As a result, during the second quarter of 2026, TheFork business was reclassified as a discontinued operation and is no longer a reportable segment within continuing operations. On August 1, 2026, the Company delivered notice of exercise of the put option agreement, and effective November 1, 2026, the Company consummated the sale of TheFork. Refer to the section below titled “</w:t>
      </w:r>
      <w:r>
        <w:rPr>
          <w:rFonts w:ascii="Times New Roman" w:cs="Times New Roman" w:eastAsia="Times New Roman" w:hAnsi="Times New Roman"/>
          <w:sz w:val="18"/>
          <w:szCs w:val="18"/>
          <w:i w:val="1"/>
          <w:iCs w:val="1"/>
          <w:color w:val="auto"/>
        </w:rPr>
        <w:t>Sale of TheFork</w:t>
      </w:r>
      <w:r>
        <w:rPr>
          <w:rFonts w:ascii="Times New Roman" w:cs="Times New Roman" w:eastAsia="Times New Roman" w:hAnsi="Times New Roman"/>
          <w:sz w:val="18"/>
          <w:szCs w:val="18"/>
          <w:color w:val="auto"/>
        </w:rPr>
        <w:t>” for further discussion.</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Experiences segment includes Viator, a pure-play, experiences online travel agency (“OTA”), offering a two-sided global marketplace for tours, activities, and attractions; it also includes Tripadvisor and third party points-of-sale for experiences. Viator's global online marketplace merchandises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Both brands leverage Viator’s centralized supply platform that supports operator onboarding, operator inventory management, bookings, payments, fraud prevention, and customer support. In addition, the Company also syndicates its experiences supply to other third-party endemic and non-endemic demand partners. The Hotels and Other segment primarily consists of the Tripadvisor hotel and restaurant guidance platform, which includes hotel metasearch, and related advertising offerings primarily for hotels and restaurants.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except for certain transactions as pertaining to the classification of TheFork as a discontinued operation, discussed below.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9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except as pertaining to the classification of TheFork as a discontinued operation, discussed below. There was no impact to total assets, total liabilities, total net income (loss) or total equity for the periods presented.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year ended December 31, 2025, which was previously filed with the SEC (the “2025 Annual Report”). The unaudited condensed consolidated balance sheet as of December 31, 2025 included herein was derived from the audited consolidated financial statements as of that date, but does not include all disclosures including notes required by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 TripAdvisor Holdings,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LTRIP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Tripadvisor Merger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and the Loan Agreement</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April 29, 2025, the Merger between the Company and LTRIP closed. The Merger was accounted for as a repurchase of the Company’s common stock previously held by LTRIP. The amount allocated to treasury stock totaled $436.5 million, consisting of: (i) aggregate cash paid of $410.7 million (including $19.1 million of direct expenses and fees associated with the repurchase) and common stock consideration paid (3,037,959 validly issued, fully paid and non-assessable shares of the Company's common stock, with a fair value of approximately $38.9 million); partially offset by (ii) $13.1 million in LTRIP net operating loss carryforwards, tax effected, retained by the Company, which was recorded as an asset to deferred income taxes, net on our unaudited condensed consolidated balance sheet during the second quarter of 2025. Prior to the closing of the Merger, on March 20, 2025, the Company provided a loan to LTRIP (the “Loan Agreement”) for $326.7 million to enable LTRIP to repurchase or settle certain of LTRIP’s outstanding debt prior to the close of the Merger, which was recorded to “stockholder note receivable - related party” as a reduction to stockholders’ equity on our unaudited condensed consolidated balance sheet as of March 31, 2025. Upon the closing of the Merger, the loan balance was included in the aggregate transaction price and, therefore, no longer payable to the Company by LTRIP.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xml:space="preserve">”, in the notes to the consolidated financial statements in Item 8 of our 2025 Annual Report for further discussion of the Merger transaction and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below for further information regarding the repurchase and subsequent retirement of the Company's common stock repurchased in this transaction.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TheFork</w:t>
      </w:r>
    </w:p>
    <w:p>
      <w:pPr>
        <w:spacing w:after="0" w:line="22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On June 14, 2026, the Company entered into a put option agreement (the “Put Option Agreement”) with American Express Travel Related Services Company, Inc. (“American Express”) to sell the legal entities comprising the Company's online restaurant reservation and management platform in Europe known as “TheFork” (the “Business”) for $700.0 million in cash, subject to certain adjustments. Pursuant to the Put Option Agreement, American Express provided an irrevocable commitment to acquire TheFork. On August 1, 2026, following the completion of the required consultation process with the relevant French Works Council, the Company exercised the put option. On August 2, 2026, the Company entered into an Equity Purchase Agreement with American Express to sell TheFork. On November 1, 2026, the Company consummated the sale of the Business to American Express pursuant to the Equity Purchase Agreement. The total net cash consideration received at closing was approximately $741.0 million, reflecting customary adjustments to the purchase price, including closing working capital, cash, and indebtedness, and net of transaction related expenses paid at closing. The Company anticipates recognizing an estimated gain on sale of approximately $487.0 million during the fourth quarter of 2026. However, the final net cash consideration and gain on sale amounts may differ materially, as these amounts remain subject to change based on final adjustments according to the terms of the Equity Purchase Agreement.</w:t>
      </w:r>
    </w:p>
    <w:p>
      <w:pPr>
        <w:spacing w:after="0" w:line="19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Upon execution of the Put Option Agreement, the assets and liabilities of TheFork business met the accounting requirements to be classified as held for sale. In addition, the accounting requirements for reporting TheFork business as a discontinued operation were also satisfied as the transaction constitutes a strategic shift that will have a major effect on the Company's operations and financial results. We analyzed the quantitative and qualitative factors relevant to the divestiture of TheFork business and determined that those factors for discontinued operations presentation were met. As such, the financial results of TheFork business are classified as discontinued operations in the unaudited condensed consolidated financial statements for all periods presented. Unless otherwise noted, all amounts, percentages, and any discussion in this Quarterly Report on Form 10-Q reflect the results from continuing operations, except for the unaudited condensed consolidated statements of comprehensive income and unaudited condensed consolidated statements of stockholders' equity, which are presented on a combined continuing and discontinued operations basis.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information. Furthermore, upon classification of TheFork business as a discontinued operation, the Company determined that TheFork is no longer a reportable segment. The Company continued to own and operate TheFork business until the closing of the transaction resulting in the sale of TheFork. The Company's continuing operations now consist of two reportable segments: (1) Experiences, and (2) Hotels and Other. All prior period segment disclosure information has been recast to conform to the current reporting structure. Refer to “Note 14: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Intercompany transactions related to existing commercial agreements between the Company and TheFork, expected to continue post-divestiture, are presented separately between the Company's continuing and discontinued operations. These transactions were previously eliminated in the Company's unaudited condensed consolidated financial statements. The unaudited condensed consolidated statements of operations for all periods presented have been adjusted to reflect this change. This change had no impact on the Company’s total net income (loss) and did not have a material effect on its unaudited condensed consolidated financial statements.</w:t>
      </w:r>
    </w:p>
    <w:p>
      <w:pPr>
        <w:spacing w:after="0" w:line="183" w:lineRule="exact"/>
        <w:rPr>
          <w:sz w:val="20"/>
          <w:szCs w:val="20"/>
          <w:color w:val="auto"/>
        </w:rPr>
      </w:pPr>
    </w:p>
    <w:p>
      <w:pPr>
        <w:ind w:right="360" w:firstLine="509"/>
        <w:spacing w:after="0" w:line="257" w:lineRule="auto"/>
        <w:rPr>
          <w:sz w:val="20"/>
          <w:szCs w:val="20"/>
          <w:color w:val="auto"/>
        </w:rPr>
      </w:pPr>
      <w:r>
        <w:rPr>
          <w:rFonts w:ascii="Times New Roman" w:cs="Times New Roman" w:eastAsia="Times New Roman" w:hAnsi="Times New Roman"/>
          <w:sz w:val="18"/>
          <w:szCs w:val="18"/>
          <w:color w:val="auto"/>
        </w:rPr>
        <w:t>Concurrently with the consummation of the transaction on November 1, 2026, the Company and American Express entered into a Transition Services Agreement (“TSA”), pursuant to which the Company agreed to provide certain transition services and access to services available through the Company's existing licensing agreements for a maximum period of up to 12 months, depending on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p>
      <w:pPr>
        <w:ind w:right="60"/>
        <w:spacing w:after="0" w:line="282" w:lineRule="auto"/>
        <w:rPr>
          <w:sz w:val="20"/>
          <w:szCs w:val="20"/>
          <w:color w:val="auto"/>
        </w:rPr>
      </w:pPr>
      <w:r>
        <w:rPr>
          <w:rFonts w:ascii="Times New Roman" w:cs="Times New Roman" w:eastAsia="Times New Roman" w:hAnsi="Times New Roman"/>
          <w:sz w:val="18"/>
          <w:szCs w:val="18"/>
          <w:color w:val="auto"/>
        </w:rPr>
        <w:t>service to be provided, in order to facilitate the transition. The services to be provided by the Company under the TSA are considered usual and customary and include finance, information technology, human resources and certain other administrative services.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U.S. and other countries have seen increased economic uncertainty (including with respect to tariffs, the threat of tariffs and changes in trade policies), market volatility, elevated levels of inflation and fluctuating discretionary spending patterns by consumers, all of which may impact our business. If macroeconomic conditions deteriorate, consumer demand and spending may decline, we may not be able to pass on increased costs to our customers and any inability to navigate the macroeconomic environment could harm our business, results of operations and financial condition.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Natural disasters, public health-related events, political instability, geopolitical conflicts, including the evolving events in the Middle East, Iran, and between Ukraine and Russia, acts of terrorism, fluctuations in currency values, and changes in global economic conditions and/or legislation and regulation are examples of other events that could have a negative impact on the travel industry, and as a result, our financial results.</w:t>
      </w:r>
    </w:p>
    <w:p>
      <w:pPr>
        <w:spacing w:after="0" w:line="174" w:lineRule="exact"/>
        <w:rPr>
          <w:sz w:val="20"/>
          <w:szCs w:val="20"/>
          <w:color w:val="auto"/>
        </w:rPr>
      </w:pPr>
    </w:p>
    <w:p>
      <w:pPr>
        <w:ind w:right="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under “Certain Risks and Concentrations” in the notes to the consolidated financial statements in Item 8 of our 2025 Annual Report for further discussion of additional risks, such as credit risk and concentration risk with customers.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recoverability of goodwill of our Hotels and Other reporting unit; and (ii) accounting for income taxes. Refer to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the significant judgments required in our Hotels and Other reporting unit goodwill impairment analysis during the third quarter of 2026 and significant income tax estimates,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46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2025,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consolidated financial statements in Item 8 of our 2025 Annual Report.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new accounting guidance that clarifies the requirements for determining whether certain settlements of convertible debt instruments should be accounted for as an induced conversion. This guidance is effective for the 2026 annual period, including the interim reporting periods within. We adopted this guidance in the first quarter of 2026 and the adoption did not have a material impact on our unaudited condensed consolidated financial statements or related disclosures.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2" w:name="page13"/>
    <w:bookmarkEnd w:id="12"/>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new accounting guidance that provides a practical expedient permitting an entity to assume that conditions at the balance sheet date remain unchanged over the life of the asset when estimating expected credit losses for current accounts receivable and current contract assets accounted for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guidance was effective for the 2026 annual period, including the interim reporting periods within. We adopted this guidance in the first quarter of 2026 prospectively and the adoption did not have a material impact on our unaudited condensed consolidated financial statements or related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new accounting guidance expanding disclosure requirements related to certain income statement expenses. The guidance requires tabular footnote disclosure of certain operating expenses disaggregated into categories, such as employee compensation, depreciation, and intangible asset amortization, included within each interim and annual income statement's expense caption, as applicable. This guidance is effective for fiscal years beginning after December 15, 2026, and interim periods within fiscal years beginning after December 15, 2027, with early adoption permitted, and may be applied either prospectively or retrospectively.</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September 2025, the FASB issued new accounting guidance that modernizes the recognition and disclosure framework for internal-use software costs, removing the previous “development stage” model and introducing a more judgment-based approach. This guidance is effective for fiscal years beginning after December 15, 2027, and interim periods within those annual reporting periods, with early adoption permitted.</w:t>
      </w:r>
    </w:p>
    <w:p>
      <w:pPr>
        <w:spacing w:after="0" w:line="17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new accounting guidance, which clarifies the guidance in ASC 270, </w:t>
      </w: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 to improve the consistency of interim financial reporting. The guidance provides a comprehensive list of required interim disclosures and introduces a disclosure principle requiring entities to disclose events since the end of the last annual reporting period that have a material impact on the entity. This guidance is effective for fiscal years beginning after December 15, 2027, including interim periods within those fiscal years, with early adoption permitted.</w:t>
      </w:r>
    </w:p>
    <w:p>
      <w:pPr>
        <w:spacing w:after="0" w:line="18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currently considering the timing of adoption and are in the process of evaluating the impact of adopting these newly issued accounting rules on the Company's consolidated financial statements and related disclosures.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operating results of the discontinued operations only reflect revenues and expenses that are directly attributable to TheFork business that are no longer included in continuing operations. Certain shared costs, primarily personnel costs, previously allocated to TheFork reportable segment, do not qualify for discontinued operations accounting classification and are reported within continuing operations for all periods presented (or “stranded costs”). These costs are included in general and administrative expenses on our unaudited condensed consolidated statements of operations, and are $0.9 million and $3.1 million for the three and nine months ended September 30, 2026, respectively, and $0.9 million and $2.7 million for the three and nine months ended September 30, 2025, respectively.</w:t>
      </w:r>
    </w:p>
    <w:p>
      <w:pPr>
        <w:spacing w:after="0" w:line="18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table below details the major classes of line items constituting net income from discontinued operations, net of income taxes in the unaudited condensed consolidated statements of operations: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840" w:type="dxa"/>
            <w:vAlign w:val="bottom"/>
            <w:gridSpan w:val="5"/>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6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2"/>
                <w:szCs w:val="12"/>
                <w:color w:val="auto"/>
              </w:rPr>
            </w:pPr>
          </w:p>
        </w:tc>
      </w:tr>
      <w:tr>
        <w:trPr>
          <w:trHeight w:val="142"/>
        </w:trPr>
        <w:tc>
          <w:tcPr>
            <w:tcW w:w="6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52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4"/>
              </w:rPr>
              <w:t>millions)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6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Pr>
          <w:p>
            <w:pPr>
              <w:spacing w:after="0"/>
              <w:rPr>
                <w:sz w:val="18"/>
                <w:szCs w:val="18"/>
                <w:color w:val="auto"/>
              </w:rPr>
            </w:pPr>
          </w:p>
        </w:tc>
        <w:tc>
          <w:tcPr>
            <w:tcW w:w="72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 as shown separately below)</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8"/>
                <w:szCs w:val="18"/>
                <w:color w:val="auto"/>
              </w:rPr>
            </w:pPr>
          </w:p>
        </w:tc>
      </w:tr>
      <w:tr>
        <w:trPr>
          <w:trHeight w:val="198"/>
        </w:trPr>
        <w:tc>
          <w:tcPr>
            <w:tcW w:w="66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$2.2, $2.8, $6.8 and $8.5,</w:t>
            </w: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0"/>
                <w:szCs w:val="20"/>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4"/>
                <w:szCs w:val="24"/>
                <w:color w:val="auto"/>
                <w:vertAlign w:val="superscript"/>
              </w:rPr>
              <w:t>(1)</w:t>
            </w:r>
          </w:p>
        </w:tc>
        <w:tc>
          <w:tcPr>
            <w:tcW w:w="6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09"/>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top w:val="single" w:sz="8" w:color="CFF0FC"/>
            </w:tcBorders>
          </w:tcPr>
          <w:p>
            <w:pPr>
              <w:spacing w:after="0"/>
              <w:rPr>
                <w:sz w:val="18"/>
                <w:szCs w:val="18"/>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taxes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6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discontinued operations</w:t>
            </w:r>
          </w:p>
        </w:tc>
        <w:tc>
          <w:tcPr>
            <w:tcW w:w="620" w:type="dxa"/>
            <w:vAlign w:val="bottom"/>
            <w:shd w:val="clear" w:color="auto" w:fill="CFF0FC"/>
          </w:tcPr>
          <w:p>
            <w:pPr>
              <w:jc w:val="right"/>
              <w:ind w:right="46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-882015</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-882015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-882015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Beginning in June 2026, the Company ceased recognition of depreciation and amortization of TheFork's long-lived assets upon determination it met held for sale criteria under GAAP.</w:t>
      </w:r>
    </w:p>
    <w:p>
      <w:pPr>
        <w:spacing w:after="0" w:line="10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table below details the major classes of TheFork assets and liabilities held for sale, which are summarized separately in the unaudited condensed consolidated balance sheets: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00" w:type="dxa"/>
            <w:vAlign w:val="bottom"/>
            <w:gridSpan w:val="2"/>
          </w:tcPr>
          <w:p>
            <w:pPr>
              <w:jc w:val="right"/>
              <w:ind w:right="75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$16.9 and $12.0, respectively</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6"/>
                <w:szCs w:val="16"/>
                <w:color w:val="auto"/>
              </w:rPr>
              <w:t xml:space="preserve">Total current assets </w:t>
            </w:r>
            <w:r>
              <w:rPr>
                <w:rFonts w:ascii="Times New Roman" w:cs="Times New Roman" w:eastAsia="Times New Roman" w:hAnsi="Times New Roman"/>
                <w:sz w:val="21"/>
                <w:szCs w:val="21"/>
                <w:color w:val="auto"/>
                <w:vertAlign w:val="superscript"/>
              </w:rPr>
              <w:t>(1)</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60"/>
              <w:spacing w:after="0" w:line="203" w:lineRule="exact"/>
              <w:rPr>
                <w:sz w:val="20"/>
                <w:szCs w:val="20"/>
                <w:color w:val="auto"/>
              </w:rPr>
            </w:pPr>
            <w:r>
              <w:rPr>
                <w:rFonts w:ascii="Times New Roman" w:cs="Times New Roman" w:eastAsia="Times New Roman" w:hAnsi="Times New Roman"/>
                <w:sz w:val="16"/>
                <w:szCs w:val="16"/>
                <w:color w:val="auto"/>
              </w:rPr>
              <w:t xml:space="preserve">Property and equipment, net of accumulated depreciation of $88.3 and $82.5, respectively </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ind w:left="160"/>
              <w:spacing w:after="0" w:line="203" w:lineRule="exact"/>
              <w:rPr>
                <w:sz w:val="20"/>
                <w:szCs w:val="20"/>
                <w:color w:val="auto"/>
              </w:rPr>
            </w:pPr>
            <w:r>
              <w:rPr>
                <w:rFonts w:ascii="Times New Roman" w:cs="Times New Roman" w:eastAsia="Times New Roman" w:hAnsi="Times New Roman"/>
                <w:sz w:val="16"/>
                <w:szCs w:val="16"/>
                <w:color w:val="auto"/>
              </w:rPr>
              <w:t xml:space="preserve">Operating lease right-of-use assets </w:t>
            </w:r>
            <w:r>
              <w:rPr>
                <w:rFonts w:ascii="Times New Roman" w:cs="Times New Roman" w:eastAsia="Times New Roman" w:hAnsi="Times New Roman"/>
                <w:sz w:val="21"/>
                <w:szCs w:val="21"/>
                <w:color w:val="auto"/>
                <w:vertAlign w:val="superscript"/>
              </w:rPr>
              <w:t>(2)</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Intangible assets, net of accumulated amortization of $77.4 and $80.0, respectively</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FF0FC"/>
            </w:tcBorders>
            <w:shd w:val="clear" w:color="auto" w:fill="CFF0FC"/>
          </w:tcPr>
          <w:p>
            <w:pPr>
              <w:ind w:left="160"/>
              <w:spacing w:after="0" w:line="203" w:lineRule="exact"/>
              <w:rPr>
                <w:sz w:val="20"/>
                <w:szCs w:val="20"/>
                <w:color w:val="auto"/>
              </w:rPr>
            </w:pPr>
            <w:r>
              <w:rPr>
                <w:rFonts w:ascii="Times New Roman" w:cs="Times New Roman" w:eastAsia="Times New Roman" w:hAnsi="Times New Roman"/>
                <w:sz w:val="16"/>
                <w:szCs w:val="16"/>
                <w:color w:val="auto"/>
              </w:rPr>
              <w:t xml:space="preserve">Other long-term assets, net of allowance for expected credit losses of $10.0 and $10.0, respectively </w:t>
            </w:r>
            <w:r>
              <w:rPr>
                <w:rFonts w:ascii="Times New Roman" w:cs="Times New Roman" w:eastAsia="Times New Roman" w:hAnsi="Times New Roman"/>
                <w:sz w:val="21"/>
                <w:szCs w:val="21"/>
                <w:color w:val="auto"/>
                <w:vertAlign w:val="superscript"/>
              </w:rPr>
              <w:t>(3)</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18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 xml:space="preserve">Total noncurrent assets </w:t>
            </w:r>
            <w:r>
              <w:rPr>
                <w:rFonts w:ascii="Times New Roman" w:cs="Times New Roman" w:eastAsia="Times New Roman" w:hAnsi="Times New Roman"/>
                <w:sz w:val="19"/>
                <w:szCs w:val="19"/>
                <w:color w:val="auto"/>
                <w:vertAlign w:val="superscript"/>
              </w:rPr>
              <w:t>(1)</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193.5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191.8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TOTAL ASSETS HELD FOR SALE FROM DISCONTINUED OPERATIONS </w:t>
            </w:r>
            <w:r>
              <w:rPr>
                <w:rFonts w:ascii="Times New Roman" w:cs="Times New Roman" w:eastAsia="Times New Roman" w:hAnsi="Times New Roman"/>
                <w:sz w:val="21"/>
                <w:szCs w:val="21"/>
                <w:b w:val="1"/>
                <w:bCs w:val="1"/>
                <w:color w:val="auto"/>
                <w:vertAlign w:val="superscript"/>
              </w:rPr>
              <w:t>(1)</w:t>
            </w:r>
          </w:p>
        </w:tc>
        <w:tc>
          <w:tcPr>
            <w:tcW w:w="2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8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2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900" w:type="dxa"/>
            <w:vAlign w:val="bottom"/>
            <w:gridSpan w:val="2"/>
            <w:shd w:val="clear" w:color="auto" w:fill="CFF0FC"/>
          </w:tcPr>
          <w:p>
            <w:pPr>
              <w:jc w:val="right"/>
              <w:ind w:right="75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8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 xml:space="preserve">Total current liabilities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60"/>
              <w:spacing w:after="0" w:line="175" w:lineRule="exact"/>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180" w:type="dxa"/>
            <w:vAlign w:val="bottom"/>
            <w:vMerge w:val="restart"/>
          </w:tcPr>
          <w:p>
            <w:pPr>
              <w:spacing w:after="0" w:line="214" w:lineRule="exact"/>
              <w:rPr>
                <w:sz w:val="20"/>
                <w:szCs w:val="20"/>
                <w:color w:val="auto"/>
              </w:rPr>
            </w:pPr>
            <w:r>
              <w:rPr>
                <w:rFonts w:ascii="Times New Roman" w:cs="Times New Roman" w:eastAsia="Times New Roman" w:hAnsi="Times New Roman"/>
                <w:sz w:val="16"/>
                <w:szCs w:val="16"/>
                <w:color w:val="auto"/>
              </w:rPr>
              <w:t xml:space="preserve">Total noncurrent liabilities </w:t>
            </w:r>
            <w:r>
              <w:rPr>
                <w:rFonts w:ascii="Times New Roman" w:cs="Times New Roman" w:eastAsia="Times New Roman" w:hAnsi="Times New Roman"/>
                <w:sz w:val="21"/>
                <w:szCs w:val="21"/>
                <w:color w:val="auto"/>
                <w:vertAlign w:val="superscript"/>
              </w:rPr>
              <w:t>(1)</w:t>
            </w:r>
          </w:p>
        </w:tc>
        <w:tc>
          <w:tcPr>
            <w:tcW w:w="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66"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8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TOTAL LIABILITIES HELD FOR SALE FROM DISCONTINUED OPERATIONS </w:t>
            </w:r>
            <w:r>
              <w:rPr>
                <w:rFonts w:ascii="Times New Roman" w:cs="Times New Roman" w:eastAsia="Times New Roman" w:hAnsi="Times New Roman"/>
                <w:sz w:val="21"/>
                <w:szCs w:val="21"/>
                <w:b w:val="1"/>
                <w:bCs w:val="1"/>
                <w:color w:val="auto"/>
                <w:vertAlign w:val="superscript"/>
              </w:rPr>
              <w:t>(1)</w:t>
            </w:r>
          </w:p>
        </w:tc>
        <w:tc>
          <w:tcPr>
            <w:tcW w:w="20" w:type="dxa"/>
            <w:vAlign w:val="bottom"/>
            <w:vMerge w:val="restart"/>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-1765300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-694055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0" w:lineRule="exact"/>
        <w:rPr>
          <w:sz w:val="20"/>
          <w:szCs w:val="20"/>
          <w:color w:val="auto"/>
        </w:rPr>
      </w:pPr>
    </w:p>
    <w:p>
      <w:pPr>
        <w:jc w:val="both"/>
        <w:ind w:firstLine="8"/>
        <w:spacing w:after="0" w:line="233" w:lineRule="auto"/>
        <w:tabs>
          <w:tab w:leader="none" w:pos="229"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assets and liabilities held for sale from discontinued operations are classified as current on the September 30, 2026 unaudited condensed consolidated balance sheet because the transaction was expected to close within one year of the balance sheet date. The transaction subsequently closed on November 1, 2026. As of December 31, 2025, held for sale classification for TheFork did not exist, therefore its assets and liabilities retain original current and noncurrent classification. In addition, as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4" w:name="page15"/>
    <w:bookmarkEnd w:id="14"/>
    <w:p>
      <w:pPr>
        <w:ind w:right="20"/>
        <w:spacing w:after="0" w:line="233" w:lineRule="auto"/>
        <w:rPr>
          <w:sz w:val="20"/>
          <w:szCs w:val="20"/>
          <w:color w:val="auto"/>
        </w:rPr>
      </w:pPr>
      <w:r>
        <w:rPr>
          <w:rFonts w:ascii="Times New Roman" w:cs="Times New Roman" w:eastAsia="Times New Roman" w:hAnsi="Times New Roman"/>
          <w:sz w:val="14"/>
          <w:szCs w:val="14"/>
          <w:color w:val="auto"/>
        </w:rPr>
        <w:t>September 30, 2026, an accumulated other comprehensive loss of $21.4 million was excluded from the table above which will be netted against the gain on the sale of TheFork upon the closing of the transaction.</w:t>
      </w:r>
    </w:p>
    <w:p>
      <w:pPr>
        <w:ind w:left="220" w:hanging="212"/>
        <w:spacing w:after="0" w:line="222" w:lineRule="auto"/>
        <w:tabs>
          <w:tab w:leader="none" w:pos="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June 2026, the Company ceased recognition of depreciation and amortization of TheFork's long-lived assets upon determination it met held for sale criteria under GAAP.</w:t>
      </w:r>
    </w:p>
    <w:p>
      <w:pPr>
        <w:jc w:val="both"/>
        <w:ind w:firstLine="8"/>
        <w:spacing w:after="0"/>
        <w:tabs>
          <w:tab w:leader="none" w:pos="2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TheFork holds collateralized notes ("Notes Receivable") issued by a privately held company with a total principal amount of $20.0 million, classified as held-to-maturity, as TheFork has concluded it has the positive intent and ability to hold the notes until maturity, with 50% due June 2028 and the remaining 50% due June 2030, or the date on which there is a change in control, whichever is earlier. As of September 30, 2026 and December 31, 2025, the carrying value of the Notes Receivable was $9.7 million and $9.2 million, respectively, net of accumulated allowance for credit losses.</w:t>
      </w:r>
    </w:p>
    <w:p>
      <w:pPr>
        <w:spacing w:after="0" w:line="315"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significant cash flow items from discontinued operations included within the unaudited condensed consolidated statements of cash flows:</w:t>
      </w:r>
    </w:p>
    <w:p>
      <w:pPr>
        <w:spacing w:after="0" w:line="4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1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2025,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2025 Annual Report. There was no significant revenue recognized in the three and nine months ended September 30, 2026 and 2025,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Sale of TheFork</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our business consists of two reportable segments – (1) Experiences and (2) Hotels and Other. A reconciliation of disaggregated revenue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revenue is included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w:t>
            </w:r>
          </w:p>
        </w:tc>
        <w:tc>
          <w:tcPr>
            <w:tcW w:w="9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Experiences:</w:t>
            </w:r>
          </w:p>
        </w:tc>
        <w:tc>
          <w:tcPr>
            <w:tcW w:w="18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Hotels and Other</w:t>
            </w:r>
          </w:p>
        </w:tc>
        <w:tc>
          <w:tcPr>
            <w:tcW w:w="9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Hotels</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9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Hotels and Other</w:t>
            </w:r>
          </w:p>
        </w:tc>
        <w:tc>
          <w:tcPr>
            <w:tcW w:w="9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8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-24765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hanging="383"/>
        <w:spacing w:after="0"/>
        <w:tabs>
          <w:tab w:leader="none" w:pos="8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is recognized primarily at a point in time for both reportable segments.</w:t>
      </w:r>
    </w:p>
    <w:p>
      <w:pPr>
        <w:spacing w:after="0" w:line="3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300" w:firstLine="509"/>
        <w:spacing w:after="0" w:line="257"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2026, we had $53.3 million recorded as deferred revenue on our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5" w:name="page16"/>
    <w:bookmarkEnd w:id="15"/>
    <w:p>
      <w:pPr>
        <w:ind w:right="80"/>
        <w:spacing w:after="0" w:line="255" w:lineRule="auto"/>
        <w:rPr>
          <w:sz w:val="20"/>
          <w:szCs w:val="20"/>
          <w:color w:val="auto"/>
        </w:rPr>
      </w:pPr>
      <w:r>
        <w:rPr>
          <w:rFonts w:ascii="Times New Roman" w:cs="Times New Roman" w:eastAsia="Times New Roman" w:hAnsi="Times New Roman"/>
          <w:sz w:val="18"/>
          <w:szCs w:val="18"/>
          <w:color w:val="auto"/>
        </w:rPr>
        <w:t>unaudited condensed consolidated balance sheet, of which $5.2 million and $47.7 million was recognized as revenue during the three and nine months ended September 30, 2026, respectively. During the three and nine months ended September 30, 2026, refunds due to cancellations by travelers were $0.2 million and $4.8 million, respectively. As of January 1, 2025, we had $46.8 million recorded as deferred revenue on our unaudited condensed consolidated balance sheet, of which $3.1 million and $40.1 million was recognized as revenue during the three and nine months ended September 30, 2025, respectively. During the three months ended September 30, 2025, refunds due to cancellations by travelers was not material, while this amount was $3.3 million during the nine months ended September 30, 2025. The difference between the opening and closing balances of our deferred revenue primarily results from the timing differences between when we receive customer payments and the time in which we satisfy our performance obligations.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FINANCIAL INSTRUMENTS AND FAIR VALUE MEASUREMENTS</w:t>
      </w:r>
    </w:p>
    <w:p>
      <w:pPr>
        <w:spacing w:after="0" w:line="229"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we had $706.8 million and $978.0 million, respectively, of cash and cash equivalents, which consisted of available on demand bank deposits and time deposits, as well as money market funds, with maturities of three months or less at the date of purchase, in each case, with major global financial institutions. We had no outstanding investments classified as either short-term or long-term marketable securities as of September 30, 2026 or December 31, 2025, and there were no purchases or sales of any marketable securities during and for the three and nine months ended September 30, 2026 and 2025.</w:t>
      </w:r>
    </w:p>
    <w:p>
      <w:pPr>
        <w:spacing w:after="0" w:line="7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September 30, 2026 and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60" w:type="dxa"/>
            <w:vAlign w:val="bottom"/>
          </w:tcPr>
          <w:p>
            <w:pPr>
              <w:spacing w:after="0"/>
              <w:rPr>
                <w:sz w:val="10"/>
                <w:szCs w:val="10"/>
                <w:color w:val="auto"/>
              </w:rPr>
            </w:pPr>
          </w:p>
        </w:tc>
        <w:tc>
          <w:tcPr>
            <w:tcW w:w="10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260" w:type="dxa"/>
            <w:vAlign w:val="bottom"/>
          </w:tcPr>
          <w:p>
            <w:pPr>
              <w:spacing w:after="0"/>
              <w:rPr>
                <w:sz w:val="10"/>
                <w:szCs w:val="10"/>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0"/>
                <w:szCs w:val="10"/>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60" w:type="dxa"/>
            <w:vAlign w:val="bottom"/>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3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572.5</w:t>
            </w:r>
          </w:p>
        </w:tc>
        <w:tc>
          <w:tcPr>
            <w:tcW w:w="6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6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-170815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8"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p>
      <w:pPr>
        <w:ind w:right="240"/>
        <w:spacing w:after="0" w:line="282" w:lineRule="auto"/>
        <w:rPr>
          <w:sz w:val="20"/>
          <w:szCs w:val="20"/>
          <w:color w:val="auto"/>
        </w:rPr>
      </w:pPr>
      <w:r>
        <w:rPr>
          <w:rFonts w:ascii="Times New Roman" w:cs="Times New Roman" w:eastAsia="Times New Roman" w:hAnsi="Times New Roman"/>
          <w:sz w:val="18"/>
          <w:szCs w:val="18"/>
          <w:color w:val="auto"/>
        </w:rPr>
        <w:t>that appropriate fair values are recorded, including comparing the fair values obtained from our independent pricing services against fair values obtained from another independent source.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2026 and December 31, 2025,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00" w:type="dxa"/>
            <w:vAlign w:val="bottom"/>
            <w:vMerge w:val="continue"/>
          </w:tcPr>
          <w:p>
            <w:pPr>
              <w:spacing w:after="0"/>
              <w:rPr>
                <w:sz w:val="12"/>
                <w:szCs w:val="12"/>
                <w:color w:val="auto"/>
              </w:rPr>
            </w:pPr>
          </w:p>
        </w:tc>
        <w:tc>
          <w:tcPr>
            <w:tcW w:w="1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8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9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5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-8255</wp:posOffset>
            </wp:positionV>
            <wp:extent cx="51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596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our contract assets primarily results from the timing difference between when we satisfy our performance obligations and the time when the principal completes the transaction service. There were no significant changes in contract assets during the periods ended September 30, 2026 and December 31, 2025 related to business combinations, impairments, cumulative catch-ups or other material adjustments.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2026 Senior Notes and Term Loan B Facility as of the dates presented, classified as short-term and long-term debt on our unaudited condensed consolidated balance sheets and are considered Level 2 fair value measurements.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Unamortized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Unamortize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60" w:type="dxa"/>
            <w:vAlign w:val="bottom"/>
          </w:tcPr>
          <w:p>
            <w:pPr>
              <w:spacing w:after="0"/>
              <w:rPr>
                <w:sz w:val="12"/>
                <w:szCs w:val="12"/>
                <w:color w:val="auto"/>
              </w:rPr>
            </w:pPr>
          </w:p>
        </w:tc>
        <w:tc>
          <w:tcPr>
            <w:tcW w:w="82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 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22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0"/>
                <w:szCs w:val="10"/>
                <w:color w:val="auto"/>
              </w:rPr>
            </w:pPr>
          </w:p>
        </w:tc>
        <w:tc>
          <w:tcPr>
            <w:tcW w:w="8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jc w:val="right"/>
              <w:ind w:right="284"/>
              <w:spacing w:after="0"/>
              <w:rPr>
                <w:sz w:val="20"/>
                <w:szCs w:val="20"/>
                <w:color w:val="auto"/>
              </w:rPr>
            </w:pP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Borders>
              <w:bottom w:val="single" w:sz="8" w:color="auto"/>
            </w:tcBorders>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B Facility</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4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795.8</w:t>
            </w:r>
          </w:p>
        </w:tc>
        <w:tc>
          <w:tcPr>
            <w:tcW w:w="5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40" w:right="220" w:hanging="383"/>
        <w:spacing w:after="0" w:line="261" w:lineRule="auto"/>
        <w:tabs>
          <w:tab w:leader="none" w:pos="1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2026 Senior Notes and Term Loan B Facility based on recently reported market transactions and/or prices for identical or similar financial instruments obtained from a third-party pricing source.</w:t>
      </w:r>
    </w:p>
    <w:p>
      <w:pPr>
        <w:spacing w:after="0" w:line="16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September 30, 2026 and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$25.0 million and $25.9 million as of September 30, 2026 and December 31, 2025,</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t>respectively, and is included in non-marketable investments on our unaudited condensed consolidated balance sheets. During the three and nine months ended September 30, 2026, we recognized $0.2 million and $0.9 million, respectively, representing our share of the investee’s net loss in other income (expenses), net within the unaudited condensed consolidated statements of operations. During the three and nine months ended September 30, 2025, we recognized $0.7 million and $1.6 million, respectively,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the three and nine months ended September 30, 2026 and 2025, we did not record any impairment loss on this equity investment.</w:t>
      </w:r>
    </w:p>
    <w:p>
      <w:pPr>
        <w:spacing w:after="0" w:line="19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 party transactions, and were not material during the three and nine months ended September 30, 2026 and 2025.</w:t>
      </w:r>
    </w:p>
    <w:p>
      <w:pPr>
        <w:spacing w:after="0" w:line="174"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(see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intangible assets, and operating lease right-of-use assets are adjusted to fair value when an impairment charge is recognized or the underlying investment is sold. Such fair value measurements, if necessary, are based predominantly on Level 3 inputs.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goodwill activity by reportable segment for the periods presented:</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Experiences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Hotels and Other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38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160" w:type="dxa"/>
            <w:vAlign w:val="bottom"/>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309.6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80" w:type="dxa"/>
            <w:vAlign w:val="bottom"/>
            <w:shd w:val="clear" w:color="auto" w:fill="CFF0FC"/>
          </w:tcPr>
          <w:p>
            <w:pPr>
              <w:spacing w:after="0"/>
              <w:rPr>
                <w:sz w:val="18"/>
                <w:szCs w:val="18"/>
                <w:color w:val="auto"/>
              </w:rPr>
            </w:pPr>
          </w:p>
        </w:tc>
      </w:tr>
      <w:tr>
        <w:trPr>
          <w:trHeight w:val="216"/>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r>
      <w:tr>
        <w:trPr>
          <w:trHeight w:val="216"/>
        </w:trPr>
        <w:tc>
          <w:tcPr>
            <w:tcW w:w="38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Impairment</w:t>
            </w: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(369.5)</w:t>
            </w:r>
          </w:p>
        </w:tc>
      </w:tr>
      <w:tr>
        <w:trPr>
          <w:trHeight w:val="20"/>
        </w:trPr>
        <w:tc>
          <w:tcPr>
            <w:tcW w:w="38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September 30, 2026</w:t>
            </w:r>
          </w:p>
        </w:tc>
        <w:tc>
          <w:tcPr>
            <w:tcW w:w="1160" w:type="dxa"/>
            <w:vAlign w:val="bottom"/>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311.0</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4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-170815</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assess goodwill, which is not amortized, for impairment annually during the fourth quarter, or more frequently, if events and circumstances indicate that it is more likely than not that an impairment has occurred. Observing persistent and challenging business trends in 2026, during the third quarter of 2026, the Company updated its long range forecast for the Hotels and Other reporting unit to reflect the accelerated decline in recent financial performance, in addition to a decline in expected future profitability of the Hotels and Other reporting unit, as compared to the outyears forecast used in its previous impairment analysis. As a result, the Company determined that an impairment triggering event had occurred as of September 30, 2026. These trends are largely due to the sustained acceleration of traffic acquisition headwinds negatively impacting this business due to the changes in the search landscape. In addition, the Company experienced a significant decline in its stock price and market capitalization during the third quarter of 2026, with its stock price declining nearly 40% from June 30, 2026 to September 30, 2026. Therefore, the Company performed an interim impairment test of its Hotels and Other reporting unit as of the last day of the third quarter, or September 30, 2026. Based on these trends, noted above, and the resulting negative impact on this reporting unit, we concluded it was more likely than not that the estimated fair value of the Hotels and Other reporting unit was less than its respective carrying value. Therefore the Company chose to proceed directly to a quantitative analysis. As a result, the Company recognized a non-cash goodwill impairment of $369.5 million in its unaudited condensed consolidated statement of operations during the three months ended September 30, 2026 for the Hotels and Other reporting unit.</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fair value of the Hotels and Other reporting unit using a quantitative analysis was determined with the assistance of a third party specialist using a discounted cash flow (“DCF”) analysis, or income approach calculation (Level 3). Fair value assessments of a reporting unit are considered a Level 3 measurement due to the significance of unobservable inputs used in their estimate. Determining fair value using a DCF analysis requires the exercise of significant judgment with respect to several items, including the amount and timing of expected future cash flows, discount rates, and the long-term growth rate used to estimate terminal value. The expected cash flows used in the DCF analysis for the Hotels and Other reporting unit were based on the Company’s most recent forecast, and for years beyond the periods covered by the forecast, the Company’s estimate of forecasted long-term growth rate. The discount rate used in the DCF analysis is intended to reflect the risks, which consider macroeconomic and industry specific factors inherent in the expected future cash flows of the reporting unit.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8" w:name="page19"/>
    <w:bookmarkEnd w:id="18"/>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conjunction with the quantitative analysis performed for the Hotels and Other reporting unit, as of September 30, 2026, the Company also performed a quantitative analysis' of its Experiences reporting unit. In addition, and separately, the Company performed a quantitative analysis for its indefinite-lived intangible assets, consisting of Tripadvisor trade name and trademarks, using the relief-from-royalty method. The Company concluded the estimated fair values of its Experiences reporting unit and indefinite-lived intangibles were substantially in excess of their carrying values. In addition, prior to performing the goodwill impairment analysis, the Company performed an impairment analysis of its reporting units' definite-lived long-lived assets (including capitalized website development) to determine if the carrying amount of its identified asset groups may not be fully recoverable, and concluded the carrying amounts were recoverable as of September 30, 2026, and no impairment was identified.</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in order to corroborate its fair value conclusion, the Company combined the estimated fair values for its reporting units and performed a market capitalization reconciliation to validate the reasonableness of the implied control premium. The Company calculated the market capitalization using both the stock price as of September 30, 2026 as well as the average stock price over a reasonable period of time preceding September 30, 2026. Based on this reconciliation, the Company believes the implied control premium used to be reasonable.</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accumulated goodwill impairment losses totaled $372.6 million and $3.1 million, respectively; all related to the Hotels and Other segment.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millions)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Non-income taxes payable </w:t>
            </w:r>
            <w:r>
              <w:rPr>
                <w:rFonts w:ascii="Times New Roman" w:cs="Times New Roman" w:eastAsia="Times New Roman" w:hAnsi="Times New Roman"/>
                <w:sz w:val="24"/>
                <w:szCs w:val="24"/>
                <w:color w:val="auto"/>
                <w:vertAlign w:val="superscript"/>
              </w:rPr>
              <w:t>(1)</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Investment tax credit </w:t>
            </w:r>
            <w:r>
              <w:rPr>
                <w:rFonts w:ascii="Times New Roman" w:cs="Times New Roman" w:eastAsia="Times New Roman" w:hAnsi="Times New Roman"/>
                <w:sz w:val="24"/>
                <w:szCs w:val="24"/>
                <w:color w:val="auto"/>
                <w:vertAlign w:val="superscript"/>
              </w:rPr>
              <w:t>(2)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(3)</w:t>
            </w:r>
          </w:p>
        </w:tc>
        <w:tc>
          <w:tcPr>
            <w:tcW w:w="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r>
      <w:tr>
        <w:trPr>
          <w:trHeight w:val="230"/>
        </w:trPr>
        <w:tc>
          <w:tcPr>
            <w:tcW w:w="4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shd w:val="clear" w:color="auto" w:fill="CFF0FC"/>
          </w:tcPr>
          <w:p>
            <w:pPr>
              <w:spacing w:after="0"/>
              <w:rPr>
                <w:sz w:val="19"/>
                <w:szCs w:val="19"/>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ind w:left="1440" w:hanging="384"/>
        <w:spacing w:after="0"/>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primarily related to digital service taxes.</w:t>
      </w:r>
    </w:p>
    <w:p>
      <w:pPr>
        <w:spacing w:after="0" w:line="3" w:lineRule="exact"/>
        <w:rPr>
          <w:rFonts w:ascii="Times New Roman" w:cs="Times New Roman" w:eastAsia="Times New Roman" w:hAnsi="Times New Roman"/>
          <w:sz w:val="14"/>
          <w:szCs w:val="14"/>
          <w:color w:val="auto"/>
        </w:rPr>
      </w:pPr>
    </w:p>
    <w:p>
      <w:pPr>
        <w:ind w:left="1440" w:right="260" w:hanging="384"/>
        <w:spacing w:after="0" w:line="221"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year ended December 31, 2025, </w:t>
      </w:r>
      <w:r>
        <w:rPr>
          <w:rFonts w:ascii="Times New Roman" w:cs="Times New Roman" w:eastAsia="Times New Roman" w:hAnsi="Times New Roman"/>
          <w:sz w:val="14"/>
          <w:szCs w:val="14"/>
          <w:color w:val="222222"/>
        </w:rPr>
        <w:t>pursuant to provisions allowable under the Inflation Reduction Act,</w:t>
      </w:r>
      <w:r>
        <w:rPr>
          <w:rFonts w:ascii="Times New Roman" w:cs="Times New Roman" w:eastAsia="Times New Roman" w:hAnsi="Times New Roman"/>
          <w:sz w:val="14"/>
          <w:szCs w:val="14"/>
          <w:color w:val="auto"/>
        </w:rPr>
        <w:t xml:space="preserve"> the Company purchased alternative energy federal tax credits from an unrelated third party, which were paid during the first quarter of 2026.</w:t>
      </w:r>
    </w:p>
    <w:p>
      <w:pPr>
        <w:ind w:left="1440" w:right="100" w:hanging="384"/>
        <w:spacing w:after="0" w:line="228"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$7.8 million during the nine months ended September 30, 2026, which consisted of employee severance and related benefits, primarily in our Hotels and Other segment. We expect the majority of unpaid costs as of September 30, 2026 to be fully disbursed by the second quarter of 2027.</w:t>
      </w:r>
    </w:p>
    <w:p>
      <w:pPr>
        <w:spacing w:after="0" w:line="110"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nine months ended September 30, 2026:</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4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liability as of December 31, 2025</w:t>
            </w:r>
          </w:p>
        </w:tc>
        <w:tc>
          <w:tcPr>
            <w:tcW w:w="2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w:t>
            </w:r>
          </w:p>
        </w:tc>
        <w:tc>
          <w:tcPr>
            <w:tcW w:w="2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liability as of September 30, 2026</w:t>
            </w:r>
          </w:p>
        </w:tc>
        <w:tc>
          <w:tcPr>
            <w:tcW w:w="266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top w:val="single" w:sz="8" w:color="CFF0FC"/>
            </w:tcBorders>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6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4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-942340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DEBT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4"/>
                <w:szCs w:val="24"/>
                <w:color w:val="auto"/>
              </w:rPr>
            </w:pPr>
          </w:p>
        </w:tc>
      </w:tr>
      <w:tr>
        <w:trPr>
          <w:trHeight w:val="209"/>
        </w:trPr>
        <w:tc>
          <w:tcPr>
            <w:tcW w:w="6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2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60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shd w:val="clear" w:color="auto" w:fill="CFF0FC"/>
          </w:tcPr>
          <w:p>
            <w:pPr>
              <w:spacing w:after="0"/>
              <w:rPr>
                <w:sz w:val="21"/>
                <w:szCs w:val="21"/>
                <w:color w:val="auto"/>
              </w:rPr>
            </w:pPr>
          </w:p>
        </w:tc>
      </w:tr>
      <w:tr>
        <w:trPr>
          <w:trHeight w:val="197"/>
        </w:trPr>
        <w:tc>
          <w:tcPr>
            <w:tcW w:w="60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Loan B Facility due 2031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60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-745490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-728345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Credit Agreement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are party to the Amended Credit Agreement with a group of lenders which, among other things, provides for a $500.0 million secured revolving credit facility (the “Credit Facility”). The Credit Facility has a maturity date of June 29, 2028. As of September 30, 2026 and December 31, 2025, we had no outstanding borrowings from the Credit Facility and $2.3 million and $3.6 million, respectively, of issued undrawn standby letters of credit. For the three and nine months ended September 30, 2026 and 2025, total interest expense and commitment fees on our Credit Facility were not material.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Term Loan B Facility</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8, 2024, under the Amended Credit Agreement, the Company issued a $500.0 million Term Loan B Facility maturing July 8, 2031, with an interest rate based on secured overnight financing rate (“SOFR”) plus 2.75%. On March 20, 2025, under the Amended Credit Agreement, the Company increased its existing Term Loan B Facility in the amount of $350.0 million, also maturing July 8, 2031, with an interest rate based on SOFR plus 2.75% (the “Tack-On Incremental Term Loan B Facility”). The Tack-On Incremental Term Loan B Facility was offered at 98.56% of par. The proceeds from the Tack-On Incremental Term Loan B Facility were used to repay the Company's 2026 Senior Notes. We refer to the original Term Loan B Facility, combined with the Tack-On Incremental Term Loan B Facility, as the “Term Loan B Facility.”</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September 30, 2026, the effective interest rate on the Term Loan B Facility was 6.92% and, for the three and nine months ended September 30, 2026 the weighted-average effective interest rate on the Term Loan B Facility was 6.76% and 6.72%, respectively. As of September 30, 2025, the effective interest rate on the Term Loan B Facility was 7.36% and, for the three and nine months ended September 30, 2025 the weighted-average effective interest rate on the Term Loan B Facility was 7.37% and 7.34%, respectively. Principal payments of $6.4 million were made during both the nine months ended September 30, 2026 and 2025. As of September 30, 2026 and December 31, 2025, unpaid interest on the Term Loan B Facility was not material. During the three and nine months ended September 30, 2026, we recorded $13.8 million and $40.8 million of interest expense, respectively, while during the three and nine months ended September 30, 2025, we recorded $15.3 million and $40.0 million of interest expense, respectively, on our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22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April 1, 2026, upon maturity, the Company repaid the $345.0 million aggregate principal amount of the 2026 Senior Notes, including accrued interest of $0.4 million, funded by cash on hand. As a result of this transaction, the Company has no further obligations under the indenture governing the 2026 Senior Notes, and the related security interest and liens have been released.</w:t>
      </w:r>
    </w:p>
    <w:p>
      <w:pPr>
        <w:spacing w:after="0" w:line="176" w:lineRule="exact"/>
        <w:rPr>
          <w:sz w:val="20"/>
          <w:szCs w:val="20"/>
          <w:color w:val="auto"/>
        </w:rPr>
      </w:pPr>
    </w:p>
    <w:p>
      <w:pPr>
        <w:ind w:right="260" w:firstLine="509"/>
        <w:spacing w:after="0" w:line="257" w:lineRule="auto"/>
        <w:rPr>
          <w:sz w:val="20"/>
          <w:szCs w:val="20"/>
          <w:color w:val="auto"/>
        </w:rPr>
      </w:pPr>
      <w:r>
        <w:rPr>
          <w:rFonts w:ascii="Times New Roman" w:cs="Times New Roman" w:eastAsia="Times New Roman" w:hAnsi="Times New Roman"/>
          <w:sz w:val="18"/>
          <w:szCs w:val="18"/>
          <w:color w:val="auto"/>
        </w:rPr>
        <w:t>During the three and nine months ended September 30, 2025, our effective interest rate, including debt issuance costs, was approximately 0.30%, and total interest expense incurred from the 2026 Senior Notes was not material in any period</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December 31, 2025, unpaid interest on the 2026 Senior Notes was also not material.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0" w:name="page21"/>
    <w:bookmarkEnd w:id="20"/>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$34.7 million.</w:t>
      </w:r>
    </w:p>
    <w:p>
      <w:pPr>
        <w:spacing w:after="0" w:line="176"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maturity and repayment of the 2026 Senior Notes on April 1, 2026, as discussed above, the Capped Calls expired unexercised.</w:t>
      </w:r>
    </w:p>
    <w:p>
      <w:pPr>
        <w:spacing w:after="0" w:line="16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the audited consolidated financial statements in Item 8 of our 2025 Annual Report, for additional information pertaining to redemption, conversion, repurchase features and other information regarding the Amended Credit Agreement, the Credit Facility, the Term Loan B Facility, 2026 Senior Notes and Capped Calls.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from continuing operations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Our income tax benefit from continuing operations was $29.2 million and $22.7 million for the three and nine months ended September 30, 2026, respectively, and our income tax provision from continuing operations was $7.2 million and $7.8 million for the three and nine months ended September 30, 2025, respectively. The change in our income tax provision during the three and nine months ended September 30, 2026, when compared to the same periods in 2025, was primarily due to a $31.6 million deferred tax benefit recognized in association with the goodwill impairment charge related to the Hotels and Other segment recorded during the three months ended September 30, 2026.</w:t>
      </w:r>
    </w:p>
    <w:p>
      <w:pPr>
        <w:spacing w:after="0" w:line="18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2026 differs from the U.S. federal statutory rate of 21.0%, primarily due to a $31.6 million deferred tax benefit recorded during the third quarter of 2026, as discussed above, partially offset by the tax effects of stock-based compensation.</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September 30, 2026, we had an accrued interest liability of $26.2 million, which was included in unrecognized tax benefits in other long-term liabilities on our unaudited condensed consolidated balance sheet, and no penalties were accrued.</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currently under examination by the Internal Revenue Service (“IRS”) for the 2018 tax year and have various ongoing audits for foreign and state income tax returns. These examinations may lead to proposed or ordinary course adjustments to our taxes. We are no longer subject to tax examinations by tax authorities for years prior to 2018. As of September 30, 2026, no material assessments have resulted, except as noted below regarding our 2012 through 2016 HM Revenue &amp; Customs (“HMRC”) audit.</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disagree with the proposed adjustments, and we intend to defend our position through applicable administrative and, if necessary, judicial remedies. We are also currently subject to audit by HMRC in tax years 2017 through 2023. If HMRC were to seek adjustments of a similar nature through a closure notice for transactions in these years, we could be subject to significant additional tax liabilities. Our policy is to review and update tax reserves as facts and circumstances change.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of September 30, 2026, there have been no material changes to our commitments and contingencies since December 31, 2025, except as discussed below. Refer to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consolidated financial statements in Item 8 of our 2025 Annual Report.</w:t>
      </w:r>
    </w:p>
    <w:p>
      <w:pPr>
        <w:spacing w:after="0" w:line="174"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Sale of TheFork</w:t>
      </w:r>
      <w:r>
        <w:rPr>
          <w:rFonts w:ascii="Times New Roman" w:cs="Times New Roman" w:eastAsia="Times New Roman" w:hAnsi="Times New Roman"/>
          <w:sz w:val="18"/>
          <w:szCs w:val="18"/>
          <w:color w:val="auto"/>
        </w:rPr>
        <w:t>”, on June 14, 2026, the Company entered into a put option agreement with American Express to sell TheFork, for $700.0 million in cash, subject to certain adjustments. Following the completion of the required consultation process with the French Works Council on July 30, 2026, the Company exercised the put option and, on August 2, 2026, entered into the definitive Equity Purchase Agreement with American Express to sell</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1" w:name="page22"/>
    <w:bookmarkEnd w:id="21"/>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TheFork. On November 1, 2026, the Company consummated the sale of TheFork.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TheFork</w:t>
      </w:r>
      <w:r>
        <w:rPr>
          <w:rFonts w:ascii="Times New Roman" w:cs="Times New Roman" w:eastAsia="Times New Roman" w:hAnsi="Times New Roman"/>
          <w:sz w:val="18"/>
          <w:szCs w:val="18"/>
          <w:color w:val="auto"/>
        </w:rPr>
        <w:t>”, for further information.</w:t>
      </w:r>
    </w:p>
    <w:p>
      <w:pPr>
        <w:spacing w:after="0" w:line="16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ongoing income tax audits.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STOCK-BASED AWARDS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consisting of service-based non-qualified stock options, is presented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expired</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 at September 30, 2026</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5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September 30, 2026</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w:t>
            </w:r>
          </w:p>
        </w:tc>
        <w:tc>
          <w:tcPr>
            <w:tcW w:w="180" w:type="dxa"/>
            <w:vAlign w:val="bottom"/>
          </w:tcPr>
          <w:p>
            <w:pPr>
              <w:spacing w:after="0"/>
              <w:rPr>
                <w:sz w:val="17"/>
                <w:szCs w:val="17"/>
                <w:color w:val="auto"/>
              </w:rPr>
            </w:pPr>
          </w:p>
        </w:tc>
        <w:tc>
          <w:tcPr>
            <w:tcW w:w="34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29.63</w:t>
            </w:r>
          </w:p>
        </w:tc>
        <w:tc>
          <w:tcPr>
            <w:tcW w:w="1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after September 30, 2026</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1,550</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CFF0FC"/>
            </w:tcBorders>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29.49</w:t>
            </w:r>
          </w:p>
        </w:tc>
        <w:tc>
          <w:tcPr>
            <w:tcW w:w="13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440" w:type="dxa"/>
            <w:vAlign w:val="bottom"/>
            <w:tcBorders>
              <w:bottom w:val="single" w:sz="8" w:color="CFF0FC"/>
            </w:tcBorders>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gridSpan w:val="2"/>
            <w:shd w:val="clear" w:color="auto" w:fill="CFF0FC"/>
          </w:tcPr>
          <w:p>
            <w:pPr>
              <w:ind w:left="8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3"/>
        </w:trPr>
        <w:tc>
          <w:tcPr>
            <w:tcW w:w="5480" w:type="dxa"/>
            <w:vAlign w:val="bottom"/>
          </w:tcPr>
          <w:p>
            <w:pPr>
              <w:spacing w:after="0"/>
              <w:rPr>
                <w:sz w:val="24"/>
                <w:szCs w:val="24"/>
                <w:color w:val="auto"/>
              </w:rPr>
            </w:pPr>
          </w:p>
        </w:tc>
        <w:tc>
          <w:tcPr>
            <w:tcW w:w="122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-1122045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-796290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-779145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2026 Restricted Stock Units (“RSUs”) Activity</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 summary of RSUs activity (including deferred stock units (“DSUs”) and restricted stock awards (“RSAs”)), consisting of service-based vesting terms, is presented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2025</w:t>
            </w:r>
          </w:p>
        </w:tc>
        <w:tc>
          <w:tcPr>
            <w:tcW w:w="1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10,348</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18.43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4,494</w:t>
            </w: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Vested and released</w:t>
            </w:r>
            <w:r>
              <w:rPr>
                <w:rFonts w:ascii="Times New Roman" w:cs="Times New Roman" w:eastAsia="Times New Roman" w:hAnsi="Times New Roman"/>
                <w:sz w:val="24"/>
                <w:szCs w:val="24"/>
                <w:color w:val="auto"/>
                <w:vertAlign w:val="superscript"/>
              </w:rPr>
              <w:t>(2)</w:t>
            </w:r>
          </w:p>
        </w:tc>
        <w:tc>
          <w:tcPr>
            <w:tcW w:w="1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(3,923)</w:t>
            </w:r>
          </w:p>
        </w:tc>
        <w:tc>
          <w:tcPr>
            <w:tcW w:w="1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18.74</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(1,734)</w:t>
            </w: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 outstanding as of September 30, 2026</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9,185</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14.80</w:t>
            </w:r>
          </w:p>
        </w:tc>
        <w:tc>
          <w:tcPr>
            <w:tcW w:w="4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440" w:right="20" w:hanging="384"/>
        <w:spacing w:after="0" w:line="225"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89,000 DSUs and 36,000 RSAs granted to certain non-employee directors during the second quarter of 2026. Each DSU represents the right to receive one share of the Company’s common stock upon vesting. The DSUs shall vest one year after the grant date. However, settlement of the shares represented by DSUs that vest will occur on January 15th of the calendar year immediately following the year in which the director experiences a "separation of service" as defined in Section 409A of the Internal Revenue Code of 1986. Each RSA represents an award of one share of the Company’s common stock subject to a one-year service-based vesting condition. Prior to vesting, the director is entitled to receive ordinary cash dividends, which are automatically reinvested in additional restricted shares subject to the same vesting and forfeiture conditions as the underlying award.</w:t>
      </w:r>
    </w:p>
    <w:p>
      <w:pPr>
        <w:spacing w:after="0" w:line="1" w:lineRule="exact"/>
        <w:rPr>
          <w:rFonts w:ascii="Times New Roman" w:cs="Times New Roman" w:eastAsia="Times New Roman" w:hAnsi="Times New Roman"/>
          <w:sz w:val="14"/>
          <w:szCs w:val="14"/>
          <w:color w:val="auto"/>
        </w:rPr>
      </w:pPr>
    </w:p>
    <w:p>
      <w:pPr>
        <w:ind w:left="1440" w:hanging="384"/>
        <w:spacing w:after="0" w:line="230" w:lineRule="auto"/>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834,000 shares of common stock withheld in connection with RSUs vesting to satisfy required employee tax withholding requirements. Shares which could have been issued in connection with the vesting of RSUs but were instead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 of cash flows.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RSUs (“PSUs”) and market-based RSUs (“MSUs”) activity is presented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3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 xml:space="preserve">PSUs </w:t>
            </w:r>
            <w:r>
              <w:rPr>
                <w:rFonts w:ascii="Times New Roman" w:cs="Times New Roman" w:eastAsia="Times New Roman" w:hAnsi="Times New Roman"/>
                <w:sz w:val="19"/>
                <w:szCs w:val="19"/>
                <w:b w:val="1"/>
                <w:bCs w:val="1"/>
                <w:color w:val="auto"/>
                <w:w w:val="99"/>
                <w:vertAlign w:val="superscript"/>
              </w:rPr>
              <w:t>(1)</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MSUs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4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1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12"/>
                <w:szCs w:val="12"/>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90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December 31, 2025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Vested and released </w:t>
            </w:r>
            <w:r>
              <w:rPr>
                <w:rFonts w:ascii="Times New Roman" w:cs="Times New Roman" w:eastAsia="Times New Roman" w:hAnsi="Times New Roman"/>
                <w:sz w:val="24"/>
                <w:szCs w:val="24"/>
                <w:color w:val="auto"/>
                <w:vertAlign w:val="superscript"/>
              </w:rPr>
              <w:t>(2)</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Canceled </w:t>
            </w:r>
            <w:r>
              <w:rPr>
                <w:rFonts w:ascii="Times New Roman" w:cs="Times New Roman" w:eastAsia="Times New Roman" w:hAnsi="Times New Roman"/>
                <w:sz w:val="9"/>
                <w:szCs w:val="9"/>
                <w:color w:val="auto"/>
              </w:rPr>
              <w:t>(3)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and outstanding as of September 30, 2026</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-24765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1440" w:right="140" w:hanging="384"/>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PSUs generally vest in two equal annual installments on December 31 in the first and second years following the grant date, based on the extent to which the Company achieves certain financial metrics relative to targets established by the Company’s Compensation and Section 16 Committees of its Board of Directors (jointly, the “Compensation Committee”). The estimated grant-date fair value of PSUs is measured based on the quoted price of our common stock at the date of grant, calculated upon the establishment of performance targets, and amortized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89" w:lineRule="exact"/>
        <w:rPr>
          <w:rFonts w:ascii="Times New Roman" w:cs="Times New Roman" w:eastAsia="Times New Roman" w:hAnsi="Times New Roman"/>
          <w:sz w:val="14"/>
          <w:szCs w:val="14"/>
          <w:color w:val="auto"/>
        </w:rPr>
      </w:pPr>
    </w:p>
    <w:p>
      <w:pPr>
        <w:ind w:left="1440" w:right="20" w:hanging="384"/>
        <w:spacing w:after="0" w:line="221" w:lineRule="auto"/>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37,000 shares of common stock withheld in connection with PSUs vesting to satisfy required employee tax withholding requirements. Shares which could have been issued in connection with the vesting of PSUs but were instead withheld under net share settlement remain in the authorized but unissued pool under the 2023 Plan and can be reissued by the Company under the 2023 Plan. Total payments for the employees’ tax obligations to the taxing authorities due to net share settlements are reflected as a financing activity within the consolidated statement of cash flows.</w:t>
      </w:r>
    </w:p>
    <w:p>
      <w:pPr>
        <w:spacing w:after="0" w:line="1" w:lineRule="exact"/>
        <w:rPr>
          <w:rFonts w:ascii="Times New Roman" w:cs="Times New Roman" w:eastAsia="Times New Roman" w:hAnsi="Times New Roman"/>
          <w:sz w:val="14"/>
          <w:szCs w:val="14"/>
          <w:color w:val="auto"/>
        </w:rPr>
      </w:pPr>
    </w:p>
    <w:p>
      <w:pPr>
        <w:ind w:left="1440" w:hanging="384"/>
        <w:spacing w:after="0"/>
        <w:tabs>
          <w:tab w:leader="none" w:pos="1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cancellations reflect market-based performance targets not being attained by the end of the performance period.</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total aggregate fair value of RSUs and PSUs which vested during the nine months ended September 30, 2026 was $76.5 million. As of September 30, 2026, total unrecognized compensation cost related to stock-based awards, substantially RSUs (including PSUs), was $126.9 million, comprised of $109.7 million from continuing operations, which the Company expects to recognize over a weighted-average period of 2.3 years, and $17.2 million from discontinued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12: STOCKHOLDERS’ EQUITY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Repurchases of Treasury Shares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$250.0 million in shares of our common stock under a share repurchase program. During the three and nine months ended September 30, 2026, the Company did not repurchase any shares of outstanding common stock under the share repurchase program. As of September 30, 2026, the Company had $110.0 million remaining available to repurchase shares of its common stock under this share repurchase program. During the nine months ended September 30, 2025, approximately 2.8 million shares of the Company's outstanding common stock were repurchased under the share repurchase program at an average price of $14.22 per share, exclusive of fees and commissions, or $40.0 million in the aggregate. For the three and nine months ended September 30, 2025, any excise tax incurred for repurchases made under the share repurchase program was not material.</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addition, and in a separate transaction,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Liberty Tripadvisor Holdings,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Tripadvisor Merger Agreement and Loan Agreement,</w:t>
      </w:r>
      <w:r>
        <w:rPr>
          <w:rFonts w:ascii="Times New Roman" w:cs="Times New Roman" w:eastAsia="Times New Roman" w:hAnsi="Times New Roman"/>
          <w:sz w:val="18"/>
          <w:szCs w:val="18"/>
          <w:color w:val="auto"/>
        </w:rPr>
        <w:t>” on April 29, 2025, the Company repurchased approximately 26.8 million shares of Tripadvisor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and Class B common stock previously held by LTRIP in the Merger at an average price of approximately $16.27 per share, or $436.5 million in the aggregate, inclusive of transaction costs related to the repurchase of these shares. Refer to “Note 1: </w:t>
      </w:r>
      <w:r>
        <w:rPr>
          <w:rFonts w:ascii="Times New Roman" w:cs="Times New Roman" w:eastAsia="Times New Roman" w:hAnsi="Times New Roman"/>
          <w:sz w:val="18"/>
          <w:szCs w:val="18"/>
          <w:i w:val="1"/>
          <w:iCs w:val="1"/>
          <w:color w:val="auto"/>
        </w:rPr>
        <w:t>Organization and Business Description,</w:t>
      </w:r>
      <w:r>
        <w:rPr>
          <w:rFonts w:ascii="Times New Roman" w:cs="Times New Roman" w:eastAsia="Times New Roman" w:hAnsi="Times New Roman"/>
          <w:sz w:val="18"/>
          <w:szCs w:val="18"/>
          <w:color w:val="auto"/>
        </w:rPr>
        <w:t>” in the notes to the consolidated financial statements in Item 8 of our 2025 Annual Report for further discussion of the Merger transaction. During the three months ended September 30, 2026, the Company received an excise tax refund of $0.6 million from the repurchase of common stock from the Merger, which was recorded as a reduction to the carrying amount of treasury stock.</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Retirement of Treasury Shares</w:t>
      </w:r>
    </w:p>
    <w:p>
      <w:pPr>
        <w:spacing w:after="0" w:line="22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April 29, 2025, the Company’s Board of Directors approved the retirement of all common stock and Class B common stock held as treasury stock by the Company, thereby canceling approximately 53.1 million shares of the Company's common stock, with a carrying value of approximately $1.3 billion. The retirement of these shares resulted in a reduction in both the carrying value of treasury stock and additional paid-in capital of approximately $1.3 billion on our unaudited condensed consolidated balance sheet. There was no net effect to the Company’s total stockholders’ equity balance on its unaudited condensed consolidated balance sheet due to the retirement of these shares.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13: EARNINGS PER SHARE (EPS)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Basic and Diluted EPS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00" w:type="dxa"/>
            <w:vAlign w:val="bottom"/>
            <w:gridSpan w:val="11"/>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(shares in thousands and $ in millions, except per share amounts)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0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used to compute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Basic EPS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discontinued operations, net of tax, used</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49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 compute Basic EPS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used to compute Basic EPS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continuing operations used to compute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Basic EPS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on 2026 Senior Notes, net of tax</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tcBorders>
              <w:top w:val="single" w:sz="8" w:color="CFF0FC"/>
            </w:tcBorders>
            <w:gridSpan w:val="3"/>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income (loss) from continuing operations used to compute</w:t>
            </w:r>
          </w:p>
        </w:tc>
        <w:tc>
          <w:tcPr>
            <w:tcW w:w="1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Diluted EPS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w:t>
            </w:r>
          </w:p>
        </w:tc>
        <w:tc>
          <w:tcPr>
            <w:tcW w:w="4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gridSpan w:val="3"/>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Net income (loss) from discontinued operations, net of tax, used</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1"/>
        </w:trPr>
        <w:tc>
          <w:tcPr>
            <w:tcW w:w="49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 compute Diluted EPS</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income (loss) used to compute Diluted EPS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(313.1)</w:t>
            </w:r>
          </w:p>
        </w:tc>
        <w:tc>
          <w:tcPr>
            <w:tcW w:w="1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9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117,474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116,532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Stock-based awards (Note 11)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2026 Senior Notes (Note 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117,474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123,716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116,532</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133,681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 from continuing operations</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EPS from discontinued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 from discontinued operations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-3548380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-3548380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-3548380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-3548380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-2828290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-2828290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-2828290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-2828290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-2279650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-2279650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-2279650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-1139190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-1122045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-1139190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-1122045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-1139190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-1122045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-1139190</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-1122045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(including PSUs, MSUs, DSUs, and RSAs), and those issuable under the 2026 Senior Notes, totaling approximately 10.8 million shares and 21.8 million shares for the three and nine months ended September 30, 2026, respectively, and approximately 6.9 million shares and 10.5 million shares for the three and nine months ended September 30, 2025, respectively, have been excluded from the Diluted EPS calculation because their effect would have been antidilutive. In addition, potential common shares from certain performance-based awards of approximately 1.6 million shares for both the three and nine months ended September 30, 2026, respectively, and approximately1.6 million shares and 1.8 million shares for the three and nine months ended September 30, 2025, respectively, for which all targets required to trigger vesting had not been achieved, were also excluded from the calculation of weighted average shares used to compute Diluted EPS.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22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 xml:space="preserve">TheFork was designated a discontinued operation during the second quarter of 2026, as discussed in “Note 3: </w:t>
      </w:r>
      <w:r>
        <w:rPr>
          <w:rFonts w:ascii="Times New Roman" w:cs="Times New Roman" w:eastAsia="Times New Roman" w:hAnsi="Times New Roman"/>
          <w:sz w:val="17"/>
          <w:szCs w:val="17"/>
          <w:i w:val="1"/>
          <w:iCs w:val="1"/>
          <w:color w:val="auto"/>
        </w:rPr>
        <w:t>Discontinued Operations</w:t>
      </w:r>
      <w:r>
        <w:rPr>
          <w:rFonts w:ascii="Times New Roman" w:cs="Times New Roman" w:eastAsia="Times New Roman" w:hAnsi="Times New Roman"/>
          <w:sz w:val="17"/>
          <w:szCs w:val="17"/>
          <w:color w:val="auto"/>
        </w:rPr>
        <w:t xml:space="preserve">”, and as a result, the Company determined that TheFork is no longer a reportable segment. The Company's continuing operations now consists of two reportable segments: (1) Experiences and (2) Hotels and Other. All prior period segment disclosure information has been recast to conform to the current reporting structure. The nature of the services provided and revenue sources by product, are summarized by reportable segment in “Note 4: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w:t>
      </w: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5" w:name="page26"/>
    <w:bookmarkEnd w:id="25"/>
    <w:p>
      <w:pPr>
        <w:ind w:right="20"/>
        <w:spacing w:after="0" w:line="254" w:lineRule="auto"/>
        <w:rPr>
          <w:sz w:val="20"/>
          <w:szCs w:val="20"/>
          <w:color w:val="auto"/>
        </w:rPr>
      </w:pPr>
      <w:r>
        <w:rPr>
          <w:rFonts w:ascii="Times New Roman" w:cs="Times New Roman" w:eastAsia="Times New Roman" w:hAnsi="Times New Roman"/>
          <w:sz w:val="18"/>
          <w:szCs w:val="18"/>
          <w:color w:val="auto"/>
        </w:rPr>
        <w:t>decision-making purposes, including allocation of operating and capital resources. Adjusted EBITDA is our reported measure of segment profit and a key measure used by our CODM and Board of Directors to understand and evaluate the operating performance of our business as a whole and for our individual operating segments, and on which internal budgets and forecasts are based and approved. We define adjusted EBITDA as net income (loss) from continuing operations plus: (1) (provision) benefit for income taxes; (2) other income (expense),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spacing w:after="0" w:line="19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Stranded costs, which consist of certain shared personnel and insurance costs, previously allocated to TheFork reportable segment that do not qualify for discontinued operations accounting classification, are reported within continuing operations for all periods presented. As a result, effective the second quarter of 2026, we changed our corporate overhead allocation methodology to re-allocate these stranded costs among the remaining operating segments included within continuing operations. Our segment presentation for the three and nine months ended September 30, 2025 has been restated to reflect the re-allocation of these costs. Stranded costs of $0.9 million and $3.1 million for the three and nine months ended September 30, 2026, respectively, and $0.9 million and $2.7 million for the three and nine months ended September 30, 2025, respectively, have been included within segment profits for continuing operations and re-allocated among Experiences and Hotels and Other.</w:t>
      </w:r>
    </w:p>
    <w:p>
      <w:pPr>
        <w:spacing w:after="0" w:line="8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and nine months ended September 30, 2026 and 2025 and include a reconciliation of Adjusted EBITDA to Net income (loss) from continuing operations. In addition, we do not report total assets, capital expenditures and related depreciation expense by segment as our CODM does not use this information to evaluate operating segment performance. Accordingly, we do not regularly provide such information by segment to our CODM. Intersegment revenue and expenses are not material for all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9"/>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3"/>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Hotels and Other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w w:val="99"/>
              </w:rPr>
              <w:t>(1) (2)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(4)</w:t>
            </w:r>
          </w:p>
        </w:tc>
        <w:tc>
          <w:tcPr>
            <w:tcW w:w="1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Impairment of goodwill </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(369.5)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5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reserves, settlements and other</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(316.9)</w:t>
            </w:r>
          </w:p>
        </w:tc>
        <w:tc>
          <w:tcPr>
            <w:tcW w:w="0" w:type="dxa"/>
            <w:vAlign w:val="bottom"/>
          </w:tcPr>
          <w:p>
            <w:pPr>
              <w:spacing w:after="0"/>
              <w:rPr>
                <w:sz w:val="1"/>
                <w:szCs w:val="1"/>
                <w:color w:val="auto"/>
              </w:rPr>
            </w:pPr>
          </w:p>
        </w:tc>
      </w:tr>
      <w:tr>
        <w:trPr>
          <w:trHeight w:val="413"/>
        </w:trPr>
        <w:tc>
          <w:tcPr>
            <w:tcW w:w="52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20" w:type="dxa"/>
            <w:vAlign w:val="bottom"/>
            <w:tcBorders>
              <w:top w:val="single" w:sz="8" w:color="CFF0FC"/>
            </w:tcBorders>
          </w:tcPr>
          <w:p>
            <w:pPr>
              <w:jc w:val="right"/>
              <w:ind w:right="673"/>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-2476500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-2476500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8"/>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1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Hotels and Other</w:t>
            </w:r>
          </w:p>
        </w:tc>
        <w:tc>
          <w:tcPr>
            <w:tcW w:w="140" w:type="dxa"/>
            <w:vAlign w:val="bottom"/>
          </w:tcPr>
          <w:p>
            <w:pPr>
              <w:spacing w:after="0"/>
              <w:rPr>
                <w:sz w:val="10"/>
                <w:szCs w:val="10"/>
                <w:color w:val="auto"/>
              </w:rPr>
            </w:pPr>
          </w:p>
        </w:tc>
        <w:tc>
          <w:tcPr>
            <w:tcW w:w="1080" w:type="dxa"/>
            <w:vAlign w:val="bottom"/>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(2)</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60" w:type="dxa"/>
            <w:vAlign w:val="bottom"/>
            <w:gridSpan w:val="8"/>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0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8"/>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1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Hotels and Other</w:t>
            </w:r>
          </w:p>
        </w:tc>
        <w:tc>
          <w:tcPr>
            <w:tcW w:w="140" w:type="dxa"/>
            <w:vAlign w:val="bottom"/>
          </w:tcPr>
          <w:p>
            <w:pPr>
              <w:spacing w:after="0"/>
              <w:rPr>
                <w:sz w:val="10"/>
                <w:szCs w:val="10"/>
                <w:color w:val="auto"/>
              </w:rPr>
            </w:pPr>
          </w:p>
        </w:tc>
        <w:tc>
          <w:tcPr>
            <w:tcW w:w="1080" w:type="dxa"/>
            <w:vAlign w:val="bottom"/>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(1) (2)</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4"/>
                <w:szCs w:val="24"/>
                <w:color w:val="auto"/>
                <w:vertAlign w:val="superscript"/>
              </w:rPr>
              <w:t>(7)</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(8)</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Impairment of goodwill </w:t>
            </w:r>
            <w:r>
              <w:rPr>
                <w:rFonts w:ascii="Times New Roman" w:cs="Times New Roman" w:eastAsia="Times New Roman" w:hAnsi="Times New Roman"/>
                <w:sz w:val="24"/>
                <w:szCs w:val="24"/>
                <w:color w:val="auto"/>
                <w:vertAlign w:val="superscript"/>
              </w:rPr>
              <w:t>(5)</w:t>
            </w: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Restructuring and other related reorganization costs </w:t>
            </w:r>
            <w:r>
              <w:rPr>
                <w:rFonts w:ascii="Times New Roman" w:cs="Times New Roman" w:eastAsia="Times New Roman" w:hAnsi="Times New Roman"/>
                <w:sz w:val="24"/>
                <w:szCs w:val="24"/>
                <w:color w:val="auto"/>
                <w:vertAlign w:val="superscript"/>
              </w:rPr>
              <w:t>(6)</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(9)</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Transaction related expenses </w:t>
            </w:r>
            <w:r>
              <w:rPr>
                <w:rFonts w:ascii="Times New Roman" w:cs="Times New Roman" w:eastAsia="Times New Roman" w:hAnsi="Times New Roman"/>
                <w:sz w:val="24"/>
                <w:szCs w:val="24"/>
                <w:color w:val="auto"/>
                <w:vertAlign w:val="superscript"/>
              </w:rPr>
              <w:t>(10)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income </w:t>
            </w:r>
            <w:r>
              <w:rPr>
                <w:rFonts w:ascii="Times New Roman" w:cs="Times New Roman" w:eastAsia="Times New Roman" w:hAnsi="Times New Roman"/>
                <w:sz w:val="24"/>
                <w:szCs w:val="24"/>
                <w:color w:val="auto"/>
                <w:vertAlign w:val="superscript"/>
              </w:rPr>
              <w:t>(11)</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right"/>
              <w:ind w:right="733"/>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-5537200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-5537200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-5537200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-4979670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-2613660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-2613660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-2613660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gridSpan w:val="8"/>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Experiences (1)</w:t>
            </w:r>
          </w:p>
        </w:tc>
        <w:tc>
          <w:tcPr>
            <w:tcW w:w="1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3"/>
          </w:tcPr>
          <w:p>
            <w:pPr>
              <w:jc w:val="center"/>
              <w:ind w:right="308"/>
              <w:spacing w:after="0" w:line="118" w:lineRule="exact"/>
              <w:rPr>
                <w:sz w:val="20"/>
                <w:szCs w:val="20"/>
                <w:color w:val="auto"/>
              </w:rPr>
            </w:pPr>
            <w:r>
              <w:rPr>
                <w:rFonts w:ascii="Times New Roman" w:cs="Times New Roman" w:eastAsia="Times New Roman" w:hAnsi="Times New Roman"/>
                <w:sz w:val="13"/>
                <w:szCs w:val="13"/>
                <w:b w:val="1"/>
                <w:bCs w:val="1"/>
                <w:color w:val="auto"/>
              </w:rPr>
              <w:t>Hotels and Other</w:t>
            </w:r>
          </w:p>
        </w:tc>
        <w:tc>
          <w:tcPr>
            <w:tcW w:w="140" w:type="dxa"/>
            <w:vAlign w:val="bottom"/>
          </w:tcPr>
          <w:p>
            <w:pPr>
              <w:spacing w:after="0"/>
              <w:rPr>
                <w:sz w:val="10"/>
                <w:szCs w:val="10"/>
                <w:color w:val="auto"/>
              </w:rPr>
            </w:pPr>
          </w:p>
        </w:tc>
        <w:tc>
          <w:tcPr>
            <w:tcW w:w="1080" w:type="dxa"/>
            <w:vAlign w:val="bottom"/>
          </w:tcPr>
          <w:p>
            <w:pPr>
              <w:jc w:val="right"/>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Corporate &amp;</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(1) (2)</w:t>
            </w: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3"/>
          </w:tcPr>
          <w:p>
            <w:pPr>
              <w:jc w:val="right"/>
              <w:ind w:right="9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 compensation as shown</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separately below)</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(12)</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Legal reserves, settlements and other </w:t>
            </w:r>
            <w:r>
              <w:rPr>
                <w:rFonts w:ascii="Times New Roman" w:cs="Times New Roman" w:eastAsia="Times New Roman" w:hAnsi="Times New Roman"/>
                <w:sz w:val="24"/>
                <w:szCs w:val="24"/>
                <w:color w:val="auto"/>
                <w:vertAlign w:val="superscript"/>
              </w:rPr>
              <w:t>(13)</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-1430655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-1430655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-1430655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840" w:right="220" w:hanging="383"/>
        <w:spacing w:after="0" w:line="227"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shared costs, primarily personnel costs, allocated from the Hotels and Other segment of $3.4 million and $12.6 million for the three and nine months ended September 30, 2026, respectively, and $3.2 million and $9.8 million for the three and nine months ended September 30, 2025, respectively. These costs include stranded costs of $0.4 million and $1.3 million for the three and nine months ended September 30, 2026, respectively, and $0.3 million and $0.8 million for the three and nine months ended September 30, 2025, respectively.</w:t>
      </w:r>
    </w:p>
    <w:p>
      <w:pPr>
        <w:ind w:left="840" w:right="8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Hotels and Other segment includes stranded costs of $0.6 million and $1.8 million for the three and nine months ended September 30, 2026, respectively, and $0.6 million and $1.9 million for the three and nine months ended September 30, 2025, respectively.</w:t>
      </w:r>
    </w:p>
    <w:p>
      <w:pPr>
        <w:ind w:left="84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segment expense categories and amounts align with the segment-level information that is regularly provided to our CODM.</w:t>
      </w:r>
    </w:p>
    <w:p>
      <w:pPr>
        <w:ind w:left="840" w:right="36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$3.3 million costs and a $0.7 million benefit in the Experiences and Hotels and Other segment, respectively, which is included separately below in legal reserves, settlements and other. In addition, exclusive of $0.6 million costs in the Hotels and Other segment, which is included separately below in transaction related expenses.</w:t>
      </w:r>
    </w:p>
    <w:p>
      <w:pPr>
        <w:ind w:left="84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6: </w:t>
      </w:r>
      <w:r>
        <w:rPr>
          <w:rFonts w:ascii="Times New Roman" w:cs="Times New Roman" w:eastAsia="Times New Roman" w:hAnsi="Times New Roman"/>
          <w:sz w:val="14"/>
          <w:szCs w:val="14"/>
          <w:i w:val="1"/>
          <w:iCs w:val="1"/>
          <w:color w:val="auto"/>
        </w:rPr>
        <w:t>Goodwill</w:t>
      </w:r>
      <w:r>
        <w:rPr>
          <w:rFonts w:ascii="Times New Roman" w:cs="Times New Roman" w:eastAsia="Times New Roman" w:hAnsi="Times New Roman"/>
          <w:sz w:val="14"/>
          <w:szCs w:val="14"/>
          <w:color w:val="auto"/>
        </w:rPr>
        <w:t>” for information regarding the impairment of goodwill.</w:t>
      </w:r>
    </w:p>
    <w:p>
      <w:pPr>
        <w:ind w:left="84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7: </w:t>
      </w:r>
      <w:r>
        <w:rPr>
          <w:rFonts w:ascii="Times New Roman" w:cs="Times New Roman" w:eastAsia="Times New Roman" w:hAnsi="Times New Roman"/>
          <w:sz w:val="14"/>
          <w:szCs w:val="14"/>
          <w:i w:val="1"/>
          <w:iCs w:val="1"/>
          <w:color w:val="auto"/>
        </w:rPr>
        <w:t>Accrued Expenses and Other Current Liabilities</w:t>
      </w:r>
      <w:r>
        <w:rPr>
          <w:rFonts w:ascii="Times New Roman" w:cs="Times New Roman" w:eastAsia="Times New Roman" w:hAnsi="Times New Roman"/>
          <w:sz w:val="14"/>
          <w:szCs w:val="14"/>
          <w:color w:val="auto"/>
        </w:rPr>
        <w:t>” for information regarding restructuring and other related reorganization costs.</w:t>
      </w:r>
    </w:p>
    <w:p>
      <w:pPr>
        <w:ind w:left="840" w:right="60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$1.2 million and $0.8 million benefits in the Experiences and Hotels and Other segments, respectively, which are included separately below in legal reserves, settlements and other.</w:t>
      </w:r>
    </w:p>
    <w:p>
      <w:pPr>
        <w:jc w:val="both"/>
        <w:ind w:left="840" w:right="16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$4.1 million costs in Hotels and Other segment, which is included separately below in transaction related expenses. In addition, exclusive of $4.4 million costs and a $0.5 million benefit in the Experiences and Hotels and Other segment, respectively, which is included separately below in legal reserves, settlements and other, and exclusive of a $4.8 million benefit in Hotels and Other segment, which is included separately below in non-recurring (expenses) income.</w:t>
      </w:r>
    </w:p>
    <w:p>
      <w:pPr>
        <w:ind w:left="840" w:right="180" w:hanging="383"/>
        <w:spacing w:after="0"/>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includes a refund of $2.0 million realized during the second quarter of 2026, resulting from the repeal of enacted tax legislation in Canada during 2026 related to digital service taxes, reflected in cost of sales on our unaudited condensed consolidated statement of operations. In addition, during the second and third quarters of 2026, the Company recorded cumulative legal contingency reserves of $3.9 million, reflected in general and administrative expenses on our unaudited condensed consolidated statement of operations.</w:t>
      </w:r>
    </w:p>
    <w:p>
      <w:pPr>
        <w:spacing w:after="0" w:line="111" w:lineRule="exact"/>
        <w:rPr>
          <w:rFonts w:ascii="Times New Roman" w:cs="Times New Roman" w:eastAsia="Times New Roman" w:hAnsi="Times New Roman"/>
          <w:sz w:val="14"/>
          <w:szCs w:val="14"/>
          <w:color w:val="auto"/>
        </w:rPr>
      </w:pPr>
    </w:p>
    <w:p>
      <w:pPr>
        <w:ind w:left="840" w:right="16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and other transaction related costs of $0.8 million, to general and administrative expenses on our unaudited condensed consolidated statements of operations.</w:t>
      </w:r>
    </w:p>
    <w:p>
      <w:pPr>
        <w:ind w:left="840" w:right="6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ind w:left="840" w:hanging="383"/>
        <w:spacing w:after="0" w:line="221"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Exclusive of $4.6 million in the Hotels and Other segment which is included separately below in legal reserves, settlements and other.</w:t>
      </w:r>
    </w:p>
    <w:p>
      <w:pPr>
        <w:ind w:left="840" w:right="160" w:hanging="383"/>
        <w:spacing w:after="0" w:line="239" w:lineRule="auto"/>
        <w:tabs>
          <w:tab w:leader="none" w:pos="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decrease of $4.6 million to a previously estimated accrual for the settlement of a regulatory related matter during the second quarter of 2025, reflected in general and administrative expenses on our unaudited condensed consolidated statement of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Revenue sources within our Experiences segment and Hotels and Other segment, consisting of Hotels revenue, Media and advertising revenue, and Other revenue, comprise our products. Refer to “Note 4: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7"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color w:val="auto"/>
        </w:rPr>
        <w:t>On November 1, 2026, the Company consummated the sale of TheFork.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under the section titled “</w:t>
      </w:r>
      <w:r>
        <w:rPr>
          <w:rFonts w:ascii="Times New Roman" w:cs="Times New Roman" w:eastAsia="Times New Roman" w:hAnsi="Times New Roman"/>
          <w:sz w:val="18"/>
          <w:szCs w:val="18"/>
          <w:i w:val="1"/>
          <w:iCs w:val="1"/>
          <w:color w:val="auto"/>
        </w:rPr>
        <w:t>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TheFork</w:t>
      </w:r>
      <w:r>
        <w:rPr>
          <w:rFonts w:ascii="Times New Roman" w:cs="Times New Roman" w:eastAsia="Times New Roman" w:hAnsi="Times New Roman"/>
          <w:sz w:val="18"/>
          <w:szCs w:val="18"/>
          <w:color w:val="auto"/>
        </w:rPr>
        <w:t>” for further information.</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4, 2026, the Company initiated a restructuring plan, designed to further simplify its Hotels and Other segment. This cost saving action primarily includes a reduction of workforce, with the substantial portion of the costs relating to severance payments and employee benefits. As a result, the Company expects to incur estimated pre-tax restructuring and other related reorganization costs of approximately $15 million to $20 million. This amount is expected to be expensed primarily in the fourth quarter of 2026, with any remaining amount expensed during 2027.</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right="560" w:firstLine="509"/>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2025 Annual Report.</w:t>
      </w:r>
    </w:p>
    <w:p>
      <w:pPr>
        <w:spacing w:after="0" w:line="1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Forward-looking statements include, but are not limited to, statements regarding the potential benefits of the completed sale of TheFork, possible uses of the net proceeds and the provision of services under the Transition Services Agreement, including the duration of those services. Actual results could differ materially from those contained in these forward-looking statements for a variety of reasons, including, but not limited to, those discussed in our 2025 Annual Report,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those discussed elsewhere in this Quarterly Report. Risks associated with the completed divestiture include that the parties may not realize the potential benefits in the near term or at all; liabilities or tax consequences related to the divestiture that are not known, probable or estimable at this time; difficulties or unexpected costs relating to segregating the technology and data platforms of TheFork from retained operations; disruption of management time away from core operations; and risks related to operating without TheFork.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“projects,” “will,” “would,” “could,”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Tripadvisor group (the “Group”) is a portfolio of global online platforms purpose-built to connect travelers with experiences, accommodations, restaurants and other relevant travel destination points of interest (“POIs”). Our mission is to be the world's most trusted source for travel and experiences.</w:t>
      </w:r>
    </w:p>
    <w:p>
      <w:pPr>
        <w:spacing w:after="0" w:line="140" w:lineRule="exact"/>
        <w:rPr>
          <w:sz w:val="20"/>
          <w:szCs w:val="20"/>
          <w:color w:val="auto"/>
        </w:rPr>
      </w:pPr>
    </w:p>
    <w:p>
      <w:pPr>
        <w:jc w:val="both"/>
        <w:ind w:right="140" w:firstLine="509"/>
        <w:spacing w:after="0" w:line="289" w:lineRule="auto"/>
        <w:rPr>
          <w:sz w:val="20"/>
          <w:szCs w:val="20"/>
          <w:color w:val="auto"/>
        </w:rPr>
      </w:pPr>
      <w:r>
        <w:rPr>
          <w:rFonts w:ascii="Times New Roman" w:cs="Times New Roman" w:eastAsia="Times New Roman" w:hAnsi="Times New Roman"/>
          <w:sz w:val="17"/>
          <w:szCs w:val="17"/>
          <w:color w:val="auto"/>
        </w:rPr>
        <w:t>We offer travelers the ability to search, discover, book, and review experiences, hotels, and restaurants seamlessly through our primary consumer-facing brands: Viator, our two-sided marketplace for experiences and Tripadvisor, our travel planning and guidance platform. Tripadvisor offers authentic traveler-submitted reviews and content, travel planning tools and related technology to instill confidence for travelers in every part of their travel journey.</w:t>
      </w:r>
    </w:p>
    <w:p>
      <w:pPr>
        <w:spacing w:after="0" w:line="158"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Company's strategy is focused on growing and scaling its Experiences marketplace, which we believe represents an attractive long-term value creation opportunity, while optimizing our legacy offerings within the Hotels and Other segment for profitability. As part of its Experiences strategy, on June 14, 2026, the Company entered into a put option agreement for the sale of TheFork. On August 1, 2026, the Company delivered notice of exercise of the put option agreement, and on November 1, 2026 the Company consummated the sale of TheFork. Refer to the section below titled “</w:t>
      </w:r>
      <w:r>
        <w:rPr>
          <w:rFonts w:ascii="Times New Roman" w:cs="Times New Roman" w:eastAsia="Times New Roman" w:hAnsi="Times New Roman"/>
          <w:sz w:val="18"/>
          <w:szCs w:val="18"/>
          <w:i w:val="1"/>
          <w:iCs w:val="1"/>
          <w:color w:val="auto"/>
        </w:rPr>
        <w:t>Sale of TheFork</w:t>
      </w:r>
      <w:r>
        <w:rPr>
          <w:rFonts w:ascii="Times New Roman" w:cs="Times New Roman" w:eastAsia="Times New Roman" w:hAnsi="Times New Roman"/>
          <w:sz w:val="18"/>
          <w:szCs w:val="18"/>
          <w:color w:val="auto"/>
        </w:rPr>
        <w:t>” for further discussion.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firstLine="509"/>
        <w:spacing w:after="0" w:line="254" w:lineRule="auto"/>
        <w:rPr>
          <w:sz w:val="20"/>
          <w:szCs w:val="20"/>
          <w:color w:val="auto"/>
        </w:rPr>
      </w:pPr>
      <w:r>
        <w:rPr>
          <w:rFonts w:ascii="Times New Roman" w:cs="Times New Roman" w:eastAsia="Times New Roman" w:hAnsi="Times New Roman"/>
          <w:sz w:val="18"/>
          <w:szCs w:val="18"/>
          <w:color w:val="auto"/>
        </w:rPr>
        <w:t>The Experiences segment includes Viator, a pure-play, experiences online travel agency (“OTA”), offering a two-sided global marketplace for tours, activities, and attractions; it also includes Tripadvisor and third party points-of-sale for experiences. Viator's global online marketplace merchandises bookable experiences to travelers that typically have relatively higher purchase intent either pre-destination or in-destination. Tripadvisor is an online global travel guidance platform that also merchandises experiences to its audience, which more commonly serves travelers in the discovery and planning phases. Both brands leverage Viator’s centralized supply platform that supports operator onboarding, operator inventory management, bookings, payments, fraud prevention, and customer support. In addition, the Company also syndicates its experiences supply to other third-party endemic and non-endemic demand partners. The Hotels and Other segment primarily consists of the Tripadvisor hotel and restaurant guidance platform, which includes hotel metasearch, and related advertising offerings primarily for hotels and restaurants.</w:t>
      </w:r>
    </w:p>
    <w:p>
      <w:pPr>
        <w:spacing w:after="0" w:line="19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Group’s globally recognized brands and extensive user-generated content (“UGC”) support traveler search, discovery, and planning, which in-turn generates high-intent demand for its experiences and dining marketplace offerings as well as for commercial partners in the hotels category and advertising opportunities for endemic and non-endemic advertisers. In turn, clickstream and behavioral data reflecting traveler intent, transactional data from its experiences and dining marketplaces, UGC, and structured and unstructured data related to millions of POIs attractions, and destinations enhance the customer experience through product enhancements and personalization, reinforcing the discovery and engagement loop over time. In addition, the breadth, depth, and scale of first party data is uniquely valuable in the Company’s pursuit to innovate in the application of artificial intelligence (“AI”) for travel and experiences discovery, planning, and booking.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22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Below, we describe current trends affecting our overall business and segments, including opportunities, but also uncertainties that may impact our ability to execute on our objectives and strategies.</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Experiences business is a two-sided online marketplace, which has exhibited consistent revenue growth and improving profitability, prior to the macro-environment headwinds during 2026, as discussed below. The Company’s total revenue and adjusted EBITDA continue to shift more towards Experiences, as shown in our segment financial information. As of the year ended December 31, 2025, the Experiences segment represented approximately 55% of the Company’s total revenue from continuing operations and 30% of our adjusted EBITDA from continuing operations. As the Company continues to execute on its growth strategies and invest in Experiences, we expect to continue to see our media-based and click-based advertising offerings become a smaller share of our overall revenue and profit mix, as has been the trend during the first nine months of 2026.</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highest strategic priority is to extend our position as a leader in the experiences category. The global experiences market is large, growing, highly fragmented, and under penetrated, with the vast majority of bookings still occurring through traditional offline sources. We expect to benefit from ongoing market tailwinds as consumers increasingly book experiences online and consumer behavior continues to allocate more discretionary spending to travel and experiences and away from physical goods. These trends present attractive growth opportunities for our business, as well as to many competitors. Given the competitive positioning of our businesses relative to the attractive growth prospects in the experiences category, we expect to continue to invest in this category across Tripadvisor Group to continue growing revenue, operating scale, and market share for the long-term.</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our Hotels and Other segment, we generate a significant amount of direct traffic from search engines, including Google, through search engine optimization (“SEO”) performance. We believe our SEO traffic acquisition performance has been negatively impacted by search engines changing their search result placement and underlying algorithms to increase the prominence of their own products in search results across our business. We believe that our Hotels and Other segment will continue to be impacted by these challenges and others, including AI overviews displacing top ranked links, reduced click-through rates and a shift towards platform based non-traditional search.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Sale of TheFork</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On June 14, 2026, the Company entered into a put option agreement (the “Put Option Agreement”) with American Express Travel Related Services Company, Inc. (“American Express”) to sell the legal entities comprising the Company's online restaurant reservation and management platform in Europe known as “TheFork” (the “Business”) for $700.0 million in cash, subject to certain adjustments. On August 1, 2026, following the completion of the required consultation process with the relevant French Works Council on July 30, 2026, the Company exercised the put option. On August 2, 2026, the Company entered into an Equity Purchase Agreement with American Express to sell TheFork. On November 1, 2026, the Company consummated the sale of the Business 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right="200"/>
        <w:spacing w:after="0" w:line="258" w:lineRule="auto"/>
        <w:rPr>
          <w:sz w:val="20"/>
          <w:szCs w:val="20"/>
          <w:color w:val="auto"/>
        </w:rPr>
      </w:pPr>
      <w:r>
        <w:rPr>
          <w:rFonts w:ascii="Times New Roman" w:cs="Times New Roman" w:eastAsia="Times New Roman" w:hAnsi="Times New Roman"/>
          <w:sz w:val="18"/>
          <w:szCs w:val="18"/>
          <w:color w:val="auto"/>
        </w:rPr>
        <w:t>American Express pursuant to the Equity Purchase Agreement. The total net cash consideration received at closing was approximately $741.0 million, reflecting customary adjustments to the purchase price, including closing working capital, cash, and indebtedness, and net of transaction related expenses paid at closing. The Company anticipates recognizing an estimated gain on sale of approximately $487.0 million during the fourth quarter of 2026. However, the final net cash consideration and gain on sale amounts may differ materially, as these amounts remain subject to change based on final adjustments according to the terms of the Equity Purchase Agreement.</w:t>
      </w:r>
    </w:p>
    <w:p>
      <w:pPr>
        <w:spacing w:after="0" w:line="18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Upon execution of the Put Option Agreement, the assets and liabilities of TheFork business met the accounting requirements to be classified as held for sale. In addition, the accounting requirements for reporting TheFork business as a discontinued operation were also satisfied as the transaction constitutes a strategic shift that will have a major effect on the Company's operations and financial results. Unless otherwise noted, all amounts, percentages, and any discussions below reflect only the results of operations and financial condition of our continuing operations. Furthermore, upon designation of TheFork business as a discontinued operation, the Company determined that TheFork was no longer a reportable segment. The Company continued to own and operate TheFork business until the closing of the transaction resulting in the sale of TheFork. The Company's continuing operations now consist of two reportable segments: (1) Experiences, and (2) Hotels and Other. All prior period segment disclosure information has been recast to conform to the current reporting structure.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Macro-Environment Headwinds</w:t>
      </w:r>
    </w:p>
    <w:p>
      <w:pPr>
        <w:spacing w:after="0" w:line="22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2026, specifically beginning in late February and throughout March, the conflict in the Middle East, severe flooding in Hawaii and civil unrest in Mexico, two key destination markets, as well as extreme weather-related events and travel conditions throughout May and June within Europe and the U.S., had an adverse impact on our Experiences business. Although Experiences showed growth across all reported measures through February, as a result of these macro-events, during 2026, we did observe a negative impact on booking volumes, gross booking value, and revenue, as well as an increase in cancellation rates across all points of sale in our Experiences segment. This negatively impacted our overall growth rates across our reported measures during 2026 in the Experiences segment. We also estimate that any ongoing geopolitical tensions and conflicts, including evolving events in the Middle East and eastern Europe, may continue to have an impact on the travel industry and, as a result, continue to impact our financial results in the fourth quarter of 2026.</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Hotels and Other Goodwill Impairment</w:t>
      </w:r>
    </w:p>
    <w:p>
      <w:pPr>
        <w:spacing w:after="0" w:line="22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recognized a non-cash goodwill impairment charge of $369.5 million during the three months ended September 30, 2026 for the Hotels and Other reporting unit. Refer to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Restructuring and Related Reorganization Actions</w:t>
      </w:r>
    </w:p>
    <w:p>
      <w:pPr>
        <w:spacing w:after="0" w:line="2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Fourth quarter of 2026</w:t>
      </w:r>
    </w:p>
    <w:p>
      <w:pPr>
        <w:spacing w:after="0" w:line="23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November 4, 2026, the Company initiated a restructuring plan, designed to further simplify its Hotels and Other segment. This cost saving action primarily includes a reduction of workforce, with the substantial portion of the costs relating to severance payments and employee benefits. As a result, the Company expects to incur estimated pre-tax restructuring and other related reorganization costs of approximately $15 million to $20 million. This amount is expected to be expensed primarily in the fourth quarter of 2026, with any remaining amount expensed during 2027. Refer to “Note 15: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Fourth quarter of 2025</w:t>
      </w:r>
    </w:p>
    <w:p>
      <w:pPr>
        <w:spacing w:after="0" w:line="23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the Company approved and subsequently initiated a series of cost savings actions following a decision to realign its operating model across its Experiences and Hotels and Other segments to support the Company’s positioning as an experiences-led and AI-enabled company. As a result of these actions taken, the Company incurred pre-tax restructuring and other related reorganization costs of $0.9 million and $7.8 million during the three and nine months ended September 30, 2026, respectively, which consisted of employee severance and related benefits, primarily in our Hotels and Other segment. These initiatives are intended to better align the Company's organizational structure and resources with its strategic priorities, including continued investment in Experiences and the optimization of its legacy offerings.</w:t>
      </w:r>
    </w:p>
    <w:p>
      <w:pPr>
        <w:spacing w:after="0" w:line="18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These actions are expected to be substantially completed by the fourth quarter of 2026 and represent transformational initiatives of the Company's operating structure, which are not reflective of the Company's normal and recurring business operations. The multi-period nature of these actions generally reflects the operational challenges of executing a global workforce reduction across multiple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ind w:right="580"/>
        <w:spacing w:after="0" w:line="266" w:lineRule="auto"/>
        <w:rPr>
          <w:sz w:val="20"/>
          <w:szCs w:val="20"/>
          <w:color w:val="auto"/>
        </w:rPr>
      </w:pPr>
      <w:r>
        <w:rPr>
          <w:rFonts w:ascii="Times New Roman" w:cs="Times New Roman" w:eastAsia="Times New Roman" w:hAnsi="Times New Roman"/>
          <w:sz w:val="18"/>
          <w:szCs w:val="18"/>
          <w:color w:val="auto"/>
        </w:rPr>
        <w:t xml:space="preserve">jurisdictions, including compliance with local statutory requirements in certain international locations, and the timing of employee notifications and departures. Refer to “Note 7: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related to these actions.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i w:val="1"/>
          <w:iCs w:val="1"/>
          <w:color w:val="auto"/>
        </w:rPr>
        <w:t>Fourth quarter of 2024</w:t>
      </w:r>
    </w:p>
    <w:p>
      <w:pPr>
        <w:spacing w:after="0" w:line="23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2024, the Company approved and subsequently initiated a set of actions across its business in order to reduce its cost structure, improve operational efficiencies, and realign its workforce with its strategic initiatives. As a result of actions taken under this initiative, during the three and nine months ended September 30, 2025, the Company incurred pre-tax restructuring and other related reorganization costs of $0.3 million and $9.6 million, respectively, which consisted of employee severance and related benefits, primarily in our Hotels and Other segment.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Repayment of 2026 Senior Notes and Expiration of Capped Calls</w:t>
      </w:r>
    </w:p>
    <w:p>
      <w:pPr>
        <w:spacing w:after="0" w:line="22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On April 1, 2026, the Company repaid its 0.25% Convertible 2026 Senior Notes due 2026 (“2026 Senior Notes”), at maturity, for $345.4 million, consisting of the full outstanding principal and accrued interest, funded by cash on hand. In connection with the maturity and repayment of the 2026 Senior Notes on April 1, 2026, the Capped Calls also expired unexercised.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2026, the Company had approximately 2,455 employees, of which approximately 870 are employees of TheFork. Approximately 70%, 26%, and 4% of the Company’s current employees are based in Europe, the U.S., and the rest of world,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highest in the second and third quarters of a given year, which includes the seasonal peak in consumer demand, including travel experiences taken, and traveler accommodation stays,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or economic uncertainty, public health-related events, as well as other factors.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xml:space="preserve">” in Part II, Item 7. — Management’s Discussion and Analysis of Financial Condition and Results of Operations of our 2025 Annual Report, except for the addition of recoverability of goodwill in our Hotels and Other reporting unit, as noted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xml:space="preserve">”, under the section titled </w:t>
      </w:r>
      <w:r>
        <w:rPr>
          <w:rFonts w:ascii="Times New Roman" w:cs="Times New Roman" w:eastAsia="Times New Roman" w:hAnsi="Times New Roman"/>
          <w:sz w:val="18"/>
          <w:szCs w:val="18"/>
          <w:i w:val="1"/>
          <w:iCs w:val="1"/>
          <w:color w:val="auto"/>
        </w:rPr>
        <w:t>Accounting Estimates</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As noted above, the Company recorded a $369.5 million non-cash goodwill impairment charge during the third quarter of 2026 in its Hotels and Other reporting unit. The valuation of goodwill is a critical accounting estimate because it requires significant judgments about future cash flows, discount rate, and long-term growth rate, all of which are inherently uncertain and sensitive to market conditions. Following the impairment, the carrying amount of the Hotels and Other reporting unit approximates its estimated fair value. Therefore, any adverse changes in these assumptions, if the reporting unit does not achieve its forecasted results, or if the Company's stock price and market capitalization decline further, the Company may be required to recognize additional goodwill impairment charges, which could be material. As of September 30, 2026, $44.3 million of goodwill remains allocated to this reporting unit. In order to evaluate the sensitivity of the estimated fair value calculation used for the goodwill impairment analysis, the Company applied a hypothetical 1% decrease in the long-term growth rate and a 1% increase in the discount rate, resulting in an additional impairment amount for the reporting unit of approximately $14.0 million. Refer to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this impairment.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significant accounting policies or new accounting pronouncements which required adoption had a significant impact on our unaudited condensed consolidated financial statements since December 31, 2025, as compared to those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the audited consolidated financial statements in Item 8 of our 2025 Annual Report. During the second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we reclassified the results of TheFork segment as discontinued operations in our unaudited condensed consolidated statements of operations for all periods presented, as discussed above.</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33" w:name="page34"/>
    <w:bookmarkEnd w:id="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3"/>
                <w:szCs w:val="13"/>
                <w:color w:val="auto"/>
              </w:rPr>
            </w:pPr>
          </w:p>
        </w:tc>
        <w:tc>
          <w:tcPr>
            <w:tcW w:w="18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1,204.1</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1,319.3</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49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Personnel (including stock-based compensation of $15.3, $25.7,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$50.5 and $77.1, respectively)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(321.6)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(346.1)</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(347.4)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(316.9)</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(324.7)</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(313.1)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(323.1)</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6"/>
        </w:trPr>
        <w:tc>
          <w:tcPr>
            <w:tcW w:w="49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7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Data:</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960" w:type="dxa"/>
            <w:vAlign w:val="bottom"/>
          </w:tcPr>
          <w:p>
            <w:pPr>
              <w:spacing w:after="0" w:line="263" w:lineRule="exact"/>
              <w:rPr>
                <w:sz w:val="20"/>
                <w:szCs w:val="20"/>
                <w:color w:val="auto"/>
              </w:rPr>
            </w:pPr>
            <w:r>
              <w:rPr>
                <w:rFonts w:ascii="Times New Roman" w:cs="Times New Roman" w:eastAsia="Times New Roman" w:hAnsi="Times New Roman"/>
                <w:sz w:val="18"/>
                <w:szCs w:val="18"/>
                <w:color w:val="auto"/>
              </w:rPr>
              <w:t xml:space="preserve">Adjusted EBITDA from continuing operations </w:t>
            </w:r>
            <w:r>
              <w:rPr>
                <w:rFonts w:ascii="Times New Roman" w:cs="Times New Roman" w:eastAsia="Times New Roman" w:hAnsi="Times New Roman"/>
                <w:sz w:val="24"/>
                <w:szCs w:val="24"/>
                <w:color w:val="auto"/>
                <w:vertAlign w:val="superscript"/>
              </w:rPr>
              <w:t>(1)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22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tcPr>
          <w:p>
            <w:pPr>
              <w:spacing w:after="0"/>
              <w:rPr>
                <w:sz w:val="22"/>
                <w:szCs w:val="22"/>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2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-2164080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-2164080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-2164080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-2164080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-1323975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-1323975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-1323975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-1323975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-466725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-449580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-466725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-449580</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-466725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-449580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-466725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-449580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 xml:space="preserve">n.m. = </w:t>
      </w:r>
      <w:r>
        <w:rPr>
          <w:rFonts w:ascii="Times New Roman" w:cs="Times New Roman" w:eastAsia="Times New Roman" w:hAnsi="Times New Roman"/>
          <w:sz w:val="14"/>
          <w:szCs w:val="14"/>
          <w:i w:val="1"/>
          <w:iCs w:val="1"/>
          <w:color w:val="auto"/>
        </w:rPr>
        <w:t>not meaningful</w:t>
      </w:r>
    </w:p>
    <w:p>
      <w:pPr>
        <w:spacing w:after="0" w:line="188" w:lineRule="exact"/>
        <w:rPr>
          <w:sz w:val="20"/>
          <w:szCs w:val="20"/>
          <w:color w:val="auto"/>
        </w:rPr>
      </w:pPr>
    </w:p>
    <w:p>
      <w:pPr>
        <w:ind w:left="840" w:right="400" w:hanging="383"/>
        <w:spacing w:after="0" w:line="239" w:lineRule="auto"/>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from continuing operations is considered a non-GAAP measure as defined by the SEC. Please refer to the “Adjusted EBITDA” discussion below for more information, including tabular reconciliations to the most directly comparable GAAP financial measure.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Experiences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284.8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170.5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-509270</wp:posOffset>
            </wp:positionV>
            <wp:extent cx="1111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-509270</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-509270</wp:posOffset>
            </wp:positionV>
            <wp:extent cx="1111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-509270</wp:posOffset>
            </wp:positionV>
            <wp:extent cx="1117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1" w:lineRule="exact"/>
        <w:rPr>
          <w:sz w:val="20"/>
          <w:szCs w:val="20"/>
          <w:color w:val="auto"/>
        </w:rPr>
      </w:pPr>
    </w:p>
    <w:p>
      <w:pPr>
        <w:ind w:left="1020" w:right="200" w:hanging="503"/>
        <w:spacing w:after="0" w:line="234" w:lineRule="auto"/>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14: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total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Key Operating Metrics</w:t>
      </w:r>
    </w:p>
    <w:p>
      <w:pPr>
        <w:spacing w:after="0" w:line="22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use the operating metrics described below to assist us in measuring our operations performance, identifying trends, formulating projections and making strategic decisions for the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We make these key metrics available to investors because we believe they are useful to investors both because they allow for greater transparency with respect to key metrics used by management in its financial and operational decision-making, and because they may be used by investors to help analyze the health of our business. None of these metrics should be considered as an alternative to any measure of financial performance calculated in accordance with GAAP.</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Number of Experiences Bookings</w:t>
      </w:r>
    </w:p>
    <w:p>
      <w:pPr>
        <w:spacing w:after="0" w:line="22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experiences bookings, an operational measure, is a useful indicator of the scale of our marketplace. The number of experiences booked were approximately 6.8 million and 18.9 million during the three and nine months ended September 30, 2026, respectively, an increase of approximately 2% and 6%, respectively, when compared to the same periods in 2025, primarily driven through growth on Viator and third-party points of sale, partially offset by persistent SEO-related headwinds on the Tripadvisor point of sale.</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Booking Value (“GBV”)</w:t>
      </w:r>
    </w:p>
    <w:p>
      <w:pPr>
        <w:spacing w:after="0" w:line="22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GBV represents the total dollar value of experience bookings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experiences operators, and partners). Management uses GBV for operational decision-making purposes to monitor the growth, scale, and reach of its online marketplace as well as assess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health of its global ecosystem. Accordingly, management does not consider GBV to be an indicator of revenue or any other financial statement measure.</w:t>
      </w:r>
    </w:p>
    <w:p>
      <w:pPr>
        <w:spacing w:after="0" w:line="22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GBV reached $1.3 billion and $3.9 billion during the three and nine months ended September 30, 2026, respectively, approximately flat and an increase of approximately 5%, respectively, when compared to the same periods in 2025, primarily due to growth in the number of experience bookings as discussed above. These growth numbers were partially offset by persistent SEO-headwinds and the macro-environment related factors noted above, which negatively impacted bookings growth, and lower average bookings values across Tripadvisor points of sale and Viator, respectively, when compared to the same periods in 2025.</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and Adjusted EBITDA</w:t>
      </w:r>
    </w:p>
    <w:p>
      <w:pPr>
        <w:spacing w:after="0" w:line="227"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Experiences segment revenue decreased by $9.5 million during the three months ended September 30, 2026, when compared to the same period in 2025, primarily driven by persistent SEO-related headwinds on the Tripadvisor point of sale and macro-environment related factors, causing weakening demand for bookings and negatively impacting GBV growth, as well as increased cancellation rates during 2026. Experiences segment revenue increased by $10.7 million during the nine months ended September 30, 2026, when compared to the same period in 2025, primarily driven by bookings and GBV growth, as discussed above. These increases were partially offset by SEO-related headwinds on the Tripadvisor point of sale and macro-environment related factors that negatively impacted bookings growth and revenue, as well as increased cancellation rates during 2026.</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our Experiences segment decreased by $14.2 million and $26.4 million during the three and nine months ended September 30, 2026, respectively, when compared to the same periods in 2025, and adjusted EBITDA margin decreased by 4.4 percentage points and 3.7 percentage points during three and nine months ended September 30, 2026, respectively, when compared to the same periods in 2025. The decrease in adjusted EBITDA during the three months ended September 30, 2026, when compared to the same period in 2025, was primarily due to an increase in paid marketing costs combined with a decrease in revenue growth, as discussed above. The decrease in adjusted EBITDA during the nine months ended September 30, 2026, when compared to the same period in 2025, was primarily due to an increase in paid marketing costs, partially offset by an increase in revenue growth, as discussed above. The decline in adjusted EBITDA margin during the three and nine months ended September 30, 2026 when compared to the same periods in 2025, was primarily due to an increase in marketing costs as a percentage of revenue, partially offset by lower personnel costs as a percentage of revenue.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Hotels and Other Segment</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40" w:type="dxa"/>
            <w:vAlign w:val="bottom"/>
          </w:tcPr>
          <w:p>
            <w:pPr>
              <w:spacing w:after="0"/>
              <w:rPr>
                <w:sz w:val="10"/>
                <w:szCs w:val="10"/>
                <w:color w:val="auto"/>
              </w:rPr>
            </w:pPr>
          </w:p>
        </w:tc>
        <w:tc>
          <w:tcPr>
            <w:tcW w:w="240" w:type="dxa"/>
            <w:vAlign w:val="bottom"/>
            <w:vMerge w:val="restart"/>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0"/>
                <w:szCs w:val="10"/>
                <w:color w:val="auto"/>
              </w:rPr>
            </w:pPr>
          </w:p>
        </w:tc>
        <w:tc>
          <w:tcPr>
            <w:tcW w:w="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2026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151.6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8"/>
        </w:trPr>
        <w:tc>
          <w:tcPr>
            <w:tcW w:w="32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gridSpan w:val="2"/>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-509270</wp:posOffset>
            </wp:positionV>
            <wp:extent cx="1111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-509270</wp:posOffset>
            </wp:positionV>
            <wp:extent cx="1111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-509270</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-509270</wp:posOffset>
            </wp:positionV>
            <wp:extent cx="1117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 w:lineRule="exact"/>
        <w:rPr>
          <w:sz w:val="20"/>
          <w:szCs w:val="20"/>
          <w:color w:val="auto"/>
        </w:rPr>
      </w:pPr>
    </w:p>
    <w:p>
      <w:pPr>
        <w:ind w:left="840" w:right="380" w:hanging="383"/>
        <w:spacing w:after="0" w:line="234" w:lineRule="auto"/>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14: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expense information needed in order to reconcile to the total operating expense captions on the unaudited condensed consolidated statements of operations.</w:t>
      </w:r>
    </w:p>
    <w:p>
      <w:pPr>
        <w:spacing w:after="0" w:line="1" w:lineRule="exact"/>
        <w:rPr>
          <w:rFonts w:ascii="Times New Roman" w:cs="Times New Roman" w:eastAsia="Times New Roman" w:hAnsi="Times New Roman"/>
          <w:sz w:val="14"/>
          <w:szCs w:val="14"/>
          <w:color w:val="auto"/>
        </w:rPr>
      </w:pPr>
    </w:p>
    <w:p>
      <w:pPr>
        <w:ind w:left="840" w:hanging="383"/>
        <w:spacing w:after="0"/>
        <w:tabs>
          <w:tab w:leader="none" w:pos="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19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Hotels and Other segment revenue decreased by $44.9 million and $125.9 million during the three and nine months ended September 30, 2026, respectively, when compared to the same periods in 2025, driven by declines across all revenue streams primarily from continued traffic acquisition headwinds in our free marketing channels, particularly SEO, as discussed further below.</w:t>
      </w:r>
    </w:p>
    <w:p>
      <w:pPr>
        <w:spacing w:after="0" w:line="176"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Adjusted EBITDA in our Hotels and Other segment decreased by $22.5 million and $61.0 million during the three and nine months ended September 30, 2026, respectively, when compared to the same periods in 2025, while adjusted EBITDA margin decreased 6.5 percentage points and 5.1 percentage points during the three and nine months ended September 30, 2026, respectively, when compared to the same periods in 2025. The decrease in adjusted EBITDA was primarily due to a decrease in revenue, as noted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6" w:name="page37"/>
    <w:bookmarkEnd w:id="36"/>
    <w:p>
      <w:pPr>
        <w:spacing w:after="0" w:line="255" w:lineRule="auto"/>
        <w:rPr>
          <w:sz w:val="20"/>
          <w:szCs w:val="20"/>
          <w:color w:val="auto"/>
        </w:rPr>
      </w:pPr>
      <w:r>
        <w:rPr>
          <w:rFonts w:ascii="Times New Roman" w:cs="Times New Roman" w:eastAsia="Times New Roman" w:hAnsi="Times New Roman"/>
          <w:sz w:val="18"/>
          <w:szCs w:val="18"/>
          <w:color w:val="auto"/>
        </w:rPr>
        <w:t>above, partially offset by a decrease in the segment's operating expenses of $22.4 million and $64.9 million during the three and nine months ended September 30, 2026, respectively, when compared to the same periods in 2025. This decrease was primarily related to a decrease in personnel costs due to a reduction in headcount related to cost reduction measures taken during the fourth quarter of 2025, and a decrease in marketing expenses as we continue to optimize for profitability. The decline in adjusted EBITDA margin during the three and nine months ended September 30, 2026 when compared to the same periods in 2025, was primarily due to an increase in marketing costs as a percentage of revenue due to declines in free marketing channels, particularly SEO, related to the continued trend of traffic acquisition headwinds, and the resulting shift from free to paid marketing channels, as well as technology costs and cost of sales as a percent of revenue.</w:t>
      </w:r>
    </w:p>
    <w:p>
      <w:pPr>
        <w:sectPr>
          <w:pgSz w:w="11900" w:h="16838" w:orient="portrait"/>
          <w:cols w:equalWidth="0" w:num="1">
            <w:col w:w="11220"/>
          </w:cols>
          <w:pgMar w:left="320" w:top="1228" w:right="359" w:bottom="1440" w:gutter="0" w:footer="0" w:header="0"/>
        </w:sectPr>
      </w:pP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Hotels and Other segment: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82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Hotels and Other:</w:t>
            </w:r>
          </w:p>
        </w:tc>
        <w:tc>
          <w:tcPr>
            <w:tcW w:w="6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Hotels</w:t>
            </w:r>
          </w:p>
        </w:tc>
        <w:tc>
          <w:tcPr>
            <w:tcW w:w="680" w:type="dxa"/>
            <w:vAlign w:val="bottom"/>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109.7</w:t>
            </w:r>
          </w:p>
        </w:tc>
        <w:tc>
          <w:tcPr>
            <w:tcW w:w="240" w:type="dxa"/>
            <w:vAlign w:val="bottom"/>
          </w:tcPr>
          <w:p>
            <w:pPr>
              <w:spacing w:after="0"/>
              <w:rPr>
                <w:sz w:val="18"/>
                <w:szCs w:val="18"/>
                <w:color w:val="auto"/>
              </w:rPr>
            </w:pP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68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73%</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72%</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74%</w:t>
            </w:r>
          </w:p>
        </w:tc>
        <w:tc>
          <w:tcPr>
            <w:tcW w:w="0" w:type="dxa"/>
            <w:vAlign w:val="bottom"/>
          </w:tcPr>
          <w:p>
            <w:pPr>
              <w:spacing w:after="0"/>
              <w:rPr>
                <w:sz w:val="1"/>
                <w:szCs w:val="1"/>
                <w:color w:val="auto"/>
              </w:rPr>
            </w:pPr>
          </w:p>
        </w:tc>
      </w:tr>
      <w:tr>
        <w:trPr>
          <w:trHeight w:val="214"/>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Media and advertising</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680" w:type="dxa"/>
            <w:vAlign w:val="bottom"/>
          </w:tcPr>
          <w:p>
            <w:pPr>
              <w:spacing w:after="0"/>
              <w:rPr>
                <w:sz w:val="18"/>
                <w:szCs w:val="18"/>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18%</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18%</w:t>
            </w:r>
          </w:p>
        </w:tc>
        <w:tc>
          <w:tcPr>
            <w:tcW w:w="3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0" w:type="dxa"/>
            <w:vAlign w:val="bottom"/>
          </w:tcPr>
          <w:p>
            <w:pPr>
              <w:spacing w:after="0"/>
              <w:rPr>
                <w:sz w:val="1"/>
                <w:szCs w:val="1"/>
                <w:color w:val="auto"/>
              </w:rPr>
            </w:pPr>
          </w:p>
        </w:tc>
      </w:tr>
      <w:tr>
        <w:trPr>
          <w:trHeight w:val="214"/>
        </w:trPr>
        <w:tc>
          <w:tcPr>
            <w:tcW w:w="3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of Hotels and Other revenue*</w:t>
            </w:r>
          </w:p>
        </w:tc>
        <w:tc>
          <w:tcPr>
            <w:tcW w:w="680" w:type="dxa"/>
            <w:vAlign w:val="bottom"/>
          </w:tcPr>
          <w:p>
            <w:pPr>
              <w:spacing w:after="0"/>
              <w:rPr>
                <w:sz w:val="20"/>
                <w:szCs w:val="20"/>
                <w:color w:val="auto"/>
              </w:rPr>
            </w:pPr>
          </w:p>
        </w:tc>
        <w:tc>
          <w:tcPr>
            <w:tcW w:w="6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i w:val="1"/>
                <w:iCs w:val="1"/>
                <w:color w:val="auto"/>
              </w:rPr>
              <w:t>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9%</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i w:val="1"/>
                <w:iCs w:val="1"/>
                <w:color w:val="auto"/>
              </w:rPr>
              <w:t>9%</w:t>
            </w: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w:t>
            </w:r>
          </w:p>
        </w:tc>
        <w:tc>
          <w:tcPr>
            <w:tcW w:w="0" w:type="dxa"/>
            <w:vAlign w:val="bottom"/>
          </w:tcPr>
          <w:p>
            <w:pPr>
              <w:spacing w:after="0"/>
              <w:rPr>
                <w:sz w:val="1"/>
                <w:szCs w:val="1"/>
                <w:color w:val="auto"/>
              </w:rPr>
            </w:pPr>
          </w:p>
        </w:tc>
      </w:tr>
      <w:tr>
        <w:trPr>
          <w:trHeight w:val="209"/>
        </w:trPr>
        <w:tc>
          <w:tcPr>
            <w:tcW w:w="3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Hotels and Other Revenue</w:t>
            </w:r>
          </w:p>
        </w:tc>
        <w:tc>
          <w:tcPr>
            <w:tcW w:w="680" w:type="dxa"/>
            <w:vAlign w:val="bottom"/>
            <w:tcBorders>
              <w:top w:val="single" w:sz="8" w:color="auto"/>
              <w:bottom w:val="single" w:sz="8" w:color="auto"/>
            </w:tcBorders>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3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3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Hotels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right="240" w:firstLine="80"/>
        <w:spacing w:after="0" w:line="264" w:lineRule="auto"/>
        <w:tabs>
          <w:tab w:leader="none" w:pos="26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b w:val="1"/>
          <w:bCs w:val="1"/>
          <w:u w:val="single" w:color="auto"/>
          <w:color w:val="auto"/>
        </w:rPr>
        <w:t>2026 vs. 2025</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913" w:lineRule="exact"/>
        <w:rPr>
          <w:sz w:val="20"/>
          <w:szCs w:val="20"/>
          <w:color w:val="auto"/>
        </w:rPr>
      </w:pPr>
    </w:p>
    <w:p>
      <w:pPr>
        <w:sectPr>
          <w:pgSz w:w="11900" w:h="16838" w:orient="portrait"/>
          <w:cols w:equalWidth="0" w:num="2">
            <w:col w:w="10000" w:space="160"/>
            <w:col w:w="1060"/>
          </w:cols>
          <w:pgMar w:left="320" w:top="1228" w:right="359" w:bottom="1440" w:gutter="0" w:footer="0" w:header="0"/>
          <w:type w:val="continuous"/>
        </w:sect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Hotels revenue decreased by $33.4 million during the three months ended September 30, 2026 when compared to the same period in 2025, primarily due to a decrease in hotel metasearch revenue. This decrease was driven primarily by a decline in revenue from free marketing channels, and to a lesser extent, paid marketing channels, from lower click volumes, as well as, a decrease in pricing as measured in cost-per-click rates (“CPCs”) in our hotel metasearch offering, although CPC's remain robust.</w:t>
      </w:r>
    </w:p>
    <w:p>
      <w:pPr>
        <w:spacing w:after="0" w:line="7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Hotels revenue decreased by $101.3 million during the nine months ended September 30, 2026 when compared to the same period in 2025, primarily due to a decrease in hotel metasearch revenue. This decrease was driven primarily by a decline in revenue from free marketing channels, and to a lesser extent, paid marketing channels, from lower click volumes, which more than offset an increase in pricing as measured in CPCs in our hotel metasearch offering. Growth in CPCs was due in part to certain product changes made that improved qualified referrals to our partners.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Media and advertising revenue primarily consists of revenue from display-based advertising (or “media advertising”) across our Tripadvisor Group platform and decreased $8.3 million and $15.6 million during the three and nine months ended September 30, 2026, respectively, when compared to the same periods in 2025. These decreases were primarily driven by declines in traditional display and programmatic advertising (together sometimes referred to as “on platform” advertising) that correlates closely with overall traffic volume, as well as macro-environment factors impacting advertising partner spending.</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380" w:firstLine="509"/>
        <w:spacing w:after="0" w:line="253" w:lineRule="auto"/>
        <w:rPr>
          <w:sz w:val="20"/>
          <w:szCs w:val="20"/>
          <w:color w:val="auto"/>
        </w:rPr>
      </w:pPr>
      <w:r>
        <w:rPr>
          <w:rFonts w:ascii="Times New Roman" w:cs="Times New Roman" w:eastAsia="Times New Roman" w:hAnsi="Times New Roman"/>
          <w:sz w:val="18"/>
          <w:szCs w:val="18"/>
          <w:color w:val="auto"/>
        </w:rPr>
        <w:t>Other revenue includes click-based advertising and display-based advertising revenue from our cruise offering, as well as, Tripadvisor dining revenue. At the start of 2026, the Company no longer offered travelers access to vacation rentals, flights and rental cars offerings on its platform. Tripadvisor dining revenue includes affiliate marketing commissions earned primarily from restaurant reservation bookings on Tripadvisor-branded websites and mobile apps, fulfilled by TheFork, in addition to revenue earned from Hotels and Other’s own business-to-business (“B2B”) restaurant offerings. Other revenue decreased $3.2 million and $9.0 million during the three and nine months ended September 30, 2026, respectively, when compared to the same periods in 2025, primarily due to Tripadvisor dining revenue as we shift our strategic focus and simplify the management of our Hotels and Other segment, and to a lesser extent, the Company no longer offering vacation rentals, flights and rental cars offerings on our platform, as noted above.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type w:val="continuous"/>
        </w:sectPr>
      </w:pPr>
    </w:p>
    <w:bookmarkStart w:id="37" w:name="page38"/>
    <w:bookmarkEnd w:id="37"/>
    <w:p>
      <w:pPr>
        <w:ind w:left="5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Cost of sales consists of expenses that are directly related or closely correlated to revenue generation, including direct costs, such as credit card and other booking transaction payment fees, media production costs, ad serving fees, and other revenue generating costs. In addition, cost of sales includes operating costs such as bad debt expense and non-income taxes, including sales, use, digital services, and other non-income related taxes.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60" w:type="dxa"/>
            <w:vAlign w:val="bottom"/>
          </w:tcPr>
          <w:p>
            <w:pPr>
              <w:spacing w:after="0"/>
              <w:rPr>
                <w:sz w:val="20"/>
                <w:szCs w:val="20"/>
                <w:color w:val="auto"/>
              </w:rPr>
            </w:pPr>
          </w:p>
        </w:tc>
        <w:tc>
          <w:tcPr>
            <w:tcW w:w="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Cost of sales increased $1.1 million during the three months ended September 30, 2026 when compared to the same period in 2025, primarily due to an increase in bad debt expense in Hotels and Other, partially offset by a decrease in digital service taxes. Cost of sales increased $0.5 million during the nine months ended September 30, 2026 when compared to the same period in 2025, primarily due to an increase in credit card payment processing fees as a result of revenue growth in Experiences, an increase in bad debt expense in Hotels and Other, and to a lesser extent, media production costs and other transactional costs related to generating revenue in Hotels and Other. These increases were partially offset by a decrease in digital services taxes, resulting from the repeal of enacted tax legislation in Canada during 2026 related to digital service taxes, which includes a refund of $2.0 million realized during the second quarter of 2026.</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2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Marketing expenses (or advertising costs) consist of direct costs, including traffic generation costs from paid online traffic acquisition costs (including SEM and other online traffic acquisition costs), syndication costs and affiliate marketing commissions, social media costs, brand advertising (including connected television, traditional television and other offline advertising), promotions and public relations.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26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 Experiences</w:t>
            </w:r>
          </w:p>
        </w:tc>
        <w:tc>
          <w:tcPr>
            <w:tcW w:w="70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170.5</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Marketing - Hotels and Other</w:t>
            </w: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49"/>
        </w:trPr>
        <w:tc>
          <w:tcPr>
            <w:tcW w:w="32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Marketing</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213.0</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2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3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5"/>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00" w:type="dxa"/>
            <w:vAlign w:val="bottom"/>
          </w:tcPr>
          <w:p>
            <w:pPr>
              <w:spacing w:after="0"/>
              <w:rPr>
                <w:sz w:val="18"/>
                <w:szCs w:val="18"/>
                <w:color w:val="auto"/>
              </w:rPr>
            </w:pPr>
          </w:p>
        </w:tc>
        <w:tc>
          <w:tcPr>
            <w:tcW w:w="74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48.8%</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43.5%</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-173990</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-156845</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-173990</wp:posOffset>
            </wp:positionV>
            <wp:extent cx="1117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-156845</wp:posOffset>
            </wp:positionV>
            <wp:extent cx="1117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-173990</wp:posOffset>
            </wp:positionV>
            <wp:extent cx="1117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-156845</wp:posOffset>
            </wp:positionV>
            <wp:extent cx="1117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-173990</wp:posOffset>
            </wp:positionV>
            <wp:extent cx="1111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-156845</wp:posOffset>
            </wp:positionV>
            <wp:extent cx="1111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Marketing costs increased $0.6 million and $16.3 million during the three and nine months ended September 30, 2026 when compared to the same periods in 2025, primarily driven by an increase in marketing costs in Experiences, in order to drive revenue growth and increase market share, as well as SEO traffic acquisition headwinds in its Tripadvisor point-of-sale increasing paid online traffic acquisition costs, partially offset by a decrease in marketing costs in Hotels and Other as we continue to optimize for profitability.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Personnel</w:t>
      </w:r>
    </w:p>
    <w:p>
      <w:pPr>
        <w:spacing w:after="0" w:line="22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Personnel expenses consist primarily of salaries, payroll taxes, bonuses, employee health and other benefits, and stock-based compensation. In addition, personnel expenses include costs associated with contingent staff, bonuses and commissions for sales, sales support, customer support and marketing employees.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2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268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22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89"/>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98"/>
        </w:trPr>
        <w:tc>
          <w:tcPr>
            <w:tcW w:w="32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Personnel (exclusive of stock-based</w:t>
            </w: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34"/>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5"/>
              </w:rPr>
              <w:t>78.7</w:t>
            </w: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8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5"/>
              </w:rPr>
              <w:t>15.3</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50"/>
        </w:trPr>
        <w:tc>
          <w:tcPr>
            <w:tcW w:w="32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Personnel</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5"/>
              </w:rPr>
              <w:t>94.0</w:t>
            </w:r>
          </w:p>
        </w:tc>
        <w:tc>
          <w:tcPr>
            <w:tcW w:w="3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8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5"/>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4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4"/>
        </w:trPr>
        <w:tc>
          <w:tcPr>
            <w:tcW w:w="3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3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-933450</wp:posOffset>
            </wp:positionV>
            <wp:extent cx="1111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-916305</wp:posOffset>
            </wp:positionV>
            <wp:extent cx="11112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-933450</wp:posOffset>
            </wp:positionV>
            <wp:extent cx="1117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-916305</wp:posOffset>
            </wp:positionV>
            <wp:extent cx="1117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-933450</wp:posOffset>
            </wp:positionV>
            <wp:extent cx="1117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-916305</wp:posOffset>
            </wp:positionV>
            <wp:extent cx="111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1111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-916305</wp:posOffset>
            </wp:positionV>
            <wp:extent cx="1111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Personnel costs, including stock-based compensation, decreased $29.8 million and $72.9 million during the three and nine months ended September 30, 2026 when compared to the same periods in 2025, primarily driven by a reduction in headcount related to cost-reduction measures initiated in Hotels and Other during 2026 and 2025, and lower annual stock-based grant values awarded to the Company's employees during 2026.</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Technology expenses consist primarily of licensing, including artificial intelligence (“AI”) computing costs, data center costs including cloud-based solutions, maintenance, computer supplies, telecom, and content translation and localization costs.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r>
      <w:tr>
        <w:trPr>
          <w:trHeight w:val="142"/>
        </w:trPr>
        <w:tc>
          <w:tcPr>
            <w:tcW w:w="3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74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40" w:type="dxa"/>
            <w:vAlign w:val="bottom"/>
          </w:tcPr>
          <w:p>
            <w:pPr>
              <w:spacing w:after="0"/>
              <w:rPr>
                <w:sz w:val="20"/>
                <w:szCs w:val="20"/>
                <w:color w:val="auto"/>
              </w:rPr>
            </w:pPr>
          </w:p>
        </w:tc>
        <w:tc>
          <w:tcPr>
            <w:tcW w:w="7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Technology costs increased $1.0 million and $3.1 million during the three and nine months ended September 30, 2026, respectively, when compared to the same periods in 2025. The increase in technology and content costs during the three and nine months ended September 30, 2026, when compared to the same periods in 2025, was primarily due to increased licensing fees associated with AI token spend, reflecting the Company's prioritization of this technology.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professional service fees and other fees including audit, legal, tax and accounting, and other operating costs including real estate and office expenses, and non-compensation related personnel expenses such as travel, relocation, recruiting, and training expenses.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8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7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2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2026 vs. 2025</w:t>
            </w:r>
          </w:p>
        </w:tc>
        <w:tc>
          <w:tcPr>
            <w:tcW w:w="180" w:type="dxa"/>
            <w:vAlign w:val="bottom"/>
          </w:tcPr>
          <w:p>
            <w:pPr>
              <w:spacing w:after="0"/>
              <w:rPr>
                <w:sz w:val="12"/>
                <w:szCs w:val="12"/>
                <w:color w:val="auto"/>
              </w:rPr>
            </w:pPr>
          </w:p>
        </w:tc>
      </w:tr>
      <w:tr>
        <w:trPr>
          <w:trHeight w:val="142"/>
        </w:trPr>
        <w:tc>
          <w:tcPr>
            <w:tcW w:w="3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3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of revenue</w:t>
            </w:r>
          </w:p>
        </w:tc>
        <w:tc>
          <w:tcPr>
            <w:tcW w:w="760" w:type="dxa"/>
            <w:vAlign w:val="bottom"/>
          </w:tcPr>
          <w:p>
            <w:pPr>
              <w:spacing w:after="0"/>
              <w:rPr>
                <w:sz w:val="20"/>
                <w:szCs w:val="20"/>
                <w:color w:val="auto"/>
              </w:rPr>
            </w:pPr>
          </w:p>
        </w:tc>
        <w:tc>
          <w:tcPr>
            <w:tcW w:w="7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increased $2.2 million during the three months ended September 30, 2026 when compared to the same period in 2025, primarily due to an increase of legal contingency reserves.</w:t>
      </w:r>
    </w:p>
    <w:p>
      <w:pPr>
        <w:spacing w:after="0" w:line="162" w:lineRule="exact"/>
        <w:rPr>
          <w:sz w:val="20"/>
          <w:szCs w:val="20"/>
          <w:color w:val="auto"/>
        </w:rPr>
      </w:pPr>
    </w:p>
    <w:p>
      <w:pPr>
        <w:ind w:right="30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increased $4.4 million during the nine months ended September 30, 2026 when compared to the same period in 2025, primarily due to decrease of $4.6 million related to the decrease of a previously estimated accrual regarding a potential settlement of a regulatory related matter during the second quarter of 2025, which did not reoccur during 2026, as well as, $4.1 million of transaction related expenses, primarily shareholder activism costs during the first quarter of 2026, and an increase of legal contingency reserve. These headwinds were partially offset by a recovery of $4.8 million during the first quarter of 2026, related to an external fraud incident which occurred during the fourth quarter of 2022, and to a lesser extent, an increase of sublease income related to office space.</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discussed above, the results of TheFork business has been reclassified to discontinued operations for all periods presented. Stranded costs, which are certain shared costs, primarily personnel costs, previously allocated to TheFork reportable segment that do not qualify for discontinued operations accounting classification and are reported within continuing operations for all periods presented. These costs included in general and administrative expenses totaled $0.9 million and $3.1 million for the three and nine months ended September 30, 2026, respectively, and $0.9 million and $2.7 million for the three and nine months ended September 30, 2025, respectively.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assets related to our finance lease. Amortization consists of the amortization of definite-lived intangibles purchased in business acquisitions.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173"/>
        </w:trPr>
        <w:tc>
          <w:tcPr>
            <w:tcW w:w="2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142"/>
        </w:trPr>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shd w:val="clear" w:color="auto" w:fill="CFF0FC"/>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r>
      <w:tr>
        <w:trPr>
          <w:trHeight w:val="229"/>
        </w:trPr>
        <w:tc>
          <w:tcPr>
            <w:tcW w:w="2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60" w:type="dxa"/>
            <w:vAlign w:val="bottom"/>
            <w:shd w:val="clear" w:color="auto" w:fill="CFF0FC"/>
          </w:tcPr>
          <w:p>
            <w:pPr>
              <w:spacing w:after="0"/>
              <w:rPr>
                <w:sz w:val="19"/>
                <w:szCs w:val="19"/>
                <w:color w:val="auto"/>
              </w:rPr>
            </w:pPr>
          </w:p>
        </w:tc>
      </w:tr>
      <w:tr>
        <w:trPr>
          <w:trHeight w:val="20"/>
        </w:trPr>
        <w:tc>
          <w:tcPr>
            <w:tcW w:w="2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of revenue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-173990</wp:posOffset>
            </wp:positionV>
            <wp:extent cx="102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-156845</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-173990</wp:posOffset>
            </wp:positionV>
            <wp:extent cx="1028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-156845</wp:posOffset>
            </wp:positionV>
            <wp:extent cx="1028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-173990</wp:posOffset>
            </wp:positionV>
            <wp:extent cx="10287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-156845</wp:posOffset>
            </wp:positionV>
            <wp:extent cx="1028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-173990</wp:posOffset>
            </wp:positionV>
            <wp:extent cx="1028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-156845</wp:posOffset>
            </wp:positionV>
            <wp:extent cx="1028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$0.2 million and $3.0 million during the three and nine months ended September 30, 2026, respectively, when compared to the same periods in 2025, primarily due to increased depreciation related to previous capital investments in internal website development, and to a lesser extent, an increase in capital investments primarily in technology and office space across the business, partially offset by the completion of amortization related to intangible assets purchased in business acquisitions from previous years.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80" w:type="dxa"/>
            <w:vAlign w:val="bottom"/>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15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24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a goodwill impairment charge of $369.5 million related to our Hotels and Other reporting unit in the third quarter of 2026, as discussed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 Refer to “Note 6: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this impairment.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related reorganization costs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Restructuring and other related reorganization costs consist primarily of employee severance and related benefits and other related reorganization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9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40" w:type="dxa"/>
            <w:vAlign w:val="bottom"/>
            <w:gridSpan w:val="2"/>
          </w:tcPr>
          <w:p>
            <w:pPr>
              <w:jc w:val="right"/>
              <w:ind w:right="688"/>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8"/>
        </w:trPr>
        <w:tc>
          <w:tcPr>
            <w:tcW w:w="2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Restructuring and other related</w:t>
            </w:r>
          </w:p>
        </w:tc>
        <w:tc>
          <w:tcPr>
            <w:tcW w:w="4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reorganization costs</w:t>
            </w:r>
          </w:p>
        </w:tc>
        <w:tc>
          <w:tcPr>
            <w:tcW w:w="134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7"/>
              </w:rPr>
              <w:t>0.9</w:t>
            </w:r>
          </w:p>
        </w:tc>
        <w:tc>
          <w:tcPr>
            <w:tcW w:w="124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7"/>
              </w:rPr>
              <w:t>7.8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incurred pre-tax restructuring and other related reorganization costs of $0.9 million and $7.8 million during the three and nine months ended September 30, 2026, respectively, as discussed in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above. Refer to “Note 7: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restructuring and other related reorganization costs.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Term Loan B Facility, the 2026 Senior Notes, as well as imputed interest on finance leases.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2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ind w:left="66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left="624"/>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60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(46.1)</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r>
    </w:tbl>
    <w:p>
      <w:pPr>
        <w:spacing w:after="0" w:line="19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Interest expense decreased $2.2 million and $0.4 million during the three and nine months ended September 30, 2026, respectively, when compared to the same periods in 2025, primarily due to a decrease in interest rates. The majority of interest expense reported for all periods presented was related to the Term Loan B Facility.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6" w:right="35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time deposits, money market funds, and marketable securities, including amortization of discounts and premiums on our marketable securities.</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740" w:type="dxa"/>
            <w:vAlign w:val="bottom"/>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left="624"/>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Interest income decreased $4.5 million and $11.5 million during the three and nine months ended September 30, 2026, respectively, when compared to the same periods in 2025, primarily due to a decrease in interest rates received on demand bank deposits, time deposits, and money market funds, as well as a decrease in cash invested during the second and third quarters of 2026 as a result of the repayment of the 2026 Senior Notes on April 1, 2026.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assets, gain/(loss) on extinguishments of debt, and other non-operating income (expenses).</w:t>
      </w:r>
    </w:p>
    <w:p>
      <w:pPr>
        <w:spacing w:after="0" w:line="6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142"/>
        </w:trPr>
        <w:tc>
          <w:tcPr>
            <w:tcW w:w="2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648"/>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ind w:left="78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2"/>
              </w:rPr>
              <w:t>(0.2)</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7"/>
              </w:rPr>
              <w:t>1.5</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bl>
    <w:p>
      <w:pPr>
        <w:spacing w:after="0" w:line="19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increased $0.3 million and $10.8 million during the three and nine months ended September 30, 2026, respectively, when compared to the same periods in 2025, primarily due to net foreign exchange gains incurred as a result of foreign currency movements during the periods.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142"/>
        </w:trPr>
        <w:tc>
          <w:tcPr>
            <w:tcW w:w="2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in</w:t>
            </w:r>
          </w:p>
        </w:tc>
        <w:tc>
          <w:tcPr>
            <w:tcW w:w="66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4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34"/>
        </w:trPr>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7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2026 differs from the U.S. federal statutory rate of 21%, primarily due to a $31.6 million deferred tax benefit recognized in association with the goodwill impairment charge related to the Hotels and Other segment recorded during the third quarter of 2026, partially offset by the tax effects of stock-based compensation.</w:t>
      </w:r>
    </w:p>
    <w:p>
      <w:pPr>
        <w:spacing w:after="0" w:line="39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change in our income tax provision during the three and nine months ended September 30, 2026, when compared to the same periods in 2025, was primarily due a $31.6 million deferred tax benefit recognized in association with the goodwill impairment charge related to the Hotels and Other segment recorded during the third quarter of 2026. 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from continuing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60" w:type="dxa"/>
            <w:vAlign w:val="bottom"/>
            <w:gridSpan w:val="7"/>
          </w:tcPr>
          <w:p>
            <w:pPr>
              <w:jc w:val="center"/>
              <w:ind w:right="1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left="581"/>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left="581"/>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8"/>
        </w:trPr>
        <w:tc>
          <w:tcPr>
            <w:tcW w:w="1140" w:type="dxa"/>
            <w:vAlign w:val="bottom"/>
          </w:tcPr>
          <w:p>
            <w:pPr>
              <w:spacing w:after="0"/>
              <w:rPr>
                <w:sz w:val="17"/>
                <w:szCs w:val="17"/>
                <w:color w:val="auto"/>
              </w:rPr>
            </w:pPr>
          </w:p>
        </w:tc>
        <w:tc>
          <w:tcPr>
            <w:tcW w:w="2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continuing</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(316.9)</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(324.7)</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1140" w:type="dxa"/>
            <w:vAlign w:val="bottom"/>
          </w:tcPr>
          <w:p>
            <w:pPr>
              <w:spacing w:after="0"/>
              <w:rPr>
                <w:sz w:val="17"/>
                <w:szCs w:val="17"/>
                <w:color w:val="auto"/>
              </w:rPr>
            </w:pPr>
          </w:p>
        </w:tc>
        <w:tc>
          <w:tcPr>
            <w:tcW w:w="27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Net income (loss) margin from</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1140" w:type="dxa"/>
            <w:vAlign w:val="bottom"/>
          </w:tcPr>
          <w:p>
            <w:pPr>
              <w:spacing w:after="0"/>
              <w:rPr>
                <w:sz w:val="20"/>
                <w:szCs w:val="20"/>
                <w:color w:val="auto"/>
              </w:rPr>
            </w:pPr>
          </w:p>
        </w:tc>
        <w:tc>
          <w:tcPr>
            <w:tcW w:w="2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41</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1" w:name="page42"/>
    <w:bookmarkEnd w:id="41"/>
    <w:p>
      <w:pPr>
        <w:ind w:firstLine="509"/>
        <w:spacing w:after="0" w:line="256" w:lineRule="auto"/>
        <w:rPr>
          <w:sz w:val="20"/>
          <w:szCs w:val="20"/>
          <w:color w:val="auto"/>
        </w:rPr>
      </w:pPr>
      <w:r>
        <w:rPr>
          <w:rFonts w:ascii="Times New Roman" w:cs="Times New Roman" w:eastAsia="Times New Roman" w:hAnsi="Times New Roman"/>
          <w:sz w:val="18"/>
          <w:szCs w:val="18"/>
          <w:color w:val="auto"/>
        </w:rPr>
        <w:t>Net income from continuing operations decreased by $365.4 million and $407.1 million during the three and nine months ended September 30, 2026, respectively, when compared to the same periods in 2025, primarily driven by a goodwill impairment charge of $369.5 million related to our Hotels and Other segment in the third quarter of 2026, and to a lesser extent, a decrease in revenue, as described in more detail above under “</w:t>
      </w:r>
      <w:r>
        <w:rPr>
          <w:rFonts w:ascii="Times New Roman" w:cs="Times New Roman" w:eastAsia="Times New Roman" w:hAnsi="Times New Roman"/>
          <w:sz w:val="18"/>
          <w:szCs w:val="18"/>
          <w:i w:val="1"/>
          <w:iCs w:val="1"/>
          <w:color w:val="auto"/>
        </w:rPr>
        <w:t>Revenue and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These declines were partially offset by a decrease in personnel costs, as described in more detail above under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and a $31.6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tax benefit recognized in association with the goodwill impairment charge related to the Hotels and Other segment recorded during the third quarter of 2026,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from discontinued operations, net of tax</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r>
      <w:tr>
        <w:trPr>
          <w:trHeight w:val="142"/>
        </w:trPr>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 in</w:t>
            </w:r>
          </w:p>
        </w:tc>
        <w:tc>
          <w:tcPr>
            <w:tcW w:w="1260" w:type="dxa"/>
            <w:vAlign w:val="bottom"/>
            <w:gridSpan w:val="3"/>
          </w:tcPr>
          <w:p>
            <w:pPr>
              <w:jc w:val="right"/>
              <w:ind w:right="608"/>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w w:val="89"/>
              </w:rPr>
              <w:t>($ in</w:t>
            </w:r>
          </w:p>
        </w:tc>
        <w:tc>
          <w:tcPr>
            <w:tcW w:w="6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98"/>
        </w:trPr>
        <w:tc>
          <w:tcPr>
            <w:tcW w:w="2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income (loss) from discontinued</w:t>
            </w: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34"/>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operations, net of tax</w:t>
            </w:r>
          </w:p>
        </w:tc>
        <w:tc>
          <w:tcPr>
            <w:tcW w:w="10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7"/>
              </w:rPr>
              <w:t>4.7</w:t>
            </w:r>
          </w:p>
        </w:tc>
        <w:tc>
          <w:tcPr>
            <w:tcW w:w="24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7"/>
              </w:rPr>
              <w:t>1.6</w:t>
            </w:r>
          </w:p>
        </w:tc>
        <w:tc>
          <w:tcPr>
            <w:tcW w:w="2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280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Net income (loss) margin from</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Net income from discontinued operations, net of tax, decreased by $0.9 million during the three months ended September 30, 2026 when compared to the same period in 2025, primarily due to an increase in provision for income taxes of $6.7 million, which negatively impacted net income (loss) from discontinued operations, net of tax. This negative impact was partially offset by an increase in revenue of $3.1 million during the three months ended September 30, 2026 when compared to the same period in 2025, due to booking volume growth, in addition to increased adoption of its premium online reservation booking software offering, and third-party partnership revenue. In addition, total costs and expenses decreased $2.3 million primarily due to the ceased recognition of depreciation and amortization of TheFork's long-lived assets upon determination it met held for sale criteria under GAAP, partially offset by an increase in brand marketing costs and cost of sales.</w:t>
      </w:r>
    </w:p>
    <w:p>
      <w:pPr>
        <w:spacing w:after="0" w:line="18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Net loss from discontinued operations, net of tax, improved by $5.8 million during the nine months ended September 30, 2026 when compared to the same period in 2025. These improvements were primarily driven by an increase in revenue of $20.9 million during the nine months ended September 30, 2026 when compared to the same period in 2025, due to booking volume growth, in addition to increased adoption of its premium online reservation booking software offering, and third-party partnership revenue. These improvements in revenue were partially offset by an increase in total costs and expenses of $4.4 million, primarily related to an increase in cost of sales and brand marketing costs, as well as, personnel costs due to increased headcount to support business growth, partially offset by the ceased recognition of depreciation and amortization of TheFork's long-lived assets upon determination it met held for sale criteria under GAAP, during the nine months ended September 30, 2026 when compared to the same period in 2025. In addition, an increase in provision for income taxes of $10.1 million during the nine months ended September 30, 2026 when compared to the same period in 2025, negatively impacted net income (loss) from discontinued operations, net of tax.</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r>
      <w:tr>
        <w:trPr>
          <w:trHeight w:val="142"/>
        </w:trPr>
        <w:tc>
          <w:tcPr>
            <w:tcW w:w="2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4"/>
          </w:tcPr>
          <w:p>
            <w:pPr>
              <w:jc w:val="center"/>
              <w:ind w:left="581"/>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4"/>
          </w:tcPr>
          <w:p>
            <w:pPr>
              <w:jc w:val="center"/>
              <w:ind w:left="581"/>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(313.1)</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(323.1)</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shd w:val="clear" w:color="auto" w:fill="CFF0FC"/>
          </w:tcPr>
          <w:p>
            <w:pPr>
              <w:spacing w:after="0"/>
              <w:rPr>
                <w:sz w:val="18"/>
                <w:szCs w:val="18"/>
                <w:color w:val="auto"/>
              </w:rPr>
            </w:pPr>
          </w:p>
        </w:tc>
      </w:tr>
      <w:tr>
        <w:trPr>
          <w:trHeight w:val="234"/>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(loss) margin</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87"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Net income decreased by $366.3 million and $401.3 million during the three and nine months ended September 30, 2026 when compared to the same periods in 2025. These decreases were driven by the factors discussed above in “</w:t>
      </w:r>
      <w:r>
        <w:rPr>
          <w:rFonts w:ascii="Times New Roman" w:cs="Times New Roman" w:eastAsia="Times New Roman" w:hAnsi="Times New Roman"/>
          <w:sz w:val="18"/>
          <w:szCs w:val="18"/>
          <w:i w:val="1"/>
          <w:iCs w:val="1"/>
          <w:color w:val="auto"/>
        </w:rPr>
        <w:t>Net income (loss) from continuing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 from discontinued operations, net of tax</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ind w:right="200" w:firstLine="509"/>
        <w:spacing w:after="0" w:line="257"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excluded from) the most directly comparable measure calculated and presented in accordance with GAAP in such company’s financial statements.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Adjusted EBITDA is also our reported measure of segment profit and a key measure used by our CODM, management and Board of Directors to understand and evaluate the operating performance of our business as a whole and our individual operating segments,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CODM, management and Board of Directors. We define Adjusted EBITDA as net income (loss) from continuing operations plus: (1) provision (benefit) for income taxes; (2) other expense (income), net; (3) depreciation and amortization; (4) stock-based compensation; (5) goodwill, long-lived asset, and intangible assets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spacing w:after="0" w:line="192"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from continuing operations and our other GAAP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780" w:right="900" w:hanging="515"/>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780" w:hanging="515"/>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117" w:lineRule="exact"/>
        <w:rPr>
          <w:rFonts w:ascii="Times New Roman" w:cs="Times New Roman" w:eastAsia="Times New Roman" w:hAnsi="Times New Roman"/>
          <w:sz w:val="18"/>
          <w:szCs w:val="18"/>
          <w:color w:val="auto"/>
        </w:rPr>
      </w:pPr>
    </w:p>
    <w:p>
      <w:pPr>
        <w:ind w:left="1780" w:right="140" w:hanging="515"/>
        <w:spacing w:after="0" w:line="266"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7" w:lineRule="exact"/>
        <w:rPr>
          <w:rFonts w:ascii="Times New Roman" w:cs="Times New Roman" w:eastAsia="Times New Roman" w:hAnsi="Times New Roman"/>
          <w:sz w:val="18"/>
          <w:szCs w:val="18"/>
          <w:color w:val="auto"/>
        </w:rPr>
      </w:pPr>
    </w:p>
    <w:p>
      <w:pPr>
        <w:ind w:left="1780" w:right="80" w:hanging="515"/>
        <w:spacing w:after="0" w:line="312" w:lineRule="auto"/>
        <w:tabs>
          <w:tab w:leader="none" w:pos="1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certain income and expenses not directly tied to the ongoing core operations of our business, such as legal reserves, settlements and other, restructuring and other related reorganization costs, and transaction related expenses;</w:t>
      </w:r>
    </w:p>
    <w:p>
      <w:pPr>
        <w:spacing w:after="0" w:line="31" w:lineRule="exact"/>
        <w:rPr>
          <w:rFonts w:ascii="Times New Roman" w:cs="Times New Roman" w:eastAsia="Times New Roman" w:hAnsi="Times New Roman"/>
          <w:sz w:val="17"/>
          <w:szCs w:val="17"/>
          <w:color w:val="auto"/>
        </w:rPr>
      </w:pPr>
    </w:p>
    <w:p>
      <w:pPr>
        <w:ind w:left="1780" w:hanging="515"/>
        <w:spacing w:after="0"/>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117" w:lineRule="exact"/>
        <w:rPr>
          <w:rFonts w:ascii="Times New Roman" w:cs="Times New Roman" w:eastAsia="Times New Roman" w:hAnsi="Times New Roman"/>
          <w:sz w:val="18"/>
          <w:szCs w:val="18"/>
          <w:color w:val="auto"/>
        </w:rPr>
      </w:pPr>
    </w:p>
    <w:p>
      <w:pPr>
        <w:ind w:left="1780" w:right="160" w:hanging="515"/>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3" w:lineRule="exact"/>
        <w:rPr>
          <w:rFonts w:ascii="Times New Roman" w:cs="Times New Roman" w:eastAsia="Times New Roman" w:hAnsi="Times New Roman"/>
          <w:sz w:val="18"/>
          <w:szCs w:val="18"/>
          <w:color w:val="auto"/>
        </w:rPr>
      </w:pPr>
    </w:p>
    <w:p>
      <w:pPr>
        <w:ind w:left="1780" w:right="240" w:hanging="515"/>
        <w:spacing w:after="0" w:line="282" w:lineRule="auto"/>
        <w:tabs>
          <w:tab w:leader="none" w:pos="1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limitations apply also to Adjusted EBITDA Margin.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3" w:name="page44"/>
    <w:bookmarkEnd w:id="43"/>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from continuing operations, the most directly comparable financial measure calculated and presented in accordance with GAAP, for the periods presented: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9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4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000" w:type="dxa"/>
            <w:vAlign w:val="bottom"/>
            <w:vMerge w:val="restart"/>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(316.9)</w:t>
            </w:r>
          </w:p>
        </w:tc>
        <w:tc>
          <w:tcPr>
            <w:tcW w:w="1000" w:type="dxa"/>
            <w:vAlign w:val="bottom"/>
            <w:vMerge w:val="restart"/>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(324.7)</w:t>
            </w:r>
          </w:p>
        </w:tc>
        <w:tc>
          <w:tcPr>
            <w:tcW w:w="4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4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30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48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 Impairment of goodwill</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Add: Legal reserves, settlements and other </w:t>
            </w:r>
            <w:r>
              <w:rPr>
                <w:rFonts w:ascii="Times New Roman" w:cs="Times New Roman" w:eastAsia="Times New Roman" w:hAnsi="Times New Roman"/>
                <w:sz w:val="9"/>
                <w:szCs w:val="9"/>
                <w:color w:val="auto"/>
              </w:rPr>
              <w:t>(1)</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Add: Transaction related expenses </w:t>
            </w:r>
            <w:r>
              <w:rPr>
                <w:rFonts w:ascii="Times New Roman" w:cs="Times New Roman" w:eastAsia="Times New Roman" w:hAnsi="Times New Roman"/>
                <w:sz w:val="9"/>
                <w:szCs w:val="9"/>
                <w:color w:val="auto"/>
              </w:rPr>
              <w:t>(2)</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Add: Non-recurring expenses (income) </w:t>
            </w:r>
            <w:r>
              <w:rPr>
                <w:rFonts w:ascii="Times New Roman" w:cs="Times New Roman" w:eastAsia="Times New Roman" w:hAnsi="Times New Roman"/>
                <w:sz w:val="9"/>
                <w:szCs w:val="9"/>
                <w:color w:val="auto"/>
              </w:rPr>
              <w:t>(3)</w:t>
            </w:r>
          </w:p>
        </w:tc>
        <w:tc>
          <w:tcPr>
            <w:tcW w:w="10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40" w:type="dxa"/>
            <w:vAlign w:val="bottom"/>
          </w:tcPr>
          <w:p>
            <w:pPr>
              <w:spacing w:after="0"/>
              <w:rPr>
                <w:sz w:val="18"/>
                <w:szCs w:val="18"/>
                <w:color w:val="auto"/>
              </w:rPr>
            </w:pP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80" w:type="dxa"/>
            <w:vAlign w:val="bottom"/>
          </w:tcPr>
          <w:p>
            <w:pPr>
              <w:spacing w:after="0"/>
              <w:rPr>
                <w:sz w:val="18"/>
                <w:szCs w:val="18"/>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-170815</wp:posOffset>
            </wp:positionV>
            <wp:extent cx="774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-170815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3" w:lineRule="exact"/>
        <w:rPr>
          <w:sz w:val="20"/>
          <w:szCs w:val="20"/>
          <w:color w:val="auto"/>
        </w:rPr>
      </w:pPr>
    </w:p>
    <w:p>
      <w:pPr>
        <w:ind w:left="840" w:right="140" w:hanging="383"/>
        <w:spacing w:after="0" w:line="226"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the Company recorded cumulative legal contingency reserves of $2.6 million and 3.9 million, respectively, reflected in general and administrative expenses on our unaudited condensed consolidated statement of operations. In addition. during the second quarter of 2026, the Company realized a refund of $2.0 million, resulting from the repeal of enacted tax legislation in Canada during 2026 related to digital service taxes, reflected in cost of sales on our unaudited condensed consolidated statement of operations. During the second quarter of 2025, the Company recorded a decrease of $4.6 million to a previously estimated accrual for the settlement of a regulatory related matter, reflected in general and administrative expenses on our unaudited condensed consolidated statement of operations.</w:t>
      </w:r>
    </w:p>
    <w:p>
      <w:pPr>
        <w:ind w:left="840" w:right="360" w:hanging="383"/>
        <w:spacing w:after="0" w:line="221"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costs related to shareholder activism of $3.3 million, and other transaction related costs of $0.8 million, reflected in general and administrative expenses on our unaudited condensed consolidated statements of operations.</w:t>
      </w:r>
    </w:p>
    <w:p>
      <w:pPr>
        <w:ind w:left="840" w:right="60" w:hanging="383"/>
        <w:spacing w:after="0" w:line="233" w:lineRule="auto"/>
        <w:tabs>
          <w:tab w:leader="none" w:pos="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recovery of $4.8 million related to an external fraud incident, which occurred during the fourth quarter of 2022. The Company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Refer to “Note 11: </w:t>
      </w:r>
      <w:r>
        <w:rPr>
          <w:rFonts w:ascii="Times New Roman" w:cs="Times New Roman" w:eastAsia="Times New Roman" w:hAnsi="Times New Roman"/>
          <w:sz w:val="18"/>
          <w:szCs w:val="18"/>
          <w:i w:val="1"/>
          <w:iCs w:val="1"/>
          <w:color w:val="auto"/>
        </w:rPr>
        <w:t>Stock-Based Awards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4.5 million service-based RSUs with a weighted average grant-date fair value of $10.34 and approximately 0.8 million PSUs with a weighted average grant-date fair value of $10.14 during the nine months ended September 30,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September 30, 2026 and December 31, 2025, we had $706.8 million and $978.0 million, respectively, of cash and cash equivalents, and $497.7 million and $496.4 million, respectively, of available borrowing capacity under the Credit Facility. As of September 30, 2026, approximately $219.4 million of our cash and cash equivalents were held by our international subsidiaries outside of the U.S., of which nearly 32% was located in the U.K. As of September 30, 2026, the significant majority of our cash was denominated in U.S. dollars.</w:t>
      </w:r>
    </w:p>
    <w:p>
      <w:pPr>
        <w:spacing w:after="0" w:line="183"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7"/>
          <w:szCs w:val="17"/>
          <w:color w:val="auto"/>
        </w:rPr>
        <w:t xml:space="preserve">As of September 30, 2026, we are party to a credit agreement (“Amended Credit Agreement”), which, among other things, provides for a $500.0 million revolving credit facility (“Credit Facility”) with a maturity date of June 29, 2028. As of September 30, 2026 and December 31, 2025, we had no outstanding borrowings under the Credit Facility and $2.3 million and $3.6 million, respectively, of issued undrawn standby letters of credit. The Company may borrow from the Credit Facility in U.S. dollars, Euros and Sterling. For information regarding interest rates on potential borrowings under the Credit Facility refer to “Note 8: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in the notes to our unaudited condensed consolidated financial statements in Item 1 in this Quarterly Report. The Credit Facility, among other things, requires us to maintain a maximum total net leverage ratio and contains certain customary affirmative and negative covenants and events of default, including for a change of control. As of September 30, 2026 and December 31, 2025,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an aggregate outstanding principal amount of $8.5 million and $825.4 million in short-term and long-term debt, respectively, on our unaudited condensed consolidated balance sheet pertaining to the Term Loan B Facility, which is discussed below.</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On April 1, 2026, the Company repaid in full the outstanding 2026 Senior Notes, at maturity, for $345.4 million, consisting of principal and accrued interest, funded by cash on hand.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also maintains the Term Loan B Facility with an aggregate principal amount remaining of $833.9 million, maturing on July 8, 2031, with an interest rate based on secured overnight financing rate (“SOFR”) plus 2.75%, payable monthly. As of September 30, 2026 and 2025, the interest rate on the Term Loan B Facility was 6.65% and 6.91%, respectively. The Term Loan B Facility is required to be paid down at 1.00% of the aggregate principal amount per year, repayable in quarterly installments on the last day of each calendar quarter, equal to 0.25% of the principal amount with the balance due on the maturity date. Principal payments of $6.4 million were made during both the nine months ended September 30, 2026 and 2025. The Term Loan B Facility has no financial covenants.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may from time to time repurchase the Term Loan B Facility through tender offers, open market purchases, privately negotiated transactions or otherwise. Such repurchases, if any, will depend on prevailing market conditions, liquidity requirements, contractual restrictions and other factors. For further information on the Amended Credit Agreement, the Credit Facility, the Term Loan B Facility, and 2026 Senior Notes, 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2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Significant uses of capital and other liquidity matters</w:t>
      </w:r>
    </w:p>
    <w:p>
      <w:pPr>
        <w:spacing w:after="0" w:line="22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$250.0 million in shares of our common stock under a share repurchase program. This share repurchase program does not have a fixed expiration date or obligate the Company to acquire any particular number of shares and may be modified, suspended or discontinued at any time. During the three and nine months ended September 30, 2026, the Company did not repurchase any shares of outstanding common stock under the share repurchase program. As of September 30, 2026, we had $110.0 million remaining available to repurchase shares of our common stock under this share repurchase program. During the three and nine months ended September 30, 2025, we repurchased approximately 2.8 million shares of our outstanding common stock at an average price of $14.22 per share, exclusive of fees and commissions, or $40.0 million in the aggregate.</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operator, or the supplier, after the travelers’ use. Therefore, we generally receive cash from the traveler prior to paying the operator and this operating cycle represents a source or use of cash to us. During the first half of the year, experience bookings typically exceed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 that could result in future seasonal patterns that are different from historical trends. In addition, new or different payment options offered to our customers could impact the timing of cash flows, such as our “Reserve Now, Pay Later” payment option, which allows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9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in January 2021, we received an issue closure notice from HM Revenue &amp; Customs (“HMRC”) in the U.K. relating to adjustments for the 2012 through 2016 tax years. These proposed adjustments are related to deductions for intercompany financing and would result in an increase to income tax expense in an estimated range of $20.0 million to $30.0 million, which is inclusive of transition tax benefits and exclusive of interest expense, at the close of the audit if HMRC prevails. We are also currently subject to audit by HMRC in tax years 2017 through 2023. If HMRC were to seek adjustments of a similar nature through a closure notice for transactions in these years, we could be subject to significant additional tax liabilities. Although the ultimate timing for resolution of this matter is uncertain, any future payments required would negatively impact our operating cash flows.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auto"/>
        </w:rPr>
        <w:t>borrow under the Credit Facility or to seek other financing alternatives. In addition, the net proceeds received from the sale of TheFork business provides the Company with additional flexibility in its capital structure. The Company will continue to maintain optionality with respect to its use of the net proceeds, but management currently expects that the Company will prioritize reduction of its long-term debt.The Company estimates it will incur transaction related costs of $16.0 million to $18.0 million related to the sale of TheFork, which will be netted against the gain on sale. We do not expect the disposition of TheFork business to have a significant impact on future operating cash flows.</w:t>
      </w:r>
    </w:p>
    <w:p>
      <w:pPr>
        <w:spacing w:after="0" w:line="183"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cash flows for the nine months ended September 30, 2026 and 2025, as reflected in our unaudited condensed consolidated statements of cash flows from continuing operations, are summarized in the following table:</w:t>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gridSpan w:val="6"/>
          </w:tcPr>
          <w:p>
            <w:pPr>
              <w:jc w:val="right"/>
              <w:ind w:right="1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jc w:val="right"/>
              <w:ind w:right="7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millions)</w:t>
            </w: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00" w:type="dxa"/>
            <w:vAlign w:val="bottom"/>
          </w:tcPr>
          <w:p>
            <w:pPr>
              <w:spacing w:after="0"/>
              <w:rPr>
                <w:sz w:val="18"/>
                <w:szCs w:val="18"/>
                <w:color w:val="auto"/>
              </w:rPr>
            </w:pP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8"/>
                <w:szCs w:val="18"/>
                <w:color w:val="auto"/>
              </w:rPr>
            </w:pPr>
          </w:p>
        </w:tc>
      </w:tr>
      <w:tr>
        <w:trPr>
          <w:trHeight w:val="216"/>
        </w:trPr>
        <w:tc>
          <w:tcPr>
            <w:tcW w:w="33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1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(31.8)</w:t>
            </w:r>
          </w:p>
        </w:tc>
        <w:tc>
          <w:tcPr>
            <w:tcW w:w="6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w:t>
            </w:r>
          </w:p>
        </w:tc>
      </w:tr>
      <w:tr>
        <w:trPr>
          <w:trHeight w:val="234"/>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(366.4)</w:t>
            </w:r>
          </w:p>
        </w:tc>
        <w:tc>
          <w:tcPr>
            <w:tcW w:w="6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w:t>
            </w:r>
          </w:p>
        </w:tc>
      </w:tr>
    </w:tbl>
    <w:p>
      <w:pPr>
        <w:spacing w:after="0" w:line="17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our primary source of cash was from operations, while our primary use of cash was from financing activities (including $345.0 million for the repayment of the 2026 Senior Notes and $7.2 million for the payment of withholding taxes on net share settlements of our equity awards) and investing activities (including $31.8 million in capital expenditures). This use of cash was funded with cash and cash equivalents and operating cash flows generated during the period.</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our primary source of cash was from operations, while our primary use of cash was from financing activities (including $410.7 million to repurchase our outstanding common stock pursuant to the Merger, including transaction costs, $40.0 million in repurchases of our outstanding common stock under the existing share repurchase program, and $13.0 million in payments of withholding taxes on net share settlements of equity awards) and investing activities (including $48.2 million in capital expenditures). This use of cash was funded with existing cash and cash equivalents and operating cash flows generated during the period, as well as, financing activities which includes $341.4 million in borrowings from our Tack-On Incremental Term Loan B Facility, net of financing costs.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nine months ended September 30, 2026, decreased by $207.1 million when compared to the same period in 2025, primarily due to a decrease in net income from continuing operations, and to a lesser extent, a decrease in working capital of $95.2 million, partially offset by an increase in non-cash items. The decrease in working capital for the nine months ended September 30, 2026 when compared to the same period in 2025, was primarily driven by changes related to the timing of collection of cash from customers, the timing of vendor payments and deferred merchant payments to experiences operators.</w:t>
      </w:r>
    </w:p>
    <w:p>
      <w:pPr>
        <w:spacing w:after="0" w:line="183"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from continuing operations for the nine months ended September 30, 2026 decreased by $18.6 million when compared to the same period in 2025, primarily due to a decrease in leasehold improvements related to our office spaces, as well as a decrease in capitalized website development costs due to a reduction in headcount related to cost-reduction measures initiated in Hotels and Other during 2026 and 2025.</w:t>
      </w:r>
    </w:p>
    <w:p>
      <w:pPr>
        <w:spacing w:after="0" w:line="180"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from continuing operations for the nine months ended September 30, 2026 increased by $232.1 million when compared to the same period in 2025, primarily due to the repayment of our 2026 Senior Notes during the second quarter of 2026 of $345.0 million and proceeds received from the issuance of our Tack-On Incremental Term Loan B Facility during 2025 of $341.4 million, net of financing costs, partially offset by $410.7 million for the repurchase of our outstanding common stock pursuant to the Merger and a $40.0 million decrease in net cash used to repurchase shares of our outstanding common stock under our existing share repurchase program, both occurring during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2025. As of September 30, 2026,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—Management’s Discussion and Analysis of Financial Condition and Results of Operations of our 2025 Annual Report for a discussion of our contractual obligations and commercial commitments.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tax matters (including value-added, excise, digital services, sales and use, transient occupancy and accommodation taxes), regulatory compliance (including competition, consumer protection matters, data privacy and cybersecurity matters), contractual claims (including related to our material agreements or other contracts), defamation and reputational claims, personal injury claims, labor and employment matters and commercial disputes. Routinely, we review the status of all significant outstanding matters to assess any potential financial exposure. We record the estimated loss in our consolidated statement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 The Organization for Economic Cooperation and Development (“OECD”) through its “Inclusive Framework” of G20 and other countries have issued proposals related to the taxation of the digital economy. Many jurisdictions, particularly in the EU, have implemented or are considering the adoption of a digital services tax (“DST”) or similar tax that imposes a tax on revenues earned from digital advertisements or the use of online platforms, even when there is no physical presence in the jurisdiction. Future developments related to such proposals, in particular any unilateral actions outside of the OECD's Inclusive Framework such as the imposition of DST rules, could have an adverse impact on our business by increasing our future tax obligations. During the three and nine months ended September 30, 2026, we recorded $3.4 million and $4.6 million, respectively, of digital service taxes to cost of sales on our unaudited condensed consolidated statements of operations, which includes a realized refund of $2.0 million during the second quarter of 2026, resulting from the repeal of enacted tax legislation in Canada during March 2026 related to digital service taxes. During the three and nine months ended September 30, 2025, we recorded $4.5 million and $10.2 million, respectively, of digital service taxes to cost of sales on our unaudited condensed consolidated statements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nine months ended September 30, 2026 since December 31, 2025. For additional information about our market risk profile, refer to “Quantitative and Qualitative Disclosures About Market Risk” in Item 7A. in Part II of our 2025 Annual Report on Form 10-K for the year ended December 31, 2025.</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or outstanding debt related to the Term Loan B Facility, derivative instruments,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92" w:lineRule="exact"/>
        <w:rPr>
          <w:sz w:val="20"/>
          <w:szCs w:val="20"/>
          <w:color w:val="auto"/>
        </w:rPr>
      </w:pPr>
    </w:p>
    <w:p>
      <w:pPr>
        <w:ind w:right="500" w:firstLine="509"/>
        <w:spacing w:after="0" w:line="261" w:lineRule="auto"/>
        <w:rPr>
          <w:sz w:val="20"/>
          <w:szCs w:val="20"/>
          <w:color w:val="auto"/>
        </w:rPr>
      </w:pPr>
      <w:r>
        <w:rPr>
          <w:rFonts w:ascii="Times New Roman" w:cs="Times New Roman" w:eastAsia="Times New Roman" w:hAnsi="Times New Roman"/>
          <w:sz w:val="18"/>
          <w:szCs w:val="18"/>
          <w:color w:val="auto"/>
        </w:rPr>
        <w:t>Our exposure to potentially volatile movements in foreign currency exchange rates will increase as we increase our operations in international markets. The economic impact of foreign currency exchange rate movement is linked to variability in the</w:t>
      </w: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7" w:name="page48"/>
    <w:bookmarkEnd w:id="47"/>
    <w:p>
      <w:pPr>
        <w:ind w:right="60"/>
        <w:spacing w:after="0" w:line="256" w:lineRule="auto"/>
        <w:rPr>
          <w:sz w:val="20"/>
          <w:szCs w:val="20"/>
          <w:color w:val="auto"/>
        </w:rPr>
      </w:pPr>
      <w:r>
        <w:rPr>
          <w:rFonts w:ascii="Times New Roman" w:cs="Times New Roman" w:eastAsia="Times New Roman" w:hAnsi="Times New Roman"/>
          <w:sz w:val="18"/>
          <w:szCs w:val="18"/>
          <w:color w:val="auto"/>
        </w:rPr>
        <w:t>macroeconomic environment such as inflation and interest rates, governmental actions, and geopolitical events such as regional conflicts. We regularly monitor the macroeconomic environment, which has seen some volatility as a result of geopolitical tensions resulting from Russia’s invasion of Ukraine, the conflict in the Middle East and Iran, as well as increased cyberattacks, other military conflicts and regional disruptions, tariffs, trade negotiations, and sanctions. Developments in the macroeconomic environment could cause us to adjust our foreign currency risk strategies. Continued uncertainty regarding our international operations, including U.K. and E.U. relations, may result in future currency exchange rate volatility which may impact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September 30, 2026, our management, with the participation of our Chief Executive Officer and President and our Chief Financial Officer, evaluated the effectiveness of our disclosure controls and procedures pursuant to Rule 13a-15(e) and 15d-15(e) promulgated under the Exchange Act. Based upon that evaluation, our Chief Executive Officer and President and our Chief Financial Officer concluded that, as of September 30, 2026,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September 30,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right="2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regarding any legal proceedings. For an additional discussion of certain risks associated with legal proceedings, refer to Part I, Item 1A, “Risk Factors” in our 2025 Annual Report.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2025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September 30, 2026, there have been no material changes in our risk factors from those disclosed in Part 1, Item 1A., “Risk Factors” in our 2025 Annual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600" w:firstLine="509"/>
        <w:spacing w:after="0" w:line="261" w:lineRule="auto"/>
        <w:rPr>
          <w:sz w:val="20"/>
          <w:szCs w:val="20"/>
          <w:color w:val="auto"/>
        </w:rPr>
      </w:pPr>
      <w:r>
        <w:rPr>
          <w:rFonts w:ascii="Times New Roman" w:cs="Times New Roman" w:eastAsia="Times New Roman" w:hAnsi="Times New Roman"/>
          <w:sz w:val="18"/>
          <w:szCs w:val="18"/>
          <w:color w:val="auto"/>
        </w:rPr>
        <w:t>During the quarter ended September 30, 2026, we did not issue or sell any shares of our common stock or other equity securities pursuant to unregistered transactions in reliance upon an exemption from the registration requirements of the Securities Act of 1933, as amended.</w:t>
      </w: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2026, we did not repurchase any shares of our common stock under our existing share repurchase program. As of September 30, 2026, we had $110.0 million remaining available to repurchase shares of our common stock under our existing authorized share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none of the Company’s directors or officers adopted or terminated a Rule 10b5-1 trading arrangement or a non-Rule 10b5-1 trading arrangement (as defined in Item 408(c) of Regulation S-K).</w:t>
      </w: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32" w:right="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12"/>
          </w:tcPr>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w:t>
            </w:r>
          </w:p>
        </w:tc>
        <w:tc>
          <w:tcPr>
            <w:tcW w:w="0" w:type="dxa"/>
            <w:vAlign w:val="bottom"/>
          </w:tcPr>
          <w:p>
            <w:pPr>
              <w:spacing w:after="0"/>
              <w:rPr>
                <w:sz w:val="1"/>
                <w:szCs w:val="1"/>
                <w:color w:val="auto"/>
              </w:rPr>
            </w:pPr>
          </w:p>
        </w:tc>
      </w:tr>
      <w:tr>
        <w:trPr>
          <w:trHeight w:val="272"/>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5920" w:type="dxa"/>
            <w:vAlign w:val="bottom"/>
            <w:gridSpan w:val="10"/>
          </w:tcPr>
          <w:p>
            <w:pPr>
              <w:spacing w:after="0" w:line="169"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Plan of Conversion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Articles of Incorporation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8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5920" w:type="dxa"/>
            <w:vAlign w:val="bottom"/>
            <w:gridSpan w:val="10"/>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Equity Purchase Agreement, dated as of August 2, 2026, by and between</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Tripadvisor, Inc., Tripadvisor UK Holdco Limited, LF Holdings (France) SAS,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5920" w:type="dxa"/>
            <w:vAlign w:val="bottom"/>
            <w:gridSpan w:val="10"/>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and American Express Travel Related Services Company, Inc.</w:t>
              </w:r>
            </w:hyperlink>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Form of Restricted Stock Agreement (Non-Employee Directors)</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906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5"/>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906 of the</w:t>
            </w:r>
          </w:p>
        </w:tc>
        <w:tc>
          <w:tcPr>
            <w:tcW w:w="0" w:type="dxa"/>
            <w:vAlign w:val="bottom"/>
          </w:tcPr>
          <w:p>
            <w:pPr>
              <w:spacing w:after="0"/>
              <w:rPr>
                <w:sz w:val="1"/>
                <w:szCs w:val="1"/>
                <w:color w:val="auto"/>
              </w:rPr>
            </w:pPr>
          </w:p>
        </w:tc>
      </w:tr>
      <w:tr>
        <w:trPr>
          <w:trHeight w:val="54"/>
        </w:trPr>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9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gridSpan w:val="5"/>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900" w:type="dxa"/>
            <w:vAlign w:val="bottom"/>
            <w:tcBorders>
              <w:left w:val="single" w:sz="8" w:color="0000EE"/>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Linkbases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59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60" w:type="dxa"/>
            <w:vAlign w:val="bottom"/>
            <w:tcBorders>
              <w:bottom w:val="single" w:sz="8" w:color="auto"/>
            </w:tcBorders>
          </w:tcPr>
          <w:p>
            <w:pPr>
              <w:spacing w:after="0"/>
              <w:rPr>
                <w:sz w:val="15"/>
                <w:szCs w:val="15"/>
                <w:color w:val="auto"/>
              </w:rPr>
            </w:pPr>
          </w:p>
        </w:tc>
      </w:tr>
      <w:tr>
        <w:trPr>
          <w:trHeight w:val="169"/>
        </w:trPr>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10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18"/>
        </w:trPr>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8"/>
                <w:szCs w:val="18"/>
                <w:color w:val="auto"/>
              </w:rPr>
            </w:pPr>
          </w:p>
        </w:tc>
        <w:tc>
          <w:tcPr>
            <w:tcW w:w="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001-35362</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4/29/25</w:t>
            </w:r>
          </w:p>
        </w:tc>
      </w:tr>
      <w:tr>
        <w:trPr>
          <w:trHeight w:val="230"/>
        </w:trPr>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4/29/25</w:t>
            </w:r>
          </w:p>
        </w:tc>
      </w:tr>
      <w:tr>
        <w:trPr>
          <w:trHeight w:val="234"/>
        </w:trPr>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5/7/2025</w:t>
            </w:r>
          </w:p>
        </w:tc>
      </w:tr>
      <w:tr>
        <w:trPr>
          <w:trHeight w:val="648"/>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001-35362</w:t>
            </w:r>
          </w:p>
        </w:tc>
        <w:tc>
          <w:tcPr>
            <w:tcW w:w="6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8/3/26</w:t>
            </w:r>
          </w:p>
        </w:tc>
      </w:tr>
    </w:tbl>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w:t>
      </w:r>
    </w:p>
    <w:p>
      <w:pPr>
        <w:spacing w:after="0" w:line="549" w:lineRule="exact"/>
        <w:rPr>
          <w:sz w:val="20"/>
          <w:szCs w:val="20"/>
          <w:color w:val="auto"/>
        </w:rPr>
      </w:pPr>
    </w:p>
    <w:p>
      <w:pPr>
        <w:sectPr>
          <w:pgSz w:w="11900" w:h="16838" w:orient="portrait"/>
          <w:cols w:equalWidth="0" w:num="2">
            <w:col w:w="6860" w:space="240"/>
            <w:col w:w="4140"/>
          </w:cols>
          <w:pgMar w:left="320" w:top="1332" w:right="339" w:bottom="1440" w:gutter="0" w:footer="0" w:header="0"/>
        </w:sect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*Schedules and certain sub-exhibits have been omitted pursuant to Item 601(a)(5) of Regulation S-K. The Company hereby undertakes to furnish supplemental copies of any omitted schedules or sub-exhibits to the SEC upon request.</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certifications filed as Exhibits 32.1 and 32.2 are deemed to be furnished with this Quarterly Report on Form 10-Q and will not be deemed “filed” for purposes of Section 18 of the Securities Exchange Act of 1934 and are not to be incorporated by reference into any filing of the Company under the Securities Exchange Act of 1933 or the Securities Exchange Act of 1934, whether made before or after the date thereof irrespective of any general incorporation by reference language contained in any such filing, except to the extent that the Registrant specifically incorporates it by reference.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73"/>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rPr>
              <w:t>Michael Noonan</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32"/>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 Geoffrey Gouvalaris</w:t>
            </w:r>
          </w:p>
        </w:tc>
      </w:tr>
      <w:tr>
        <w:trPr>
          <w:trHeight w:val="187"/>
        </w:trPr>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140" w:type="dxa"/>
            <w:vAlign w:val="bottom"/>
            <w:tcBorders>
              <w:top w:val="single" w:sz="8" w:color="auto"/>
            </w:tcBorders>
          </w:tcPr>
          <w:p>
            <w:pPr>
              <w:jc w:val="center"/>
              <w:ind w:right="8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4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5,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1" w:name="page52"/>
    <w:bookmarkEnd w:id="51"/>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TRIPADVISOR, INC. RESTRICTED STOCK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RESTRICTED STOCK AGREEMENT (this “Agreement”), dated as of the Grant Date, between Tripadvisor, Inc., a Nevada corporation (the “Company”), and the Eligible Individual designated on the Grant Details (as defined below), describes the terms of an Award of Restricted Stock (“Restricted Stock”) to the Eligible Individual by the Company.</w:t>
      </w:r>
    </w:p>
    <w:p>
      <w:pPr>
        <w:spacing w:after="0" w:line="6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capitalized terms used herein, to the extent not defined, shall have the meanings set forth in the Company’s 2023 Stock and Annual Incentive Plan (as amended and/or restated from time to time, the “Plan”).</w:t>
      </w:r>
    </w:p>
    <w:p>
      <w:pPr>
        <w:spacing w:after="0" w:line="200" w:lineRule="exact"/>
        <w:rPr>
          <w:sz w:val="20"/>
          <w:szCs w:val="20"/>
          <w:color w:val="auto"/>
        </w:rPr>
      </w:pPr>
    </w:p>
    <w:p>
      <w:pPr>
        <w:spacing w:after="0" w:line="305" w:lineRule="exact"/>
        <w:rPr>
          <w:sz w:val="20"/>
          <w:szCs w:val="20"/>
          <w:color w:val="auto"/>
        </w:rPr>
      </w:pPr>
    </w:p>
    <w:p>
      <w:pPr>
        <w:ind w:left="420" w:hanging="358"/>
        <w:spacing w:after="0"/>
        <w:tabs>
          <w:tab w:leader="none" w:pos="42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of Restricted Stock</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5" w:lineRule="auto"/>
        <w:tabs>
          <w:tab w:leader="none" w:pos="110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Plan and the Grant Details, the Company hereby grants to the Eligible Individual the number of Restricted Stock set forth in the Grant Details.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auto"/>
        </w:rPr>
        <w:t xml:space="preserve"> (or any successor equity administration system selected by the Company to manage the Plan from time to time). The Grant Details, which set forth the number of Restricted Stock granted to the Eligible Individual by the Company and the Grant Date of the Restricted Stock (among other information), are hereby incorporated by reference into, and shall be read as part and parcel of, this Agreement.</w:t>
      </w:r>
    </w:p>
    <w:p>
      <w:pPr>
        <w:spacing w:after="0" w:line="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(b)Subject to the terms and conditions of this Agreement, the Grant Details and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Restricted Stock shall be subject to the restrictions and risk of forfeiture set forth herein (such period during which restrictions apply, the “Restriction Period”) on the date(s) detailed in the Grant Details.</w:t>
      </w:r>
    </w:p>
    <w:p>
      <w:pPr>
        <w:spacing w:after="0" w:line="171" w:lineRule="exact"/>
        <w:rPr>
          <w:sz w:val="20"/>
          <w:szCs w:val="20"/>
          <w:color w:val="auto"/>
        </w:rPr>
      </w:pPr>
    </w:p>
    <w:p>
      <w:pPr>
        <w:jc w:val="both"/>
        <w:ind w:firstLine="757"/>
        <w:spacing w:after="0" w:line="235" w:lineRule="auto"/>
        <w:tabs>
          <w:tab w:leader="none" w:pos="101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Plan, the Grant Details or this Agreement, if the Eligible Individual’s service with the Company and its Subsidiaries and Affiliates terminates for any reason (other than death) before the end of the Restriction Period, all Restricted Stock shall be forfeited automatically and without consideration as of the date of such termination, and the Eligible Individual shall have no further rights with respect to such forfeited Restricted Stock. No portion of the Restricted Stock shall be retained based on the portion of the Restriction Period completed. Upon the termination of the Eligible Individual’s service with the Company and its Subsidiaries and Affiliates by reason of death before the end of the Restriction Period, all Restricted Shares shall immediately and automatically vest.</w:t>
      </w:r>
    </w:p>
    <w:p>
      <w:pPr>
        <w:spacing w:after="0" w:line="179" w:lineRule="exact"/>
        <w:rPr>
          <w:rFonts w:ascii="Times New Roman" w:cs="Times New Roman" w:eastAsia="Times New Roman" w:hAnsi="Times New Roman"/>
          <w:sz w:val="22"/>
          <w:szCs w:val="22"/>
          <w:color w:val="auto"/>
        </w:rPr>
      </w:pPr>
    </w:p>
    <w:p>
      <w:pPr>
        <w:ind w:left="420" w:hanging="358"/>
        <w:spacing w:after="0"/>
        <w:tabs>
          <w:tab w:leader="none" w:pos="4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Issuance and Custody of Restricted Stock</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Restricted Stock shall be issued on the Grant Date and registered in the name of the Eligible Individual on the books and records of the Company or its transfer agent. During the Restriction Period, the Company shall cause a stop-transfer instruction or other notation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2" w:name="page53"/>
    <w:bookmarkEnd w:id="52"/>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book-entry shares to reflect the restrictions imposed by this Agreement, the Grant Details and the Plan.</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At the end of the Restriction Period, to the extent the Restricted Stock have not been forfeited, the restrictions applicable to them under this Agreement shall lapse. The Company shall cause any stop-transfer instruction or restrictive notation relating solely to the Restriction Period and shall cause the Restricted Stock to be transferred to the Eligible Individual’s account with the Plan Administrator, subject to Section 7 (pertaining to taxes, fees and withholding) and any other restrictions imposed by applicable law or Company policy.</w:t>
      </w:r>
    </w:p>
    <w:p>
      <w:pPr>
        <w:spacing w:after="0" w:line="200" w:lineRule="exact"/>
        <w:rPr>
          <w:sz w:val="20"/>
          <w:szCs w:val="20"/>
          <w:color w:val="auto"/>
        </w:rPr>
      </w:pPr>
    </w:p>
    <w:p>
      <w:pPr>
        <w:spacing w:after="0" w:line="216" w:lineRule="exact"/>
        <w:rPr>
          <w:sz w:val="20"/>
          <w:szCs w:val="20"/>
          <w:color w:val="auto"/>
        </w:rPr>
      </w:pPr>
    </w:p>
    <w:p>
      <w:pPr>
        <w:ind w:left="420" w:hanging="358"/>
        <w:spacing w:after="0"/>
        <w:tabs>
          <w:tab w:leader="none" w:pos="4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Recoupment or “Clawback” Policy</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All Awards received and any Stock or other amount or property that may be issued, delivered or paid in respect of the Award, as well as any consideration that may be received in respect of a sale or other disposition of any such Stock or property, will be subject to clawback, cancellation, recoupment, rescission, payback, reduction or other similar action in accordance with the Company’s Clawback Policy (as in effect from time to time and any amendments or successor policies) or similar policy or any applicable law related to such actions. The Eligible Individual’s acceptance of this Award constitutes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spacing w:after="0" w:line="175" w:lineRule="exact"/>
        <w:rPr>
          <w:sz w:val="20"/>
          <w:szCs w:val="20"/>
          <w:color w:val="auto"/>
        </w:rPr>
      </w:pPr>
    </w:p>
    <w:p>
      <w:pPr>
        <w:ind w:left="420" w:hanging="358"/>
        <w:spacing w:after="0"/>
        <w:tabs>
          <w:tab w:leader="none" w:pos="42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During the Restriction Period, the Restricted Stock shall not be transferable by the Eligible Individual by means of sale, assignment, exchange, encumbrance, pledge, hedge or otherwise. Subject to the limitations on transferability contained herein, this Agreement will be binding upon and inure to the benefit of the heirs, legatees, legal representatives, successors and assigns of the parties hereto.</w:t>
      </w:r>
    </w:p>
    <w:p>
      <w:pPr>
        <w:spacing w:after="0" w:line="176"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Except as otherwise specifically provided in this Agreement the Eligible Individual shall have rights of a stockholder with respect to the Restricted Stock from and after the Grant Date, including the right to vote the Restricted Stock, subject to the restrictions and forfeiture provisions of this Agreement, the Grant Details and the Plan.</w:t>
      </w:r>
    </w:p>
    <w:p>
      <w:pPr>
        <w:spacing w:after="0" w:line="173" w:lineRule="exact"/>
        <w:rPr>
          <w:sz w:val="20"/>
          <w:szCs w:val="20"/>
          <w:color w:val="auto"/>
        </w:rPr>
      </w:pPr>
    </w:p>
    <w:p>
      <w:pPr>
        <w:jc w:val="both"/>
        <w:ind w:firstLine="825"/>
        <w:spacing w:after="0" w:line="238" w:lineRule="auto"/>
        <w:rPr>
          <w:sz w:val="20"/>
          <w:szCs w:val="20"/>
          <w:color w:val="auto"/>
        </w:rPr>
      </w:pPr>
      <w:r>
        <w:rPr>
          <w:rFonts w:ascii="Times New Roman" w:cs="Times New Roman" w:eastAsia="Times New Roman" w:hAnsi="Times New Roman"/>
          <w:sz w:val="22"/>
          <w:szCs w:val="22"/>
          <w:color w:val="auto"/>
        </w:rPr>
        <w:t>If the Company declares and pays ordinary cash dividends on the Common Stock during the Restriction Period, any dividends attributable to Restricted Stock shall, subject to Section 16(e) of the Plan, be automatically reinvested in additional Restricted Stock. Any such additional stock shall be subject to the same restrictions, vesting conditions and risk of forfeiture as the underlying Restricted Stock with respect to which such dividends are paid. If the underlying Restricted Stock are forfeited, the related additional shares shall also be forfeited. Notwithstanding the foregoing,</w:t>
      </w:r>
    </w:p>
    <w:p>
      <w:pPr>
        <w:spacing w:after="0" w:line="36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dividends and distributions other than ordinary cash dividends, if any, may result in an adjustment pursuant to Section 6 below, rather than under this Section 5.</w:t>
      </w:r>
    </w:p>
    <w:p>
      <w:pPr>
        <w:spacing w:after="0" w:line="154" w:lineRule="exact"/>
        <w:rPr>
          <w:sz w:val="20"/>
          <w:szCs w:val="20"/>
          <w:color w:val="auto"/>
        </w:rPr>
      </w:pPr>
    </w:p>
    <w:p>
      <w:pPr>
        <w:ind w:left="420" w:hanging="358"/>
        <w:spacing w:after="0"/>
        <w:tabs>
          <w:tab w:leader="none" w:pos="42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 in the Event of Change in Stock</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(i) a Share Change, or (ii) a Corporate Transaction, the Committee or the Board may in its discretion make such substitutions or adjustments as it deems appropriate and equitable to the number and kind of Restricted Stock subject to this Award.</w:t>
      </w:r>
    </w:p>
    <w:p>
      <w:pPr>
        <w:spacing w:after="0" w:line="20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(b)In the case of a Corporate Transaction, such adjustments may include, without limitation, (i) the cancellation of the Restricted Stock in exchange for payments of cash, property or a combination thereof having an aggregate value equal to the value of such Restricted Stock, as determined by the Committee or the Board in its sole discretion, (ii) the substitution of other property (including, without limitation, cash or other securities of the Company and securities of entities other than the Company) for the Restricted Stock and (iii) in connection with any Disaffiliation, arranging for the assumption of the Restricted Stock, or the replacement of the Restricted Stock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Restricted Stock that remain based upon securities of the Company).</w:t>
      </w:r>
    </w:p>
    <w:p>
      <w:pPr>
        <w:spacing w:after="0" w:line="210" w:lineRule="exact"/>
        <w:rPr>
          <w:sz w:val="20"/>
          <w:szCs w:val="20"/>
          <w:color w:val="auto"/>
        </w:rPr>
      </w:pPr>
    </w:p>
    <w:p>
      <w:pPr>
        <w:ind w:right="20" w:firstLine="757"/>
        <w:spacing w:after="0" w:line="258" w:lineRule="auto"/>
        <w:tabs>
          <w:tab w:leader="none" w:pos="1018"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determination of the Committee regarding any substitutions or adjustment will be final and conclusive and need not be the same for all Eligible Individuals.</w:t>
      </w:r>
    </w:p>
    <w:p>
      <w:pPr>
        <w:spacing w:after="0" w:line="289" w:lineRule="exact"/>
        <w:rPr>
          <w:rFonts w:ascii="Times New Roman" w:cs="Times New Roman" w:eastAsia="Times New Roman" w:hAnsi="Times New Roman"/>
          <w:sz w:val="22"/>
          <w:szCs w:val="22"/>
          <w:color w:val="auto"/>
        </w:rPr>
      </w:pPr>
    </w:p>
    <w:p>
      <w:pPr>
        <w:ind w:left="420" w:hanging="358"/>
        <w:spacing w:after="0"/>
        <w:tabs>
          <w:tab w:leader="none" w:pos="4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 Fees and Withholding</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any and all original issue taxes and stock transfer taxes that may be imposed on the issuance of Restricted Stock received by an Eligible Individual in connection with the Award, together with any and all other fees and expenses necessarily incurred by the Company in connection therewith.</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(b)Regardless of any action taken by the Company or its Affiliates or Subsidiaries with respect to any or all income tax, social insurance, payroll tax, payment on account or other tax-related withholding (“Tax-Related Items”), the ultimate liability for all Tax-Related Items legally due is and remains the Eligible Individual’s responsibility. None of the Company or its Affiliates or Subsidiaries (i) makes any representations or undertakings regarding the treatment of any Tax-Related Items in connection with any aspect of the Award, including the grant and issuance, lapse of restrictions or forfeiture of the Restricted Stock or the receipt of cash or any dividends or dividend equivalents with respect thereto, or any election under Section 83(b) of the Code; or (ii) commits to structure the terms of the Award or any aspect of the Restricted Stock to reduce or eliminate the Eligible Individual’s liability for Tax-Related Items.</w:t>
      </w:r>
    </w:p>
    <w:p>
      <w:pPr>
        <w:spacing w:after="0" w:line="178" w:lineRule="exact"/>
        <w:rPr>
          <w:sz w:val="20"/>
          <w:szCs w:val="20"/>
          <w:color w:val="auto"/>
        </w:rPr>
      </w:pPr>
    </w:p>
    <w:p>
      <w:pPr>
        <w:jc w:val="both"/>
        <w:ind w:firstLine="757"/>
        <w:spacing w:after="0" w:line="244" w:lineRule="auto"/>
        <w:tabs>
          <w:tab w:leader="none" w:pos="101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a Subsidiary or an Affiliate is required to withhold any Tax-Related Items as a result of the Award, the grant or vesting of the Restricted Stock, the receipt of cash or any dividends or dividend equivalents, or an election under Section 83(b) of the</w:t>
      </w:r>
    </w:p>
    <w:p>
      <w:pPr>
        <w:spacing w:after="0" w:line="3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Code, the Eligible Individual shall pay or make adequate arrangements satisfactory to the Company or the applicable Subsidiary or Affiliate to satisfy all such Tax-Related Items. The obligations of the Company under this Agreement shall be conditioned on compliance by the Eligible Individual with this Section 7. The Company may, in its sole discretion and pursuant to such provisions as it may specify from time to time, satisfy applicable withholding obligations by withholding from other cash compensation payable to the Eligible Individual, requiring a cash payment, arranging for the sale of Stock, withholding Stock to the extent permitted under the Plan and applicable law, or by any other method approved by the Company.</w:t>
      </w:r>
    </w:p>
    <w:p>
      <w:pPr>
        <w:spacing w:after="0" w:line="1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(d)The Eligible Individual understands and acknowledges that all income to which the Eligible Individual is entitled under this Agreement is pre-tax and that the Company or its Subsidiaries or Affiliates have the right to withhold and pay on behalf of the Eligible Individual any taxes that the Company or any of its Subsidiaries or Affiliates is required to withhold in connection with such income in accordance with applicable law. The Eligible Individual agrees to indemnify the Company and/or its Subsidiaries or Affiliates for any liability which may arise as a result of the Eligible Individual’s failure to pay any and all taxes associated with any income derived pursuant to the Award.</w:t>
      </w:r>
    </w:p>
    <w:p>
      <w:pPr>
        <w:spacing w:after="0" w:line="177"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Section 83(b) Election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10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Award constitutes a transfer of property subject to Section 83 of the Code and that, under Section 83 of the Code, the excess, if any, of the fair market value of the Restricted Stock on the date the applicable forfeiture restrictions lapse over the amount paid for such Restricted Stock generally will be reportable as ordinary income at that time unless the Eligible Individual timely files an election under Section 83(b) of the Code to include in gross income for the taxable year in which the transfer occurs the excess, if any, of the fair market value of the Restricted Stock on the Grant Date over the amount paid for such Restricted Stock.</w:t>
      </w:r>
    </w:p>
    <w:p>
      <w:pPr>
        <w:spacing w:after="0" w:line="181" w:lineRule="exact"/>
        <w:rPr>
          <w:rFonts w:ascii="Times New Roman" w:cs="Times New Roman" w:eastAsia="Times New Roman" w:hAnsi="Times New Roman"/>
          <w:sz w:val="22"/>
          <w:szCs w:val="22"/>
          <w:color w:val="auto"/>
        </w:rPr>
      </w:pPr>
    </w:p>
    <w:p>
      <w:pPr>
        <w:jc w:val="both"/>
        <w:ind w:firstLine="757"/>
        <w:spacing w:after="0" w:line="234" w:lineRule="auto"/>
        <w:tabs>
          <w:tab w:leader="none" w:pos="1109"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further acknowledges that any election under Section 83(b) of the Code must be filed with the Internal Revenue Service within 30 days after the Grant Date (or such other period as may be required by applicable law), that the Company is not responsible for making or filing such election on the Eligible Individual’s behalf, and that the Eligible Individual is solely responsible for determining whether to make such election and for timely and properly filing any such election. The Company has not provided, and is not providing, tax advice with respect to an election under Section 83(b) of the Code. The Eligible Individual is advised to consult the Eligible Individual’s own tax advisor regarding the availability and consequences of such an election. If the Eligible Individual makes an election under Section 83(b) of the Code, the Eligible Individual shall promptly provide the Company with a copy of the completed election and evidence of its timely filing, if requested by the Company.</w:t>
      </w:r>
    </w:p>
    <w:p>
      <w:pPr>
        <w:spacing w:after="0" w:line="17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22"/>
          <w:szCs w:val="22"/>
          <w:b w:val="1"/>
          <w:bCs w:val="1"/>
          <w:color w:val="auto"/>
        </w:rPr>
        <w:t>.</w:t>
      </w:r>
      <w:r>
        <w:rPr>
          <w:sz w:val="20"/>
          <w:szCs w:val="20"/>
          <w:color w:val="auto"/>
        </w:rPr>
        <w:tab/>
      </w:r>
      <w:r>
        <w:rPr>
          <w:rFonts w:ascii="Times New Roman" w:cs="Times New Roman" w:eastAsia="Times New Roman" w:hAnsi="Times New Roman"/>
          <w:sz w:val="21"/>
          <w:szCs w:val="21"/>
          <w:b w:val="1"/>
          <w:bCs w:val="1"/>
          <w:u w:val="single" w:color="auto"/>
          <w:color w:val="auto"/>
        </w:rPr>
        <w:t>Other Restrictions</w:t>
      </w:r>
    </w:p>
    <w:p>
      <w:pPr>
        <w:spacing w:after="0" w:line="210" w:lineRule="exact"/>
        <w:rPr>
          <w:sz w:val="20"/>
          <w:szCs w:val="20"/>
          <w:color w:val="auto"/>
        </w:rPr>
      </w:pPr>
    </w:p>
    <w:p>
      <w:pPr>
        <w:jc w:val="both"/>
        <w:ind w:firstLine="757"/>
        <w:spacing w:after="0" w:line="261" w:lineRule="auto"/>
        <w:tabs>
          <w:tab w:leader="none" w:pos="110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the Committee determines that (i) the listing, registration or qualification of the Restricted Stock subject or related thereto upon any securities exchange or under any state or federal law, or (ii) the consent or approval of any government regulatory body is required, then in any such event, the Award shall not be effective unless such listing, registration,</w:t>
      </w:r>
    </w:p>
    <w:p>
      <w:pPr>
        <w:spacing w:after="0" w:line="34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qualification, consent or approval shall have been effected or obtained free of any conditions not acceptable to the Committee.</w:t>
      </w:r>
    </w:p>
    <w:p>
      <w:pPr>
        <w:spacing w:after="0" w:line="206" w:lineRule="exact"/>
        <w:rPr>
          <w:sz w:val="20"/>
          <w:szCs w:val="20"/>
          <w:color w:val="auto"/>
        </w:rPr>
      </w:pPr>
    </w:p>
    <w:p>
      <w:pPr>
        <w:jc w:val="both"/>
        <w:ind w:firstLine="757"/>
        <w:spacing w:after="0" w:line="235" w:lineRule="auto"/>
        <w:tabs>
          <w:tab w:leader="none" w:pos="1109"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Restricted Stock, and may be prohibited from selling such Stock other than during an open trading window. The Eligible Individual further acknowledges that, in its discretion, the Company may prohibit the Eligible Individual from selling such Stock even during an open trading window if the Company has concerns over the potential for insider trading.</w:t>
      </w:r>
    </w:p>
    <w:p>
      <w:pPr>
        <w:spacing w:after="0" w:line="174" w:lineRule="exact"/>
        <w:rPr>
          <w:rFonts w:ascii="Times New Roman" w:cs="Times New Roman" w:eastAsia="Times New Roman" w:hAnsi="Times New Roman"/>
          <w:sz w:val="22"/>
          <w:szCs w:val="22"/>
          <w:color w:val="auto"/>
        </w:rPr>
      </w:pPr>
    </w:p>
    <w:p>
      <w:pPr>
        <w:ind w:left="420" w:hanging="358"/>
        <w:spacing w:after="0"/>
        <w:tabs>
          <w:tab w:leader="none" w:pos="42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Award</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accepting the Award, the Eligible Individual acknowledges that:</w:t>
      </w:r>
    </w:p>
    <w:p>
      <w:pPr>
        <w:spacing w:after="0" w:line="206" w:lineRule="exact"/>
        <w:rPr>
          <w:sz w:val="20"/>
          <w:szCs w:val="20"/>
          <w:color w:val="auto"/>
        </w:rPr>
      </w:pPr>
    </w:p>
    <w:p>
      <w:pPr>
        <w:ind w:firstLine="757"/>
        <w:spacing w:after="0" w:line="258" w:lineRule="auto"/>
        <w:tabs>
          <w:tab w:leader="none" w:pos="101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58"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(b)the Award is voluntary and occasional and does not create any contractual or other right to receive future awards, or benefits in lieu of awards, even if awards have been made repeatedly in the past;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 all decisions with respect to future awards, if any, will be at the sole discretion of the Company;</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(d)the Eligible Individual’s participation in the Plan will not create a right to further employment or service with the Company, its Subsidiaries or Affiliates and shall not interfere with the ability of the Company or its Subsidiaries or Affiliates to terminate the Eligible Individual’s employment or service relationship at any time with or without Cause;</w:t>
      </w:r>
    </w:p>
    <w:p>
      <w:pPr>
        <w:spacing w:after="0" w:line="173"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is voluntarily participating in the Plan;</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(g)in the event that the Eligible Individual is not an employee of the Company, a Subsidiary or an Affiliate, the Award will not be interpreted to form an employment contract or relationship with the Company; and</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(h)in consideration of the Award, no claim or entitlement to compensation or damages shall arise from termination of the Award or diminution in value of the Award resulting from the Eligible Individual’s Termination of Employment by the Company, a Subsidiary or an Affiliate</w:t>
      </w:r>
    </w:p>
    <w:p>
      <w:pPr>
        <w:spacing w:after="0" w:line="200" w:lineRule="exact"/>
        <w:rPr>
          <w:sz w:val="20"/>
          <w:szCs w:val="20"/>
          <w:color w:val="auto"/>
        </w:rPr>
      </w:pPr>
    </w:p>
    <w:p>
      <w:pPr>
        <w:spacing w:after="0" w:line="3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39" w:lineRule="auto"/>
        <w:rPr>
          <w:sz w:val="20"/>
          <w:szCs w:val="20"/>
          <w:color w:val="auto"/>
        </w:rPr>
      </w:pPr>
      <w:r>
        <w:rPr>
          <w:rFonts w:ascii="Times New Roman" w:cs="Times New Roman" w:eastAsia="Times New Roman" w:hAnsi="Times New Roman"/>
          <w:sz w:val="22"/>
          <w:szCs w:val="22"/>
          <w:color w:val="auto"/>
        </w:rPr>
        <w:t>(for any reason whatsoever and whether or not in breach of local labor laws) and the Eligible Individual irrevocably releases the Company or the applicable Subsidiary or Affiliate from any such claim that may arise; if, notwithstanding the foregoing, any such claim is found by a court of competent jurisdiction to have arisen, then, by signing this Agreement, the Eligible Individual will be deemed irrevocably to have waived the Eligible Individual’s entitlement to pursue such claim.</w:t>
      </w:r>
    </w:p>
    <w:p>
      <w:pPr>
        <w:spacing w:after="0" w:line="176"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Eligible Individual’s participation in the Plan, or the Eligible Individual’s acquisition, holding or sale of the Restricted Stock. The Eligible Individual is hereby advised to consult with the Eligible Individual’s own personal tax, legal and financial advisors regarding the Eligible Individual’s participation in the Plan, receipt of the Award and/or lapse of restrictions, forfeiture or disposition of the Award before taking any action related to the Plan or the Award.</w:t>
      </w:r>
    </w:p>
    <w:p>
      <w:pPr>
        <w:spacing w:after="0" w:line="173" w:lineRule="exact"/>
        <w:rPr>
          <w:sz w:val="20"/>
          <w:szCs w:val="20"/>
          <w:color w:val="auto"/>
        </w:rPr>
      </w:pPr>
    </w:p>
    <w:p>
      <w:pPr>
        <w:ind w:left="360" w:hanging="352"/>
        <w:spacing w:after="0"/>
        <w:tabs>
          <w:tab w:leader="none" w:pos="3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to the Eligible Individual’s last address reflected in the Company’s records) promptly after such change becomes effective.</w:t>
      </w:r>
    </w:p>
    <w:p>
      <w:pPr>
        <w:spacing w:after="0" w:line="176"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Agreement; Severability</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9"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Laws Applicable to Construction; Consent to Jurisdiction</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Restricted Stock are subject to the terms and conditions of the Plan, which are hereby incorporated by reference.</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0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disputes arising under or out of this Agreement, including without limitation any issues involving the construction, enforcement or interpretation of any of the provisions of this Agreement, shall be resolved by the Committee or its authorized delegate. Such determination or resolution by the Committee or its authorized delegate will be final, binding and conclusive for all purposes.</w:t>
      </w:r>
    </w:p>
    <w:p>
      <w:pPr>
        <w:spacing w:after="0" w:line="176"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Conflicts; Interpretation and Correction of Errors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7" w:name="page58"/>
    <w:bookmarkEnd w:id="57"/>
    <w:p>
      <w:pPr>
        <w:jc w:val="both"/>
        <w:ind w:firstLine="757"/>
        <w:spacing w:after="0" w:line="261" w:lineRule="auto"/>
        <w:tabs>
          <w:tab w:leader="none" w:pos="1018"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(b)The Committee shall have the power to interpret the Plan, this Agreement, the Grant Details,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the restrictions on any Restricted Stock have lapsed).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8" w:lineRule="exact"/>
        <w:rPr>
          <w:sz w:val="20"/>
          <w:szCs w:val="20"/>
          <w:color w:val="auto"/>
        </w:rPr>
      </w:pPr>
    </w:p>
    <w:p>
      <w:pPr>
        <w:jc w:val="both"/>
        <w:ind w:firstLine="757"/>
        <w:spacing w:after="0" w:line="261" w:lineRule="auto"/>
        <w:tabs>
          <w:tab w:leader="none" w:pos="1018"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53"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Privacy</w:t>
      </w:r>
    </w:p>
    <w:p>
      <w:pPr>
        <w:spacing w:after="0" w:line="210"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01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understands that the Company, its Subsidiaries and Affiliates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Stock or directorships held in the Company, details of all options or any other entitlement to Stock awarded, canceled, forfeited, subject to restrictions or outstanding in the Eligible Individual’s favor, for the purpose of implementing, administering and managing the Plan (“Data”). The Eligible Individual hereby explicitly and unambiguously consents to the collection, use and transfer, in electronic or other form, of the Eligible Individual’s Data as described in this document by and among, as applicable, the Company and its Subsidiaries or Affiliates for the exclusive purpose of implementing, administering and managing the Eligible Individual’s participation in the Plan.</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(b)The Eligible Individual understands that Data will be transferred to the Plan Administrator, or such other stock plan service provider as may be selected by the Company in the future, to assist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w:t>
      </w:r>
    </w:p>
    <w:p>
      <w:pPr>
        <w:spacing w:after="0" w:line="200" w:lineRule="exact"/>
        <w:rPr>
          <w:sz w:val="20"/>
          <w:szCs w:val="20"/>
          <w:color w:val="auto"/>
        </w:rPr>
      </w:pPr>
    </w:p>
    <w:p>
      <w:pPr>
        <w:spacing w:after="0" w:line="3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8" w:name="page59"/>
    <w:bookmarkEnd w:id="58"/>
    <w:p>
      <w:pPr>
        <w:spacing w:after="0" w:line="258" w:lineRule="auto"/>
        <w:rPr>
          <w:sz w:val="20"/>
          <w:szCs w:val="20"/>
          <w:color w:val="auto"/>
        </w:rPr>
      </w:pPr>
      <w:r>
        <w:rPr>
          <w:rFonts w:ascii="Times New Roman" w:cs="Times New Roman" w:eastAsia="Times New Roman" w:hAnsi="Times New Roman"/>
          <w:sz w:val="22"/>
          <w:szCs w:val="22"/>
          <w:color w:val="auto"/>
        </w:rPr>
        <w:t>managing the Plan to receive, possess, use, retain and transfer the Data, in electronic or other form, for the sole purpose of implementing, administering and managing the Eligible Individual’s participation in the Plan.</w:t>
      </w:r>
    </w:p>
    <w:p>
      <w:pPr>
        <w:spacing w:after="0" w:line="158" w:lineRule="exact"/>
        <w:rPr>
          <w:sz w:val="20"/>
          <w:szCs w:val="20"/>
          <w:color w:val="auto"/>
        </w:rPr>
      </w:pPr>
    </w:p>
    <w:p>
      <w:pPr>
        <w:jc w:val="both"/>
        <w:ind w:firstLine="757"/>
        <w:spacing w:after="0" w:line="238" w:lineRule="auto"/>
        <w:tabs>
          <w:tab w:leader="none" w:pos="101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understands that the Eligible Individual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the Eligible Individual’s consent may affect the Eligible Individual’s ability to participate in the Plan.</w:t>
      </w:r>
    </w:p>
    <w:p>
      <w:pPr>
        <w:spacing w:after="0" w:line="172"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may modify, amend or waive the terms of this Award, prospectively or retroactively, but no such modification, amendment or waiver shall materially impair the rights of the Eligible Individual without the Eligible Individual’s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3"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Choice of Language</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spacing w:after="0" w:line="176"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By participating in the Plan and receiving this Award, the Eligible Individual agrees to be bound by the terms and conditions of the Plan and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9" w:name="page60"/>
    <w:bookmarkEnd w:id="5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Tripadvisor,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2026, as filed with the Securities and Exchange Commission on the date hereof (the “Report”), I, Matt Goldberg, Chief Executive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GOLDBERG</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Matt Goldberg</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2" w:name="page63"/>
    <w:bookmarkEnd w:id="62"/>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September 30, 2026, as filed with the Securities and Exchange Commission on the date hereof (the “Report”), I, Michael Noonan, Chief Financial Officer of the Company, certify, pursuant to Section 906 of the Sarbanes-Oxley Act of 2002, 18 U.S.C. Section 1350, that:</w:t>
      </w:r>
    </w:p>
    <w:p>
      <w:pPr>
        <w:spacing w:after="0" w:line="68" w:lineRule="exact"/>
        <w:rPr>
          <w:sz w:val="20"/>
          <w:szCs w:val="20"/>
          <w:color w:val="auto"/>
        </w:rPr>
      </w:pPr>
    </w:p>
    <w:p>
      <w:pPr>
        <w:ind w:left="520" w:right="20" w:hanging="512"/>
        <w:spacing w:after="0" w:line="282"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2026</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NOONAN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Michael Noonan</w:t>
            </w:r>
          </w:p>
        </w:tc>
      </w:tr>
      <w:tr>
        <w:trPr>
          <w:trHeight w:val="236"/>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979"/>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lvl w:ilvl="1">
      <w:lvlJc w:val="left"/>
      <w:lvlText w:val="(%2)"/>
      <w:numFmt w:val="lowerLetter"/>
      <w:start w:val="1"/>
    </w:lvl>
  </w:abstractNum>
  <w:abstractNum w:abstractNumId="18">
    <w:nsid w:val="3006C83E"/>
    <w:multiLevelType w:val="hybridMultilevel"/>
    <w:lvl w:ilvl="0">
      <w:lvlJc w:val="left"/>
      <w:lvlText w:val="%1"/>
      <w:numFmt w:val="decimal"/>
      <w:start w:val="1"/>
    </w:lvl>
    <w:lvl w:ilvl="1">
      <w:lvlJc w:val="left"/>
      <w:lvlText w:val="(%2)"/>
      <w:numFmt w:val="lowerLetter"/>
      <w:start w:val="3"/>
    </w:lvl>
  </w:abstractNum>
  <w:abstractNum w:abstractNumId="19">
    <w:nsid w:val="614FD4A1"/>
    <w:multiLevelType w:val="hybridMultilevel"/>
    <w:lvl w:ilvl="0">
      <w:lvlJc w:val="left"/>
      <w:lvlText w:val="%1."/>
      <w:numFmt w:val="decimal"/>
      <w:start w:val="2"/>
    </w:lvl>
    <w:lvl w:ilvl="1">
      <w:lvlJc w:val="left"/>
      <w:lvlText w:val="%2"/>
      <w:numFmt w:val="lowerLetter"/>
      <w:start w:val="1"/>
    </w:lvl>
  </w:abstractNum>
  <w:abstractNum w:abstractNumId="20">
    <w:nsid w:val="419AC241"/>
    <w:multiLevelType w:val="hybridMultilevel"/>
    <w:lvl w:ilvl="0">
      <w:lvlJc w:val="left"/>
      <w:lvlText w:val="%1."/>
      <w:numFmt w:val="decimal"/>
      <w:start w:val="3"/>
    </w:lvl>
  </w:abstractNum>
  <w:abstractNum w:abstractNumId="21">
    <w:nsid w:val="5577F8E1"/>
    <w:multiLevelType w:val="hybridMultilevel"/>
    <w:lvl w:ilvl="0">
      <w:lvlJc w:val="left"/>
      <w:lvlText w:val="%1."/>
      <w:numFmt w:val="decimal"/>
      <w:start w:val="4"/>
    </w:lvl>
  </w:abstractNum>
  <w:abstractNum w:abstractNumId="22">
    <w:nsid w:val="440BADFC"/>
    <w:multiLevelType w:val="hybridMultilevel"/>
    <w:lvl w:ilvl="0">
      <w:lvlJc w:val="left"/>
      <w:lvlText w:val="%1."/>
      <w:numFmt w:val="decimal"/>
      <w:start w:val="5"/>
    </w:lvl>
  </w:abstractNum>
  <w:abstractNum w:abstractNumId="23">
    <w:nsid w:val="5072367"/>
    <w:multiLevelType w:val="hybridMultilevel"/>
    <w:lvl w:ilvl="0">
      <w:lvlJc w:val="left"/>
      <w:lvlText w:val="%1."/>
      <w:numFmt w:val="decimal"/>
      <w:start w:val="6"/>
    </w:lvl>
    <w:lvl w:ilvl="1">
      <w:lvlJc w:val="left"/>
      <w:lvlText w:val="(%2)"/>
      <w:numFmt w:val="lowerLetter"/>
      <w:start w:val="1"/>
    </w:lvl>
  </w:abstractNum>
  <w:abstractNum w:abstractNumId="24">
    <w:nsid w:val="3804823E"/>
    <w:multiLevelType w:val="hybridMultilevel"/>
    <w:lvl w:ilvl="0">
      <w:lvlJc w:val="left"/>
      <w:lvlText w:val="%1"/>
      <w:numFmt w:val="decimal"/>
      <w:start w:val="1"/>
    </w:lvl>
    <w:lvl w:ilvl="1">
      <w:lvlJc w:val="left"/>
      <w:lvlText w:val="(%2)"/>
      <w:numFmt w:val="lowerLetter"/>
      <w:start w:val="3"/>
    </w:lvl>
  </w:abstractNum>
  <w:abstractNum w:abstractNumId="25">
    <w:nsid w:val="77465F01"/>
    <w:multiLevelType w:val="hybridMultilevel"/>
    <w:lvl w:ilvl="0">
      <w:lvlJc w:val="left"/>
      <w:lvlText w:val="%1."/>
      <w:numFmt w:val="decimal"/>
      <w:start w:val="7"/>
    </w:lvl>
    <w:lvl w:ilvl="1">
      <w:lvlJc w:val="left"/>
      <w:lvlText w:val="(%2)"/>
      <w:numFmt w:val="lowerLetter"/>
      <w:start w:val="1"/>
    </w:lvl>
  </w:abstractNum>
  <w:abstractNum w:abstractNumId="26">
    <w:nsid w:val="7724C67E"/>
    <w:multiLevelType w:val="hybridMultilevel"/>
    <w:lvl w:ilvl="0">
      <w:lvlJc w:val="left"/>
      <w:lvlText w:val="(%1)"/>
      <w:numFmt w:val="lowerLetter"/>
      <w:start w:val="3"/>
    </w:lvl>
  </w:abstractNum>
  <w:abstractNum w:abstractNumId="27">
    <w:nsid w:val="5C482A97"/>
    <w:multiLevelType w:val="hybridMultilevel"/>
    <w:lvl w:ilvl="0">
      <w:lvlJc w:val="left"/>
      <w:lvlText w:val="%1."/>
      <w:numFmt w:val="decimal"/>
      <w:start w:val="8"/>
    </w:lvl>
    <w:lvl w:ilvl="1">
      <w:lvlJc w:val="left"/>
      <w:lvlText w:val="(%2)"/>
      <w:numFmt w:val="lowerLetter"/>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decimal"/>
      <w:start w:val="1"/>
    </w:lvl>
    <w:lvl w:ilvl="1">
      <w:lvlJc w:val="left"/>
      <w:lvlText w:val="(%2)"/>
      <w:numFmt w:val="lowerLetter"/>
      <w:start w:val="2"/>
    </w:lvl>
  </w:abstractNum>
  <w:abstractNum w:abstractNumId="30">
    <w:nsid w:val="51EAD36B"/>
    <w:multiLevelType w:val="hybridMultilevel"/>
    <w:lvl w:ilvl="0">
      <w:lvlJc w:val="left"/>
      <w:lvlText w:val="%1."/>
      <w:numFmt w:val="decimal"/>
      <w:start w:val="10"/>
    </w:lvl>
    <w:lvl w:ilvl="1">
      <w:lvlJc w:val="left"/>
      <w:lvlText w:val="%2"/>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lowerLetter"/>
      <w:start w:val="5"/>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1."/>
      <w:numFmt w:val="decimal"/>
      <w:start w:val="12"/>
    </w:lvl>
  </w:abstractNum>
  <w:abstractNum w:abstractNumId="35">
    <w:nsid w:val="70A64E2A"/>
    <w:multiLevelType w:val="hybridMultilevel"/>
    <w:lvl w:ilvl="0">
      <w:lvlJc w:val="left"/>
      <w:lvlText w:val="%1."/>
      <w:numFmt w:val="decimal"/>
      <w:start w:val="13"/>
    </w:lvl>
  </w:abstractNum>
  <w:abstractNum w:abstractNumId="36">
    <w:nsid w:val="6A2342EC"/>
    <w:multiLevelType w:val="hybridMultilevel"/>
    <w:lvl w:ilvl="0">
      <w:lvlJc w:val="left"/>
      <w:lvlText w:val="%1."/>
      <w:numFmt w:val="decimal"/>
      <w:start w:val="14"/>
    </w:lvl>
    <w:lvl w:ilvl="1">
      <w:lvlJc w:val="left"/>
      <w:lvlText w:val="(%2)"/>
      <w:numFmt w:val="lowerLetter"/>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1"/>
      <w:numFmt w:val="decimal"/>
      <w:start w:val="1"/>
    </w:lvl>
    <w:lvl w:ilvl="1">
      <w:lvlJc w:val="left"/>
      <w:lvlText w:val="(%2)"/>
      <w:numFmt w:val="lowerLetter"/>
      <w:start w:val="3"/>
    </w:lvl>
  </w:abstractNum>
  <w:abstractNum w:abstractNumId="39">
    <w:nsid w:val="725A06FB"/>
    <w:multiLevelType w:val="hybridMultilevel"/>
    <w:lvl w:ilvl="0">
      <w:lvlJc w:val="left"/>
      <w:lvlText w:val="%1."/>
      <w:numFmt w:val="decimal"/>
      <w:start w:val="16"/>
    </w:lvl>
    <w:lvl w:ilvl="1">
      <w:lvlJc w:val="left"/>
      <w:lvlText w:val="(%2)"/>
      <w:numFmt w:val="lowerLetter"/>
      <w:start w:val="1"/>
    </w:lvl>
  </w:abstractNum>
  <w:abstractNum w:abstractNumId="40">
    <w:nsid w:val="2CD89A32"/>
    <w:multiLevelType w:val="hybridMultilevel"/>
    <w:lvl w:ilvl="0">
      <w:lvlJc w:val="left"/>
      <w:lvlText w:val="%1"/>
      <w:numFmt w:val="decimal"/>
      <w:start w:val="1"/>
    </w:lvl>
    <w:lvl w:ilvl="1">
      <w:lvlJc w:val="left"/>
      <w:lvlText w:val="(%2)"/>
      <w:numFmt w:val="lowerLetter"/>
      <w:start w:val="3"/>
    </w:lvl>
  </w:abstractNum>
  <w:abstractNum w:abstractNumId="41">
    <w:nsid w:val="57E4CCAF"/>
    <w:multiLevelType w:val="hybridMultilevel"/>
    <w:lvl w:ilvl="0">
      <w:lvlJc w:val="left"/>
      <w:lvlText w:val="%1."/>
      <w:numFmt w:val="decimal"/>
      <w:start w:val="17"/>
    </w:lvl>
    <w:lvl w:ilvl="1">
      <w:lvlJc w:val="left"/>
      <w:lvlText w:val="%2"/>
      <w:numFmt w:val="lowerLetter"/>
      <w:start w:val="1"/>
    </w:lvl>
  </w:abstractNum>
  <w:abstractNum w:abstractNumId="42">
    <w:nsid w:val="7A6D8D3C"/>
    <w:multiLevelType w:val="hybridMultilevel"/>
    <w:lvl w:ilvl="0">
      <w:lvlJc w:val="left"/>
      <w:lvlText w:val="%1."/>
      <w:numFmt w:val="decimal"/>
      <w:start w:val="18"/>
    </w:lvl>
  </w:abstractNum>
  <w:abstractNum w:abstractNumId="43">
    <w:nsid w:val="4B588F54"/>
    <w:multiLevelType w:val="hybridMultilevel"/>
    <w:lvl w:ilvl="0">
      <w:lvlJc w:val="left"/>
      <w:lvlText w:val="%1."/>
      <w:numFmt w:val="decimal"/>
      <w:start w:val="19"/>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28" Type="http://schemas.openxmlformats.org/officeDocument/2006/relationships/hyperlink" Target="https://www.sec.gov/Archives/edgar/data/1526520/000110465925041251/tm2513424d1_ex2-2.htm" TargetMode="External"/><Relationship Id="rId329" Type="http://schemas.openxmlformats.org/officeDocument/2006/relationships/hyperlink" Target="https://www.sec.gov/Archives/edgar/data/1526520/000110465925041251/tm2513424d1_ex3-1.htm" TargetMode="External"/><Relationship Id="rId330" Type="http://schemas.openxmlformats.org/officeDocument/2006/relationships/hyperlink" Target="https://www.sec.gov/Archives/edgar/data/1526520/000110465925041251/tm2513424d1_ex3-2.htm" TargetMode="External"/><Relationship Id="rId331" Type="http://schemas.openxmlformats.org/officeDocument/2006/relationships/hyperlink" Target="https://www.sec.gov/Archives/edgar/data/1526520/000119312526330742/tri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2026-11-05T06:22:55Z</dcterms:created>
  <dcterms:modified xsi:type="dcterms:W3CDTF">2026-11-05T06:22:55Z</dcterms:modified>
</cp:coreProperties>
</file>