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4"/>
          <w:szCs w:val="24"/>
          <w:color w:val="auto"/>
        </w:rPr>
      </w:pPr>
    </w:p>
    <w:p>
      <w:pPr>
        <w:ind w:left="520" w:right="420" w:hanging="512"/>
        <w:spacing w:after="0" w:line="262"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2" w:lineRule="exact"/>
        <w:rPr>
          <w:sz w:val="24"/>
          <w:szCs w:val="24"/>
          <w:color w:val="auto"/>
        </w:rPr>
      </w:pPr>
    </w:p>
    <w:tbl>
      <w:tblPr>
        <w:tblLayout w:type="fixed"/>
        <w:tblInd w:w="2560" w:type="dxa"/>
        <w:tblCellMar>
          <w:top w:w="0" w:type="dxa"/>
          <w:left w:w="0" w:type="dxa"/>
          <w:bottom w:w="0" w:type="dxa"/>
          <w:right w:w="0" w:type="dxa"/>
        </w:tblCellMar>
      </w:tblPr>
      <w:tr>
        <w:trPr>
          <w:trHeight w:val="214"/>
        </w:trPr>
        <w:tc>
          <w:tcPr>
            <w:tcW w:w="5500" w:type="dxa"/>
            <w:vAlign w:val="bottom"/>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20" w:type="dxa"/>
            <w:vAlign w:val="bottom"/>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8"/>
              </w:rPr>
              <w:t>80-0743202</w:t>
            </w:r>
          </w:p>
        </w:tc>
      </w:tr>
      <w:tr>
        <w:trPr>
          <w:trHeight w:val="149"/>
        </w:trPr>
        <w:tc>
          <w:tcPr>
            <w:tcW w:w="5500" w:type="dxa"/>
            <w:vAlign w:val="bottom"/>
          </w:tcPr>
          <w:p>
            <w:pPr>
              <w:jc w:val="center"/>
              <w:ind w:right="3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2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500" w:type="dxa"/>
            <w:vAlign w:val="bottom"/>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20" w:type="dxa"/>
            <w:vAlign w:val="bottom"/>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5500" w:type="dxa"/>
            <w:vAlign w:val="bottom"/>
          </w:tcPr>
          <w:p>
            <w:pPr>
              <w:jc w:val="center"/>
              <w:ind w:left="740"/>
              <w:spacing w:after="0"/>
              <w:rPr>
                <w:sz w:val="20"/>
                <w:szCs w:val="20"/>
                <w:color w:val="auto"/>
              </w:rPr>
            </w:pPr>
            <w:r>
              <w:rPr>
                <w:rFonts w:ascii="Times New Roman" w:cs="Times New Roman" w:eastAsia="Times New Roman" w:hAnsi="Times New Roman"/>
                <w:sz w:val="18"/>
                <w:szCs w:val="18"/>
                <w:b w:val="1"/>
                <w:bCs w:val="1"/>
                <w:color w:val="auto"/>
                <w:w w:val="98"/>
              </w:rPr>
              <w:t>400 1</w:t>
            </w:r>
            <w:r>
              <w:rPr>
                <w:rFonts w:ascii="Times New Roman" w:cs="Times New Roman" w:eastAsia="Times New Roman" w:hAnsi="Times New Roman"/>
                <w:sz w:val="15"/>
                <w:szCs w:val="15"/>
                <w:b w:val="1"/>
                <w:bCs w:val="1"/>
                <w:color w:val="auto"/>
                <w:w w:val="98"/>
              </w:rPr>
              <w:t>st</w:t>
            </w:r>
            <w:r>
              <w:rPr>
                <w:rFonts w:ascii="Times New Roman" w:cs="Times New Roman" w:eastAsia="Times New Roman" w:hAnsi="Times New Roman"/>
                <w:sz w:val="18"/>
                <w:szCs w:val="18"/>
                <w:b w:val="1"/>
                <w:bCs w:val="1"/>
                <w:color w:val="auto"/>
                <w:w w:val="98"/>
              </w:rPr>
              <w:t xml:space="preserve"> Avenue</w:t>
            </w:r>
          </w:p>
        </w:tc>
        <w:tc>
          <w:tcPr>
            <w:tcW w:w="1820" w:type="dxa"/>
            <w:vAlign w:val="bottom"/>
          </w:tcPr>
          <w:p>
            <w:pPr>
              <w:spacing w:after="0"/>
              <w:rPr>
                <w:sz w:val="24"/>
                <w:szCs w:val="24"/>
                <w:color w:val="auto"/>
              </w:rPr>
            </w:pPr>
          </w:p>
        </w:tc>
      </w:tr>
      <w:tr>
        <w:trPr>
          <w:trHeight w:val="214"/>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Needham, MA 02494</w:t>
            </w:r>
          </w:p>
        </w:tc>
        <w:tc>
          <w:tcPr>
            <w:tcW w:w="1820" w:type="dxa"/>
            <w:vAlign w:val="bottom"/>
          </w:tcPr>
          <w:p>
            <w:pPr>
              <w:spacing w:after="0"/>
              <w:rPr>
                <w:sz w:val="18"/>
                <w:szCs w:val="18"/>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820" w:type="dxa"/>
            <w:vAlign w:val="bottom"/>
          </w:tcPr>
          <w:p>
            <w:pPr>
              <w:spacing w:after="0"/>
              <w:rPr>
                <w:sz w:val="16"/>
                <w:szCs w:val="16"/>
                <w:color w:val="auto"/>
              </w:rPr>
            </w:pPr>
          </w:p>
        </w:tc>
      </w:tr>
      <w:tr>
        <w:trPr>
          <w:trHeight w:val="390"/>
        </w:trPr>
        <w:tc>
          <w:tcPr>
            <w:tcW w:w="5500" w:type="dxa"/>
            <w:vAlign w:val="bottom"/>
          </w:tcPr>
          <w:p>
            <w:pPr>
              <w:jc w:val="center"/>
              <w:ind w:left="740"/>
              <w:spacing w:after="0"/>
              <w:rPr>
                <w:sz w:val="20"/>
                <w:szCs w:val="20"/>
                <w:color w:val="auto"/>
              </w:rPr>
            </w:pPr>
            <w:r>
              <w:rPr>
                <w:rFonts w:ascii="Times New Roman" w:cs="Times New Roman" w:eastAsia="Times New Roman" w:hAnsi="Times New Roman"/>
                <w:sz w:val="18"/>
                <w:szCs w:val="18"/>
                <w:b w:val="1"/>
                <w:bCs w:val="1"/>
                <w:color w:val="auto"/>
                <w:w w:val="99"/>
              </w:rPr>
              <w:t>(781) 800-5000</w:t>
            </w:r>
          </w:p>
        </w:tc>
        <w:tc>
          <w:tcPr>
            <w:tcW w:w="1820" w:type="dxa"/>
            <w:vAlign w:val="bottom"/>
          </w:tcPr>
          <w:p>
            <w:pPr>
              <w:spacing w:after="0"/>
              <w:rPr>
                <w:sz w:val="24"/>
                <w:szCs w:val="24"/>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23"/>
        </w:trPr>
        <w:tc>
          <w:tcPr>
            <w:tcW w:w="5500" w:type="dxa"/>
            <w:vAlign w:val="bottom"/>
          </w:tcPr>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20" w:type="dxa"/>
            <w:vAlign w:val="bottom"/>
          </w:tcPr>
          <w:p>
            <w:pPr>
              <w:spacing w:after="0"/>
              <w:rPr>
                <w:sz w:val="24"/>
                <w:szCs w:val="24"/>
                <w:color w:val="auto"/>
              </w:rPr>
            </w:pPr>
          </w:p>
        </w:tc>
      </w:tr>
      <w:tr>
        <w:trPr>
          <w:trHeight w:val="149"/>
        </w:trPr>
        <w:tc>
          <w:tcPr>
            <w:tcW w:w="5500" w:type="dxa"/>
            <w:vAlign w:val="bottom"/>
          </w:tcPr>
          <w:p>
            <w:pPr>
              <w:jc w:val="cente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(Former name, former address and former fiscal year,</w:t>
            </w:r>
          </w:p>
        </w:tc>
        <w:tc>
          <w:tcPr>
            <w:tcW w:w="1820" w:type="dxa"/>
            <w:vAlign w:val="bottom"/>
          </w:tcPr>
          <w:p>
            <w:pPr>
              <w:spacing w:after="0"/>
              <w:rPr>
                <w:sz w:val="12"/>
                <w:szCs w:val="12"/>
                <w:color w:val="auto"/>
              </w:rPr>
            </w:pPr>
          </w:p>
        </w:tc>
      </w:tr>
      <w:tr>
        <w:trPr>
          <w:trHeight w:val="190"/>
        </w:trPr>
        <w:tc>
          <w:tcPr>
            <w:tcW w:w="5500" w:type="dxa"/>
            <w:vAlign w:val="bottom"/>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if changed since last report)</w:t>
            </w:r>
          </w:p>
        </w:tc>
        <w:tc>
          <w:tcPr>
            <w:tcW w:w="1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1" w:lineRule="exact"/>
        <w:rPr>
          <w:sz w:val="24"/>
          <w:szCs w:val="24"/>
          <w:color w:val="auto"/>
        </w:rPr>
      </w:pPr>
    </w:p>
    <w:p>
      <w:pPr>
        <w:ind w:right="36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38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0" w:firstLine="518"/>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340" w:type="dxa"/>
            <w:vAlign w:val="bottom"/>
            <w:gridSpan w:val="3"/>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340" w:type="dxa"/>
            <w:vAlign w:val="bottom"/>
            <w:gridSpan w:val="3"/>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280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20" w:type="dxa"/>
            <w:vAlign w:val="bottom"/>
          </w:tcPr>
          <w:p>
            <w:pPr>
              <w:spacing w:after="0"/>
              <w:rPr>
                <w:sz w:val="23"/>
                <w:szCs w:val="23"/>
                <w:color w:val="auto"/>
              </w:rPr>
            </w:pPr>
          </w:p>
        </w:tc>
        <w:tc>
          <w:tcPr>
            <w:tcW w:w="6340" w:type="dxa"/>
            <w:vAlign w:val="bottom"/>
            <w:gridSpan w:val="3"/>
          </w:tcPr>
          <w:p>
            <w:pPr>
              <w:jc w:val="center"/>
              <w:ind w:right="2660"/>
              <w:spacing w:after="0"/>
              <w:rPr>
                <w:sz w:val="20"/>
                <w:szCs w:val="20"/>
                <w:color w:val="auto"/>
              </w:rPr>
            </w:pPr>
            <w:r>
              <w:rPr>
                <w:rFonts w:ascii="Times New Roman" w:cs="Times New Roman" w:eastAsia="Times New Roman" w:hAnsi="Times New Roman"/>
                <w:sz w:val="14"/>
                <w:szCs w:val="14"/>
                <w:color w:val="auto"/>
              </w:rPr>
              <w:t>Class</w:t>
            </w:r>
          </w:p>
        </w:tc>
        <w:tc>
          <w:tcPr>
            <w:tcW w:w="2800" w:type="dxa"/>
            <w:vAlign w:val="bottom"/>
          </w:tcPr>
          <w:p>
            <w:pPr>
              <w:jc w:val="center"/>
              <w:ind w:right="214"/>
              <w:spacing w:after="0"/>
              <w:rPr>
                <w:sz w:val="20"/>
                <w:szCs w:val="20"/>
                <w:color w:val="auto"/>
              </w:rPr>
            </w:pPr>
            <w:r>
              <w:rPr>
                <w:rFonts w:ascii="Times New Roman" w:cs="Times New Roman" w:eastAsia="Times New Roman" w:hAnsi="Times New Roman"/>
                <w:sz w:val="14"/>
                <w:szCs w:val="14"/>
                <w:color w:val="auto"/>
              </w:rPr>
              <w:t>Outstanding Shares at October 30, 2015</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5280" w:type="dxa"/>
            <w:vAlign w:val="bottom"/>
            <w:tcBorders>
              <w:top w:val="single" w:sz="8" w:color="auto"/>
              <w:bottom w:val="single" w:sz="8" w:color="auto"/>
            </w:tcBorders>
            <w:vMerge w:val="restart"/>
          </w:tcPr>
          <w:p>
            <w:pPr>
              <w:jc w:val="center"/>
              <w:ind w:right="1514"/>
              <w:spacing w:after="0" w:line="205"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620" w:type="dxa"/>
            <w:vAlign w:val="bottom"/>
          </w:tcPr>
          <w:p>
            <w:pPr>
              <w:spacing w:after="0"/>
              <w:rPr>
                <w:sz w:val="14"/>
                <w:szCs w:val="14"/>
                <w:color w:val="auto"/>
              </w:rPr>
            </w:pPr>
          </w:p>
        </w:tc>
        <w:tc>
          <w:tcPr>
            <w:tcW w:w="5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Pr>
          <w:p>
            <w:pPr>
              <w:jc w:val="center"/>
              <w:ind w:right="214"/>
              <w:spacing w:after="0" w:line="165" w:lineRule="exact"/>
              <w:rPr>
                <w:sz w:val="20"/>
                <w:szCs w:val="20"/>
                <w:color w:val="auto"/>
              </w:rPr>
            </w:pPr>
            <w:r>
              <w:rPr>
                <w:rFonts w:ascii="Times New Roman" w:cs="Times New Roman" w:eastAsia="Times New Roman" w:hAnsi="Times New Roman"/>
                <w:sz w:val="18"/>
                <w:szCs w:val="18"/>
                <w:color w:val="auto"/>
                <w:w w:val="98"/>
              </w:rPr>
              <w:t>131,386,699 shares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6340" w:type="dxa"/>
            <w:vAlign w:val="bottom"/>
            <w:gridSpan w:val="3"/>
          </w:tcPr>
          <w:p>
            <w:pPr>
              <w:jc w:val="center"/>
              <w:ind w:right="2660"/>
              <w:spacing w:after="0"/>
              <w:rPr>
                <w:sz w:val="20"/>
                <w:szCs w:val="20"/>
                <w:color w:val="auto"/>
              </w:rPr>
            </w:pPr>
            <w:r>
              <w:rPr>
                <w:rFonts w:ascii="Times New Roman" w:cs="Times New Roman" w:eastAsia="Times New Roman" w:hAnsi="Times New Roman"/>
                <w:sz w:val="18"/>
                <w:szCs w:val="18"/>
                <w:color w:val="auto"/>
                <w:w w:val="99"/>
              </w:rPr>
              <w:t>Class B common stock, $0.001 par value per share</w:t>
            </w:r>
          </w:p>
        </w:tc>
        <w:tc>
          <w:tcPr>
            <w:tcW w:w="280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w w:val="99"/>
              </w:rPr>
              <w:t>12,799,999 shares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20" w:type="dxa"/>
            <w:vAlign w:val="bottom"/>
            <w:tcBorders>
              <w:bottom w:val="single" w:sz="8" w:color="auto"/>
            </w:tcBorders>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6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94"/>
        </w:trPr>
        <w:tc>
          <w:tcPr>
            <w:tcW w:w="16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6"/>
        </w:trPr>
        <w:tc>
          <w:tcPr>
            <w:tcW w:w="11100" w:type="dxa"/>
            <w:vAlign w:val="bottom"/>
            <w:gridSpan w:val="19"/>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1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Unaudited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6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Consolidated Statements of Operations for the Three and Nine Months Ended September 30, 2015 and 2014</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6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Comprehensive Income for the Three and Nine Months Ended September 30, 2015 and 2014</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5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Balance Sheets at September 30, 2015 and December 31, 2014</w:t>
              </w:r>
            </w:hyperlink>
          </w:p>
        </w:tc>
        <w:tc>
          <w:tcPr>
            <w:tcW w:w="1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 of Changes in Stockholders’ Equity for the Nine Months Ended September 30, 2015</w:t>
              </w:r>
            </w:hyperlink>
          </w:p>
        </w:tc>
        <w:tc>
          <w:tcPr>
            <w:tcW w:w="20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60" w:type="dxa"/>
            <w:vAlign w:val="bottom"/>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 for the Nine Months Ended September 30, 2015 and 2014</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Consolidated Financial Statements</w:t>
              </w:r>
            </w:hyperlink>
          </w:p>
        </w:tc>
        <w:tc>
          <w:tcPr>
            <w:tcW w:w="3920" w:type="dxa"/>
            <w:vAlign w:val="bottom"/>
            <w:tcBorders>
              <w:top w:val="single" w:sz="8" w:color="0000EE"/>
            </w:tcBorders>
            <w:gridSpan w:val="5"/>
          </w:tcPr>
          <w:p>
            <w:pPr>
              <w:spacing w:after="0"/>
              <w:rPr>
                <w:sz w:val="17"/>
                <w:szCs w:val="17"/>
                <w:color w:val="auto"/>
              </w:rPr>
            </w:pPr>
          </w:p>
        </w:tc>
        <w:tc>
          <w:tcPr>
            <w:tcW w:w="27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1100" w:type="dxa"/>
            <w:vAlign w:val="bottom"/>
            <w:gridSpan w:val="1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4. Controls and Procedures</w:t>
              </w:r>
            </w:hyperlink>
          </w:p>
        </w:tc>
        <w:tc>
          <w:tcPr>
            <w:tcW w:w="87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41">
              <w:r>
                <w:rPr>
                  <w:rFonts w:ascii="Times New Roman" w:cs="Times New Roman" w:eastAsia="Times New Roman" w:hAnsi="Times New Roman"/>
                  <w:sz w:val="18"/>
                  <w:szCs w:val="18"/>
                  <w:b w:val="1"/>
                  <w:bCs w:val="1"/>
                  <w:color w:val="0000EE"/>
                  <w:w w:val="99"/>
                </w:rPr>
                <w:t>Part II—Other Information</w:t>
              </w:r>
            </w:hyperlink>
          </w:p>
        </w:tc>
        <w:tc>
          <w:tcPr>
            <w:tcW w:w="894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1. Legal Proceedings</w:t>
              </w:r>
            </w:hyperlink>
          </w:p>
        </w:tc>
        <w:tc>
          <w:tcPr>
            <w:tcW w:w="920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1A. Risk Factors</w:t>
              </w:r>
            </w:hyperlink>
          </w:p>
        </w:tc>
        <w:tc>
          <w:tcPr>
            <w:tcW w:w="95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2. Unregistered Sales of Equity Securities and Use of Proceeds</w:t>
              </w:r>
            </w:hyperlink>
          </w:p>
        </w:tc>
        <w:tc>
          <w:tcPr>
            <w:tcW w:w="61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100" w:type="dxa"/>
            <w:vAlign w:val="bottom"/>
            <w:gridSpan w:val="19"/>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 Defaults Upon Senior Securities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17"/>
                <w:szCs w:val="17"/>
                <w:color w:val="auto"/>
              </w:rPr>
            </w:pPr>
          </w:p>
        </w:tc>
        <w:tc>
          <w:tcPr>
            <w:tcW w:w="82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5. Other Information</w:t>
              </w:r>
            </w:hyperlink>
          </w:p>
        </w:tc>
        <w:tc>
          <w:tcPr>
            <w:tcW w:w="92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1100" w:type="dxa"/>
            <w:vAlign w:val="bottom"/>
            <w:gridSpan w:val="1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6. Exhibits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Signature</w:t>
              </w:r>
            </w:hyperlink>
          </w:p>
        </w:tc>
        <w:tc>
          <w:tcPr>
            <w:tcW w:w="460" w:type="dxa"/>
            <w:vAlign w:val="bottom"/>
            <w:tcBorders>
              <w:top w:val="single" w:sz="8" w:color="0000EE"/>
            </w:tcBorders>
          </w:tcPr>
          <w:p>
            <w:pPr>
              <w:spacing w:after="0"/>
              <w:rPr>
                <w:sz w:val="24"/>
                <w:szCs w:val="24"/>
                <w:color w:val="auto"/>
              </w:rPr>
            </w:pPr>
          </w:p>
        </w:tc>
        <w:tc>
          <w:tcPr>
            <w:tcW w:w="994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80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 (Note 16)</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 (Note 14):</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14):</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Excludes amortization expense as follows:</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 amortization of intangible</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 included in depreciation</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 follows: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92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(1)</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1"/>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 on sale of business included in total other income</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(expense), net (Note 3)</w:t>
            </w:r>
          </w:p>
        </w:tc>
        <w:tc>
          <w:tcPr>
            <w:tcW w:w="32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right="52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adjustments exclude income taxes due to our practice and intention to indefinitely reinvest the earnings of our foreign subsidiaries in those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52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$8 and $7 at September 30, 2015 and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December 31, 2014, respectively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 (Note 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 (Note 7)</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 (Note 7)</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assets</w:t>
            </w:r>
          </w:p>
        </w:tc>
        <w:tc>
          <w:tcPr>
            <w:tcW w:w="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5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Current portion of debt (Note 8)</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 (Note 10)</w:t>
            </w:r>
          </w:p>
        </w:tc>
        <w:tc>
          <w:tcPr>
            <w:tcW w:w="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 (Note 11)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debt (Note 8)</w:t>
            </w:r>
          </w:p>
        </w:tc>
        <w:tc>
          <w:tcPr>
            <w:tcW w:w="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issued: 133,562,301 and 132,315,465</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outstanding: 131,368,128 and 130,121,292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12,799,999 and 12,799,999</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Treasury stock-common stock, at cost, 2,194,173 and 2,194,173 shares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1940" w:type="dxa"/>
            <w:vAlign w:val="bottom"/>
            <w:gridSpan w:val="2"/>
            <w:vMerge w:val="continue"/>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132,315,465</w:t>
            </w:r>
          </w:p>
        </w:tc>
        <w:tc>
          <w:tcPr>
            <w:tcW w:w="74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200" w:type="dxa"/>
            <w:vAlign w:val="bottom"/>
          </w:tcPr>
          <w:p>
            <w:pPr>
              <w:spacing w:after="0"/>
              <w:rPr>
                <w:sz w:val="20"/>
                <w:szCs w:val="20"/>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200" w:type="dxa"/>
            <w:vAlign w:val="bottom"/>
          </w:tcPr>
          <w:p>
            <w:pPr>
              <w:spacing w:after="0"/>
              <w:rPr>
                <w:sz w:val="20"/>
                <w:szCs w:val="20"/>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(2,194,173)</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1,246,836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benefits on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net</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Minimum withholding</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net share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 of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133,562,301</w:t>
            </w:r>
          </w:p>
        </w:tc>
        <w:tc>
          <w:tcPr>
            <w:tcW w:w="7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3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(2,194,173)</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720" w:type="dxa"/>
            <w:vAlign w:val="bottom"/>
          </w:tcPr>
          <w:p>
            <w:pPr>
              <w:spacing w:after="0"/>
              <w:rPr>
                <w:sz w:val="4"/>
                <w:szCs w:val="4"/>
                <w:color w:val="auto"/>
              </w:rPr>
            </w:pPr>
          </w:p>
        </w:tc>
        <w:tc>
          <w:tcPr>
            <w:tcW w:w="150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tcPr>
          <w:p>
            <w:pPr>
              <w:spacing w:after="0"/>
              <w:rPr>
                <w:sz w:val="13"/>
                <w:szCs w:val="13"/>
                <w:color w:val="auto"/>
              </w:rPr>
            </w:pPr>
          </w:p>
        </w:tc>
        <w:tc>
          <w:tcPr>
            <w:tcW w:w="940" w:type="dxa"/>
            <w:vAlign w:val="bottom"/>
            <w:tcBorders>
              <w:top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7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0"/>
                <w:szCs w:val="20"/>
                <w:color w:val="auto"/>
              </w:rPr>
            </w:pPr>
          </w:p>
        </w:tc>
        <w:tc>
          <w:tcPr>
            <w:tcW w:w="108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of property and equipment, including amortization of internal-use software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website development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 and dispositions: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taxes, net</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 including internal-use software and website development</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 of business, net of cash sold</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Chinese credit facilities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to Chinese credit facilities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facility, net of financing costs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minimum withholding taxes on net share settlements of equity awards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lease incentives related to construction financing obligation on build to suit lease</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5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560" w:type="dxa"/>
            <w:vAlign w:val="bottom"/>
          </w:tcPr>
          <w:p>
            <w:pPr>
              <w:spacing w:after="0"/>
              <w:rPr>
                <w:sz w:val="22"/>
                <w:szCs w:val="22"/>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Capitalization of construction in-process related to build to suit lease</w:t>
            </w:r>
          </w:p>
        </w:tc>
        <w:tc>
          <w:tcPr>
            <w:tcW w:w="150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these notes to the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40" w:firstLine="552"/>
        <w:spacing w:after="0" w:line="261" w:lineRule="auto"/>
        <w:rPr>
          <w:sz w:val="20"/>
          <w:szCs w:val="20"/>
          <w:color w:val="auto"/>
        </w:rPr>
      </w:pPr>
      <w:r>
        <w:rPr>
          <w:rFonts w:ascii="Times New Roman" w:cs="Times New Roman" w:eastAsia="Times New Roman" w:hAnsi="Times New Roman"/>
          <w:sz w:val="18"/>
          <w:szCs w:val="18"/>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0" w:lineRule="exact"/>
        <w:rPr>
          <w:sz w:val="20"/>
          <w:szCs w:val="20"/>
          <w:color w:val="auto"/>
        </w:rPr>
      </w:pPr>
    </w:p>
    <w:p>
      <w:pPr>
        <w:ind w:firstLine="548"/>
        <w:spacing w:after="0" w:line="255" w:lineRule="auto"/>
        <w:rPr>
          <w:sz w:val="20"/>
          <w:szCs w:val="20"/>
          <w:color w:val="auto"/>
        </w:rPr>
      </w:pPr>
      <w:r>
        <w:rPr>
          <w:rFonts w:ascii="Times New Roman" w:cs="Times New Roman" w:eastAsia="Times New Roman" w:hAnsi="Times New Roman"/>
          <w:sz w:val="18"/>
          <w:szCs w:val="18"/>
          <w:color w:val="auto"/>
        </w:rPr>
        <w:t>Our flagship brand is TripAdvisor. TripAdvisor-branded websites include tripadvisor.com in the United States and localized versions of the website in 46 countries worldwide. In addition to the flagship TripAdvisor brand, we manage and operate 23 other media brands, connected by the common goal of providing comprehensive travel planning resources across the travel sector, which include: www.airfarewatchdog.com, www.bookingbuddy.com, www.cruisecritic.com, www.everytrail.com, www.familyvacationcritic.com, www.flipkey.com, www.thefork.com (including www.lafourchette.com, www.eltenedor.com, www.iens.nl, www.besttables.com, and www.dimmi.com.au), www.gateguru.com, www.holidaylettings.co.uk, www.holidaywatchdog.com, www.independenttraveler.com, www.jetsetter.com, www.niumba.com, www.onetime.com, www.oyster.com, www.seatguru.com, www.smartertravel.com, www.tingo.com, www.travelpod.com, www.tripbod.com, www.vacationhomerentals.com, www.viator.com, and www.virtualtourist.com.</w:t>
      </w:r>
    </w:p>
    <w:p>
      <w:pPr>
        <w:spacing w:after="0" w:line="185" w:lineRule="exact"/>
        <w:rPr>
          <w:sz w:val="20"/>
          <w:szCs w:val="20"/>
          <w:color w:val="auto"/>
        </w:rPr>
      </w:pPr>
    </w:p>
    <w:p>
      <w:pPr>
        <w:ind w:right="40" w:firstLine="548"/>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from our Business Listings products; subscription and commission-based offerings from our Vacation Rentals products; transaction revenue from selling room nights through our Jetsetter and Tingo brands; selling destination activities, primarily through Viator; fulfilling online restaurant reservations, primarily through Lafourchette; as well as other revenue including content licensing.</w:t>
      </w:r>
    </w:p>
    <w:p>
      <w:pPr>
        <w:spacing w:after="0" w:line="184" w:lineRule="exact"/>
        <w:rPr>
          <w:sz w:val="20"/>
          <w:szCs w:val="20"/>
          <w:color w:val="auto"/>
        </w:rPr>
      </w:pPr>
    </w:p>
    <w:p>
      <w:pPr>
        <w:ind w:right="20" w:firstLine="548"/>
        <w:spacing w:after="0" w:line="258" w:lineRule="auto"/>
        <w:rPr>
          <w:sz w:val="20"/>
          <w:szCs w:val="20"/>
          <w:color w:val="auto"/>
        </w:rPr>
      </w:pPr>
      <w:r>
        <w:rPr>
          <w:rFonts w:ascii="Times New Roman" w:cs="Times New Roman" w:eastAsia="Times New Roman" w:hAnsi="Times New Roman"/>
          <w:sz w:val="18"/>
          <w:szCs w:val="18"/>
          <w:color w:val="auto"/>
        </w:rPr>
        <w:t>We have two reportable segments: Hotel and Other. Our Other segment consists of the aggregation of three operating segments: our Attractions, Restaurants and Vacation Rentals businesses. 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 For further information on our reportable segments see “Note 13 — Segment Information,” in these notes to our unaudited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18"/>
        <w:spacing w:after="0" w:line="289" w:lineRule="auto"/>
        <w:rPr>
          <w:sz w:val="20"/>
          <w:szCs w:val="20"/>
          <w:color w:val="auto"/>
        </w:rPr>
      </w:pPr>
      <w:r>
        <w:rPr>
          <w:rFonts w:ascii="Times New Roman" w:cs="Times New Roman" w:eastAsia="Times New Roman" w:hAnsi="Times New Roman"/>
          <w:sz w:val="17"/>
          <w:szCs w:val="17"/>
          <w:color w:val="auto"/>
        </w:rPr>
        <w:t>The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5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ind w:right="960"/>
        <w:spacing w:after="0" w:line="282" w:lineRule="auto"/>
        <w:rPr>
          <w:sz w:val="20"/>
          <w:szCs w:val="20"/>
          <w:color w:val="auto"/>
        </w:rPr>
      </w:pPr>
      <w:r>
        <w:rPr>
          <w:rFonts w:ascii="Times New Roman" w:cs="Times New Roman" w:eastAsia="Times New Roman" w:hAnsi="Times New Roman"/>
          <w:sz w:val="18"/>
          <w:szCs w:val="18"/>
          <w:color w:val="auto"/>
        </w:rPr>
        <w:t>conjunction with the audited consolidated financial statements and related notes included in our Annual Report on Form 10-K for the year ended December 31, 2014, previously filed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100" w:firstLine="552"/>
        <w:spacing w:after="0" w:line="266" w:lineRule="auto"/>
        <w:rPr>
          <w:sz w:val="20"/>
          <w:szCs w:val="20"/>
          <w:color w:val="auto"/>
        </w:rPr>
      </w:pPr>
      <w:r>
        <w:rPr>
          <w:rFonts w:ascii="Times New Roman" w:cs="Times New Roman" w:eastAsia="Times New Roman" w:hAnsi="Times New Roman"/>
          <w:sz w:val="18"/>
          <w:szCs w:val="18"/>
          <w:color w:val="auto"/>
        </w:rPr>
        <w:t>Pursuant to our disclosure in “Note 16— Segment and Geographic Information” in the notes to our consolidated financial statements in Item 8 of our Annual Report on Form 10-K for the year ended December 31, 2014, management revised our reportable segments. All prior period disclosures have been reclassified to conform to the current reporting structure. These reclassifications had no effect on our unaudited consolidated financial statements.</w:t>
      </w:r>
    </w:p>
    <w:p>
      <w:pPr>
        <w:spacing w:after="0" w:line="176" w:lineRule="exact"/>
        <w:rPr>
          <w:sz w:val="20"/>
          <w:szCs w:val="20"/>
          <w:color w:val="auto"/>
        </w:rPr>
      </w:pPr>
    </w:p>
    <w:p>
      <w:pPr>
        <w:ind w:right="100" w:firstLine="552"/>
        <w:spacing w:after="0" w:line="282" w:lineRule="auto"/>
        <w:rPr>
          <w:sz w:val="20"/>
          <w:szCs w:val="20"/>
          <w:color w:val="auto"/>
        </w:rPr>
      </w:pPr>
      <w:r>
        <w:rPr>
          <w:rFonts w:ascii="Times New Roman" w:cs="Times New Roman" w:eastAsia="Times New Roman" w:hAnsi="Times New Roman"/>
          <w:sz w:val="18"/>
          <w:szCs w:val="18"/>
          <w:color w:val="auto"/>
        </w:rPr>
        <w:t>In addition, refer to our discussion in “Note 2— Significant Accounting Policies” below for a required prior period reclassification resulting from the early adoption of new accounting guidance.</w:t>
      </w:r>
    </w:p>
    <w:p>
      <w:pPr>
        <w:spacing w:after="0" w:line="162" w:lineRule="exact"/>
        <w:rPr>
          <w:sz w:val="20"/>
          <w:szCs w:val="20"/>
          <w:color w:val="auto"/>
        </w:rPr>
      </w:pPr>
    </w:p>
    <w:p>
      <w:pPr>
        <w:ind w:right="500" w:firstLine="552"/>
        <w:spacing w:after="0" w:line="282" w:lineRule="auto"/>
        <w:rPr>
          <w:sz w:val="20"/>
          <w:szCs w:val="20"/>
          <w:color w:val="auto"/>
        </w:rPr>
      </w:pPr>
      <w:r>
        <w:rPr>
          <w:rFonts w:ascii="Times New Roman" w:cs="Times New Roman" w:eastAsia="Times New Roman" w:hAnsi="Times New Roman"/>
          <w:sz w:val="18"/>
          <w:szCs w:val="18"/>
          <w:color w:val="auto"/>
        </w:rPr>
        <w:t>All other reclassifications made to conform the prior period to the current presentation were not material and had no net effect on our unaudited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(i) recoverability of intangible assets and goodwill, (ii) recoverability and useful life of long-lived assets, (iii) accounting for income taxes, (iv) purchase accounting for business combinations and (v) stock-based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60" w:firstLine="518"/>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April 2015, the FASB issued new accounting guidance which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In August 2015, additional accounting guidance was issued on this topic that clarifies the April 2015 guidance for debt issuance costs associated with line-of-credit arrangements, which states the FASB would not object to the continued deferral and presentation of debt issuance costs as an asset, which would be subsequently amortized over the term of the arrangement. This guidance is effective for fiscal years, and the interim periods within those fiscal years, beginning after December 15, 2015, with early application permitted. The Company has early adopted this guidance. The retrospective application of this guidance decreased “Other long-term assets” and “Long-term debt” by $1 million on the consolidated balance sheet as of December 31, 2014. Refer to “Note 8— Debt” below for the current year presentation.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This update is effective for interim and annual periods beginning after December 15, 2015, with early adoption permitted. The adoption of this guidance is not expected to have a material impact on our consolidated financial statements and related disclosures.</w:t>
      </w:r>
    </w:p>
    <w:p>
      <w:pPr>
        <w:spacing w:after="0" w:line="184"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new accounting guidance on revenue from contracts with customers. The new guidance requires an entity to recognize the amount of revenue to which it expects to be entitled for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transfer of promised goods or services to customers.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we are currently evaluating the effect that the updated standard will have on our consolidated financial statements or related disclosures.</w:t>
      </w:r>
    </w:p>
    <w:p>
      <w:pPr>
        <w:spacing w:after="0" w:line="184"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since December 31, 2014. For additional information about our critical accounting policies and estimates, refer to “Note 2— Significant Accounting Policies”, in the notes to our consolidated financial statements in Item 8 of our Annual Report on Form 10-K for the year ended December 31, 2014.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DISPOSITIONS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Businesses</w:t>
      </w:r>
    </w:p>
    <w:p>
      <w:pPr>
        <w:spacing w:after="0" w:line="229" w:lineRule="exact"/>
        <w:rPr>
          <w:sz w:val="20"/>
          <w:szCs w:val="20"/>
          <w:color w:val="auto"/>
        </w:rPr>
      </w:pPr>
    </w:p>
    <w:p>
      <w:pPr>
        <w:ind w:right="100" w:firstLine="55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2015, we completed three acquisitions for a total purchase price consideration of $28 million. The cash consideration was paid primarily from our international subsidiaries. We acquired 100% of the outstanding capital stock of the following companies: ZeTrip, a personal journal app that helps users log activities, including places they have visited and photos they have taken, purchased in January 2015; BestTables, a provider of an online and mobile reservations platform for restaurants in Portugal and Brazil, purchased in March 2015; and Dimmi, a provider of an online and mobile reservations platform for restaurants in Australia, purchased in May 2015.</w:t>
      </w:r>
    </w:p>
    <w:p>
      <w:pPr>
        <w:spacing w:after="0" w:line="184" w:lineRule="exact"/>
        <w:rPr>
          <w:sz w:val="20"/>
          <w:szCs w:val="20"/>
          <w:color w:val="auto"/>
        </w:rPr>
      </w:pPr>
    </w:p>
    <w:p>
      <w:pPr>
        <w:ind w:firstLine="553"/>
        <w:spacing w:after="0" w:line="254" w:lineRule="auto"/>
        <w:rPr>
          <w:sz w:val="20"/>
          <w:szCs w:val="20"/>
          <w:color w:val="auto"/>
        </w:rPr>
      </w:pPr>
      <w:r>
        <w:rPr>
          <w:rFonts w:ascii="Times New Roman" w:cs="Times New Roman" w:eastAsia="Times New Roman" w:hAnsi="Times New Roman"/>
          <w:sz w:val="18"/>
          <w:szCs w:val="18"/>
          <w:color w:val="auto"/>
        </w:rPr>
        <w:t>These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unaudited consolidated financial statements beginning on the respective acquisition dates. Pro-forma results of operations for all of these acquisitions have not been presented as the financial impact to our unaudited consolidated financial statements, both individually and in aggregate, is not material. During the nine months ended September 30, 2015, acquisition-related costs of $1 million were expensed as incurred and recorded in general and administrative expenses on our unaudited consolidated statement of operations.</w:t>
      </w:r>
    </w:p>
    <w:p>
      <w:pPr>
        <w:spacing w:after="0" w:line="189" w:lineRule="exact"/>
        <w:rPr>
          <w:sz w:val="20"/>
          <w:szCs w:val="20"/>
          <w:color w:val="auto"/>
        </w:rPr>
      </w:pPr>
    </w:p>
    <w:p>
      <w:pPr>
        <w:ind w:right="180" w:firstLine="553"/>
        <w:spacing w:after="0" w:line="258" w:lineRule="auto"/>
        <w:rPr>
          <w:sz w:val="20"/>
          <w:szCs w:val="20"/>
          <w:color w:val="auto"/>
        </w:rPr>
      </w:pPr>
      <w:r>
        <w:rPr>
          <w:rFonts w:ascii="Times New Roman" w:cs="Times New Roman" w:eastAsia="Times New Roman" w:hAnsi="Times New Roman"/>
          <w:sz w:val="18"/>
          <w:szCs w:val="18"/>
          <w:color w:val="auto"/>
        </w:rPr>
        <w:t>The purchase price allocation of our 2015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on a retroactive basis. The primary areas of the purchase price allocation that are not yet finalized are income tax-related balances for all 2015 acquisitions. Acquired goodwill related to our 2015 acquisitions was primarily allocated to our Other segment and is not deductible for tax purposes.</w:t>
      </w:r>
    </w:p>
    <w:p>
      <w:pPr>
        <w:spacing w:after="0" w:line="184" w:lineRule="exact"/>
        <w:rPr>
          <w:sz w:val="20"/>
          <w:szCs w:val="20"/>
          <w:color w:val="auto"/>
        </w:rPr>
      </w:pPr>
    </w:p>
    <w:p>
      <w:pPr>
        <w:ind w:right="80" w:firstLine="5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price allocations initially recorded on our unaudited consolidated balance sheet for all 2015 acquisitions (in millions):</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7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top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purchase price consideration (2)</w:t>
            </w: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right="300" w:hanging="572"/>
        <w:spacing w:after="0" w:line="254"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definite-lived intangible assets acquired during 2015 were comprised of trade names of $2 million with a weighted average life of 9.9 years, customer lists and supplier relationships of $7 million with a weighted average life of 5.9 years and technology and other of $3 million with a weighted average life of 2.5 years. The overall weighted-average life of the identifiable definite-lived intangible assets acquired in the purchase of these businesses during 2015 was 6.0 years, and will be amortized on a straight-line basis over their estimated useful lives from acquisition date.</w:t>
      </w:r>
    </w:p>
    <w:p>
      <w:pPr>
        <w:spacing w:after="0" w:line="3" w:lineRule="exact"/>
        <w:rPr>
          <w:rFonts w:ascii="Times New Roman" w:cs="Times New Roman" w:eastAsia="Times New Roman" w:hAnsi="Times New Roman"/>
          <w:sz w:val="18"/>
          <w:szCs w:val="18"/>
          <w:color w:val="auto"/>
        </w:rPr>
      </w:pPr>
    </w:p>
    <w:p>
      <w:pPr>
        <w:ind w:left="580" w:right="1540" w:hanging="572"/>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based on (i) final working capital adjustment calculations to be determined for BestTables and Dimmi, and (ii) indemnification obligations for general representations and warranties of the acquired company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of Business</w:t>
      </w:r>
    </w:p>
    <w:p>
      <w:pPr>
        <w:spacing w:after="0" w:line="121" w:lineRule="exact"/>
        <w:rPr>
          <w:sz w:val="20"/>
          <w:szCs w:val="20"/>
          <w:color w:val="auto"/>
        </w:rPr>
      </w:pPr>
    </w:p>
    <w:p>
      <w:pPr>
        <w:ind w:firstLine="548"/>
        <w:spacing w:after="0" w:line="258" w:lineRule="auto"/>
        <w:rPr>
          <w:sz w:val="20"/>
          <w:szCs w:val="20"/>
          <w:color w:val="auto"/>
        </w:rPr>
      </w:pPr>
      <w:r>
        <w:rPr>
          <w:rFonts w:ascii="Times New Roman" w:cs="Times New Roman" w:eastAsia="Times New Roman" w:hAnsi="Times New Roman"/>
          <w:sz w:val="18"/>
          <w:szCs w:val="18"/>
          <w:color w:val="auto"/>
        </w:rPr>
        <w:t>In August 2015, we sold 100% interest in one of our Chinese subsidiaries to an unrelated third party for $28 million in cash consideration, which includes $3 million currently held back by the purchaser for certain short-term contingencies. Accordingly, we deconsolidated $11 million of assets (which included $3 million of cash sold) and $4 million of liabilities from our unaudited consolidated balance sheet and recognized an initial $17 million gain on sale of subsidiary in our unaudited consolidated statement of operations in “Interest income and other, net” during the three and nine months ended September 30, 2015, respectively.</w:t>
      </w:r>
    </w:p>
    <w:p>
      <w:pPr>
        <w:spacing w:after="0" w:line="112" w:lineRule="exact"/>
        <w:rPr>
          <w:sz w:val="20"/>
          <w:szCs w:val="20"/>
          <w:color w:val="auto"/>
        </w:rPr>
      </w:pPr>
    </w:p>
    <w:p>
      <w:pPr>
        <w:ind w:right="53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4: STOCK BASED AWARDS AND OTHER EQUITY INSTRUMENTS </w:t>
      </w:r>
      <w:r>
        <w:rPr>
          <w:rFonts w:ascii="Times New Roman" w:cs="Times New Roman" w:eastAsia="Times New Roman" w:hAnsi="Times New Roman"/>
          <w:sz w:val="18"/>
          <w:szCs w:val="18"/>
          <w:b w:val="1"/>
          <w:bCs w:val="1"/>
          <w:i w:val="1"/>
          <w:iCs w:val="1"/>
          <w:color w:val="auto"/>
        </w:rPr>
        <w:t>Stock-Based Compensation Expense</w:t>
      </w: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related to stock-based awards, primarily stock options and restricted stock units (“RSUs”), on our unaudited consolidated statements of operations during the periods presented:</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4"/>
          </w:tcPr>
          <w:p>
            <w:pPr>
              <w:jc w:val="center"/>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tcPr>
          <w:p>
            <w:pPr>
              <w:jc w:val="center"/>
              <w:ind w:left="377"/>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 expense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 Activity and Valuation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Option Activity</w:t>
      </w:r>
    </w:p>
    <w:p>
      <w:pPr>
        <w:spacing w:after="0" w:line="11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we issued 395,613 service-based non-qualified stock options under the Company’s 2011 Stock and Annual Incentive Plan, as amended (the “2011 Plan”). These stock options have a term of ten years from the date of grant and generally vest equitably over a four-year requisite service period.</w:t>
      </w:r>
    </w:p>
    <w:p>
      <w:pPr>
        <w:spacing w:after="0" w:line="176"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A summary of the status and activity for stock option awards relating to our common stock for the nine months ended September 30, 2015, is presented below:</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2015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(1)</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(2,759)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September 30, 2015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2015</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after September 30, 2015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40" w:right="80" w:hanging="319"/>
        <w:spacing w:after="0" w:line="258"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1,769,209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1" w:name="page12"/>
    <w:bookmarkEnd w:id="11"/>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The NASDAQ Global Select Market as of September 30, 2015 was $63.02. The total intrinsic value of stock options exercised for the nine months ended September 30, 2015 and 2014 was $128 million and $71 million, respectively.</w:t>
      </w:r>
    </w:p>
    <w:p>
      <w:pPr>
        <w:spacing w:after="0" w:line="6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under the 2011 Plan has been estimated at the date of grant using the Black–Scholes option pricing model with the following weighted average assumptions for the periods presented:</w:t>
      </w:r>
    </w:p>
    <w:p>
      <w:pPr>
        <w:spacing w:after="0" w:line="263"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240" w:type="dxa"/>
            <w:vAlign w:val="bottom"/>
          </w:tcPr>
          <w:p>
            <w:pPr>
              <w:spacing w:after="0"/>
              <w:rPr>
                <w:sz w:val="15"/>
                <w:szCs w:val="15"/>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32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40.24%</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46.09%</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41.76%</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47.70%</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580" w:firstLine="51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$33.24 and $47.03 for the nine months ended September 30, 2015 and 2014, respectively. The total fair value of stock options vested for the nine months ended September 30, 2015 and 2014 was $30 million and $27 million,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RSU Activity</w:t>
      </w:r>
    </w:p>
    <w:p>
      <w:pPr>
        <w:spacing w:after="0" w:line="11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2015, we issued 707,608 RSUs under the 2011 Plan for which the fair value was measured based on the quoted price of our common stock on the date of grant. These RSUs generally vest over a four-year requisite service period.</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RSU activity during the nine months ended September 30, 2015: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61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3"/>
        </w:trPr>
        <w:tc>
          <w:tcPr>
            <w:tcW w:w="616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6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56"/>
        </w:trPr>
        <w:tc>
          <w:tcPr>
            <w:tcW w:w="6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January 1, 2015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September 30, 2015</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840" w:right="120" w:hanging="319"/>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112,639 RSUs withheld to satisfy employee minimum tax withholding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 Expense</w:t>
      </w:r>
    </w:p>
    <w:p>
      <w:pPr>
        <w:spacing w:after="0" w:line="121"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A summary of our remaining unrecognized stock-based compensation expense, net of estimated forfeitures, and the weighted average remaining amortization period at September 30, 2015 related to our non-vested stock options and RSU awards is presented below (in millions, except per year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8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stock-based compensation expense (net of forfeitures)</w:t>
            </w:r>
          </w:p>
        </w:tc>
        <w:tc>
          <w:tcPr>
            <w:tcW w:w="15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10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period remaining (in years)</w:t>
            </w: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765"/>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right="16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r>
      <w:tr>
        <w:trPr>
          <w:trHeight w:val="173"/>
        </w:trPr>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September 30, 2015.</w:t>
      </w:r>
    </w:p>
    <w:p>
      <w:pPr>
        <w:spacing w:after="0" w:line="176"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There were no material realized gains or losses related to sales of our marketable securities for the three and nine months ended September 30, 2015 and 2014, respectively. We consider any individual investments in an unrealized loss position to be temporary in nature and do not consider any of our investments other-than-temporarily impaired.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100" w:firstLine="552"/>
        <w:spacing w:after="0" w:line="258" w:lineRule="auto"/>
        <w:rPr>
          <w:sz w:val="20"/>
          <w:szCs w:val="20"/>
          <w:color w:val="auto"/>
        </w:rPr>
      </w:pPr>
      <w:r>
        <w:rPr>
          <w:rFonts w:ascii="Times New Roman" w:cs="Times New Roman" w:eastAsia="Times New Roman" w:hAnsi="Times New Roman"/>
          <w:sz w:val="18"/>
          <w:szCs w:val="18"/>
          <w:color w:val="auto"/>
        </w:rPr>
        <w:t>Our current forward contracts are not designated as hedges and have current maturities of less than 90 days. Consequently, any gain or loss resulting from the change in fair value was recognized in our unaudited consolidated statements of operations. We recorded a net loss of $1 million and a net gain of $1 million for the three and nine months ended September 30, 2015, respectively, related to our settled and outstanding forward contracts in our unaudited consolidated statements of operations in “Interest income and other, net.” All gains and losses for the three and nine months ended September 30, 2014 were not material.</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the notional principal amount of our outstanding derivative instruments that are not designated as hedging instruments for the periods presented:</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3"/>
                <w:szCs w:val="13"/>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2015</w:t>
            </w: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exchange-forward contracts </w:t>
            </w:r>
            <w:r>
              <w:rPr>
                <w:rFonts w:ascii="Times New Roman" w:cs="Times New Roman" w:eastAsia="Times New Roman" w:hAnsi="Times New Roman"/>
                <w:sz w:val="14"/>
                <w:szCs w:val="14"/>
                <w:color w:val="auto"/>
              </w:rPr>
              <w:t>(1)(2)</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ind w:left="840" w:hanging="319"/>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address foreign exchange fluctuations for the Euro versus the U.S. Dollar.</w:t>
      </w:r>
    </w:p>
    <w:p>
      <w:pPr>
        <w:spacing w:after="0" w:line="27" w:lineRule="exact"/>
        <w:rPr>
          <w:rFonts w:ascii="Times New Roman" w:cs="Times New Roman" w:eastAsia="Times New Roman" w:hAnsi="Times New Roman"/>
          <w:sz w:val="18"/>
          <w:szCs w:val="18"/>
          <w:color w:val="auto"/>
        </w:rPr>
      </w:pPr>
    </w:p>
    <w:p>
      <w:pPr>
        <w:jc w:val="both"/>
        <w:ind w:left="840" w:right="80" w:hanging="319"/>
        <w:spacing w:after="0" w:line="255"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derivative instruments are not material as of September 30, 2015 and December 31, 2014.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September 30, 2015 and December 31, 2014, respectively. The carrying value of the long-term debt from our 2015 Credit Facility bears interest at a variable rate and therefore is also considered to approximate fair value.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3 assets or liabilities at September 30, 2015 and December 31, 2014.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for the periods presented:</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jc w:val="right"/>
              <w:ind w:right="813"/>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Building (1)</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1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 (1)</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840" w:right="280" w:hanging="319"/>
        <w:spacing w:after="0" w:line="28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construction costs incurred by the landlord and the Company, related to our corporate headquarters in Needham, MA. During the nine months ended September 30, 2015, we capitalized $6 million in non-cash construction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ind w:left="840" w:right="60"/>
        <w:spacing w:after="0" w:line="261" w:lineRule="auto"/>
        <w:rPr>
          <w:sz w:val="20"/>
          <w:szCs w:val="20"/>
          <w:color w:val="auto"/>
        </w:rPr>
      </w:pPr>
      <w:r>
        <w:rPr>
          <w:rFonts w:ascii="Times New Roman" w:cs="Times New Roman" w:eastAsia="Times New Roman" w:hAnsi="Times New Roman"/>
          <w:sz w:val="18"/>
          <w:szCs w:val="18"/>
          <w:color w:val="auto"/>
        </w:rPr>
        <w:t>costs which were incurred by the landlord, with a corresponding liability recorded in other long-term liabilities. Upon completion of construction at the end of the second quarter of 2015, this asset was reclassified to a building asset and we began depreciating it over an estimated useful life of 40 years on a straight-line basis. Refer to “Note 12 – Commitments and Contingencies,” in the notes to our unaudited consolidated financial statements in this Quarterly Report on Form 10-Q for additional information on this lease.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segment for the period presented: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Hotel</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2015</w:t>
            </w:r>
          </w:p>
        </w:tc>
        <w:tc>
          <w:tcPr>
            <w:tcW w:w="16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(1)</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Disposition (1)</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 (2)</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September 30, 2015</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3 – Acquisitions and Dispositions,” above for additional information.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are primarily related to impact of changes in foreign exchange rates.</w:t>
      </w:r>
    </w:p>
    <w:p>
      <w:pPr>
        <w:spacing w:after="0" w:line="200" w:lineRule="exact"/>
        <w:rPr>
          <w:sz w:val="20"/>
          <w:szCs w:val="20"/>
          <w:color w:val="auto"/>
        </w:rPr>
      </w:pPr>
    </w:p>
    <w:p>
      <w:pPr>
        <w:spacing w:after="0" w:line="33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which were acquired in business combinations and recorded at fair value on the date of purchase, consist of the following for the periods presented:</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2400" w:type="dxa"/>
            <w:vAlign w:val="bottom"/>
            <w:gridSpan w:val="2"/>
            <w:shd w:val="clear" w:color="auto" w:fill="CFF0FC"/>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12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our intangible assets with definite lives for the periods presented: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gridSpan w:val="3"/>
            <w:shd w:val="clear" w:color="auto" w:fill="CFF0FC"/>
          </w:tcPr>
          <w:p>
            <w:pPr>
              <w:jc w:val="right"/>
              <w:ind w:right="18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 and supplier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relationships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15" w:name="page16"/>
    <w:bookmarkEnd w:id="15"/>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2015 (remaining three months)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2020 and thereafter</w:t>
            </w:r>
          </w:p>
        </w:tc>
        <w:tc>
          <w:tcPr>
            <w:tcW w:w="7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8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jc w:val="right"/>
              <w:ind w:right="1079"/>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for the periods presented: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6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6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Short-Term Debt</w:t>
            </w:r>
          </w:p>
        </w:tc>
        <w:tc>
          <w:tcPr>
            <w:tcW w:w="720" w:type="dxa"/>
            <w:vAlign w:val="bottom"/>
          </w:tcPr>
          <w:p>
            <w:pPr>
              <w:spacing w:after="0"/>
              <w:rPr>
                <w:sz w:val="22"/>
                <w:szCs w:val="22"/>
                <w:color w:val="auto"/>
              </w:rPr>
            </w:pPr>
          </w:p>
        </w:tc>
        <w:tc>
          <w:tcPr>
            <w:tcW w:w="134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2015 Credit Facility</w:t>
            </w:r>
          </w:p>
        </w:tc>
        <w:tc>
          <w:tcPr>
            <w:tcW w:w="206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Long-Term Debt</w:t>
            </w:r>
          </w:p>
        </w:tc>
        <w:tc>
          <w:tcPr>
            <w:tcW w:w="7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20, 2011, we entered into a credit agreement (the “2011 Credit Facility”), which provided $600 million of borrowing including:</w:t>
      </w:r>
    </w:p>
    <w:p>
      <w:pPr>
        <w:spacing w:after="0" w:line="216" w:lineRule="exact"/>
        <w:rPr>
          <w:sz w:val="20"/>
          <w:szCs w:val="20"/>
          <w:color w:val="auto"/>
        </w:rPr>
      </w:pPr>
    </w:p>
    <w:p>
      <w:pPr>
        <w:ind w:left="820" w:right="2280" w:hanging="257"/>
        <w:spacing w:after="0" w:line="21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term loan facility in an aggregate principal amount of $400 million with a term of five years due December 2016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(“Term Loan”); and</w:t>
      </w:r>
    </w:p>
    <w:p>
      <w:pPr>
        <w:ind w:left="820" w:right="2520" w:hanging="257"/>
        <w:spacing w:after="0" w:line="20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a revolving credit facility in an aggregate principal amount of $200 million available in U.S. dollars, Euros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British pound sterling with a term of five years expiring December 2016.</w:t>
      </w:r>
    </w:p>
    <w:p>
      <w:pPr>
        <w:spacing w:after="0" w:line="308" w:lineRule="exact"/>
        <w:rPr>
          <w:sz w:val="20"/>
          <w:szCs w:val="20"/>
          <w:color w:val="auto"/>
        </w:rPr>
      </w:pPr>
    </w:p>
    <w:p>
      <w:pPr>
        <w:ind w:firstLine="552"/>
        <w:spacing w:after="0" w:line="266" w:lineRule="auto"/>
        <w:rPr>
          <w:sz w:val="20"/>
          <w:szCs w:val="20"/>
          <w:color w:val="auto"/>
        </w:rPr>
      </w:pPr>
      <w:r>
        <w:rPr>
          <w:rFonts w:ascii="Times New Roman" w:cs="Times New Roman" w:eastAsia="Times New Roman" w:hAnsi="Times New Roman"/>
          <w:sz w:val="18"/>
          <w:szCs w:val="18"/>
          <w:color w:val="auto"/>
        </w:rPr>
        <w:t>On June 26, 2015, the entire outstanding principal on our Term Loan in the amount of $290 million was repaid with borrowings from our 2015 Credit Facility (described below) and the 2011 Credit Facility was subsequently terminated. The Company was able to repay the Term Loan debt and terminate the 2011 Credit Facility without premium or penalty. There was no resulting loss on early extinguishment of this debt.</w:t>
      </w:r>
    </w:p>
    <w:p>
      <w:pPr>
        <w:spacing w:after="0" w:line="176"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2015, we recorded total interest and commitment fees on our 2011 Credit Facility of $3 million to interest expense on our unaudited consolidated statements of operations. During the three and nine months ended September 30, 2014, we recorded total interest and commitment fees on our 2011 Credit Facility of $1 million and $5 million, respectively, to interest expense on our unaudited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229" w:lineRule="exact"/>
        <w:rPr>
          <w:sz w:val="20"/>
          <w:szCs w:val="20"/>
          <w:color w:val="auto"/>
        </w:rPr>
      </w:pPr>
    </w:p>
    <w:p>
      <w:pPr>
        <w:jc w:val="both"/>
        <w:ind w:right="320" w:firstLine="552"/>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6" w:name="page17"/>
    <w:bookmarkEnd w:id="16"/>
    <w:p>
      <w:pPr>
        <w:ind w:right="40" w:firstLine="552"/>
        <w:spacing w:after="0" w:line="255"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 in the case of interest denominated in US Dollars, 2.00% per annum plus the Alternate Base Rate plus the interest rate spread applicable to ABR loans. The Company may borrow from the revolving credit facility in U.S dollars, Euros and British pound sterling with a term of five years expiring June 26, 2020.</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immediately borrowed $290 million from this revolving credit facility, which was used to repay all outstanding borrowings pursuant to the 2011 Credit Facility and is recorded in long term liabilities on our unaudited balance sheet as of September 30, 2015. There is no specific repayment date prior to the five-year maturity date for borrowings under this revolving credit facility. Based on the Company’s current leverage ratio, our borrowings bear interest at LIBOR plus 125 basis points, or the Eurocurrency Spread. The Company is currently borrowing under a one-month interest period of 1.50% per annum, using a one-month interest period Eurocurrency Spread, which will reset periodically. Interest will be payable on a monthly basis while the Company is borrowing under the one-month interest rate period.</w:t>
      </w:r>
    </w:p>
    <w:p>
      <w:pPr>
        <w:spacing w:after="0" w:line="188" w:lineRule="exact"/>
        <w:rPr>
          <w:sz w:val="20"/>
          <w:szCs w:val="20"/>
          <w:color w:val="auto"/>
        </w:rPr>
      </w:pPr>
    </w:p>
    <w:p>
      <w:pPr>
        <w:ind w:right="60" w:firstLine="552"/>
        <w:spacing w:after="0" w:line="261"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September 30, 2015, we had issued $2 million of outstanding letters of credit under the 2015 Credit Facility.</w:t>
      </w:r>
    </w:p>
    <w:p>
      <w:pPr>
        <w:spacing w:after="0" w:line="180" w:lineRule="exact"/>
        <w:rPr>
          <w:sz w:val="20"/>
          <w:szCs w:val="20"/>
          <w:color w:val="auto"/>
        </w:rPr>
      </w:pPr>
    </w:p>
    <w:p>
      <w:pPr>
        <w:ind w:right="180" w:firstLine="552"/>
        <w:spacing w:after="0" w:line="266"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2015, we recorded total interest and commitment fees on our 2015 Credit Facility of $1 million, respectively, to interest expense on our unaudited consolidated statements of operations. All unpaid interest and commitment fee amounts as of September 30, 2015 were not material.</w:t>
      </w:r>
    </w:p>
    <w:p>
      <w:pPr>
        <w:spacing w:after="0" w:line="176" w:lineRule="exact"/>
        <w:rPr>
          <w:sz w:val="20"/>
          <w:szCs w:val="20"/>
          <w:color w:val="auto"/>
        </w:rPr>
      </w:pPr>
    </w:p>
    <w:p>
      <w:pPr>
        <w:ind w:right="40" w:firstLine="552"/>
        <w:spacing w:after="0" w:line="261" w:lineRule="auto"/>
        <w:rPr>
          <w:sz w:val="20"/>
          <w:szCs w:val="20"/>
          <w:color w:val="auto"/>
        </w:rPr>
      </w:pPr>
      <w:r>
        <w:rPr>
          <w:rFonts w:ascii="Times New Roman" w:cs="Times New Roman" w:eastAsia="Times New Roman" w:hAnsi="Times New Roman"/>
          <w:sz w:val="18"/>
          <w:szCs w:val="18"/>
          <w:color w:val="auto"/>
        </w:rPr>
        <w:t>In connection with the 2015 Credit Facility, we incurred lender fees and debt financing costs totaling $3 million, which are recorded as a reduction of the 2015 Credit Facility borrowings and reported in long-term debt on the unaudited consolidated balance sheet as of September 30, 2015. These costs will be amortized over the term of the 2015 Credit Facility using the effective interest rate method and will be recorded to interest expense on our unaudited consolidated statements of operations.</w:t>
      </w:r>
    </w:p>
    <w:p>
      <w:pPr>
        <w:spacing w:after="0" w:line="180"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76" w:lineRule="exact"/>
        <w:rPr>
          <w:sz w:val="20"/>
          <w:szCs w:val="20"/>
          <w:color w:val="auto"/>
        </w:rPr>
      </w:pPr>
    </w:p>
    <w:p>
      <w:pPr>
        <w:ind w:right="80" w:firstLine="548"/>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September 30, 2015, we are in compliance with all of our debt covenants.</w:t>
      </w:r>
    </w:p>
    <w:p>
      <w:pPr>
        <w:spacing w:after="0" w:line="180" w:lineRule="exact"/>
        <w:rPr>
          <w:sz w:val="20"/>
          <w:szCs w:val="20"/>
          <w:color w:val="auto"/>
        </w:rPr>
      </w:pPr>
    </w:p>
    <w:p>
      <w:pPr>
        <w:ind w:right="220" w:firstLine="548"/>
        <w:spacing w:after="0" w:line="282" w:lineRule="auto"/>
        <w:rPr>
          <w:sz w:val="20"/>
          <w:szCs w:val="20"/>
          <w:color w:val="auto"/>
        </w:rPr>
      </w:pPr>
      <w:r>
        <w:rPr>
          <w:rFonts w:ascii="Times New Roman" w:cs="Times New Roman" w:eastAsia="Times New Roman" w:hAnsi="Times New Roman"/>
          <w:sz w:val="18"/>
          <w:szCs w:val="18"/>
          <w:color w:val="auto"/>
        </w:rPr>
        <w:t>The full text of the credit agreement entered into in connection with the 2015 Credit Facility is incorporated by reference in this Quarterly Report to Exhibit 10.1 of the Company’s Current Report on Form 8-K filed June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Credit Facilities</w:t>
      </w:r>
    </w:p>
    <w:p>
      <w:pPr>
        <w:spacing w:after="0" w:line="121" w:lineRule="exact"/>
        <w:rPr>
          <w:sz w:val="20"/>
          <w:szCs w:val="20"/>
          <w:color w:val="auto"/>
        </w:rPr>
      </w:pPr>
    </w:p>
    <w:p>
      <w:pPr>
        <w:ind w:right="120" w:firstLine="552"/>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2015 Credit Facility, we maintain our Chinese Credit Facilities. As of September 30, 2015 and December 31, 2014, we had short-term borrowings outstanding of $1 million and $38 million, respectively.</w:t>
      </w:r>
    </w:p>
    <w:p>
      <w:pPr>
        <w:spacing w:after="0" w:line="162" w:lineRule="exact"/>
        <w:rPr>
          <w:sz w:val="20"/>
          <w:szCs w:val="20"/>
          <w:color w:val="auto"/>
        </w:rPr>
      </w:pPr>
    </w:p>
    <w:p>
      <w:pPr>
        <w:ind w:firstLine="552"/>
        <w:spacing w:after="0" w:line="258" w:lineRule="auto"/>
        <w:rPr>
          <w:sz w:val="20"/>
          <w:szCs w:val="20"/>
          <w:color w:val="auto"/>
        </w:rPr>
      </w:pPr>
      <w:r>
        <w:rPr>
          <w:rFonts w:ascii="Times New Roman" w:cs="Times New Roman" w:eastAsia="Times New Roman" w:hAnsi="Times New Roman"/>
          <w:sz w:val="18"/>
          <w:szCs w:val="18"/>
          <w:color w:val="auto"/>
        </w:rPr>
        <w:t>Our Chinese subsidiary is entered into a RMB 189,000,000 (approximately $30 million), one-year revolving credit facility with Bank of America (the “Chinese Credit Facility—BOA”) that is currently subject to review on a periodic basis with no specific expiration period. Our Chinese Credit Facility— BOA currently bears interest at a rate based on 100% of the People’s Bank of China’s base rate, which was 4.60% as of September 30, 2015. During the three months ended June 30, 2015, the Company made a $22 million repayment of our outstanding borrowings on our Chinese Credit Facilities- BOA. As of September 30, 2015, we had $1 million of outstanding borrowings from the Chinese Credit Facility—BOA.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ind w:right="340" w:firstLine="552"/>
        <w:spacing w:after="0" w:line="258" w:lineRule="auto"/>
        <w:rPr>
          <w:sz w:val="20"/>
          <w:szCs w:val="20"/>
          <w:color w:val="auto"/>
        </w:rPr>
      </w:pPr>
      <w:r>
        <w:rPr>
          <w:rFonts w:ascii="Times New Roman" w:cs="Times New Roman" w:eastAsia="Times New Roman" w:hAnsi="Times New Roman"/>
          <w:sz w:val="18"/>
          <w:szCs w:val="18"/>
          <w:color w:val="auto"/>
        </w:rPr>
        <w:t>In addition, our Chinese subsidiary is entered into a RMB 125,000,000 (approximately $20 million) one-year revolving credit facility with J.P. Morgan Chase Bank (“Chinese Credit Facility—JPM”). Our Chinese Credit Facility—JPM currently also bears interest at a rate based on 100% of the People’s Bank of China’s base rate, which was 4.60% as of September 30, 2015. During the three months ended June 30, 2015, the Company made a $19 million repayment of our outstanding borrowings on our Chinese Credit Facilities- JPM. As of September 30, 2015, there are no outstanding borrowings under our Chinese Credit Facility – JPM.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and, accordingly, we measure our income tax expense using an estimated annual effective tax rate. A company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2015 was 24.5% and 26.4%, respectively. Our effective tax rate for the three and nine months ended September 30, 2014 was 28.0% and 28.8%, respectively. For the three and nine months ended September 30, 2015,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change in the effective tax rate for 2015 compared to the 2014 effective tax rate was primarily due to a change in jurisdictional earnings, including a non-taxable gain related to the sale of one of our Chinese subsidiaries, as well as certain discrete items.</w:t>
      </w:r>
    </w:p>
    <w:p>
      <w:pPr>
        <w:spacing w:after="0" w:line="188" w:lineRule="exact"/>
        <w:rPr>
          <w:sz w:val="20"/>
          <w:szCs w:val="20"/>
          <w:color w:val="auto"/>
        </w:rPr>
      </w:pPr>
    </w:p>
    <w:p>
      <w:pPr>
        <w:jc w:val="both"/>
        <w:ind w:right="560" w:firstLine="518"/>
        <w:spacing w:after="0" w:line="266" w:lineRule="auto"/>
        <w:rPr>
          <w:sz w:val="20"/>
          <w:szCs w:val="20"/>
          <w:color w:val="auto"/>
        </w:rPr>
      </w:pPr>
      <w:r>
        <w:rPr>
          <w:rFonts w:ascii="Times New Roman" w:cs="Times New Roman" w:eastAsia="Times New Roman" w:hAnsi="Times New Roman"/>
          <w:sz w:val="18"/>
          <w:szCs w:val="18"/>
          <w:color w:val="auto"/>
        </w:rPr>
        <w:t>Our policy is to recognize accrued interest and penalties related to unrecognized tax benefits and income tax liabilities as part of our income tax expense. As of September 30, 2015, accrued interest is $4 million, net of federal benefit, and no penalties have been accrued. We do not anticipate any material releases in the next twelve months.</w:t>
      </w:r>
    </w:p>
    <w:p>
      <w:pPr>
        <w:spacing w:after="0" w:line="176"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We are under examination by the Internal Revenue Service (“IRS”) for the 2009 and 2010 tax years with respect to consolidated income tax returns previously filed with Expedia, Inc., and we have various ongoing state income tax audits. We are separately under examination by the IRS for the 2012 and 2013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2007. As of September 30, 2015, no material assessments have resulted.</w:t>
      </w:r>
    </w:p>
    <w:p>
      <w:pPr>
        <w:spacing w:after="0" w:line="18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2015, we received notification of a proposed adjustment from the IRS for the 2009 and 2010 tax years and we anticipate receiving additional notices of proposed adjustments for the same years. These proposed adjustments are related to transfer pricing with our foreign subsidiaries, and would result in an increase to U.S. taxable income and 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by judicial remedies. As of September 30, 2015, no additional adjustments have been proposed.</w:t>
      </w:r>
    </w:p>
    <w:p>
      <w:pPr>
        <w:spacing w:after="0" w:line="18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addition, on July 27, 2015, the U.S. Tax Court in Altera Corp. v. Commissioner issued an opinion with respect to Altera’s litigation with the IRS, concerning the treatment of stock- based compensation expense in an intercompany cost sharing arrangement. A final decision has yet to be issued by the U.S. Tax Court due to other outstanding issues related to the case. We concluded that no adjustment to our consolidated financial statements is appropriate at this time, related to our transfer pricing arrangements, due to the uncertainties with respect to the ultimate resolution of this case. We will continue to monitor ongoing developments and the potential impact, if any, to our consolidated financial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2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related benefits</w:t>
            </w:r>
          </w:p>
        </w:tc>
        <w:tc>
          <w:tcPr>
            <w:tcW w:w="302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charitable foundation payments</w:t>
            </w:r>
          </w:p>
        </w:tc>
        <w:tc>
          <w:tcPr>
            <w:tcW w:w="17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vMerge w:val="restart"/>
          </w:tcPr>
          <w:p>
            <w:pPr>
              <w:jc w:val="right"/>
              <w:ind w:right="816"/>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11: OTHER LONG-TERM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long-term liabilities consisted of the following for the periods presented:</w:t>
      </w:r>
    </w:p>
    <w:p>
      <w:pPr>
        <w:spacing w:after="0" w:line="32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4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16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2240" w:type="dxa"/>
            <w:vAlign w:val="bottom"/>
            <w:gridSpan w:val="2"/>
            <w:shd w:val="clear" w:color="auto" w:fill="CFF0FC"/>
          </w:tcPr>
          <w:p>
            <w:pPr>
              <w:jc w:val="right"/>
              <w:ind w:right="15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Financing obligation, net of current portion (2)</w:t>
            </w: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(3)</w:t>
            </w:r>
          </w:p>
        </w:tc>
        <w:tc>
          <w:tcPr>
            <w:tcW w:w="540" w:type="dxa"/>
            <w:vAlign w:val="bottom"/>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19"/>
                <w:szCs w:val="19"/>
                <w:color w:val="auto"/>
              </w:rPr>
            </w:pPr>
          </w:p>
        </w:tc>
        <w:tc>
          <w:tcPr>
            <w:tcW w:w="1700" w:type="dxa"/>
            <w:vAlign w:val="bottom"/>
            <w:tcBorders>
              <w:bottom w:val="single" w:sz="8" w:color="auto"/>
            </w:tcBorders>
          </w:tcPr>
          <w:p>
            <w:pPr>
              <w:jc w:val="right"/>
              <w:ind w:right="15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accrued interest related to this liability.</w:t>
      </w:r>
    </w:p>
    <w:p>
      <w:pPr>
        <w:spacing w:after="0" w:line="27" w:lineRule="exact"/>
        <w:rPr>
          <w:rFonts w:ascii="Times New Roman" w:cs="Times New Roman" w:eastAsia="Times New Roman" w:hAnsi="Times New Roman"/>
          <w:sz w:val="18"/>
          <w:szCs w:val="18"/>
          <w:color w:val="auto"/>
        </w:rPr>
      </w:pPr>
    </w:p>
    <w:p>
      <w:pPr>
        <w:ind w:left="500" w:right="380" w:hanging="492"/>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 Commitments and Contingencies,” in the notes to our unaudited consolidated financial statements in this Quarterly Report on Form 10-Q for additional information on our corporate headquarters lease.</w:t>
      </w: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consist of long term deferred rent balances related to operating leases for office space.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w:t>
      </w:r>
    </w:p>
    <w:p>
      <w:pPr>
        <w:spacing w:after="0" w:line="121" w:lineRule="exact"/>
        <w:rPr>
          <w:sz w:val="20"/>
          <w:szCs w:val="20"/>
          <w:color w:val="auto"/>
        </w:rPr>
      </w:pPr>
    </w:p>
    <w:p>
      <w:pPr>
        <w:ind w:right="140" w:firstLine="552"/>
        <w:spacing w:after="0" w:line="256" w:lineRule="auto"/>
        <w:rPr>
          <w:sz w:val="20"/>
          <w:szCs w:val="20"/>
          <w:color w:val="auto"/>
        </w:rPr>
      </w:pPr>
      <w:r>
        <w:rPr>
          <w:rFonts w:ascii="Times New Roman" w:cs="Times New Roman" w:eastAsia="Times New Roman" w:hAnsi="Times New Roman"/>
          <w:sz w:val="18"/>
          <w:szCs w:val="18"/>
          <w:color w:val="auto"/>
        </w:rPr>
        <w:t>In June 2013, TripAdvisor LLC (“TA LLC”), our indirect, wholly owned subsidiary, entered into a lease, for a new corporate headquarters (the “Lease”). Pursuant to the Lease, the landlord built an approximately 280,000 square foot rental building in Needham, Massachusetts (the “Premises”), and leased the Premises to TA LLC as our new corporate headquarters for an initial term of 15 years and 7 months or through December 2030. Under the Lease, TA LLC is required to pay an initial base rent of $33.00 per square foot per year, increasing to $34.50 per square foot per year by the final year of the initial term, as well as all real estate taxes and other building operating costs. TA LLC also has an option to extend the term of the Lease for two consecutive terms of five years each.</w:t>
      </w:r>
    </w:p>
    <w:p>
      <w:pPr>
        <w:spacing w:after="0" w:line="296" w:lineRule="exact"/>
        <w:rPr>
          <w:sz w:val="20"/>
          <w:szCs w:val="20"/>
          <w:color w:val="auto"/>
        </w:rPr>
      </w:pPr>
    </w:p>
    <w:p>
      <w:pPr>
        <w:jc w:val="both"/>
        <w:ind w:right="40" w:firstLine="548"/>
        <w:spacing w:after="0" w:line="261" w:lineRule="auto"/>
        <w:rPr>
          <w:sz w:val="20"/>
          <w:szCs w:val="20"/>
          <w:color w:val="auto"/>
        </w:rPr>
      </w:pPr>
      <w:r>
        <w:rPr>
          <w:rFonts w:ascii="Times New Roman" w:cs="Times New Roman" w:eastAsia="Times New Roman" w:hAnsi="Times New Roman"/>
          <w:sz w:val="18"/>
          <w:szCs w:val="18"/>
          <w:color w:val="auto"/>
        </w:rPr>
        <w:t>The aggregate future minimum lease payments are $143 million and are currently scheduled to be paid, beginning in November 2015, as follows: $1 million for 2015, $9 million for 2016, $9 million for 2017, $9 million for 2018, $9 million for 2019 and an aggregate of $106 million for 2020 and thereafter. The Lease has escalating rental payments and initial periods of free rent. TA LLC was also obligated to deliver a letter of credit to the Landlord in the amount of $1 million as security deposit, which amount is subject to increase under certain circumstances.</w:t>
      </w:r>
    </w:p>
    <w:p>
      <w:pPr>
        <w:spacing w:after="0" w:line="180" w:lineRule="exact"/>
        <w:rPr>
          <w:sz w:val="20"/>
          <w:szCs w:val="20"/>
          <w:color w:val="auto"/>
        </w:rPr>
      </w:pPr>
    </w:p>
    <w:p>
      <w:pPr>
        <w:ind w:right="240" w:firstLine="552"/>
        <w:spacing w:after="0" w:line="258" w:lineRule="auto"/>
        <w:rPr>
          <w:sz w:val="20"/>
          <w:szCs w:val="20"/>
          <w:color w:val="auto"/>
        </w:rPr>
      </w:pPr>
      <w:r>
        <w:rPr>
          <w:rFonts w:ascii="Times New Roman" w:cs="Times New Roman" w:eastAsia="Times New Roman" w:hAnsi="Times New Roman"/>
          <w:sz w:val="18"/>
          <w:szCs w:val="18"/>
          <w:color w:val="auto"/>
        </w:rPr>
        <w:t>Because we were involved in the construction project, including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incurred by the landlord as a construction-in-progress asset and a related construction financing obligation during the construction period on our consolidated balance sheets. The amounts that the Company has paid or incurred for normal tenant improvements and structural improvements had also been recorded to the construction-in-progress asset.</w:t>
      </w:r>
    </w:p>
    <w:p>
      <w:pPr>
        <w:spacing w:after="0" w:line="184" w:lineRule="exact"/>
        <w:rPr>
          <w:sz w:val="20"/>
          <w:szCs w:val="20"/>
          <w:color w:val="auto"/>
        </w:rPr>
      </w:pPr>
    </w:p>
    <w:p>
      <w:pPr>
        <w:ind w:firstLine="552"/>
        <w:spacing w:after="0" w:line="253" w:lineRule="auto"/>
        <w:rPr>
          <w:sz w:val="20"/>
          <w:szCs w:val="20"/>
          <w:color w:val="auto"/>
        </w:rPr>
      </w:pPr>
      <w:r>
        <w:rPr>
          <w:rFonts w:ascii="Times New Roman" w:cs="Times New Roman" w:eastAsia="Times New Roman" w:hAnsi="Times New Roman"/>
          <w:sz w:val="18"/>
          <w:szCs w:val="18"/>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has been accounted for as a financing obligation. Accordingly, we will depreciate the building asset over its estimated useful life and incur interest expense related to the financing obligation using the effective interest rate method. We will bifurcate our lease payments pursuant to the Premises into: (i) a portion that is allocated to the building (a reduction to the financing obligation) and; (ii) a portion that is allocated to the land on which the building was constructed. Although we will not begin making lease payments pursuant to the Lease until November 2015, the portion of the lease obligations allocated to the land has been treated for accounting purposes as an operating lease that commenced in 2013. The financing obligation is considered a long-term finance lease obligation with the current portion recorded to “Accrued expenses and other” on our unaudited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25"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involve claims involving alleged infringement of third-party intellectual property rights (including patent infringement), defamation, taxes, regulatory compliance privacy issues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85"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commitments and contingencies since December 31, 2014, except as described in “Note 8— Debt” in the notes to our unaudited consolidated financial statements in this Quarterly Report on Form 10-Q regarding our 2011 Credit Facility and 2015 Credit Facility. Refer to “Note 12— Commitments and Contingencies,” in the notes to our consolidated financial statements in Item 8 of our Annual Report on Form 10-K for the year ended December 31, 2014.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reporting structure includes two reportable segments: Hotel and Other.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Hotel</w:t>
      </w:r>
    </w:p>
    <w:p>
      <w:pPr>
        <w:spacing w:after="0" w:line="119" w:lineRule="exact"/>
        <w:rPr>
          <w:sz w:val="20"/>
          <w:szCs w:val="20"/>
          <w:color w:val="auto"/>
        </w:rPr>
      </w:pPr>
    </w:p>
    <w:p>
      <w:pPr>
        <w:ind w:right="420" w:firstLine="552"/>
        <w:spacing w:after="0" w:line="261" w:lineRule="auto"/>
        <w:rPr>
          <w:sz w:val="20"/>
          <w:szCs w:val="20"/>
          <w:color w:val="auto"/>
        </w:rPr>
      </w:pPr>
      <w:r>
        <w:rPr>
          <w:rFonts w:ascii="Times New Roman" w:cs="Times New Roman" w:eastAsia="Times New Roman" w:hAnsi="Times New Roman"/>
          <w:sz w:val="18"/>
          <w:szCs w:val="18"/>
          <w:color w:val="auto"/>
        </w:rPr>
        <w:t>Our Hotel segment includes revenue generated from services related to hotels, including click-based and display-based advertising revenue from making hotel room reservations, airline reservations, and cruise reservations available for price comparison and booking, as well as subscription-based products such as Business Listings, transaction-based products such as Jetsetter and Tingo, and other hotel related revenue. Our chief operating decision maker, or CODM, is also the Hotel segment manager.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Other segment consists of the aggregation of three operating segments: our Attractions, Restaurants and Vacation Rentals businesses.</w:t>
      </w:r>
    </w:p>
    <w:p>
      <w:pPr>
        <w:spacing w:after="0" w:line="223" w:lineRule="exact"/>
        <w:rPr>
          <w:sz w:val="20"/>
          <w:szCs w:val="20"/>
          <w:color w:val="auto"/>
        </w:rPr>
      </w:pPr>
    </w:p>
    <w:p>
      <w:pPr>
        <w:ind w:right="140" w:firstLine="5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Attractions. </w:t>
      </w:r>
      <w:r>
        <w:rPr>
          <w:rFonts w:ascii="Times New Roman" w:cs="Times New Roman" w:eastAsia="Times New Roman" w:hAnsi="Times New Roman"/>
          <w:sz w:val="18"/>
          <w:szCs w:val="18"/>
          <w:color w:val="auto"/>
        </w:rPr>
        <w:t>We provide, through Viator, information and services for researching and booking destination activities around the world. Viator 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This business is comprised of our websites that provide online and mobile reservation services that connect restaurants with</w:t>
      </w:r>
    </w:p>
    <w:p>
      <w:pPr>
        <w:spacing w:after="0" w:line="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diners. These websites are currently primarily focused on the European market, primarily through Lafourchette. Lafourchette is an online restaurant booking platform with a network of restaurant partners across Europe. Lafourchette also offers management software solutions helping restaurants to maximize business by providing a flexible online booking, discount and data tool. Revenue is primarily generated by receiving a fee for each restaurant guest seated through the online reservation systems.</w:t>
      </w:r>
    </w:p>
    <w:p>
      <w:pPr>
        <w:spacing w:after="0" w:line="184" w:lineRule="exact"/>
        <w:rPr>
          <w:sz w:val="20"/>
          <w:szCs w:val="20"/>
          <w:color w:val="auto"/>
        </w:rPr>
      </w:pPr>
    </w:p>
    <w:p>
      <w:pPr>
        <w:ind w:right="80" w:firstLine="552"/>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their properties available for rental and connect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and European-based Holiday Lettings and Niumba.</w:t>
      </w:r>
    </w:p>
    <w:p>
      <w:pPr>
        <w:spacing w:after="0" w:line="182" w:lineRule="exact"/>
        <w:rPr>
          <w:sz w:val="20"/>
          <w:szCs w:val="20"/>
          <w:color w:val="auto"/>
        </w:rPr>
      </w:pPr>
    </w:p>
    <w:p>
      <w:pPr>
        <w:ind w:right="20" w:firstLine="552"/>
        <w:spacing w:after="0" w:line="282" w:lineRule="auto"/>
        <w:rPr>
          <w:sz w:val="20"/>
          <w:szCs w:val="20"/>
          <w:color w:val="auto"/>
        </w:rPr>
      </w:pPr>
      <w:r>
        <w:rPr>
          <w:rFonts w:ascii="Times New Roman" w:cs="Times New Roman" w:eastAsia="Times New Roman" w:hAnsi="Times New Roman"/>
          <w:sz w:val="18"/>
          <w:szCs w:val="18"/>
          <w:color w:val="auto"/>
        </w:rPr>
        <w:t>Each operating segment in our Other segment has a segment manager who is directly accountable to and maintains regular contact with our CODM to discuss operating activities, financial results, forecasts, and plans for the segment.</w:t>
      </w:r>
    </w:p>
    <w:p>
      <w:pPr>
        <w:spacing w:after="0" w:line="162" w:lineRule="exact"/>
        <w:rPr>
          <w:sz w:val="20"/>
          <w:szCs w:val="20"/>
          <w:color w:val="auto"/>
        </w:rPr>
      </w:pPr>
    </w:p>
    <w:p>
      <w:pPr>
        <w:ind w:right="40" w:firstLine="552"/>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are based. In particular, the exclusion of certain expenses in calculating</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0" w:name="page21"/>
    <w:bookmarkEnd w:id="20"/>
    <w:p>
      <w:pPr>
        <w:ind w:right="60"/>
        <w:spacing w:after="0" w:line="261" w:lineRule="auto"/>
        <w:rPr>
          <w:sz w:val="20"/>
          <w:szCs w:val="20"/>
          <w:color w:val="auto"/>
        </w:rPr>
      </w:pPr>
      <w:r>
        <w:rPr>
          <w:rFonts w:ascii="Times New Roman" w:cs="Times New Roman" w:eastAsia="Times New Roman" w:hAnsi="Times New Roman"/>
          <w:sz w:val="18"/>
          <w:szCs w:val="18"/>
          <w:color w:val="auto"/>
        </w:rPr>
        <w:t>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0" w:lineRule="exact"/>
        <w:rPr>
          <w:sz w:val="20"/>
          <w:szCs w:val="20"/>
          <w:color w:val="auto"/>
        </w:rPr>
      </w:pPr>
    </w:p>
    <w:p>
      <w:pPr>
        <w:ind w:right="40" w:firstLine="552"/>
        <w:spacing w:after="0" w:line="255"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three and nine months ended September 30, 2015 and 2014. We have recorded depreciation of property and equipment, including amortization of internal-use software and website development, amortization of intangible assets, stock-based compensation, other non-recurring expenses, other expenses, net, and income taxes, which are excluded from segment operating performance, in Corporate and unallocated. In addition, we do not report our assets or capital expenditures by segment as it would not be meaningful. We also do not regularly provide asset, capital expenditure or depreciation information by segment to our CODM.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2015</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5"/>
          </w:tcPr>
          <w:p>
            <w:pPr>
              <w:jc w:val="center"/>
              <w:ind w:right="10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auto"/>
            </w:tcBorders>
            <w:shd w:val="clear" w:color="auto" w:fill="CFF0FC"/>
          </w:tcPr>
          <w:p>
            <w:pPr>
              <w:spacing w:after="0"/>
              <w:rPr>
                <w:sz w:val="18"/>
                <w:szCs w:val="18"/>
                <w:color w:val="auto"/>
              </w:rPr>
            </w:pPr>
          </w:p>
        </w:tc>
        <w:tc>
          <w:tcPr>
            <w:tcW w:w="1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5"/>
          </w:tcPr>
          <w:p>
            <w:pPr>
              <w:jc w:val="center"/>
              <w:ind w:right="10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vMerge w:val="restart"/>
          </w:tcPr>
          <w:p>
            <w:pPr>
              <w:jc w:val="right"/>
              <w:ind w:right="824"/>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21" w:name="page22"/>
    <w:bookmarkEnd w:id="21"/>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2015</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6"/>
          </w:tcPr>
          <w:p>
            <w:pPr>
              <w:jc w:val="center"/>
              <w:ind w:right="10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non-recurring expenses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2014</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Hotel</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6"/>
          </w:tcPr>
          <w:p>
            <w:pPr>
              <w:jc w:val="center"/>
              <w:ind w:right="10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1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412"/>
        <w:spacing w:after="0" w:line="261"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$23 million and $69 million; and in our Other segment of $8 million and $23 million for the three and nine months ended September 30, 2015, respectively.</w:t>
      </w:r>
    </w:p>
    <w:p>
      <w:pPr>
        <w:ind w:left="420" w:hanging="412"/>
        <w:spacing w:after="0" w:line="261"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$24 million and $65 million; and in our Other segment of $6 million and $12 million for the three and nine months ended September 30, 2014,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Earnings Per Share Attributable to Common Stockholders</w:t>
      </w:r>
    </w:p>
    <w:p>
      <w:pPr>
        <w:spacing w:after="0" w:line="121"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Earnings Per Share Attributable to Common Stockholders</w:t>
      </w:r>
    </w:p>
    <w:p>
      <w:pPr>
        <w:spacing w:after="0" w:line="121" w:lineRule="exact"/>
        <w:rPr>
          <w:sz w:val="20"/>
          <w:szCs w:val="20"/>
          <w:color w:val="auto"/>
        </w:rPr>
      </w:pPr>
    </w:p>
    <w:p>
      <w:pPr>
        <w:ind w:firstLine="552"/>
        <w:spacing w:after="0" w:line="255" w:lineRule="auto"/>
        <w:rPr>
          <w:sz w:val="20"/>
          <w:szCs w:val="20"/>
          <w:color w:val="auto"/>
        </w:rPr>
      </w:pPr>
      <w:r>
        <w:rPr>
          <w:rFonts w:ascii="Times New Roman" w:cs="Times New Roman" w:eastAsia="Times New Roman" w:hAnsi="Times New Roman"/>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bookmarkStart w:id="22" w:name="page23"/>
    <w:bookmarkEnd w:id="22"/>
    <w:p>
      <w:pPr>
        <w:ind w:right="40" w:firstLine="552"/>
        <w:spacing w:after="0" w:line="25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88"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Basic and Diluted EPS (shares in thousands and U.S. dollars in millions, except per share amounts) for the periods presented:</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1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144,133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142,842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143,662</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CFF0FC"/>
            </w:tcBorders>
            <w:gridSpan w:val="3"/>
          </w:tcPr>
          <w:p>
            <w:pPr>
              <w:ind w:left="48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gridSpan w:val="3"/>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 Diluted</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Borders>
              <w:bottom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EPS</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145,828</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146,071</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145,886</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4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2015(1)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2015(1)</w:t>
            </w:r>
          </w:p>
        </w:tc>
        <w:tc>
          <w:tcPr>
            <w:tcW w:w="160" w:type="dxa"/>
            <w:vAlign w:val="bottom"/>
          </w:tcPr>
          <w:p>
            <w:pPr>
              <w:spacing w:after="0"/>
              <w:rPr>
                <w:sz w:val="19"/>
                <w:szCs w:val="19"/>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2014(2)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599</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840" w:hanging="319"/>
        <w:spacing w:after="0" w:line="257"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12,799 performance based RSUs representing the right to acquire 79,465 shares of common stock for which all targets required to trigger vesting have not been achieved; therefore, such awards were excluded from the calculation of weighted average shares used to compute Diluted EPS for those reporting periods.</w:t>
      </w:r>
    </w:p>
    <w:p>
      <w:pPr>
        <w:spacing w:after="0" w:line="1" w:lineRule="exact"/>
        <w:rPr>
          <w:rFonts w:ascii="Times New Roman" w:cs="Times New Roman" w:eastAsia="Times New Roman" w:hAnsi="Times New Roman"/>
          <w:sz w:val="18"/>
          <w:szCs w:val="18"/>
          <w:color w:val="auto"/>
        </w:rPr>
      </w:pPr>
    </w:p>
    <w:p>
      <w:pPr>
        <w:ind w:left="840" w:right="200" w:hanging="319"/>
        <w:spacing w:after="0" w:line="255"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66,666 performance based options and 44,000 performance based RSUs representing the right to acquire 110,666 shares of common stock for which all targets required to trigger vesting have not been achieved; therefore, such awards were excluded from the calculation of weighted average shares used to compute Diluted EPS for those reporting periods.</w:t>
      </w:r>
    </w:p>
    <w:p>
      <w:pPr>
        <w:spacing w:after="0" w:line="18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21" w:lineRule="exact"/>
        <w:rPr>
          <w:sz w:val="20"/>
          <w:szCs w:val="20"/>
          <w:color w:val="auto"/>
        </w:rPr>
      </w:pPr>
    </w:p>
    <w:p>
      <w:pPr>
        <w:ind w:right="60" w:firstLine="518"/>
        <w:spacing w:after="0" w:line="277" w:lineRule="auto"/>
        <w:rPr>
          <w:sz w:val="20"/>
          <w:szCs w:val="20"/>
          <w:color w:val="auto"/>
        </w:rPr>
      </w:pPr>
      <w:r>
        <w:rPr>
          <w:rFonts w:ascii="Times New Roman" w:cs="Times New Roman" w:eastAsia="Times New Roman" w:hAnsi="Times New Roman"/>
          <w:sz w:val="17"/>
          <w:szCs w:val="17"/>
          <w:color w:val="auto"/>
        </w:rPr>
        <w:t>As of September 30, 2015, Liberty TripAdvisor Holdings, Inc. (“LTRIP”) beneficially owned 18,159,752 shares of our common stock and 12,799,999 shares of our Class B common stock, which shares constitute 13.8% of the outstanding shares of common stock and 100% of the outstanding shares of Class B common stock. Assuming the conversion of all of LTRIP’s shares of Class B common stock into common stock, LTRIP would beneficially own 21.5% of the outstanding common stock. Because each share of Class B common stock generally is entitled to ten votes per share and each share of common stock is entitled to one vote per share, LTRIP may be deemed to beneficially own equity securities representing approximately 56.4% of our voting power.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p>
      <w:pPr>
        <w:ind w:right="1220" w:firstLine="518"/>
        <w:spacing w:after="0" w:line="454" w:lineRule="auto"/>
        <w:rPr>
          <w:sz w:val="20"/>
          <w:szCs w:val="20"/>
          <w:color w:val="auto"/>
        </w:rPr>
      </w:pPr>
      <w:r>
        <w:rPr>
          <w:rFonts w:ascii="Times New Roman" w:cs="Times New Roman" w:eastAsia="Times New Roman" w:hAnsi="Times New Roman"/>
          <w:sz w:val="18"/>
          <w:szCs w:val="18"/>
          <w:color w:val="auto"/>
        </w:rPr>
        <w:t xml:space="preserve">We had no related party transactions with LTRIP during the three and nine months ended September 30, 2015 and 2014, respectively. </w:t>
      </w:r>
      <w:r>
        <w:rPr>
          <w:rFonts w:ascii="Times New Roman" w:cs="Times New Roman" w:eastAsia="Times New Roman" w:hAnsi="Times New Roman"/>
          <w:sz w:val="18"/>
          <w:szCs w:val="18"/>
          <w:b w:val="1"/>
          <w:bCs w:val="1"/>
          <w:color w:val="auto"/>
        </w:rPr>
        <w:t>NOTE 16: INTEREST INCOME AND OTHER, NET</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detail of interest income and other, net, for the periods presented:</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5"/>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realized and unrealized, on foreign exchange and</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contracts and other, net</w:t>
            </w:r>
          </w:p>
        </w:tc>
        <w:tc>
          <w:tcPr>
            <w:tcW w:w="7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business (1)</w:t>
            </w:r>
          </w:p>
        </w:tc>
        <w:tc>
          <w:tcPr>
            <w:tcW w:w="80" w:type="dxa"/>
            <w:vAlign w:val="bottom"/>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8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230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3 – Acquisitions and Dispositions” in the notes to our unaudited consolidated financial statements in this Quarterly Report on Form 10-Q for additional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October 8, 2015, the Company announced the appointment of Ernst Teunissen as Senior Vice President and Chief Financial Officer, effective as of November 9, 2015. In connection with his appointment, on October 6, 2015, the Company entered into an employment agreement with Mr. Teunissen, to be effective on November 9, 2015 and expiring on March 31, 2018 (the “Employment Agreement”). The Employment Agreement entered into with Mr. Teunissen was filed as Exhibit 10.1 to the Company’s Current Report on Form 8-K filed October 8, 2015 and is incorporated by reference in this Quarterly Report on Form 10-Q for the quarter ended September 30, 2015.</w:t>
      </w:r>
    </w:p>
    <w:p>
      <w:pPr>
        <w:spacing w:after="0" w:line="184" w:lineRule="exact"/>
        <w:rPr>
          <w:sz w:val="20"/>
          <w:szCs w:val="20"/>
          <w:color w:val="auto"/>
        </w:rPr>
      </w:pPr>
    </w:p>
    <w:p>
      <w:pPr>
        <w:ind w:right="100" w:firstLine="761"/>
        <w:spacing w:after="0" w:line="256" w:lineRule="auto"/>
        <w:rPr>
          <w:sz w:val="20"/>
          <w:szCs w:val="20"/>
          <w:color w:val="auto"/>
        </w:rPr>
      </w:pPr>
      <w:r>
        <w:rPr>
          <w:rFonts w:ascii="Times New Roman" w:cs="Times New Roman" w:eastAsia="Times New Roman" w:hAnsi="Times New Roman"/>
          <w:sz w:val="18"/>
          <w:szCs w:val="18"/>
          <w:color w:val="auto"/>
        </w:rPr>
        <w:t>On November 4, 2015, the Compensation Committee approved, and the Company entered into, a verbal amendment to the Separation Agreement entered into with Julie M.B. Bradley, the Company’s current Chief Financial Officer. Previously, the Company and Ms. Bradley entered into a Separation Agreement, dated April 2, 2015 (the “Separation Agreement”), pursuant to which Ms. Bradley agreed to remain with the Company on a full-time basis for a transition period, which would last until the earlier of September 30, 2015 or thirty days following her successor’s start date (the “Transition Period”). In order to provide for an orderly transition of responsibilities to Mr. Teunissen, who will not join the Company until November 9, 2015, Ms. Bradley and the Company have verbally agreed as follows:</w:t>
      </w:r>
    </w:p>
    <w:p>
      <w:pPr>
        <w:spacing w:after="0" w:line="188" w:lineRule="exact"/>
        <w:rPr>
          <w:sz w:val="20"/>
          <w:szCs w:val="20"/>
          <w:color w:val="auto"/>
        </w:rPr>
      </w:pPr>
    </w:p>
    <w:p>
      <w:pPr>
        <w:ind w:left="2280" w:hanging="381"/>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Period will be extended to November 20, 2015 (the “Separation Date”);</w:t>
      </w:r>
    </w:p>
    <w:p>
      <w:pPr>
        <w:spacing w:after="0" w:line="225" w:lineRule="exact"/>
        <w:rPr>
          <w:rFonts w:ascii="Times New Roman" w:cs="Times New Roman" w:eastAsia="Times New Roman" w:hAnsi="Times New Roman"/>
          <w:sz w:val="18"/>
          <w:szCs w:val="18"/>
          <w:color w:val="auto"/>
        </w:rPr>
      </w:pPr>
    </w:p>
    <w:p>
      <w:pPr>
        <w:ind w:left="2280" w:hanging="381"/>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pay Ms. Bradley’s base salary through August 2016;</w:t>
      </w:r>
    </w:p>
    <w:p>
      <w:pPr>
        <w:spacing w:after="0" w:line="225" w:lineRule="exact"/>
        <w:rPr>
          <w:rFonts w:ascii="Times New Roman" w:cs="Times New Roman" w:eastAsia="Times New Roman" w:hAnsi="Times New Roman"/>
          <w:sz w:val="18"/>
          <w:szCs w:val="18"/>
          <w:color w:val="auto"/>
        </w:rPr>
      </w:pPr>
    </w:p>
    <w:p>
      <w:pPr>
        <w:ind w:left="2280" w:right="260" w:hanging="381"/>
        <w:spacing w:after="0" w:line="282" w:lineRule="auto"/>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Ms. Bradley approximately $187,000, an amount equal to her target annual bonus for 2015 prorated through the Separation Date;</w:t>
      </w:r>
    </w:p>
    <w:p>
      <w:pPr>
        <w:spacing w:after="0" w:line="161" w:lineRule="exact"/>
        <w:rPr>
          <w:rFonts w:ascii="Times New Roman" w:cs="Times New Roman" w:eastAsia="Times New Roman" w:hAnsi="Times New Roman"/>
          <w:sz w:val="18"/>
          <w:szCs w:val="18"/>
          <w:color w:val="auto"/>
        </w:rPr>
      </w:pPr>
    </w:p>
    <w:p>
      <w:pPr>
        <w:ind w:left="2280" w:right="20" w:hanging="381"/>
        <w:spacing w:after="0" w:line="256" w:lineRule="auto"/>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awards of Ms. Bradley that are outstanding and unvested as of the Separation Date that would, but for her termination of employment, have vested on or before July 31, 2016 (the “Equity Acceleration Period”) shall vest (and, with respect to restricted stock units, shall settle) as of the Separation Date; provided, that any outstanding equity award with a vesting schedule that would, but for the termination of employment, have resulted in a smaller percentage (or none) of the equity award being vested through the end of such Equity Acceleration Period than if it had vested monthly pro rata over its vesting period shall, for purposes of this provision, be treated as though it vested monthly pro rata over its vesting period; and</w:t>
      </w:r>
    </w:p>
    <w:p>
      <w:pPr>
        <w:spacing w:after="0" w:line="187" w:lineRule="exact"/>
        <w:rPr>
          <w:rFonts w:ascii="Times New Roman" w:cs="Times New Roman" w:eastAsia="Times New Roman" w:hAnsi="Times New Roman"/>
          <w:sz w:val="18"/>
          <w:szCs w:val="18"/>
          <w:color w:val="auto"/>
        </w:rPr>
      </w:pPr>
    </w:p>
    <w:p>
      <w:pPr>
        <w:ind w:left="2280" w:right="40" w:hanging="381"/>
        <w:spacing w:after="0" w:line="282" w:lineRule="auto"/>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to purchase shares of the Company’s equity held by Ms. Bradley shall remain exercisable through the date that is 18 months following the Separation Date or, if earlier, through the scheduled expiration date of such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51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2014.</w:t>
      </w:r>
    </w:p>
    <w:p>
      <w:pPr>
        <w:spacing w:after="0" w:line="72"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2014,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45" w:lineRule="exact"/>
        <w:rPr>
          <w:sz w:val="20"/>
          <w:szCs w:val="20"/>
          <w:color w:val="auto"/>
        </w:rPr>
      </w:pPr>
    </w:p>
    <w:p>
      <w:pPr>
        <w:jc w:val="both"/>
        <w:ind w:firstLine="571"/>
        <w:spacing w:after="0" w:line="253" w:lineRule="auto"/>
        <w:rPr>
          <w:sz w:val="20"/>
          <w:szCs w:val="20"/>
          <w:color w:val="auto"/>
        </w:rPr>
      </w:pPr>
      <w:r>
        <w:rPr>
          <w:rFonts w:ascii="Times New Roman" w:cs="Times New Roman" w:eastAsia="Times New Roman" w:hAnsi="Times New Roman"/>
          <w:sz w:val="18"/>
          <w:szCs w:val="18"/>
          <w:color w:val="auto"/>
        </w:rPr>
        <w:t>This Quarterly Report also includes certain metrics which we believe are key to our business, including unique visitors, hotel shoppers, downloads of our mobile apps, and number of reviews and opinions. As the industry in which we operate continues to evolve, so too might the metrics by which we evaluate our business. In addition, while these numbers are based on what we believe to be reasonable estimates, our internal tools have a number of limitations and our methodologies for tracking these metrics may change over time. Accordingly readers should not place undue reliance on these numbers.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Also if the internal tools we use to track these metrics under-count or over-count performance or contain algorithm or other technical errors, the data we report may not be accurate. In addition, historically, certain metrics were calculated by independent third parties. More recently, we started to calculate metrics using internal tools, which are not independently verified by a third party.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w:t>
      </w:r>
    </w:p>
    <w:p>
      <w:pPr>
        <w:spacing w:after="0" w:line="19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Certain revenue information in this section entitled "— Revenue by Product— Foreign Exchange Impact on Revenue" is presented on a constant currency basis. This information is a non-GAAP financial measure. To calculate revenue on a constant currency basis, we translated revenue for the three and nine months ended September 30, 2015 using the prior year's quarterly average exchange rates for our settlement currencies other than the U.S. dollar. This non-GAAP financial measure is not intended to be considered in isolation or as a substitute for, or superior to, financial information prepared and presented in accordance with GAAP. This measure may be different from non-GAAP financial measures used by other companies, limiting its usefulness for comparison purposes. Moreover, presentation of revenue on a constant currency basis is provided for year-over-year comparison purposes, and investors should be cautioned that the effect of changing foreign currency exchange rates has an actual effect on our operating results. We believe this non-GAAP financial measure provides investors with useful supplemental information about the financial performance of our business, enables comparison of financial results between periods where certain items may vary independent of business performance, and allow for greater transparency with respect to key metrics used by management in operating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80" w:firstLine="552"/>
        <w:spacing w:after="0" w:line="258" w:lineRule="auto"/>
        <w:rPr>
          <w:sz w:val="20"/>
          <w:szCs w:val="20"/>
          <w:color w:val="auto"/>
        </w:rPr>
      </w:pPr>
      <w:r>
        <w:rPr>
          <w:rFonts w:ascii="Times New Roman" w:cs="Times New Roman" w:eastAsia="Times New Roman" w:hAnsi="Times New Roman"/>
          <w:sz w:val="18"/>
          <w:szCs w:val="18"/>
          <w:color w:val="auto"/>
        </w:rPr>
        <w:t>TripAdvisor, Inc.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Our branded websites include tripadvisor.com in the United States and localized versions of the TripAdvisor website in 46 countries worldwide. Our TripAdvisor-branded websites reached 350 million average monthly unique visitors during the quarter ended September 30, 2015, according to our internal log files. We currently feature 290 million reviews and opinions on 5.3 million places to stay, places to eat and things to do – including 950,000 hotels and accommodations and 740,000 vacation rentals, 3.0 million restaurants and 590,000 attractions around the world. In addition to user-generated content, our websites feature price comparison tools and links to partner websites, including travel advertisers, on which users can book their travel arrangements. Users may now also complete hotel bookings directly with our partners through tripadvisor.com and also through the TripAdvisor mobile application, where coverage is available. In addition to the flagship TripAdvisor brand, we now manage and operate 23 other travel media brands, connected by the common goal of providing users the most comprehensive travel-planning and trip-taking resources in the travel industry.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right="60" w:firstLine="552"/>
        <w:spacing w:after="0" w:line="255" w:lineRule="auto"/>
        <w:rPr>
          <w:sz w:val="20"/>
          <w:szCs w:val="20"/>
          <w:color w:val="auto"/>
        </w:rPr>
      </w:pPr>
      <w:r>
        <w:rPr>
          <w:rFonts w:ascii="Times New Roman" w:cs="Times New Roman" w:eastAsia="Times New Roman" w:hAnsi="Times New Roman"/>
          <w:sz w:val="18"/>
          <w:szCs w:val="18"/>
          <w:color w:val="auto"/>
        </w:rPr>
        <w:t>Our long-term financial results are principally dependent on our ability to grow click-based advertising revenue, or CPC revenue. We are investing in areas of potential CPC revenue growth, including enabling users to transact directly on our site, international expansion and innovations in the mobile user experience. We are also investing in display-based advertising, Business Listings, Attractions, Restaurants and Vacation Rentals. 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click-based and display-based advertising revenue are described below, as well as a summary of our key growth areas, current trends impacting our business and our reporting segments, which currently consists of our Hotel segment and Other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Click-Based Advertising Revenue</w:t>
      </w:r>
    </w:p>
    <w:p>
      <w:pPr>
        <w:spacing w:after="0" w:line="11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2015, 63% and 66%, respectively, of our total revenue came from our CPC product. For the three and nine months ended September 30, 2014, 70% and 72%, respectively, of our total revenue came from our CPC product. All of our CPC revenue is included in our Hotel segment. The key drivers of our CPC revenue include the growth in monthly unique hotel shoppers and revenue per hotel shopper.</w:t>
      </w:r>
    </w:p>
    <w:p>
      <w:pPr>
        <w:spacing w:after="0" w:line="68" w:lineRule="exact"/>
        <w:rPr>
          <w:sz w:val="20"/>
          <w:szCs w:val="20"/>
          <w:color w:val="auto"/>
        </w:rPr>
      </w:pPr>
    </w:p>
    <w:p>
      <w:pPr>
        <w:ind w:left="820" w:right="20" w:hanging="299"/>
        <w:spacing w:after="0" w:line="253"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shoppers: We believe total traffic growth, or growth in monthly visits from unique visitors, is reflective of our overall brand growth. Additionally, we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devices (for which usage trends continue to evolve) and international growth, quarterly and annual hotel shopper growth is difficult to forecast. Unique hotel shoppers on TripAdvisor sites increased 16% and 18% for the three and nine months ended September 30, 2015, respectively, and increased 10% and 8% for the three and nine months ended September 30, 2014, respectively, according to our internal log files. The acceleration of hotel shopper growth for the three and nine months ended September 30, 2015 is primarily due to success in our online marketing strategy, a growing number of hotel shoppers visiting our websites on mobile devices, as well as easing comparatives for search engine optimization (“SEO”) due to lower hotel shopper growth in the three and nine months ended September 30, 2014. Increasing the number of hotel shoppers on our sites remains a top strategic priority.</w:t>
      </w:r>
    </w:p>
    <w:p>
      <w:pPr>
        <w:spacing w:after="0" w:line="82" w:lineRule="exact"/>
        <w:rPr>
          <w:rFonts w:ascii="Times New Roman" w:cs="Times New Roman" w:eastAsia="Times New Roman" w:hAnsi="Times New Roman"/>
          <w:sz w:val="18"/>
          <w:szCs w:val="18"/>
          <w:color w:val="auto"/>
        </w:rPr>
      </w:pPr>
    </w:p>
    <w:p>
      <w:pPr>
        <w:jc w:val="both"/>
        <w:ind w:left="820" w:right="200" w:hanging="299"/>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hotel shopper: Revenue per hotel shopper is designed to measure how effectively we convert hotel shoppers into revenue. Revenue per hotel shopper is made up of three factors—the number of monthly unique hotel shoppers, the rate of conversion of a hotel shopper to a paid click or a booking in the case of our instant booking feature, and the price per click or commission per booking that we receive.</w:t>
      </w:r>
    </w:p>
    <w:p>
      <w:pPr>
        <w:spacing w:after="0" w:line="66" w:lineRule="exact"/>
        <w:rPr>
          <w:rFonts w:ascii="Times New Roman" w:cs="Times New Roman" w:eastAsia="Times New Roman" w:hAnsi="Times New Roman"/>
          <w:sz w:val="18"/>
          <w:szCs w:val="18"/>
          <w:color w:val="auto"/>
        </w:rPr>
      </w:pPr>
    </w:p>
    <w:p>
      <w:pPr>
        <w:ind w:left="1460" w:hanging="304"/>
        <w:spacing w:after="0" w:line="259"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Conversion of a hotel shopper to a paid click or booking on a TripAdvisor site is driven primarily by three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Hotel shoppers visiting via mobile generally monetize at a significantly lower rate than hotel shoppers visiting via desktop and tablet.</w:t>
      </w:r>
    </w:p>
    <w:p>
      <w:pPr>
        <w:spacing w:after="0" w:line="71" w:lineRule="exact"/>
        <w:rPr>
          <w:rFonts w:ascii="Times New Roman" w:cs="Times New Roman" w:eastAsia="Times New Roman" w:hAnsi="Times New Roman"/>
          <w:sz w:val="18"/>
          <w:szCs w:val="18"/>
          <w:color w:val="auto"/>
        </w:rPr>
      </w:pPr>
    </w:p>
    <w:p>
      <w:pPr>
        <w:ind w:left="1460" w:right="460" w:hanging="304"/>
        <w:spacing w:after="0" w:line="315" w:lineRule="auto"/>
        <w:tabs>
          <w:tab w:leader="none" w:pos="14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 per click (CPC): </w:t>
      </w:r>
      <w:r>
        <w:rPr>
          <w:rFonts w:ascii="Times New Roman" w:cs="Times New Roman" w:eastAsia="Times New Roman" w:hAnsi="Times New Roman"/>
          <w:sz w:val="17"/>
          <w:szCs w:val="17"/>
          <w:color w:val="auto"/>
        </w:rPr>
        <w:t>Cost per click is the effective price that partners are willing to pay for a hotel shopper lead, and is determined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a competitive bidding process. CPCs are generally lower in emerging international markets as well as on mobile.</w:t>
      </w:r>
    </w:p>
    <w:p>
      <w:pPr>
        <w:spacing w:after="0" w:line="137"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Revenue per hotel shopper decreased 10% and 5% for the three and nine months ended September 30, 2015, respectively, and increased 21% and 18% for the three and nine months ended September 30, 2014, respectively, according to our internal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6" w:name="page27"/>
    <w:bookmarkEnd w:id="26"/>
    <w:p>
      <w:pPr>
        <w:jc w:val="both"/>
        <w:ind w:left="760" w:right="40"/>
        <w:spacing w:after="0" w:line="261" w:lineRule="auto"/>
        <w:rPr>
          <w:sz w:val="20"/>
          <w:szCs w:val="20"/>
          <w:color w:val="auto"/>
        </w:rPr>
      </w:pPr>
      <w:r>
        <w:rPr>
          <w:rFonts w:ascii="Times New Roman" w:cs="Times New Roman" w:eastAsia="Times New Roman" w:hAnsi="Times New Roman"/>
          <w:sz w:val="18"/>
          <w:szCs w:val="18"/>
          <w:color w:val="auto"/>
        </w:rPr>
        <w:t>log files. The decrease in revenue per hotel shopper for the three and nine months ended September 30, 2015, is primarily due to pricing pressure; which includes the impact from (i) product changes, such as our decision to accelerate the rollout of our instant booking feature to our US and UK markets on all devices in the third quarter of 2015, (ii) the prolonged weakness of the Euro, which decreased our CPCs, and (iii) a growing number of hotel shoppers visiting our websites on mobile devices.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Drivers of Display-Based Advertising Revenue</w:t>
      </w:r>
    </w:p>
    <w:p>
      <w:pPr>
        <w:spacing w:after="0" w:line="119"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For both the three and nine months ended September 30, 2015, 10% of our total revenue came from our display-based advertising products. For the three and nine months ended September 30, 2014, 10% and 11%, respectively, of our total revenue came from our display-based advertising</w:t>
      </w:r>
    </w:p>
    <w:p>
      <w:pPr>
        <w:ind w:right="40"/>
        <w:spacing w:after="0" w:line="252" w:lineRule="auto"/>
        <w:rPr>
          <w:sz w:val="20"/>
          <w:szCs w:val="20"/>
          <w:color w:val="auto"/>
        </w:rPr>
      </w:pPr>
      <w:r>
        <w:rPr>
          <w:rFonts w:ascii="Times New Roman" w:cs="Times New Roman" w:eastAsia="Times New Roman" w:hAnsi="Times New Roman"/>
          <w:sz w:val="18"/>
          <w:szCs w:val="18"/>
          <w:color w:val="auto"/>
        </w:rPr>
        <w:t>products. Substantially all of our display-based advertising revenue is included in our Hotel segment. The key drivers of our display-based advertising revenue include the growth in number of impressions sold, or the number of times an ad is displayed on our site, and the revenue we receive for such impressions, measured in cost per thousand impressions (“CPM”). According to our internal log files, the number of impressions sold increased 22% and 14% for the three and nine months ended September 30, 2015, respectively, and increased 30% and 23% for the three and nine months ended September 30, 2014, respectively, while pricing increased 3% and 2% for the three and nine months ended September 30, 2015, respectively, and decreased 14% and 4% for the three and nine months ended September 30, 2014,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Growth Areas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continue to invest in areas of potential growth, including our content and community, product innovation, and international expansion.</w:t>
      </w:r>
    </w:p>
    <w:p>
      <w:pPr>
        <w:spacing w:after="0" w:line="223" w:lineRule="exact"/>
        <w:rPr>
          <w:sz w:val="20"/>
          <w:szCs w:val="20"/>
          <w:color w:val="auto"/>
        </w:rPr>
      </w:pPr>
    </w:p>
    <w:p>
      <w:pPr>
        <w:jc w:val="both"/>
        <w:ind w:right="60" w:firstLine="552"/>
        <w:spacing w:after="0" w:line="267" w:lineRule="auto"/>
        <w:rPr>
          <w:sz w:val="20"/>
          <w:szCs w:val="20"/>
          <w:color w:val="auto"/>
        </w:rPr>
      </w:pPr>
      <w:r>
        <w:rPr>
          <w:rFonts w:ascii="Times New Roman" w:cs="Times New Roman" w:eastAsia="Times New Roman" w:hAnsi="Times New Roman"/>
          <w:sz w:val="18"/>
          <w:szCs w:val="18"/>
          <w:i w:val="1"/>
          <w:iCs w:val="1"/>
          <w:color w:val="auto"/>
        </w:rPr>
        <w:t>Content &amp; Community</w:t>
      </w:r>
      <w:r>
        <w:rPr>
          <w:rFonts w:ascii="Times New Roman" w:cs="Times New Roman" w:eastAsia="Times New Roman" w:hAnsi="Times New Roman"/>
          <w:sz w:val="18"/>
          <w:szCs w:val="18"/>
          <w:color w:val="auto"/>
        </w:rPr>
        <w:t>. TripAdvisor is a website on which travelers can research content and share their travel experiences with the rest of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Establishing and nurturing a sense of community among users is a key priority and a competitive advantage for TripAdvisor. As a result, we continue to look for ways to make it easier for users to plan, compare and book their perfect trip on TripAdvisor as well as to share their experiences.</w:t>
      </w:r>
    </w:p>
    <w:p>
      <w:pPr>
        <w:spacing w:after="0" w:line="174" w:lineRule="exact"/>
        <w:rPr>
          <w:sz w:val="20"/>
          <w:szCs w:val="20"/>
          <w:color w:val="auto"/>
        </w:rPr>
      </w:pPr>
    </w:p>
    <w:p>
      <w:pPr>
        <w:ind w:firstLine="552"/>
        <w:spacing w:after="0" w:line="259" w:lineRule="auto"/>
        <w:rPr>
          <w:sz w:val="20"/>
          <w:szCs w:val="20"/>
          <w:color w:val="auto"/>
        </w:rPr>
      </w:pPr>
      <w:r>
        <w:rPr>
          <w:rFonts w:ascii="Times New Roman" w:cs="Times New Roman" w:eastAsia="Times New Roman" w:hAnsi="Times New Roman"/>
          <w:sz w:val="18"/>
          <w:szCs w:val="18"/>
          <w:i w:val="1"/>
          <w:iCs w:val="1"/>
          <w:color w:val="auto"/>
        </w:rPr>
        <w:t>Mobile</w:t>
      </w:r>
      <w:r>
        <w:rPr>
          <w:rFonts w:ascii="Times New Roman" w:cs="Times New Roman" w:eastAsia="Times New Roman" w:hAnsi="Times New Roman"/>
          <w:sz w:val="18"/>
          <w:szCs w:val="18"/>
          <w:color w:val="auto"/>
        </w:rPr>
        <w:t>. Innovating and improving our mobile products is a key priority. As of September 30, 2015, we reached 230 million downloads of our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apps and average monthly unique visitors via smartphone and tablet devices grew over 31% year-over-year, according to our internal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80"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Business Listings</w:t>
      </w:r>
      <w:r>
        <w:rPr>
          <w:rFonts w:ascii="Times New Roman" w:cs="Times New Roman" w:eastAsia="Times New Roman" w:hAnsi="Times New Roman"/>
          <w:sz w:val="18"/>
          <w:szCs w:val="18"/>
          <w:color w:val="auto"/>
        </w:rPr>
        <w:t>. Our Business Listings product enables hotel and accommodation owners to buy placements listing pertinent information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on TripAdvisor, bringing them closer to potential customers and increasing awareness, engagement, and potentially, direct bookings. In the year ended December 31, 2014, we grew our Business Listings customer base 18% to 81,000 subscribers. We continue to focus on building our sales force and improving our product features to grow our subscriber base.</w:t>
      </w:r>
    </w:p>
    <w:p>
      <w:pPr>
        <w:spacing w:after="0" w:line="180" w:lineRule="exact"/>
        <w:rPr>
          <w:sz w:val="20"/>
          <w:szCs w:val="20"/>
          <w:color w:val="auto"/>
        </w:rPr>
      </w:pPr>
    </w:p>
    <w:p>
      <w:pPr>
        <w:ind w:right="120" w:firstLine="58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Attractions &amp; Restaurants. </w:t>
      </w:r>
      <w:r>
        <w:rPr>
          <w:rFonts w:ascii="Times New Roman" w:cs="Times New Roman" w:eastAsia="Times New Roman" w:hAnsi="Times New Roman"/>
          <w:sz w:val="18"/>
          <w:szCs w:val="18"/>
          <w:color w:val="auto"/>
        </w:rPr>
        <w:t>A significant percentage of our annual unique users are not hotel shoppers and visit TripAdvisor sites without navigating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pages that contain a listing of hotels in a city or a specific hotel’s page. TripAdvisor has information and user-generated content on 3.0 million restaurants and 590,000 attractions around the world. We believe TripAdvisor has a unique opportunity to monetize its community of these non-hotel shoppers looking for places to eat and things to do. With the acquisitions of Lafourchette and similar businesses for online restaurant reservations, and Viator for online bookable tours and attractions, we are attempting to match more users with more businesses.</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offer individual property owners and property managers the ability to list using a free-to-list, commission-based structure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subscription-based fee option. In the nine months ended September 30, 2015, Vacation Rental property listings grew 15% to 740,000 properties, driven primarily by strong listings growth in our free-to-list model. We believe our highly-engaged and motivated user community creates a competitive advantage for us in this market.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Trends Affecting Our Business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are a number of trends that affect our business. The following are examples of some of the current trends affecting our business:</w:t>
      </w:r>
    </w:p>
    <w:p>
      <w:pPr>
        <w:spacing w:after="0" w:line="115" w:lineRule="exact"/>
        <w:rPr>
          <w:sz w:val="20"/>
          <w:szCs w:val="20"/>
          <w:color w:val="auto"/>
        </w:rPr>
      </w:pPr>
    </w:p>
    <w:p>
      <w:pPr>
        <w:jc w:val="both"/>
        <w:ind w:right="5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Increasing Competition. </w:t>
      </w:r>
      <w:r>
        <w:rPr>
          <w:rFonts w:ascii="Times New Roman" w:cs="Times New Roman" w:eastAsia="Times New Roman" w:hAnsi="Times New Roman"/>
          <w:sz w:val="18"/>
          <w:szCs w:val="18"/>
          <w:color w:val="auto"/>
        </w:rPr>
        <w:t>The travel review industry and, more generally, the business of collecting and aggregating travel-related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continue to be increasingly competitive. In recent years, an increasing number of companies, such as search companies Google, Inc. and Baidu.com, Inc. and large online travel agencies, or OTAs, have begun to collect and aggregate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ind w:right="80"/>
        <w:spacing w:after="0" w:line="266" w:lineRule="auto"/>
        <w:rPr>
          <w:sz w:val="20"/>
          <w:szCs w:val="20"/>
          <w:color w:val="auto"/>
        </w:rPr>
      </w:pPr>
      <w:r>
        <w:rPr>
          <w:rFonts w:ascii="Times New Roman" w:cs="Times New Roman" w:eastAsia="Times New Roman" w:hAnsi="Times New Roman"/>
          <w:sz w:val="18"/>
          <w:szCs w:val="18"/>
          <w:color w:val="auto"/>
        </w:rPr>
        <w:t>travel information and resources. We plan to continue to invest in order to remain the leading source of travel reviews as well as continue to enhance our user experience. In addition, we face strong competition in our Other segment: Attractions, Restaurants and Vacation Rentals. Refer to Item 1. “Business - Competition” in our Annual Report on Form 10-K for the year ended December 31, 2014 for additional information on our competition.</w:t>
      </w:r>
    </w:p>
    <w:p>
      <w:pPr>
        <w:spacing w:after="0" w:line="174"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Increasing Use of Devices Other than Desktop Computers. </w:t>
      </w:r>
      <w:r>
        <w:rPr>
          <w:rFonts w:ascii="Times New Roman" w:cs="Times New Roman" w:eastAsia="Times New Roman" w:hAnsi="Times New Roman"/>
          <w:sz w:val="18"/>
          <w:szCs w:val="18"/>
          <w:color w:val="auto"/>
        </w:rPr>
        <w:t>To access the internet, users are increasingly using devices other than desktop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mobile phone devices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 phone devices. We do display graphic advertising on mobile phone devices; however, our mobile phone monetization strategies are still developing, as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w:t>
      </w:r>
    </w:p>
    <w:p>
      <w:pPr>
        <w:spacing w:after="0" w:line="185" w:lineRule="exact"/>
        <w:rPr>
          <w:sz w:val="20"/>
          <w:szCs w:val="20"/>
          <w:color w:val="auto"/>
        </w:rPr>
      </w:pPr>
    </w:p>
    <w:p>
      <w:pPr>
        <w:ind w:right="20" w:firstLine="55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Continued Reliance on Click-Based Advertising Revenue. </w:t>
      </w:r>
      <w:r>
        <w:rPr>
          <w:rFonts w:ascii="Times New Roman" w:cs="Times New Roman" w:eastAsia="Times New Roman" w:hAnsi="Times New Roman"/>
          <w:sz w:val="18"/>
          <w:szCs w:val="18"/>
          <w:color w:val="auto"/>
        </w:rPr>
        <w:t>In recent years, the majority of our revenue growth resulted from higher click-based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 due to increased traffic on our websites and an increase in the volume of clicks on our advertisers’ placements. Although click-based advertising revenue growth has generally been driven by traffic volume, we remain focused on the various other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w:t>
      </w:r>
    </w:p>
    <w:p>
      <w:pPr>
        <w:spacing w:after="0" w:line="183"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Accelerated Rollout of Instant Booking. </w:t>
      </w:r>
      <w:r>
        <w:rPr>
          <w:rFonts w:ascii="Times New Roman" w:cs="Times New Roman" w:eastAsia="Times New Roman" w:hAnsi="Times New Roman"/>
          <w:sz w:val="18"/>
          <w:szCs w:val="18"/>
          <w:color w:val="auto"/>
        </w:rPr>
        <w:t>Revenue from our instant booking feature is included in click-based advertising revenue. Instant booking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 that enables users to book a hotel reservation directly with a hotel or online travel agency partner while remaining on the TripAdvisor website. We have been gradually rolling this feature out in the U.S. since June 2014, primarily on mobile. However, during the third quarter of 2015, we accelerated the rollout of instant booking for hotels across our U.S. and U.K. platforms to all users on all devices. Currently our instant booking feature is monetizing at a lower revenue per hotel shopper rate compared to our metasearch feature. While we expect to close this monetization gap, primarily by continuing to streamline our booking path to enhance user experience, persistently promoting the TripAdvisor brand as the place to “plan, compare and book” and continuing to seek partners with strong branding and supply channels, there is no guarantee that these initiatives will ultimately be successful and, if not, our click-based advertising revenue may be materially adversely affected.</w:t>
      </w:r>
    </w:p>
    <w:p>
      <w:pPr>
        <w:spacing w:after="0" w:line="185" w:lineRule="exact"/>
        <w:rPr>
          <w:sz w:val="20"/>
          <w:szCs w:val="20"/>
          <w:color w:val="auto"/>
        </w:rPr>
      </w:pPr>
    </w:p>
    <w:p>
      <w:pPr>
        <w:ind w:firstLine="55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Increasing Use of Internet and Social Media to Access Travel Information. </w:t>
      </w:r>
      <w:r>
        <w:rPr>
          <w:rFonts w:ascii="Times New Roman" w:cs="Times New Roman" w:eastAsia="Times New Roman" w:hAnsi="Times New Roman"/>
          <w:sz w:val="18"/>
          <w:szCs w:val="18"/>
          <w:color w:val="auto"/>
        </w:rPr>
        <w:t>Commerce, information and advertising continue to migrate to the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away from traditional media outlets. We believe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Over the years, we have made significant progress using social networking to leverage the expanding use of these channels and enhance traffic diversification and user engagement. We will continue to adapt our user experience in response to a changing Internet environment and usage trends.</w:t>
      </w:r>
    </w:p>
    <w:p>
      <w:pPr>
        <w:spacing w:after="0" w:line="183" w:lineRule="exact"/>
        <w:rPr>
          <w:sz w:val="20"/>
          <w:szCs w:val="20"/>
          <w:color w:val="auto"/>
        </w:rPr>
      </w:pPr>
    </w:p>
    <w:p>
      <w:pPr>
        <w:ind w:firstLine="55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Risks Associated with Consumer Data Collection. </w:t>
      </w:r>
      <w:r>
        <w:rPr>
          <w:rFonts w:ascii="Times New Roman" w:cs="Times New Roman" w:eastAsia="Times New Roman" w:hAnsi="Times New Roman"/>
          <w:sz w:val="18"/>
          <w:szCs w:val="18"/>
          <w:color w:val="auto"/>
        </w:rPr>
        <w:t>Increasingly, more of our revenue is derived from making online bookings available for,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things, hotel rooms, vacation rentals and destination activities. During the course of making these arrangements, we collect, use, transmit and store personal information and other consumer data. The protection of this data is critically important to us. An increasing number of websites, including the website operated by our subsidiary Viator, have reported compromises of their systems and the data stored within those systems. We rely on strong encryption, authentication and network perimeter security to effectively secure confidential information; however, despite our security measures, our brands’ information technologies and infrastructures may be vulnerable to cyber-attacks or security incidents due to system configurations, employee error, malfeasance or other vulnerabilities. Advances in computer capabilities, new discoveries in the field of cryptography or other developments may result in the breach or compromise of the technology used by us to protect transaction data. In the future, we expect to expend additional resources to enhance our security measures, protect against security breaches and/or to address problems caused by breaches. To the extent we collect more consumer data, the challenges we face will become more difficult and the measures we must take to protect against them will become more costly.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420" w:firstLine="548"/>
        <w:spacing w:after="0" w:line="266" w:lineRule="auto"/>
        <w:rPr>
          <w:sz w:val="20"/>
          <w:szCs w:val="20"/>
          <w:color w:val="auto"/>
        </w:rPr>
      </w:pPr>
      <w:r>
        <w:rPr>
          <w:rFonts w:ascii="Times New Roman" w:cs="Times New Roman" w:eastAsia="Times New Roman" w:hAnsi="Times New Roman"/>
          <w:sz w:val="18"/>
          <w:szCs w:val="18"/>
          <w:color w:val="auto"/>
        </w:rPr>
        <w:t>Our reporting structure includes two reportable segments: Hotel and Other. Our Other segment consists of the aggregation of three operating segments: our Attractions, Restaurants and Vacation Rentals businesses. The segments are determined based on how our chief operating decision maker manages our business, regularly assesses information and evaluates performance for operating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decision-making purposes, including allocation of resources. The chief operating decision maker for the Company is our Chief Executive Officer.</w:t>
      </w:r>
    </w:p>
    <w:p>
      <w:pPr>
        <w:spacing w:after="0" w:line="223" w:lineRule="exact"/>
        <w:rPr>
          <w:sz w:val="20"/>
          <w:szCs w:val="20"/>
          <w:color w:val="auto"/>
        </w:rPr>
      </w:pPr>
    </w:p>
    <w:p>
      <w:pPr>
        <w:jc w:val="both"/>
        <w:ind w:right="60" w:firstLine="552"/>
        <w:spacing w:after="0" w:line="267" w:lineRule="auto"/>
        <w:rPr>
          <w:sz w:val="20"/>
          <w:szCs w:val="20"/>
          <w:color w:val="auto"/>
        </w:rPr>
      </w:pPr>
      <w:r>
        <w:rPr>
          <w:rFonts w:ascii="Times New Roman" w:cs="Times New Roman" w:eastAsia="Times New Roman" w:hAnsi="Times New Roman"/>
          <w:sz w:val="18"/>
          <w:szCs w:val="18"/>
          <w:color w:val="auto"/>
        </w:rPr>
        <w:t>For further description of our segments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our Annual Report on Form 10-K for the year ended December 31, 2014 and “Note 13— Segment Information” and “Reclassifications” in “Note 1— Business Description and Basis of Presentation” in the notes to the unaudited consolidated financial statements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2015, we had approximately 3,000 employees. Of these employees, approximately 50% were based in the United States. We believe we have good relationships with our employees, including relationships with employees represented by international works councils or other similar organizations.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80" w:firstLine="552"/>
        <w:spacing w:after="0" w:line="261" w:lineRule="auto"/>
        <w:rPr>
          <w:sz w:val="20"/>
          <w:szCs w:val="20"/>
          <w:color w:val="auto"/>
        </w:rPr>
      </w:pPr>
      <w:r>
        <w:rPr>
          <w:rFonts w:ascii="Times New Roman" w:cs="Times New Roman" w:eastAsia="Times New Roman" w:hAnsi="Times New Roman"/>
          <w:sz w:val="18"/>
          <w:szCs w:val="18"/>
          <w:color w:val="auto"/>
        </w:rPr>
        <w:t>The global travel market is large and traveler expenditures tend to follow a seasonal pattern. As such, expenditures by travel advertisers to market to potential travelers, and, therefore, our financial performance, tend to be seasonal as well. As a result, our third quarter tends to be our seasonal high, as it is a key period for travel research and trip-taking and our seasonal low generally occurs in the first and/or fourth quarter. Significant shifts in our business mix or adverse economic conditions could influence the typical trend of our seasonality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4" w:lineRule="exact"/>
        <w:rPr>
          <w:sz w:val="20"/>
          <w:szCs w:val="20"/>
          <w:color w:val="auto"/>
        </w:rPr>
      </w:pPr>
    </w:p>
    <w:p>
      <w:pPr>
        <w:ind w:left="820" w:hanging="299"/>
        <w:spacing w:after="0" w:line="235" w:lineRule="auto"/>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w:t>
      </w:r>
    </w:p>
    <w:p>
      <w:pPr>
        <w:spacing w:after="0" w:line="89" w:lineRule="exact"/>
        <w:rPr>
          <w:rFonts w:ascii="Times New Roman" w:cs="Times New Roman" w:eastAsia="Times New Roman" w:hAnsi="Times New Roman"/>
          <w:sz w:val="22"/>
          <w:szCs w:val="22"/>
          <w:color w:val="auto"/>
        </w:rPr>
      </w:pPr>
    </w:p>
    <w:p>
      <w:pPr>
        <w:ind w:left="820" w:right="100" w:hanging="299"/>
        <w:spacing w:after="0" w:line="235" w:lineRule="auto"/>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For a discussion of new accounting pronouncements, see “Note 2— Significant Accounting Policies,”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right"/>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6"/>
          </w:tcPr>
          <w:p>
            <w:pPr>
              <w:jc w:val="right"/>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common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Excludes amortization expense as follows:</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depreciation</w:t>
            </w:r>
          </w:p>
        </w:tc>
        <w:tc>
          <w:tcPr>
            <w:tcW w:w="8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follows:</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See “Adjusted EBITDA” below for more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684" w:right="1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4"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85"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35" w:lineRule="exact"/>
        <w:rPr>
          <w:sz w:val="20"/>
          <w:szCs w:val="20"/>
          <w:color w:val="auto"/>
        </w:rPr>
      </w:pPr>
    </w:p>
    <w:p>
      <w:pPr>
        <w:ind w:left="820" w:hanging="299"/>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98" w:lineRule="exact"/>
        <w:rPr>
          <w:rFonts w:ascii="Times New Roman" w:cs="Times New Roman" w:eastAsia="Times New Roman" w:hAnsi="Times New Roman"/>
          <w:sz w:val="22"/>
          <w:szCs w:val="22"/>
          <w:color w:val="auto"/>
        </w:rPr>
      </w:pPr>
    </w:p>
    <w:p>
      <w:pPr>
        <w:ind w:left="820" w:hanging="299"/>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22"/>
          <w:szCs w:val="22"/>
          <w:color w:val="auto"/>
        </w:rPr>
      </w:pPr>
    </w:p>
    <w:p>
      <w:pPr>
        <w:ind w:left="820" w:hanging="299"/>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98" w:lineRule="exact"/>
        <w:rPr>
          <w:rFonts w:ascii="Times New Roman" w:cs="Times New Roman" w:eastAsia="Times New Roman" w:hAnsi="Times New Roman"/>
          <w:sz w:val="18"/>
          <w:szCs w:val="18"/>
          <w:color w:val="auto"/>
        </w:rPr>
      </w:pPr>
    </w:p>
    <w:p>
      <w:pPr>
        <w:ind w:left="820" w:hanging="299"/>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consider the potentially dilutive impact of stock-based compensation or future settlement of obligations in stock;</w:t>
      </w:r>
    </w:p>
    <w:p>
      <w:pPr>
        <w:spacing w:after="0" w:line="116" w:lineRule="exact"/>
        <w:rPr>
          <w:rFonts w:ascii="Times New Roman" w:cs="Times New Roman" w:eastAsia="Times New Roman" w:hAnsi="Times New Roman"/>
          <w:sz w:val="22"/>
          <w:szCs w:val="22"/>
          <w:color w:val="auto"/>
        </w:rPr>
      </w:pPr>
    </w:p>
    <w:p>
      <w:pPr>
        <w:ind w:left="820" w:right="140" w:hanging="299"/>
        <w:spacing w:after="0" w:line="235" w:lineRule="auto"/>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1" w:lineRule="exact"/>
        <w:rPr>
          <w:rFonts w:ascii="Times New Roman" w:cs="Times New Roman" w:eastAsia="Times New Roman" w:hAnsi="Times New Roman"/>
          <w:sz w:val="22"/>
          <w:szCs w:val="22"/>
          <w:color w:val="auto"/>
        </w:rPr>
      </w:pPr>
    </w:p>
    <w:p>
      <w:pPr>
        <w:ind w:left="820" w:hanging="299"/>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16" w:lineRule="exact"/>
        <w:rPr>
          <w:rFonts w:ascii="Times New Roman" w:cs="Times New Roman" w:eastAsia="Times New Roman" w:hAnsi="Times New Roman"/>
          <w:sz w:val="22"/>
          <w:szCs w:val="22"/>
          <w:color w:val="auto"/>
        </w:rPr>
      </w:pPr>
    </w:p>
    <w:p>
      <w:pPr>
        <w:ind w:left="820" w:right="240" w:hanging="299"/>
        <w:spacing w:after="0" w:line="235" w:lineRule="auto"/>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98"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various cash flow metrics, net income and our other GAAP results.</w:t>
      </w:r>
    </w:p>
    <w:p>
      <w:pPr>
        <w:spacing w:after="0" w:line="162" w:lineRule="exact"/>
        <w:rPr>
          <w:sz w:val="20"/>
          <w:szCs w:val="20"/>
          <w:color w:val="auto"/>
        </w:rPr>
      </w:pPr>
    </w:p>
    <w:p>
      <w:pPr>
        <w:ind w:firstLine="552"/>
        <w:spacing w:after="0" w:line="282" w:lineRule="auto"/>
        <w:rPr>
          <w:sz w:val="20"/>
          <w:szCs w:val="20"/>
          <w:color w:val="auto"/>
        </w:rPr>
      </w:pPr>
      <w:r>
        <w:rPr>
          <w:rFonts w:ascii="Times New Roman" w:cs="Times New Roman" w:eastAsia="Times New Roman" w:hAnsi="Times New Roman"/>
          <w:sz w:val="18"/>
          <w:szCs w:val="18"/>
          <w:color w:val="auto"/>
        </w:rPr>
        <w:t>Refer to “Note 13— Segment Information” in the notes to our unaudited consolidated financial statements for a reconciliation of Adjusted EBITDA to net income, the most directly comparable financial measure calculated and presented in accordance with GAAP, for the periods presented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Revenue and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w:t>
      </w:r>
    </w:p>
    <w:p>
      <w:pPr>
        <w:spacing w:after="0" w:line="121"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from our Business Listings products; subscription and commission-based offerings from our Vacation Rentals products; room reservations sold through our Jetsetter and Tingo brands; destination activities primarily sold through Viator; and online restaurant reservations booked primarily through Lafourchette. We also derive revenue from content licensing.</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Borders>
              <w:bottom w:val="single" w:sz="8" w:color="auto"/>
            </w:tcBorders>
            <w:gridSpan w:val="4"/>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center"/>
              <w:ind w:left="37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Click-based advertising</w:t>
            </w:r>
          </w:p>
        </w:tc>
        <w:tc>
          <w:tcPr>
            <w:tcW w:w="760" w:type="dxa"/>
            <w:vAlign w:val="bottom"/>
            <w:gridSpan w:val="2"/>
            <w:shd w:val="clear" w:color="auto" w:fill="CFF0FC"/>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780" w:type="dxa"/>
            <w:vAlign w:val="bottom"/>
            <w:gridSpan w:val="2"/>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Display-based advertising</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transaction and</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Revenue increased $61 million and $225 million during the three and nine months ended September 30, 2015, respectively when compared to the same periods in 2014, primarily due to an increase in click-based advertising revenue of $14 million and $86 million for the three and nine months ended September 30, 2015, respectively. The primary driver of the increase in click-based advertising revenue was an increase in hotel shoppers of 16% and 18% for the three and nine months ended September 30, 2015, respectively, partially offset by a decrease in revenue per hotel shopper of 10% and 5% for the three and nine months ended September 30, 2015, respectively. Display-based advertising increased by $7 million and $14 million during the three and nine months ended September 30, 2015, respectively, primarily as a result of a 22% and 14% increase in the number of impressions sold and an increase in pricing of 3% and 2%, respectively, when compared to the same periods in 2014. Subscription, transaction and other revenue increased by $40 million and $125 million during the three and nine months ended September 30, 2015, respectively, primarily due to growth in our Attractions, Restaurants, Business Listings, and Vacation Rentals businesses, which includes incremental revenue for the three and nine months ended September 30, 2015 of $29 million and $82 million, respectively, primarily related to our 2014 acquisitions of Lafourchette and Viator.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Impact on Revenue</w:t>
      </w:r>
    </w:p>
    <w:p>
      <w:pPr>
        <w:spacing w:after="0" w:line="119"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8"/>
          <w:szCs w:val="18"/>
          <w:color w:val="auto"/>
        </w:rPr>
        <w:t>The general strengthening of the U.S. dollar relative to certain foreign currencies (primarily the Euro) from the three and nine month periods ending September 30, 2014 to the same periods in 2015 had an unfavorable impact on our revenue. If we had translated revenue for the three months ended September 30, 2015 using the prior year's quarterly average exchange rates for our settlement currencies other than the U.S. dollar, we estimate our total revenue and click-based advertising revenue would have been $442 million and $282 million, respectively, or $27 million and $21 million higher, respectively, than our actual revenue as reported, of $415 million and $261 million, respectively, for the three months ended September 30, 2015. If we had translated revenue for the nine months ended September 30, 2015 using the prior year's quarter to date average exchange rates for our settlement currencies other than the U.S. dollar, we estimate our total revenue and click-based advertising revenue would have been $1,263 million and $836 million, respectively, or $80 million and $61 million higher, respectively, than our actual revenue as reported, of $1,183 million and $775 million, respectively, for the nine months ended September 30,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Adjusted EBITDA by Segment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6"/>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1620" w:type="dxa"/>
            <w:vAlign w:val="bottom"/>
            <w:gridSpan w:val="3"/>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(1)</w:t>
            </w: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3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(2):</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1620" w:type="dxa"/>
            <w:vAlign w:val="bottom"/>
            <w:gridSpan w:val="3"/>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5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(3):</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80" w:type="dxa"/>
            <w:vAlign w:val="bottom"/>
          </w:tcPr>
          <w:p>
            <w:pPr>
              <w:spacing w:after="0"/>
              <w:rPr>
                <w:sz w:val="13"/>
                <w:szCs w:val="13"/>
                <w:color w:val="auto"/>
              </w:rPr>
            </w:pPr>
          </w:p>
        </w:tc>
        <w:tc>
          <w:tcPr>
            <w:tcW w:w="1040" w:type="dxa"/>
            <w:vAlign w:val="bottom"/>
            <w:gridSpan w:val="2"/>
          </w:tcPr>
          <w:p>
            <w:pPr>
              <w:ind w:left="62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1620" w:type="dxa"/>
            <w:vAlign w:val="bottom"/>
            <w:gridSpan w:val="3"/>
            <w:shd w:val="clear" w:color="auto" w:fill="CFF0FC"/>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(1)</w:t>
            </w: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(2):</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1620" w:type="dxa"/>
            <w:vAlign w:val="bottom"/>
            <w:gridSpan w:val="3"/>
            <w:shd w:val="clear" w:color="auto" w:fill="CFF0FC"/>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9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Adjusted EBITDA</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(3):</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180" w:hanging="361"/>
        <w:spacing w:after="0"/>
        <w:tabs>
          <w:tab w:leader="none" w:pos="11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revenue reported in this segment is from our subscription, transaction and other products.</w:t>
      </w:r>
    </w:p>
    <w:p>
      <w:pPr>
        <w:spacing w:after="0" w:line="3" w:lineRule="exact"/>
        <w:rPr>
          <w:rFonts w:ascii="Times New Roman" w:cs="Times New Roman" w:eastAsia="Times New Roman" w:hAnsi="Times New Roman"/>
          <w:sz w:val="14"/>
          <w:szCs w:val="14"/>
          <w:color w:val="auto"/>
        </w:rPr>
      </w:pPr>
    </w:p>
    <w:p>
      <w:pPr>
        <w:ind w:left="1180" w:right="860" w:hanging="361"/>
        <w:spacing w:after="0" w:line="221" w:lineRule="auto"/>
        <w:tabs>
          <w:tab w:leader="none" w:pos="11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Adjusted EBITDA is a general and administrative expense allocation for each segment, which is based on the segment’s percentage of our total personnel costs. See “Note 13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Segment Information,” in the notes to our unaudited consolidated financial statements in this Quarterly Report on Form 10-Q for more information.</w:t>
      </w:r>
    </w:p>
    <w:p>
      <w:pPr>
        <w:ind w:left="1180" w:right="980" w:hanging="361"/>
        <w:spacing w:after="0" w:line="239" w:lineRule="auto"/>
        <w:tabs>
          <w:tab w:leader="none" w:pos="11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a non-GAAP measure, as Adjusted EBITDA as a percentage of revenue. See “Adjusted EBITDA” discussion above for more information on the limitations of using Adjusted EBITDA, a non-GAAP measure, as an analytical tool.</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right="140" w:firstLine="552"/>
        <w:spacing w:after="0" w:line="258" w:lineRule="auto"/>
        <w:rPr>
          <w:sz w:val="20"/>
          <w:szCs w:val="20"/>
          <w:color w:val="auto"/>
        </w:rPr>
      </w:pPr>
      <w:r>
        <w:rPr>
          <w:rFonts w:ascii="Times New Roman" w:cs="Times New Roman" w:eastAsia="Times New Roman" w:hAnsi="Times New Roman"/>
          <w:sz w:val="18"/>
          <w:szCs w:val="18"/>
          <w:color w:val="auto"/>
        </w:rPr>
        <w:t>Our Hotel segment revenue increased $25 million and $119 million during the three and nine months ended September 30, 2015, respectively, when compared to the same periods in 2014, primarily due to an increase in click-based advertising revenue of $14 million and $86 million and an increase in display-based advertising of $7 million and $14 million, respectively. Subscription, transaction and other revenue increased by $4 million and $19 million during the three and nine months ended September 30, 2015, respectively, when compared to the same periods in 2014, primarily due to growth in Business Listings.</w:t>
      </w:r>
    </w:p>
    <w:p>
      <w:pPr>
        <w:spacing w:after="0" w:line="184" w:lineRule="exact"/>
        <w:rPr>
          <w:sz w:val="20"/>
          <w:szCs w:val="20"/>
          <w:color w:val="auto"/>
        </w:rPr>
      </w:pPr>
    </w:p>
    <w:p>
      <w:pPr>
        <w:ind w:right="140" w:firstLine="552"/>
        <w:spacing w:after="0" w:line="266" w:lineRule="auto"/>
        <w:rPr>
          <w:sz w:val="20"/>
          <w:szCs w:val="20"/>
          <w:color w:val="auto"/>
        </w:rPr>
      </w:pPr>
      <w:r>
        <w:rPr>
          <w:rFonts w:ascii="Times New Roman" w:cs="Times New Roman" w:eastAsia="Times New Roman" w:hAnsi="Times New Roman"/>
          <w:sz w:val="18"/>
          <w:szCs w:val="18"/>
          <w:color w:val="auto"/>
        </w:rPr>
        <w:t>Adjusted EBITDA in our Hotel segment increased $3 million and increased $5 million during the three and nine months ended September 30, 2015, respectively, when compared to the same periods in 2014, primarily due to an increase in revenue, partially offset, primarily by increased personnel and overhead costs, search engine marketing, or SEM costs, and other online traffic acquisition costs, and TV advertising.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ind w:firstLine="552"/>
        <w:spacing w:after="0" w:line="261" w:lineRule="auto"/>
        <w:rPr>
          <w:sz w:val="20"/>
          <w:szCs w:val="20"/>
          <w:color w:val="auto"/>
        </w:rPr>
      </w:pPr>
      <w:r>
        <w:rPr>
          <w:rFonts w:ascii="Times New Roman" w:cs="Times New Roman" w:eastAsia="Times New Roman" w:hAnsi="Times New Roman"/>
          <w:sz w:val="18"/>
          <w:szCs w:val="18"/>
          <w:color w:val="auto"/>
        </w:rPr>
        <w:t>Our Other segment revenue increased $36 million and $106 million during the three and nine months ended September 30, 2015, respectively, when compared to the same periods in 2014. This was driven by growth in our Attractions and Restaurant businesses, as well as Vacation Rentals, primarily due to our free-to-list commission-based booking model, and $29 million and $82 million in incremental revenue during the three and nine months ended September 30, 2015, respectively, primarily related to our 2014 acquisitions of Lafourchette and Viator.</w:t>
      </w:r>
    </w:p>
    <w:p>
      <w:pPr>
        <w:spacing w:after="0" w:line="180" w:lineRule="exact"/>
        <w:rPr>
          <w:sz w:val="20"/>
          <w:szCs w:val="20"/>
          <w:color w:val="auto"/>
        </w:rPr>
      </w:pPr>
    </w:p>
    <w:p>
      <w:pPr>
        <w:ind w:right="860" w:firstLine="552"/>
        <w:spacing w:after="0" w:line="282" w:lineRule="auto"/>
        <w:rPr>
          <w:sz w:val="20"/>
          <w:szCs w:val="20"/>
          <w:color w:val="auto"/>
        </w:rPr>
      </w:pPr>
      <w:r>
        <w:rPr>
          <w:rFonts w:ascii="Times New Roman" w:cs="Times New Roman" w:eastAsia="Times New Roman" w:hAnsi="Times New Roman"/>
          <w:sz w:val="18"/>
          <w:szCs w:val="18"/>
          <w:color w:val="auto"/>
        </w:rPr>
        <w:t>Adjusted EBITDA in our Other segment increased $8 million and $4 million during the three and nine months ended September 30, 2015, respectively, when compared to the same periods in 2014, primarily due to an increase in revenue, partially offset, primarily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by significant investments to fund growth initiatives as our Attractions, Restaurants and Vacation Rentals businesses are all at earlier stages of their growth and business life cycle.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Geography</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by geographic region, which reflects how we view our geographic revenue internally. Revenue by geography is based on the geographic location of our websites.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Borders>
              <w:bottom w:val="single" w:sz="8" w:color="auto"/>
            </w:tcBorders>
            <w:gridSpan w:val="4"/>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geographic</w:t>
            </w:r>
          </w:p>
        </w:tc>
        <w:tc>
          <w:tcPr>
            <w:tcW w:w="3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 America (1)</w:t>
            </w:r>
          </w:p>
        </w:tc>
        <w:tc>
          <w:tcPr>
            <w:tcW w:w="920" w:type="dxa"/>
            <w:vAlign w:val="bottom"/>
            <w:gridSpan w:val="2"/>
            <w:shd w:val="clear" w:color="auto" w:fill="CFF0FC"/>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EMEA (2)</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APAC (3)</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LATAM (4)</w:t>
            </w:r>
          </w:p>
        </w:tc>
        <w:tc>
          <w:tcPr>
            <w:tcW w:w="3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tcBorders>
              <w:bottom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8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30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40" w:hanging="319"/>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Canada*</w:t>
      </w:r>
    </w:p>
    <w:p>
      <w:pPr>
        <w:spacing w:after="0" w:line="27"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Middle East and Africa</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Asia-Pacific</w:t>
      </w:r>
    </w:p>
    <w:p>
      <w:pPr>
        <w:spacing w:after="0" w:line="9"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w:t>
      </w:r>
    </w:p>
    <w:p>
      <w:pPr>
        <w:spacing w:after="0" w:line="207" w:lineRule="exact"/>
        <w:rPr>
          <w:sz w:val="20"/>
          <w:szCs w:val="20"/>
          <w:color w:val="auto"/>
        </w:rPr>
      </w:pPr>
    </w:p>
    <w:p>
      <w:pPr>
        <w:ind w:left="840" w:hanging="319"/>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is included in international revenue for discussion purposes below.</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International revenue increased $17 million or 9%, and $97 million, or 19%, during the three and nine months ended September 30, 2015, respectively, compared to the same periods in 2014. International revenue represented 49% and 51% of total revenue during the three and nine months ended September 30, 2015, respectively, and represented 53% of total revenue during both the three and nine months ended September 30, 2014, respectively. Although international revenue increased as international hotel shoppers continue to grow, our international revenue growth rate and percentage of total revenue declined during the three and nine months ended September 30, 2015 when compared to the same periods in 2014, primarily due to the impact of fluctuations in foreign exchange rates, primarily due to the prolonged weakness of the Euro.</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5"/>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jc w:val="center"/>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12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4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1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Cost of revenue increased $5 million and $18 million during the three and nine months ended September 30, 2015, respectively, when compared to the same periods in 2014, primarily due to increased merchant credit card and transaction fees, driven by additional transaction costs from our 2014 business acquisitions in Attractions and Restaurants and growth in our Vacation Rental free-to-list business; personnel costs from increased headcount to support business growth and customer support; and incremental personnel costs related to our 2014 business acquisitions in Attractions and Restaurants. Our Attractions and Restaurants businesses contributed an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ind w:right="60"/>
        <w:spacing w:after="0" w:line="282" w:lineRule="auto"/>
        <w:rPr>
          <w:sz w:val="20"/>
          <w:szCs w:val="20"/>
          <w:color w:val="auto"/>
        </w:rPr>
      </w:pPr>
      <w:r>
        <w:rPr>
          <w:rFonts w:ascii="Times New Roman" w:cs="Times New Roman" w:eastAsia="Times New Roman" w:hAnsi="Times New Roman"/>
          <w:sz w:val="18"/>
          <w:szCs w:val="18"/>
          <w:color w:val="auto"/>
        </w:rPr>
        <w:t>incremental $4 million and $13 million to our cost of revenue for the three and nine months ended September 30, 2015, respectively, of which an incremental $1 million and $5 million, respectively, was related to personnel and overhead.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130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lef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left="31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6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selling and</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marketing</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552"/>
        <w:spacing w:after="0" w:line="272" w:lineRule="auto"/>
        <w:rPr>
          <w:sz w:val="20"/>
          <w:szCs w:val="20"/>
          <w:color w:val="auto"/>
        </w:rPr>
      </w:pPr>
      <w:r>
        <w:rPr>
          <w:rFonts w:ascii="Times New Roman" w:cs="Times New Roman" w:eastAsia="Times New Roman" w:hAnsi="Times New Roman"/>
          <w:sz w:val="17"/>
          <w:szCs w:val="17"/>
          <w:color w:val="auto"/>
        </w:rPr>
        <w:t>Direct selling and marketing costs increased $35 million and $143 million during the three and nine months ended September 30, 2015, respectively, when compared to the same periods in 2014, primarily due to increased SEM costs and other online traffic acquisition costs, increased costs related to our television campaign, and incremental costs related to our 2014 business acquisitions in Attractions and Restaurants. During the three and nine months ended September 30, 2015, we spent $21 million and $50 million, respectively, on our television advertising campaign which was initially launched in May 2014. Personnel and overhead costs increased $3 million and $16 million during the three and nine months ended September 30, 2015, respectively, when compared to the same periods in 2014, primarily due to incremental personnel costs related to our 2014 business acquisitions in Attractions and Restaurants. Our Attractions and Restaurants businesses contributed an incremental $15 million and $57 million to our selling and marketing expenses for the three and nine months ended September 30, 2015, respectively, of which an incremental $4 million and $16 million, respectively, was related to personnel and overhead.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jc w:val="both"/>
        <w:ind w:right="60" w:firstLine="552"/>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130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lef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left="31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8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technology and</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content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of revenue</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40" w:firstLine="548"/>
        <w:spacing w:after="0" w:line="256" w:lineRule="auto"/>
        <w:rPr>
          <w:sz w:val="20"/>
          <w:szCs w:val="20"/>
          <w:color w:val="auto"/>
        </w:rPr>
      </w:pPr>
      <w:r>
        <w:rPr>
          <w:rFonts w:ascii="Times New Roman" w:cs="Times New Roman" w:eastAsia="Times New Roman" w:hAnsi="Times New Roman"/>
          <w:sz w:val="18"/>
          <w:szCs w:val="18"/>
          <w:color w:val="auto"/>
        </w:rPr>
        <w:t>Technology and content costs increased $8 million and $27 million during the three and nine months ended September 30, 2015, respectively, when compared to the same periods in 2014, primarily due to increased personnel costs from increased headcount to support business growth, including international expansion and enhanced site features, as well as incremental personnel costs related to our 2014 business acquisitions in Attractions and Restaurants. Our Attractions and Restaurants businesses contributed an incremental $4 million and $13 million to our technology and content expenses for the three and nine months ended September 30, 2015, respectively, of which an incremental $2 million and $8 million, respectively, was related to personnel and overhead.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0" w:firstLine="58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and related overhead costs, for personnel engaged in executive leadership, finance, legal, and human resources and stock-based compensation, as well as professional service fees and other fees including audit, legal, tax and accounting, and other costs, including bad debt expense and our charitable foundation costs.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25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4"/>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66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general and</w:t>
            </w:r>
          </w:p>
        </w:tc>
        <w:tc>
          <w:tcPr>
            <w:tcW w:w="8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66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40" w:firstLine="552"/>
        <w:spacing w:after="0" w:line="258" w:lineRule="auto"/>
        <w:rPr>
          <w:sz w:val="20"/>
          <w:szCs w:val="20"/>
          <w:color w:val="auto"/>
        </w:rPr>
      </w:pPr>
      <w:r>
        <w:rPr>
          <w:rFonts w:ascii="Times New Roman" w:cs="Times New Roman" w:eastAsia="Times New Roman" w:hAnsi="Times New Roman"/>
          <w:sz w:val="18"/>
          <w:szCs w:val="18"/>
          <w:color w:val="auto"/>
        </w:rPr>
        <w:t>General and administrative costs increased $1 million and $20 million during the three and nine months ended September 30, 2015, respectively, when compared to the same periods in 2014, primarily due to personnel costs and overhead costs related to an increase in headcount to support our business operations, as well as incremental personnel costs related to our 2014 business acquisitions in Attractions and Restaurants. Our Attractions and Restaurants businesses contributed an incremental $2 million and $11 million to our general and administrative expenses for the three and nine months ended September 30, 2015, respectively, of which an incremental $2 million and $7 million, respectively, was related to personnel and overhead.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660" w:firstLine="593"/>
        <w:spacing w:after="0" w:line="282"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buildings and amortization of capitalized software and website development costs.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2"/>
          </w:tcPr>
          <w:p>
            <w:pPr>
              <w:jc w:val="center"/>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4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3"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increased $1 million and $9 million during the three and nine months ended September 30, 2015, respectively, when compared to the same periods in 2014 primarily due to increased amortization related to capitalized software and website development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Amortization consists of the amortization of purchased definite-lived intangibles.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2"/>
          </w:tcPr>
          <w:p>
            <w:pPr>
              <w:jc w:val="center"/>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4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2"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increased $4 million and $15 million during the three and nine months ended September 30, 2015, respectively, when compared to the same periods in 2014, primarily due to incremental amortization of purchased definite lived intangibles primarily related to our 2014 business acquisitions. Refer to “Note 3— Acquisitions” in the notes to our consolidated financial statements in Item 8 of our Annual Report on Form 10-K for the year ended December 31, 2014 for additional information on our 2014 acquisitions.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2011 Credit Facility, 2015 Credit Facility, and Chinese Credit Facilities, as well as interest on our financing obligation related to our corporate headquarters.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560" w:type="dxa"/>
            <w:vAlign w:val="bottom"/>
            <w:tcBorders>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jc w:val="center"/>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8"/>
                <w:szCs w:val="18"/>
                <w:color w:val="auto"/>
              </w:rPr>
              <w:t>(7) $</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right="360" w:firstLine="552"/>
        <w:spacing w:after="0" w:line="266" w:lineRule="auto"/>
        <w:rPr>
          <w:sz w:val="20"/>
          <w:szCs w:val="20"/>
          <w:color w:val="auto"/>
        </w:rPr>
      </w:pPr>
      <w:r>
        <w:rPr>
          <w:rFonts w:ascii="Times New Roman" w:cs="Times New Roman" w:eastAsia="Times New Roman" w:hAnsi="Times New Roman"/>
          <w:sz w:val="18"/>
          <w:szCs w:val="18"/>
          <w:color w:val="auto"/>
        </w:rPr>
        <w:t>Interest expense did not materially change during the three and nine months ended September 30, 2015, respectively, when compared to the same periods in 2014. Refer to “Note 8— Debt” in the notes to our unaudited consolidated financial statements in this Quarterly Report on Form 10-Q for additional information on our 2011 Credit Facility, 2015 Credit Facility, and Chinese Credit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gridSpan w:val="2"/>
          </w:tcPr>
          <w:p>
            <w:pPr>
              <w:jc w:val="center"/>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44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bl>
    <w:p>
      <w:pPr>
        <w:spacing w:after="0" w:line="90"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Interest income and other, net increased during the three and nine months ended September 30, 2015 when compared to the same periods in 2014, primarily due to the fluctuation of foreign exchange rates and a $17 million gain from the sale of one of our Chinese subsidiaries in the third quarter of</w:t>
      </w:r>
    </w:p>
    <w:p>
      <w:pPr>
        <w:spacing w:after="0" w:line="261" w:lineRule="auto"/>
        <w:rPr>
          <w:sz w:val="20"/>
          <w:szCs w:val="20"/>
          <w:color w:val="auto"/>
        </w:rPr>
      </w:pPr>
      <w:r>
        <w:rPr>
          <w:rFonts w:ascii="Times New Roman" w:cs="Times New Roman" w:eastAsia="Times New Roman" w:hAnsi="Times New Roman"/>
          <w:sz w:val="18"/>
          <w:szCs w:val="18"/>
          <w:color w:val="auto"/>
        </w:rPr>
        <w:t>2015. Refer to “Note 3— Acquisitions and Dispositions” in the notes to our unaudited consolidated financial statements in this Quarterly Report on Form 10-Q for additional information on the sale of this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2"/>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9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bl>
    <w:p>
      <w:pPr>
        <w:spacing w:after="0" w:line="193"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2015, the effective tax rate is less than the federal statutory tax rate primarily due to earnings in jurisdictions outside the United States, where our effective tax rate is lower, which was partially offset by state income taxes, non-deductible stock-based compensation and accruals on uncertain tax positions.</w:t>
      </w:r>
    </w:p>
    <w:p>
      <w:pPr>
        <w:spacing w:after="0" w:line="176" w:lineRule="exact"/>
        <w:rPr>
          <w:sz w:val="20"/>
          <w:szCs w:val="20"/>
          <w:color w:val="auto"/>
        </w:rPr>
      </w:pPr>
    </w:p>
    <w:p>
      <w:pPr>
        <w:jc w:val="both"/>
        <w:ind w:right="200" w:firstLine="552"/>
        <w:spacing w:after="0" w:line="266" w:lineRule="auto"/>
        <w:rPr>
          <w:sz w:val="20"/>
          <w:szCs w:val="20"/>
          <w:color w:val="auto"/>
        </w:rPr>
      </w:pPr>
      <w:r>
        <w:rPr>
          <w:rFonts w:ascii="Times New Roman" w:cs="Times New Roman" w:eastAsia="Times New Roman" w:hAnsi="Times New Roman"/>
          <w:sz w:val="18"/>
          <w:szCs w:val="18"/>
          <w:color w:val="auto"/>
        </w:rPr>
        <w:t>Our effective tax rate decreased during the three and nine months ended September 30, 2015 when compared to the same periods in 2014, primarily due to a change in jurisdictional earnings, including a non-taxable gain related to the sale of one of our Chinese subsidiaries in the third quarter of 2015, as well as certain discrete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For information on our relationship with Liberty TripAdvisor Holdings, Inc., refer to “Note 15— Related Party Transactions” in the notes to our unaudited consolidated financial statements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80" w:firstLine="518"/>
        <w:spacing w:after="0" w:line="282" w:lineRule="auto"/>
        <w:rPr>
          <w:sz w:val="20"/>
          <w:szCs w:val="20"/>
          <w:color w:val="auto"/>
        </w:rPr>
      </w:pPr>
      <w:r>
        <w:rPr>
          <w:rFonts w:ascii="Times New Roman" w:cs="Times New Roman" w:eastAsia="Times New Roman" w:hAnsi="Times New Roman"/>
          <w:sz w:val="18"/>
          <w:szCs w:val="18"/>
          <w:color w:val="auto"/>
        </w:rPr>
        <w:t>Refer to “Note 4— Stock Based Awards and Other Equity Instruments” in the notes to our unaudited consolidated financial statements in this Quarterly Report on Form 10-Q for further information on current year equity award activity, including the issuance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37" w:name="page38"/>
    <w:bookmarkEnd w:id="37"/>
    <w:p>
      <w:pPr>
        <w:ind w:right="140"/>
        <w:spacing w:after="0" w:line="282" w:lineRule="auto"/>
        <w:rPr>
          <w:sz w:val="20"/>
          <w:szCs w:val="20"/>
          <w:color w:val="auto"/>
        </w:rPr>
      </w:pPr>
      <w:r>
        <w:rPr>
          <w:rFonts w:ascii="Times New Roman" w:cs="Times New Roman" w:eastAsia="Times New Roman" w:hAnsi="Times New Roman"/>
          <w:sz w:val="18"/>
          <w:szCs w:val="18"/>
          <w:color w:val="auto"/>
        </w:rPr>
        <w:t>of 395,613 service-based stock options with a weighted average grant-date fair value per option of $33.24 and 707,608 service-based RSUs with a weighted average grant-date fair value of $84.00 during the nine months ended September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 following section explains how we have generated and used our cash historically, describes our current capital resources and discusses our future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229" w:lineRule="exact"/>
        <w:rPr>
          <w:sz w:val="20"/>
          <w:szCs w:val="20"/>
          <w:color w:val="auto"/>
        </w:rPr>
      </w:pPr>
    </w:p>
    <w:p>
      <w:pPr>
        <w:jc w:val="both"/>
        <w:ind w:right="360" w:firstLine="552"/>
        <w:spacing w:after="0" w:line="261" w:lineRule="auto"/>
        <w:rPr>
          <w:sz w:val="20"/>
          <w:szCs w:val="20"/>
          <w:color w:val="auto"/>
        </w:rPr>
      </w:pPr>
      <w:r>
        <w:rPr>
          <w:rFonts w:ascii="Times New Roman" w:cs="Times New Roman" w:eastAsia="Times New Roman" w:hAnsi="Times New Roman"/>
          <w:sz w:val="18"/>
          <w:szCs w:val="18"/>
          <w:color w:val="auto"/>
        </w:rPr>
        <w:t>On June 26, 2015, we entered into a five year credit agreement with JPMorgan Chase Bank, N.A., as Administrative Agent; J.P. Morgan Europe Limited, as London Agent; Morgan Stanley Bank, N.A.; Bank of America, N.A.; BNP Paribas; SunTrust Bank; Wells Fargo Bank, National Association; Royal Bank of Canada; Barclays Bank PLC; U.S. Bank National Association; Citibank, N.A.; The Bank of Tokyo-Mitsubishi UFJ, Ltd.; Goldman Sachs Bank USA; and Deutsche Bank AG New York Branch (the “2015 Credit Facility”).</w:t>
      </w:r>
    </w:p>
    <w:p>
      <w:pPr>
        <w:spacing w:after="0" w:line="180" w:lineRule="exact"/>
        <w:rPr>
          <w:sz w:val="20"/>
          <w:szCs w:val="20"/>
          <w:color w:val="auto"/>
        </w:rPr>
      </w:pPr>
    </w:p>
    <w:p>
      <w:pPr>
        <w:jc w:val="both"/>
        <w:ind w:right="220" w:firstLine="552"/>
        <w:spacing w:after="0" w:line="266" w:lineRule="auto"/>
        <w:rPr>
          <w:sz w:val="20"/>
          <w:szCs w:val="20"/>
          <w:color w:val="auto"/>
        </w:rPr>
      </w:pPr>
      <w:r>
        <w:rPr>
          <w:rFonts w:ascii="Times New Roman" w:cs="Times New Roman" w:eastAsia="Times New Roman" w:hAnsi="Times New Roman"/>
          <w:sz w:val="18"/>
          <w:szCs w:val="18"/>
          <w:color w:val="auto"/>
        </w:rPr>
        <w:t>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immediately borrowed $290 million from this revolving credit facility, which was used to repay all outstanding borrowings pursuant to the 2011 Credit Facility and is recorded in long term liabilities on our unaudited balance sheet as of September 30, 2015. There is no specific repayment date prior to the five-year maturity date for borrowings under this revolving credit facility, however, the Company may determine to make payments on this debt, based on current interest rates and liquidity requirements, at various times during the five-year period. Based on the Company’s current leverage ratio, our borrowings bear interest at LIBOR plus 125 basis points, or the Eurocurrency Spread. The Company is currently borrowing under a one-month interest period of approximately 1.50% per annum, using a one-month interest period Eurocurrency Spread, which will reset periodically. Interest will be payable on a monthly basis while the Company is borrowing under the one-month interest rate period.</w:t>
      </w:r>
    </w:p>
    <w:p>
      <w:pPr>
        <w:spacing w:after="0" w:line="189" w:lineRule="exact"/>
        <w:rPr>
          <w:sz w:val="20"/>
          <w:szCs w:val="20"/>
          <w:color w:val="auto"/>
        </w:rPr>
      </w:pPr>
    </w:p>
    <w:p>
      <w:pPr>
        <w:ind w:right="20" w:firstLine="552"/>
        <w:spacing w:after="0" w:line="261" w:lineRule="auto"/>
        <w:rPr>
          <w:sz w:val="20"/>
          <w:szCs w:val="20"/>
          <w:color w:val="auto"/>
        </w:rPr>
      </w:pPr>
      <w:r>
        <w:rPr>
          <w:rFonts w:ascii="Times New Roman" w:cs="Times New Roman" w:eastAsia="Times New Roman" w:hAnsi="Times New Roman"/>
          <w:sz w:val="18"/>
          <w:szCs w:val="18"/>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September 30, 2015, we had issued $2 million of outstanding letters of credit under the 2015 Credit Facility.</w:t>
      </w:r>
    </w:p>
    <w:p>
      <w:pPr>
        <w:spacing w:after="0" w:line="180" w:lineRule="exact"/>
        <w:rPr>
          <w:sz w:val="20"/>
          <w:szCs w:val="20"/>
          <w:color w:val="auto"/>
        </w:rPr>
      </w:pPr>
    </w:p>
    <w:p>
      <w:pPr>
        <w:jc w:val="both"/>
        <w:ind w:right="280" w:firstLine="518"/>
        <w:spacing w:after="0" w:line="266"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76" w:lineRule="exact"/>
        <w:rPr>
          <w:sz w:val="20"/>
          <w:szCs w:val="20"/>
          <w:color w:val="auto"/>
        </w:rPr>
      </w:pPr>
    </w:p>
    <w:p>
      <w:pPr>
        <w:ind w:right="40" w:firstLine="548"/>
        <w:spacing w:after="0" w:line="261" w:lineRule="auto"/>
        <w:rPr>
          <w:sz w:val="20"/>
          <w:szCs w:val="20"/>
          <w:color w:val="auto"/>
        </w:rPr>
      </w:pPr>
      <w:r>
        <w:rPr>
          <w:rFonts w:ascii="Times New Roman" w:cs="Times New Roman" w:eastAsia="Times New Roman" w:hAnsi="Times New Roman"/>
          <w:sz w:val="18"/>
          <w:szCs w:val="18"/>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2015 Credit Facility. As of September 30, 2015, we are in compliance with all of our debt covenants.</w:t>
      </w:r>
    </w:p>
    <w:p>
      <w:pPr>
        <w:spacing w:after="0" w:line="180" w:lineRule="exact"/>
        <w:rPr>
          <w:sz w:val="20"/>
          <w:szCs w:val="20"/>
          <w:color w:val="auto"/>
        </w:rPr>
      </w:pPr>
    </w:p>
    <w:p>
      <w:pPr>
        <w:ind w:right="180" w:firstLine="548"/>
        <w:spacing w:after="0" w:line="282" w:lineRule="auto"/>
        <w:rPr>
          <w:sz w:val="20"/>
          <w:szCs w:val="20"/>
          <w:color w:val="auto"/>
        </w:rPr>
      </w:pPr>
      <w:r>
        <w:rPr>
          <w:rFonts w:ascii="Times New Roman" w:cs="Times New Roman" w:eastAsia="Times New Roman" w:hAnsi="Times New Roman"/>
          <w:sz w:val="18"/>
          <w:szCs w:val="18"/>
          <w:color w:val="auto"/>
        </w:rPr>
        <w:t>The full text of the credit agreement entered into in connection with the 2015 Credit Facility is incorporated by reference in this Quarterly Report to Exhibit 10.1 of the Company’s Current Report on Form 8-K filed June 30, 2015.</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unaudited consolidated statements of cash flows, are summarized in the following table:</w:t>
      </w:r>
    </w:p>
    <w:p>
      <w:pPr>
        <w:spacing w:after="0" w:line="277"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9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102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307</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bl>
    <w:p>
      <w:pPr>
        <w:spacing w:after="0" w:line="22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principal source of liquidity is cash flows generated from operations, although liquidity needs can also be met through drawdowns under our credit facilities discussed in “Note 8 – Debt” in the notes to our unaudited consolidated financial statements in this Quarterly Report on Form 10-Q. As of September 30, 2015 and December 31, 2014, we had $730 million and $594 million, respectively, of cash, cash equivalents and short and long-term available-for-sale marketable securities. As of September 30, 2015, approximately $503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$748 million as of September 30, 2015.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September 30, 2015, we had $708 million of borrowing capacity available under our 2015 Credit Facility. In addition, we had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of available borrowing capacity under our Chinese Credit Facilities, which currently bear interest at a rate based on 100% of the People’s Bank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China’s base rate, or 4.60% as of September 30, 2015.</w:t>
      </w:r>
    </w:p>
    <w:p>
      <w:pPr>
        <w:spacing w:after="0" w:line="207"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our new corporate lease obligations, share repurchases and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552"/>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2015, net cash provided by operating activities decreased by $19 million or 6% when compared to the same period in 2014, primarily due to an decrease in working capital movements of $30 million mainly due to a decrease of $69 million related to the timing of customer receipts, income tax payments and vendor payments, partially offset by an increase in operating cash flow from deferred merchant payables of $39 million, due to the timing of merchant payments and growth in our Vacation Rental and Attraction businesses, and an increase in net income and non-cash items.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2015, net cash used in investing activities decreased by $19 million when compared to the same period in 2014, primarily due to a net decrease in cash paid for business acquisitions of $255 million and net proceeds from the sale of one of our Chinese subsidiaries of $22 million in 2015, partially offset by a net increase in cash used for the purchases, sales and maturities of our marketable securities of $220 million, and an increase in capital expenditures of $38 million, primarily driven by expenditures on our corporate headquarters.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2015, net cash used in financing activities increased by $26 million when compared to the same period in 2014, primarily due to the repayment of our Term Loan of $300 million in 2015, or an incremental outflow of $270 million, incremental repayments of our outstanding borrowings related to our Chinese Credit Facilities of $38 million, and an increase in tax withholdings payments of $34 million primarily related to the exercise of expiring stock options, partially offset by net borrowings on our 2015 Credit Facility of $287 million, incremental excess tax benefits related to stock-based compensation recorded by the Company of $12 million, and receipts of $12 million in lease incentive payments related to our corporate headquarters building.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Commercial Commitments and Off-Balance Sheet Arrangements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2014, except as described in “Note 8— Debt” in the notes to our unaudited consolidated financial statements in this Quarterly Report on Form 10-Q regarding our 2011 Credit Facility and 2015 Credit Facility. Refer to “Note 12— Commitments and Contingencies,” in the notes to our consolidated financial statements in Item 8 of our Annual Report on Form 10-K for the year ended December 31, 2014.</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2015,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nine months ended September 30, 2015. For additional information, see “Quantitative and Qualitative Disclosures About Market Risk” in Item 7A. in Part II of our Annual Report on Form 10-K for the year ended December 31, 2014.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September 30, 2015,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September 30, 2015,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6"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30, 2015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legal proceedings and claims arising out of our operations. These matters may involve claims involving alleged infringement of third-party intellectual property rights (including patent infringement), defamation, taxes, regulatory compliance privacy issues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2014 which could materially affect our business, financial condition or future results. During the quarter ended September 30, 2015, there have been no material changes in our risk factors from those disclosed in Part 1, Item 1A., “Risk Factors” in our Annual Report on Form 10-K for the fiscal year ended December 31, 2014.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200" w:firstLine="518"/>
        <w:spacing w:after="0" w:line="313" w:lineRule="auto"/>
        <w:rPr>
          <w:sz w:val="20"/>
          <w:szCs w:val="20"/>
          <w:color w:val="auto"/>
        </w:rPr>
      </w:pPr>
      <w:r>
        <w:rPr>
          <w:rFonts w:ascii="Times New Roman" w:cs="Times New Roman" w:eastAsia="Times New Roman" w:hAnsi="Times New Roman"/>
          <w:sz w:val="17"/>
          <w:szCs w:val="17"/>
          <w:color w:val="auto"/>
        </w:rPr>
        <w:t>During the quarter ended September 30, 2015,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firstLine="552"/>
        <w:spacing w:after="0" w:line="258" w:lineRule="auto"/>
        <w:rPr>
          <w:sz w:val="20"/>
          <w:szCs w:val="20"/>
          <w:color w:val="auto"/>
        </w:rPr>
      </w:pPr>
      <w:r>
        <w:rPr>
          <w:rFonts w:ascii="Times New Roman" w:cs="Times New Roman" w:eastAsia="Times New Roman" w:hAnsi="Times New Roman"/>
          <w:sz w:val="18"/>
          <w:szCs w:val="18"/>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quarter ended September 30, 2015.</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2015, we have $105 million remaining to repurchase shares of our common stock under this share repurchase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60" w:firstLine="761"/>
        <w:spacing w:after="0" w:line="256" w:lineRule="auto"/>
        <w:rPr>
          <w:sz w:val="20"/>
          <w:szCs w:val="20"/>
          <w:color w:val="auto"/>
        </w:rPr>
      </w:pPr>
      <w:r>
        <w:rPr>
          <w:rFonts w:ascii="Times New Roman" w:cs="Times New Roman" w:eastAsia="Times New Roman" w:hAnsi="Times New Roman"/>
          <w:sz w:val="18"/>
          <w:szCs w:val="18"/>
          <w:color w:val="auto"/>
        </w:rPr>
        <w:t>On November 4, 2015, the Compensation Committee approved, and the Company entered into, a verbal amendment to the Separation Agreement entered into with Julie M.B. Bradley, the Company’s current Chief Financial Officer. Previously, the Company and Ms. Bradley entered into a Separation Agreement, dated April 2, 2015 (the “Separation Agreement”), pursuant to which Ms. Bradley agreed to remain with the Company on a full-time basis for a transition period, which would last until the earlier of September 30, 2015 or thirty days following her successor’s start date (the “Transition Period”). In order to provide for an orderly transition of responsibilities to Mr. Teunissen, who will not join the Company until November 9, 2015, Ms. Bradley and the Company have verbally agreed as follows:</w:t>
      </w:r>
    </w:p>
    <w:p>
      <w:pPr>
        <w:spacing w:after="0" w:line="188" w:lineRule="exact"/>
        <w:rPr>
          <w:sz w:val="20"/>
          <w:szCs w:val="20"/>
          <w:color w:val="auto"/>
        </w:rPr>
      </w:pPr>
    </w:p>
    <w:p>
      <w:pPr>
        <w:ind w:left="2280" w:hanging="381"/>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Period will be extended to November 20, 2015 (the “Separation Date”);</w:t>
      </w:r>
    </w:p>
    <w:p>
      <w:pPr>
        <w:spacing w:after="0" w:line="225" w:lineRule="exact"/>
        <w:rPr>
          <w:rFonts w:ascii="Times New Roman" w:cs="Times New Roman" w:eastAsia="Times New Roman" w:hAnsi="Times New Roman"/>
          <w:sz w:val="18"/>
          <w:szCs w:val="18"/>
          <w:color w:val="auto"/>
        </w:rPr>
      </w:pPr>
    </w:p>
    <w:p>
      <w:pPr>
        <w:ind w:left="2280" w:hanging="381"/>
        <w:spacing w:after="0"/>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pay Ms. Bradley’s base salary through August 2016;</w:t>
      </w:r>
    </w:p>
    <w:p>
      <w:pPr>
        <w:spacing w:after="0" w:line="225" w:lineRule="exact"/>
        <w:rPr>
          <w:rFonts w:ascii="Times New Roman" w:cs="Times New Roman" w:eastAsia="Times New Roman" w:hAnsi="Times New Roman"/>
          <w:sz w:val="18"/>
          <w:szCs w:val="18"/>
          <w:color w:val="auto"/>
        </w:rPr>
      </w:pPr>
    </w:p>
    <w:p>
      <w:pPr>
        <w:ind w:left="2280" w:right="320" w:hanging="381"/>
        <w:spacing w:after="0" w:line="282" w:lineRule="auto"/>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Ms. Bradley approximately $187,000, an amount equal to her target annual bonus for 2015 prorated through the Separation Date;</w:t>
      </w:r>
    </w:p>
    <w:p>
      <w:pPr>
        <w:spacing w:after="0" w:line="161" w:lineRule="exact"/>
        <w:rPr>
          <w:rFonts w:ascii="Times New Roman" w:cs="Times New Roman" w:eastAsia="Times New Roman" w:hAnsi="Times New Roman"/>
          <w:sz w:val="18"/>
          <w:szCs w:val="18"/>
          <w:color w:val="auto"/>
        </w:rPr>
      </w:pPr>
    </w:p>
    <w:p>
      <w:pPr>
        <w:ind w:left="2280" w:right="80" w:hanging="381"/>
        <w:spacing w:after="0" w:line="256" w:lineRule="auto"/>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awards of Ms. Bradley that are outstanding and unvested as of the Separation Date that would, but for her termination of employment, have vested on or before July 31, 2016</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the “Equity Acceleration Period”) shall vest (and, with respect to restricted stock units, shall settle) as of the Separation Date; provided, that any outstanding equity award with a vesting schedule that would, but for the termination of employment, have resulted in a smaller percentage (or none) of the equity award being vested through the end of such Equity Acceleration Period than if it had vested monthly pro rata over its vesting period shall, for purposes of this provision, be treated as though it vested monthly pro rata over its vesting period; and</w:t>
      </w:r>
    </w:p>
    <w:p>
      <w:pPr>
        <w:spacing w:after="0" w:line="187" w:lineRule="exact"/>
        <w:rPr>
          <w:rFonts w:ascii="Times New Roman" w:cs="Times New Roman" w:eastAsia="Times New Roman" w:hAnsi="Times New Roman"/>
          <w:sz w:val="18"/>
          <w:szCs w:val="18"/>
          <w:color w:val="auto"/>
        </w:rPr>
      </w:pPr>
    </w:p>
    <w:p>
      <w:pPr>
        <w:ind w:left="2280" w:right="100" w:hanging="381"/>
        <w:spacing w:after="0" w:line="282" w:lineRule="auto"/>
        <w:tabs>
          <w:tab w:leader="none" w:pos="2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options to purchase shares of the Company’s equity held by Ms. Bradley shall remain exercisable through the date that is 18 months following the Separation Date or, if earlier, through the scheduled expiration date of such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38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w:t>
            </w:r>
          </w:p>
        </w:tc>
        <w:tc>
          <w:tcPr>
            <w:tcW w:w="7380" w:type="dxa"/>
            <w:vAlign w:val="bottom"/>
            <w:gridSpan w:val="2"/>
            <w:vMerge w:val="continue"/>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8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7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Employment Agreement dated October 6, 2015 by and between TripAdvisor, LLC and Ernst</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8-K</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001-35362</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Teunissen</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9"/>
                <w:szCs w:val="19"/>
                <w:color w:val="auto"/>
              </w:rPr>
            </w:pP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9"/>
                <w:szCs w:val="19"/>
                <w:color w:val="auto"/>
              </w:rPr>
            </w:pP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906 of the Sarbanes-Oxley Act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8"/>
                <w:szCs w:val="18"/>
                <w:color w:val="auto"/>
              </w:rPr>
            </w:pP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906 of the Sarbanes-Oxley Act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8"/>
                <w:szCs w:val="18"/>
                <w:color w:val="auto"/>
              </w:rPr>
            </w:pP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Company’s Quarterly Report on Form 10-Q for the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ended September 30, 2015, formatted in XBRL: (i) Unaudited Consolidated Statements of</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(ii) Unaudited Consolidated Statements of Comprehensive Income, (iii) Unaudited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(iv) Unaudited Consolidated Statement of Changes in Stockholders’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(v) Unaudited Consolidated Statements of Cash Flows, and (vi) Notes to Unaudited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Indicates a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2" w:name="page43"/>
    <w:bookmarkEnd w:id="4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66" w:lineRule="exact"/>
        <w:rPr>
          <w:sz w:val="20"/>
          <w:szCs w:val="20"/>
          <w:color w:val="auto"/>
        </w:rPr>
      </w:pPr>
    </w:p>
    <w:p>
      <w:pPr>
        <w:ind w:left="6860"/>
        <w:spacing w:after="0"/>
        <w:tabs>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ULIE</w:t>
      </w:r>
      <w:r>
        <w:rPr>
          <w:rFonts w:ascii="Times New Roman" w:cs="Times New Roman" w:eastAsia="Times New Roman" w:hAnsi="Times New Roman"/>
          <w:sz w:val="18"/>
          <w:szCs w:val="18"/>
          <w:color w:val="auto"/>
        </w:rPr>
        <w:t xml:space="preserve"> M.B. B</w:t>
      </w:r>
      <w:r>
        <w:rPr>
          <w:rFonts w:ascii="Times New Roman" w:cs="Times New Roman" w:eastAsia="Times New Roman" w:hAnsi="Times New Roman"/>
          <w:sz w:val="13"/>
          <w:szCs w:val="13"/>
          <w:color w:val="auto"/>
        </w:rPr>
        <w:t>RADLEY</w:t>
      </w:r>
    </w:p>
    <w:p>
      <w:pPr>
        <w:spacing w:after="0" w:line="27"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60"/>
          </w:cols>
          <w:pgMar w:left="240" w:top="901" w:right="7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2015 of TripAdvisor,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M.B. Bradley,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2015 of TripAdvisor,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2015, as filed with the Securities and Exchange Commission on the date hereof (the “Report”), I, Stephen Kaufer, Chief Executive Officer of the Company, certify, pursuant to Section 906 of the Sarbanes-Oxley Act of 2002, 18 U.S.C. Section 1350, that:</w:t>
      </w:r>
    </w:p>
    <w:p>
      <w:pPr>
        <w:spacing w:after="0" w:line="68" w:lineRule="exact"/>
        <w:rPr>
          <w:sz w:val="20"/>
          <w:szCs w:val="20"/>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2015, as filed with the Securities and Exchange Commission on the date hereof (the “Report”), I, Julie M.B. Bradley, Chief Financial Officer of the Company, certify, pursuant to Section 906 of the Sarbanes-Oxley Act of 2002, 18 U.S.C. Section 1350, that:</w:t>
      </w:r>
    </w:p>
    <w:p>
      <w:pPr>
        <w:spacing w:after="0" w:line="68" w:lineRule="exact"/>
        <w:rPr>
          <w:sz w:val="20"/>
          <w:szCs w:val="20"/>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2015</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M.B. BRADLEY</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Julie M.B. Bradley</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emdash "/>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lvl w:ilvl="1">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2019-12-29T14:20:38Z</dcterms:created>
  <dcterms:modified xsi:type="dcterms:W3CDTF">2019-12-29T14:20:38Z</dcterms:modified>
</cp:coreProperties>
</file>