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TRIPADVISOR,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44"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00" w:space="720"/>
            <w:col w:w="3300"/>
          </w:cols>
          <w:pgMar w:left="240" w:top="230" w:right="239" w:bottom="1440" w:gutter="0" w:footer="0" w:header="0"/>
          <w:type w:val="continuous"/>
        </w:sectPr>
      </w:pPr>
    </w:p>
    <w:p>
      <w:pPr>
        <w:ind w:left="4960"/>
        <w:spacing w:after="0"/>
        <w:rPr>
          <w:sz w:val="20"/>
          <w:szCs w:val="20"/>
          <w:color w:val="auto"/>
        </w:rPr>
      </w:pPr>
      <w:r>
        <w:rPr>
          <w:rFonts w:ascii="Arial" w:cs="Arial" w:eastAsia="Arial" w:hAnsi="Arial"/>
          <w:sz w:val="18"/>
          <w:szCs w:val="18"/>
          <w:b w:val="1"/>
          <w:bCs w:val="1"/>
          <w:color w:val="auto"/>
        </w:rPr>
        <w:t>141 Needham Street</w:t>
      </w:r>
    </w:p>
    <w:p>
      <w:pPr>
        <w:spacing w:after="0" w:line="21"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Newton, MA 02464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 (Zip Code)</w:t>
      </w:r>
    </w:p>
    <w:p>
      <w:pPr>
        <w:sectPr>
          <w:pgSz w:w="11900" w:h="16838" w:orient="portrait"/>
          <w:cols w:equalWidth="0" w:num="1">
            <w:col w:w="11420"/>
          </w:cols>
          <w:pgMar w:left="240" w:top="230" w:right="239" w:bottom="1440" w:gutter="0" w:footer="0" w:header="0"/>
          <w:type w:val="continuous"/>
        </w:sectPr>
      </w:pP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670-6300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5">
            <w:col w:w="1500" w:space="420"/>
            <w:col w:w="160" w:space="60"/>
            <w:col w:w="6000" w:space="720"/>
            <w:col w:w="1920" w:space="480"/>
            <w:col w:w="160"/>
          </w:cols>
          <w:pgMar w:left="240" w:top="230" w:right="239" w:bottom="1440" w:gutter="0" w:footer="0" w:header="0"/>
          <w:type w:val="continuous"/>
        </w:sectPr>
      </w:pPr>
    </w:p>
    <w:bookmarkStart w:id="1" w:name="page2"/>
    <w:bookmarkEnd w:id="1"/>
    <w:p>
      <w:pPr>
        <w:ind w:left="460"/>
        <w:spacing w:after="0" w:line="207" w:lineRule="exact"/>
        <w:tabs>
          <w:tab w:leader="none" w:pos="8580" w:val="left"/>
          <w:tab w:leader="none" w:pos="9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420"/>
          </w:cols>
          <w:pgMar w:left="240" w:top="98" w:right="239" w:bottom="1440" w:gutter="0" w:footer="0" w:header="0"/>
        </w:sect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420" w:type="dxa"/>
            <w:vAlign w:val="bottom"/>
            <w:gridSpan w:val="2"/>
            <w:vMerge w:val="restart"/>
          </w:tcPr>
          <w:p>
            <w:pPr>
              <w:jc w:val="center"/>
              <w:ind w:right="3012"/>
              <w:spacing w:after="0"/>
              <w:rPr>
                <w:sz w:val="20"/>
                <w:szCs w:val="20"/>
                <w:color w:val="auto"/>
              </w:rPr>
            </w:pPr>
            <w:r>
              <w:rPr>
                <w:rFonts w:ascii="Arial" w:cs="Arial" w:eastAsia="Arial" w:hAnsi="Arial"/>
                <w:sz w:val="14"/>
                <w:szCs w:val="14"/>
                <w:b w:val="1"/>
                <w:bCs w:val="1"/>
                <w:color w:val="auto"/>
                <w:w w:val="85"/>
              </w:rPr>
              <w:t>Class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Shares at</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20" w:type="dxa"/>
            <w:vAlign w:val="bottom"/>
          </w:tcPr>
          <w:p>
            <w:pPr>
              <w:spacing w:after="0"/>
              <w:rPr>
                <w:sz w:val="14"/>
                <w:szCs w:val="14"/>
                <w:color w:val="auto"/>
              </w:rPr>
            </w:pPr>
          </w:p>
        </w:tc>
        <w:tc>
          <w:tcPr>
            <w:tcW w:w="3420" w:type="dxa"/>
            <w:vAlign w:val="bottom"/>
            <w:gridSpan w:val="2"/>
            <w:vMerge w:val="continue"/>
          </w:tcPr>
          <w:p>
            <w:pPr>
              <w:spacing w:after="0"/>
              <w:rPr>
                <w:sz w:val="14"/>
                <w:szCs w:val="14"/>
                <w:color w:val="auto"/>
              </w:rPr>
            </w:pPr>
          </w:p>
        </w:tc>
        <w:tc>
          <w:tcPr>
            <w:tcW w:w="1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October 30, 2012</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620" w:type="dxa"/>
            <w:vAlign w:val="bottom"/>
          </w:tcPr>
          <w:p>
            <w:pPr>
              <w:ind w:left="3260"/>
              <w:spacing w:after="0" w:line="188" w:lineRule="exact"/>
              <w:rPr>
                <w:sz w:val="20"/>
                <w:szCs w:val="20"/>
                <w:color w:val="auto"/>
              </w:rPr>
            </w:pPr>
            <w:r>
              <w:rPr>
                <w:rFonts w:ascii="Arial" w:cs="Arial" w:eastAsia="Arial" w:hAnsi="Arial"/>
                <w:sz w:val="18"/>
                <w:szCs w:val="18"/>
                <w:color w:val="auto"/>
                <w:w w:val="93"/>
              </w:rPr>
              <w:t>Common Stock, $</w:t>
            </w: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74"/>
              </w:rPr>
              <w:t>0.001</w:t>
            </w:r>
          </w:p>
        </w:tc>
        <w:tc>
          <w:tcPr>
            <w:tcW w:w="3080" w:type="dxa"/>
            <w:vAlign w:val="bottom"/>
          </w:tcPr>
          <w:p>
            <w:pPr>
              <w:ind w:left="20"/>
              <w:spacing w:after="0" w:line="188" w:lineRule="exact"/>
              <w:rPr>
                <w:sz w:val="20"/>
                <w:szCs w:val="20"/>
                <w:color w:val="auto"/>
              </w:rPr>
            </w:pPr>
            <w:r>
              <w:rPr>
                <w:rFonts w:ascii="Arial" w:cs="Arial" w:eastAsia="Arial" w:hAnsi="Arial"/>
                <w:sz w:val="18"/>
                <w:szCs w:val="18"/>
                <w:color w:val="auto"/>
              </w:rPr>
              <w:t>par value per share</w:t>
            </w:r>
          </w:p>
        </w:tc>
        <w:tc>
          <w:tcPr>
            <w:tcW w:w="1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129,543,981 shares</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40" w:type="dxa"/>
            <w:vAlign w:val="bottom"/>
            <w:gridSpan w:val="3"/>
          </w:tcPr>
          <w:p>
            <w:pPr>
              <w:jc w:val="center"/>
              <w:ind w:left="1432"/>
              <w:spacing w:after="0"/>
              <w:rPr>
                <w:sz w:val="20"/>
                <w:szCs w:val="20"/>
                <w:color w:val="auto"/>
              </w:rPr>
            </w:pPr>
            <w:r>
              <w:rPr>
                <w:rFonts w:ascii="Arial" w:cs="Arial" w:eastAsia="Arial" w:hAnsi="Arial"/>
                <w:sz w:val="18"/>
                <w:szCs w:val="18"/>
                <w:color w:val="auto"/>
                <w:w w:val="87"/>
              </w:rPr>
              <w:t>Class B common stock, $0.001 par value per share</w:t>
            </w:r>
          </w:p>
        </w:tc>
        <w:tc>
          <w:tcPr>
            <w:tcW w:w="1560" w:type="dxa"/>
            <w:vAlign w:val="bottom"/>
          </w:tcPr>
          <w:p>
            <w:pPr>
              <w:jc w:val="center"/>
              <w:spacing w:after="0"/>
              <w:rPr>
                <w:sz w:val="20"/>
                <w:szCs w:val="20"/>
                <w:color w:val="auto"/>
              </w:rPr>
            </w:pPr>
            <w:r>
              <w:rPr>
                <w:rFonts w:ascii="Arial" w:cs="Arial" w:eastAsia="Arial" w:hAnsi="Arial"/>
                <w:sz w:val="18"/>
                <w:szCs w:val="18"/>
                <w:color w:val="auto"/>
                <w:w w:val="84"/>
              </w:rPr>
              <w:t>12,799,999 shares</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8"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September 30, 2012</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11040" w:type="dxa"/>
            <w:vAlign w:val="bottom"/>
            <w:gridSpan w:val="19"/>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1040" w:type="dxa"/>
            <w:vAlign w:val="bottom"/>
            <w:gridSpan w:val="19"/>
          </w:tcPr>
          <w:p>
            <w:pPr>
              <w:spacing w:after="0"/>
              <w:rPr>
                <w:sz w:val="20"/>
                <w:szCs w:val="20"/>
                <w:color w:val="auto"/>
              </w:rPr>
            </w:pPr>
            <w:r>
              <w:rPr>
                <w:rFonts w:ascii="Arial" w:cs="Arial" w:eastAsia="Arial" w:hAnsi="Arial"/>
                <w:sz w:val="18"/>
                <w:szCs w:val="18"/>
                <w:color w:val="auto"/>
              </w:rPr>
              <w:t>Item 1. Unaudited 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60" w:type="dxa"/>
            <w:vAlign w:val="bottom"/>
          </w:tcPr>
          <w:p>
            <w:pPr>
              <w:spacing w:after="0"/>
              <w:rPr>
                <w:sz w:val="24"/>
                <w:szCs w:val="24"/>
                <w:color w:val="auto"/>
              </w:rPr>
            </w:pPr>
          </w:p>
        </w:tc>
        <w:tc>
          <w:tcPr>
            <w:tcW w:w="10580" w:type="dxa"/>
            <w:vAlign w:val="bottom"/>
            <w:gridSpan w:val="18"/>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Consolidated and Combined Statements of Operations (Unaudited) for the Three and Nine Months Ended September 30, 2012 and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18"/>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and Combined Statements of Comprehensive Income (Unaudited) for the Three and Nine Months Ended September 30, 2012 and</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Borders>
              <w:top w:val="single" w:sz="8" w:color="0000EE"/>
            </w:tcBorders>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2011</w:t>
              </w:r>
            </w:hyperlink>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1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Balance Sheets (Unaudited) at September 30, 2012 and December 31, 2011</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5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Consolidated Statement of Changes in Stockholders’ Equity (Unaudited) for the Nine Months Ended September 30, 2012</w:t>
              </w:r>
            </w:hyperlink>
          </w:p>
        </w:tc>
        <w:tc>
          <w:tcPr>
            <w:tcW w:w="20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9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Consolidated and Combined Statements of Cash Flows (Unaudited) for the Nine Months Ended September 30, 2012 and 2011</w:t>
              </w:r>
            </w:hyperlink>
          </w:p>
        </w:tc>
        <w:tc>
          <w:tcPr>
            <w:tcW w:w="16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1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and Combined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Item 3. 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42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Item 4. Controls and Procedures</w:t>
              </w:r>
            </w:hyperlink>
          </w:p>
        </w:tc>
        <w:tc>
          <w:tcPr>
            <w:tcW w:w="87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1040" w:type="dxa"/>
            <w:vAlign w:val="bottom"/>
            <w:gridSpan w:val="19"/>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Item 1. Legal Proceedings</w:t>
              </w:r>
            </w:hyperlink>
          </w:p>
        </w:tc>
        <w:tc>
          <w:tcPr>
            <w:tcW w:w="240" w:type="dxa"/>
            <w:vAlign w:val="bottom"/>
            <w:tcBorders>
              <w:top w:val="single" w:sz="8" w:color="0000EE"/>
            </w:tcBorders>
          </w:tcPr>
          <w:p>
            <w:pPr>
              <w:spacing w:after="0"/>
              <w:rPr>
                <w:sz w:val="24"/>
                <w:szCs w:val="24"/>
                <w:color w:val="auto"/>
              </w:rPr>
            </w:pPr>
          </w:p>
        </w:tc>
        <w:tc>
          <w:tcPr>
            <w:tcW w:w="89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Item 1A. Risk Factors</w:t>
              </w:r>
            </w:hyperlink>
          </w:p>
        </w:tc>
        <w:tc>
          <w:tcPr>
            <w:tcW w:w="94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Item 2. Unregistered Sales of Equity Securities and Use of Proceeds</w:t>
              </w:r>
            </w:hyperlink>
          </w:p>
        </w:tc>
        <w:tc>
          <w:tcPr>
            <w:tcW w:w="62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Item 4. Mine Safety Disclosures</w:t>
              </w:r>
            </w:hyperlink>
          </w:p>
        </w:tc>
        <w:tc>
          <w:tcPr>
            <w:tcW w:w="87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6. Exhibits</w:t>
              </w:r>
            </w:hyperlink>
          </w:p>
        </w:tc>
        <w:tc>
          <w:tcPr>
            <w:tcW w:w="99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3"/>
          </w:tcPr>
          <w:p>
            <w:pPr>
              <w:spacing w:after="0"/>
              <w:rPr>
                <w:rFonts w:ascii="Arial" w:cs="Arial" w:eastAsia="Arial" w:hAnsi="Arial"/>
                <w:sz w:val="18"/>
                <w:szCs w:val="18"/>
                <w:b w:val="1"/>
                <w:bCs w:val="1"/>
                <w:color w:val="0000EE"/>
                <w:w w:val="86"/>
              </w:rPr>
            </w:pPr>
            <w:hyperlink w:anchor="page43">
              <w:r>
                <w:rPr>
                  <w:rFonts w:ascii="Arial" w:cs="Arial" w:eastAsia="Arial" w:hAnsi="Arial"/>
                  <w:sz w:val="18"/>
                  <w:szCs w:val="18"/>
                  <w:b w:val="1"/>
                  <w:bCs w:val="1"/>
                  <w:color w:val="0000EE"/>
                  <w:w w:val="86"/>
                </w:rPr>
                <w:t>Signature</w:t>
              </w:r>
            </w:hyperlink>
          </w:p>
        </w:tc>
        <w:tc>
          <w:tcPr>
            <w:tcW w:w="1030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83"/>
        </w:trPr>
        <w:tc>
          <w:tcPr>
            <w:tcW w:w="6700" w:type="dxa"/>
            <w:vAlign w:val="bottom"/>
            <w:gridSpan w:val="13"/>
          </w:tcPr>
          <w:p>
            <w:pPr>
              <w:ind w:left="56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AND COMBINED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ind w:left="3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155,835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120,384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429,370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325,705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Related-party revenue from Expedia</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164,203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173,560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212,710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180,801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593,573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499,265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Costs and expenses: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 (exclusive of amortization) (1)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Selling and marketing(2)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67,647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60,349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199,279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157,229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content(2)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62,950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General and administrative(2)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9,194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54,562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Related-party shared services fee to Expedia</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14,033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Spin-off costs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120,461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344,269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260,064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92,249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82,068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249,304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239,201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Interest (expense) income, net</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(8,143)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Total other expense, net</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(2,590)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(10,619)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238,685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238,348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(31,275)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(25,185)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(77,814)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(82,574)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160,871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155,774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TripAdvisor,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54,314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160,490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155,656</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attributable to TripAdvisor, Inc.: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142,342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133,461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138,458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133,461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143,657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133,461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140,517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133,461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(1)  Excludes amortization as follows: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technology included in amortization of intangibles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(2)  Includes stock-based compensation as follows: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marketing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Technology and content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7,125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AND COMBINED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4"/>
              </w:rPr>
              <w:t>Three months ended</w:t>
            </w:r>
          </w:p>
        </w:tc>
        <w:tc>
          <w:tcPr>
            <w:tcW w:w="17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7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$59,535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$54,293</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$160,871</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$155,774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61,259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53,090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162,826</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155,229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Comprehensive income attributable to TripAdvisor, Inc.</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61,084</w:t>
            </w:r>
          </w:p>
        </w:tc>
        <w:tc>
          <w:tcPr>
            <w:tcW w:w="200" w:type="dxa"/>
            <w:vAlign w:val="bottom"/>
          </w:tcPr>
          <w:p>
            <w:pPr>
              <w:spacing w:after="0"/>
              <w:rPr>
                <w:sz w:val="19"/>
                <w:szCs w:val="19"/>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w w:val="96"/>
              </w:rPr>
              <w:t>$ 53,111</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162,445</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79"/>
              </w:rPr>
              <w:t>$ 155,111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548,372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183,532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Accounts receivable, net of allowance of $2,482 and $5,370 at September 30, 2012 and December 31, 2011,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103,080</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67,936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 from Expedia,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32,549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6,648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8,934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6,279</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699,583</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278,322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41,133</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10,483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39,399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468,685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466,892</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color w:val="auto"/>
              </w:rPr>
              <w:t>Total long-term assets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559,700</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557,564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1,259,283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835,886</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20,421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30,014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Credit facility borrowings</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29,483</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current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Taxes payable</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14,945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47,662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31,075</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177,525</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126,530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13,399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15,070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Borrowings, net of current portion</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350,000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380,000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378,469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411,956</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555,994</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538,486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Redeemable noncontrolling interest (See Note 12)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14,645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21"/>
        </w:trPr>
        <w:tc>
          <w:tcPr>
            <w:tcW w:w="926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5)</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Preferred stock $0.001 par value</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Authorized shares: 100,000,000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Shares issued and outstanding: 0 and 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$0.001 par value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Authorized shares: 1,600,000,000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Shares issued and outstanding: 129,560,833 and 120,661,808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Class B common stock $0.001 par value</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Authorized shares 400,000,000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Shares issued and outstanding: 12,799,999 and 12,799,999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526,397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293,744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162,859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688,644</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293,537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1,259,283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835,886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ind w:left="600"/>
              <w:spacing w:after="0" w:line="149" w:lineRule="exact"/>
              <w:rPr>
                <w:sz w:val="20"/>
                <w:szCs w:val="20"/>
                <w:color w:val="auto"/>
              </w:rPr>
            </w:pPr>
            <w:r>
              <w:rPr>
                <w:rFonts w:ascii="Arial" w:cs="Arial" w:eastAsia="Arial" w:hAnsi="Arial"/>
                <w:sz w:val="14"/>
                <w:szCs w:val="14"/>
                <w:b w:val="1"/>
                <w:bCs w:val="1"/>
                <w:color w:val="auto"/>
              </w:rPr>
              <w:t>Class B</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paid-in</w:t>
            </w:r>
          </w:p>
        </w:tc>
        <w:tc>
          <w:tcPr>
            <w:tcW w:w="9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Retained</w:t>
            </w: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80" w:type="dxa"/>
            <w:vAlign w:val="bottom"/>
            <w:gridSpan w:val="3"/>
          </w:tcPr>
          <w:p>
            <w:pPr>
              <w:ind w:left="420"/>
              <w:spacing w:after="0"/>
              <w:rPr>
                <w:sz w:val="20"/>
                <w:szCs w:val="20"/>
                <w:color w:val="auto"/>
              </w:rPr>
            </w:pPr>
            <w:r>
              <w:rPr>
                <w:rFonts w:ascii="Arial" w:cs="Arial" w:eastAsia="Arial" w:hAnsi="Arial"/>
                <w:sz w:val="14"/>
                <w:szCs w:val="14"/>
                <w:b w:val="1"/>
                <w:bCs w:val="1"/>
                <w:color w:val="auto"/>
                <w:w w:val="92"/>
              </w:rPr>
              <w:t>Common stock</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3"/>
          </w:tcPr>
          <w:p>
            <w:pPr>
              <w:jc w:val="right"/>
              <w:ind w:right="46"/>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capital</w:t>
            </w:r>
          </w:p>
        </w:tc>
        <w:tc>
          <w:tcPr>
            <w:tcW w:w="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(loss) income</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2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Shares</w:t>
            </w: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2"/>
                <w:szCs w:val="12"/>
                <w:color w:val="auto"/>
              </w:rPr>
            </w:pPr>
          </w:p>
        </w:tc>
        <w:tc>
          <w:tcPr>
            <w:tcW w:w="116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120,661,808</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121</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12,799,999</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293,744</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2,369</w:t>
            </w:r>
          </w:p>
        </w:tc>
        <w:tc>
          <w:tcPr>
            <w:tcW w:w="200" w:type="dxa"/>
            <w:vAlign w:val="bottom"/>
            <w:tcBorders>
              <w:top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(2,710)</w:t>
            </w:r>
          </w:p>
        </w:tc>
        <w:tc>
          <w:tcPr>
            <w:tcW w:w="6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293,537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20" w:type="dxa"/>
            <w:vAlign w:val="bottom"/>
            <w:gridSpan w:val="2"/>
          </w:tcPr>
          <w:p>
            <w:pPr>
              <w:spacing w:after="0"/>
              <w:rPr>
                <w:sz w:val="20"/>
                <w:szCs w:val="20"/>
                <w:color w:val="auto"/>
              </w:rPr>
            </w:pPr>
            <w:r>
              <w:rPr>
                <w:rFonts w:ascii="Arial" w:cs="Arial" w:eastAsia="Arial" w:hAnsi="Arial"/>
                <w:sz w:val="18"/>
                <w:szCs w:val="18"/>
                <w:color w:val="auto"/>
              </w:rPr>
              <w:t>Net income attributable to TripAdvisor, Inc.</w:t>
            </w:r>
          </w:p>
        </w:tc>
        <w:tc>
          <w:tcPr>
            <w:tcW w:w="9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160,490</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160,490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Tax benefits on equity awards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2,393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2"/>
              </w:rPr>
              <w:t>Issuance of common stock related to exercise of</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and warrants and vesting of RSUs</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8,899,025</w:t>
            </w: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226,242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226,251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Minimum withholding tax on vesting of RSUs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(3,689)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Adjustment to the fair value of redeemable</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w:t>
            </w: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(7,951)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4"/>
              </w:rPr>
              <w:t>Reclassification of non-employee equity awards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to liability</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(1,174)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16,888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2012</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9"/>
              </w:rPr>
              <w:t>129,560,833</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9"/>
              </w:rPr>
              <w:t>130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12,799,999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526,397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9"/>
              </w:rPr>
              <w:t>162,859</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(755)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688,644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AND COMBINED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8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8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6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$160,871</w:t>
            </w:r>
          </w:p>
        </w:tc>
        <w:tc>
          <w:tcPr>
            <w:tcW w:w="1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$ 155,774</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Depreciation of property and equipment, including internal-use software and website development</w:t>
            </w:r>
          </w:p>
        </w:tc>
        <w:tc>
          <w:tcPr>
            <w:tcW w:w="680" w:type="dxa"/>
            <w:vAlign w:val="bottom"/>
          </w:tcPr>
          <w:p>
            <w:pPr>
              <w:jc w:val="right"/>
              <w:spacing w:after="0"/>
              <w:rPr>
                <w:sz w:val="20"/>
                <w:szCs w:val="20"/>
                <w:color w:val="auto"/>
              </w:rPr>
            </w:pPr>
            <w:r>
              <w:rPr>
                <w:rFonts w:ascii="Arial" w:cs="Arial" w:eastAsia="Arial" w:hAnsi="Arial"/>
                <w:sz w:val="18"/>
                <w:szCs w:val="18"/>
                <w:color w:val="auto"/>
              </w:rPr>
              <w:t>14,033</w:t>
            </w:r>
          </w:p>
        </w:tc>
        <w:tc>
          <w:tcPr>
            <w:tcW w:w="1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13,246</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19,923</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6,479</w:t>
            </w: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4,909</w:t>
            </w:r>
          </w:p>
        </w:tc>
        <w:tc>
          <w:tcPr>
            <w:tcW w:w="1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5,643</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Deferred tax benefit</w:t>
            </w:r>
          </w:p>
        </w:tc>
        <w:tc>
          <w:tcPr>
            <w:tcW w:w="68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(174)</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(2,189)</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(1,651)</w:t>
            </w: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(1,584)</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601</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 loss on cash and cash equivalents, net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Other</w:t>
            </w: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(32,461)</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(21,480)</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Related parties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(1,885)</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(1,774)</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18,214</w:t>
            </w: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Taxes payable</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(4,534)</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6,608</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 and other current liabilities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2,935</w:t>
            </w:r>
          </w:p>
        </w:tc>
      </w:tr>
      <w:tr>
        <w:trPr>
          <w:trHeight w:val="223"/>
        </w:trPr>
        <w:tc>
          <w:tcPr>
            <w:tcW w:w="20" w:type="dxa"/>
            <w:vAlign w:val="bottom"/>
          </w:tcPr>
          <w:p>
            <w:pPr>
              <w:spacing w:after="0"/>
              <w:rPr>
                <w:sz w:val="19"/>
                <w:szCs w:val="19"/>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167,929</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191,721</w:t>
            </w: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net of cash acquired</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(7,894)</w:t>
            </w: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(20,587)</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(16,029)</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proceeds from Expedia related to Spin-Off</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Transfers to Expedia, net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(104,013)</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Maturity of short-term investments</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20,356</w:t>
            </w:r>
          </w:p>
        </w:tc>
        <w:tc>
          <w:tcPr>
            <w:tcW w:w="100" w:type="dxa"/>
            <w:vAlign w:val="bottom"/>
            <w:shd w:val="clear" w:color="auto" w:fill="CCEEFF"/>
          </w:tcPr>
          <w:p>
            <w:pPr>
              <w:spacing w:after="0"/>
              <w:rPr>
                <w:sz w:val="18"/>
                <w:szCs w:val="18"/>
                <w:color w:val="auto"/>
              </w:rPr>
            </w:pPr>
          </w:p>
        </w:tc>
      </w:tr>
      <w:tr>
        <w:trPr>
          <w:trHeight w:val="221"/>
        </w:trPr>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(13,559)</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(107,580)</w:t>
            </w:r>
          </w:p>
        </w:tc>
      </w:tr>
      <w:tr>
        <w:trPr>
          <w:trHeight w:val="218"/>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Acquisitions funded by Expedia</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5,135</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credit facilities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4,321</w:t>
            </w: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Payments on credit facilities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 and warrants</w:t>
            </w:r>
          </w:p>
        </w:tc>
        <w:tc>
          <w:tcPr>
            <w:tcW w:w="680" w:type="dxa"/>
            <w:vAlign w:val="bottom"/>
          </w:tcPr>
          <w:p>
            <w:pPr>
              <w:jc w:val="right"/>
              <w:spacing w:after="0"/>
              <w:rPr>
                <w:sz w:val="20"/>
                <w:szCs w:val="20"/>
                <w:color w:val="auto"/>
              </w:rPr>
            </w:pPr>
            <w:r>
              <w:rPr>
                <w:rFonts w:ascii="Arial" w:cs="Arial" w:eastAsia="Arial" w:hAnsi="Arial"/>
                <w:sz w:val="18"/>
                <w:szCs w:val="18"/>
                <w:color w:val="auto"/>
              </w:rPr>
              <w:t>226,251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minimum withholding taxes on RSU vesting</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212,549</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11,107</w:t>
            </w:r>
          </w:p>
        </w:tc>
      </w:tr>
      <w:tr>
        <w:trPr>
          <w:trHeight w:val="223"/>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Effect of exchange rate changes on cash and cash equivalents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(2,079)</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95,247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93,133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548,372</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$ 188,380</w:t>
            </w: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NOTES TO CONSOLIDATED AND COMBINED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refer to TripAdvisor, Inc. and our wholly-owned subsidiaries as “TripAdvisor,” “us,” “we” and “our” in these notes to the consolidated and combined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TripAdvisor is an online travel company, empowering users to plan and have the perfect trip. TripAdvisor’s travel research platform aggregates reviews and opinions of members about destinations, accommodations (hotels, bed and breakfasts, specialty lodging and vacation rentals), restaurants and activities throughout the world through our flagship TripAdvisor brand. TripAdvisor-branded websites include tripadvisor.com in the United States and localized versions of the website in 29 other countries, including in China under the brand daodao.com. Beyond travel-related content, TripAdvisor websites also include links to the websites of our travel advertisers allowing travelers to directly book their travel arrangements. In addition to the flagship TripAdvisor brand, we manage and operate websites under 19 other travel brands, connected by the common goal of providing comprehensive travel planning resources across the travel sector. We derive substantially all of our revenue from advertising, primarily through click-based advertising and display-based advertising sales. In addition, we earn revenue through a combination of subscription-based offerings, transaction revenue from our flash sale website, SniqueAway, and from our recently-launched hotel booking site, Tingo, and other revenue including content licensing.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 from Expedia</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On April 7, 2011, Expedia, Inc. (“Expedia”) announced its plan to separate into two independent public companies in order to better achieve certain strategic objectives of its various businesses. We refer to this transaction as the “Spin-Off.”</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20, 2011, following the close of trading on the NASDAQ Global Select Market (“NASDAQ”), the Spin-Off was completed, and TripAdvisor began trading as independent public company on December 21, 2011. Expedia effected the Spin-Off by means of a reclassification of its capital stock that resulted in the holders of Expedia capital stock immediately prior to the time of effectiveness of the reclassification having the right to receive a proportionate amount of TripAdvisor capital stock. A one-for-two reverse stock split of outstanding Expedia capital stock occurred immediately prior to the Spin-Off, with cash paid in lieu of fractional shares.</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Spin-Off, Expedia contributed or transferred all of the subsidiaries and assets relating to Expedia’s TripAdvisor Media Group, which were comprised of the TripAdvisor Holdings, LLC combined financial statements, to TripAdvisor and TripAdvisor or one of its subsidiaries assumed all of the liabilities relating to Expedia’s TripAdvisor Media Group. TripAdvisor now trades on the NASDAQ under the symbol “TRIP”.</w:t>
      </w:r>
    </w:p>
    <w:p>
      <w:pPr>
        <w:spacing w:after="0" w:line="10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On December 20, 2011, TripAdvisor Holdings, LLC, distributed approximately $406 million in cash to Expedia in the form of a dividend, prior to completion of the Spin-Off. This distribution was funded through borrowings under a new credit agreement, dated as of December 20, 2011, among TripAdvisor, TripAdvisor Holdings, LLC, TripAdvisor LLC, the lenders party thereto, JPMorgan Chase Bank, N.A., as administrative agent, and J.P. Morgan Europe Limited, as London agent. Such credit agreement together with all exhibits, schedules, annexes, certificates, assignments and related documents contemplated thereby is referred to herein as the “Credit Agreement.” The Credit Agreement provided for a five-year term loan (the “Term Loan”) to TripAdvisor Holdings, LLC in a principal amount of $400 million, repayable in quarterly installments equal to 1.25% of the original principal amount in year 2012 and 2.5% of the original principal amount in each year thereafter, with the balance payable on the final maturity date. The Credit Agreement also provides for a revolving credit facility (the “Revolving Credit Facility”) with a maximum borrowing capacity of $200 million. All outstanding principal and interest under the Term Loan and the Revolving Credit Facility will be due and payable, and the Revolving Credit Facility will terminate, on December 20,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unaudited consolidated and combined financial statements have been prepared by us in accordance with generally accepted accounting principles, or GAAP, for interim financial reporting and the instructions to Form 10-Q and Rule 10-01 of Regulation S-X. Accordingly, certain information and footnote disclosures normally included in financial statements prepared under generally accepted accounting principles for complete periods have been condensed or omitted pursuant to such regulations. In the opinion of management, all adjustments considered necessary for a fair presentation of our financial position, results of operations and cash flows have been included. All such adjustments are of a normal recurring nature. These unaudited condensed consolidated financial statements should be read in conjunction with our audited consolidated and combined financial statements for the year ended December 31, 2011 filed with the Securities and Exchange Commission (“SEC”) in our Annual Report on Form 10-K on March 15, 2012. The results for interim periods are not necessarily indicative of the results to be expected for the full year.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financial statements and related financial information pertaining to the period preceding the Spin-Off have been presented on a combined basis and reflect the results of TripAdvisor that were ultimately transferred to us as part of the Spin-Off. The financial statements and related financial information pertaining to the period subsequent to the Spin-Off have been presented on a consolidated basis. Prior to the Spin-Off, certain functions, including accounting, legal, tax, corporate development, treasury, employee benefits, financial reporting and real estate management, were historically managed by the corporate division of Expedia on behalf of its subsidiaries. The assets, liabilities and expenses related to the support of these centralized corporate functions have been allocated to us on a specific identification basis to the extent possible. Otherwise, allocations related to these services, in the form of a related-party services fee, were primarily based upon an estimate of the proportion of corporate amounts applicable to us. These allocations were determined on a basis that Expedia and we considered to be a reasonable reflection of the cost of services provided or the benefit received by us. These expenses were allocated based on a number of factors including headcount, estimated time spent and operating expenses. In the opinion of management, the assumptions and allocations have been made on a reasonable basis. Management believes that amounts allocated to TripAdvisor reflect a reasonable representation of the types of costs that would have been incurred if we had performed these functions as a stand-alone company. However, as estimation is inherent within the aforementioned allocation process, these combined financial statements do not include all of the actual amounts that would have been incurred had we been a stand-alone entity during the periods presented and also do not necessarily reflect our future financial position, results of operations and cash flows.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consolidated and combined financial statements include the accounts of TripAdvisor, our wholly owned subsidiaries, and entities we control, or in which we have a variable interest and are the primary beneficiary of expected cash profits or losses. We record our investments in entities that we do not control, but over which we have the ability to exercise significant influence, using the equity method. We record noncontrolling interest in our consolidated and combined financial statements to recognize the minority ownership interest in our consolidated subsidiaries. Noncontrolling interest in the earnings and losses of consolidated subsidiaries represent the share of net income or loss allocated to members or partners in our consolidated entities. Significant intercompany transactions between the TripAdvisor consolidated entities and accounts have been eliminated.</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of our subsidiaries that operate in China, have variable interests in affiliated entities in China in order to comply with Chinese laws and regulations, which restrict foreign investment in Internet content provision businesses. Although we do not own the capital stock of some of our Chinese affiliates, we consolidate their results as we are the primary beneficiary of the cash losses or profits of these variable interest affiliates and have the power to direct the activities of these affiliates. Our variable interest entities are not material for all periods presented.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use estimates and assumptions in the preparation of our consolidated and combined financial statements in accordance with GAAP. Our estimates and assumptions affect the reported amounts of assets and liabilities and disclosure of contingent assets and liabilities as of the date of our consolidated and combined financial statements. These estimates and assumptions also affect the reported amount of net income or loss during any period. Our actual financial results could differ significantly from these estimates. The significant estimates underlying our consolidated and combined financial statements include revenue recognition; recoverability of long-lived assets, intangible assets and goodwill; income taxes; useful lives of property and equipment; purchase accounting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have reclassified certain amounts related to our prior period results to conform to our current period presentation, specifically depreciation expense on the consolidated and combined statements of operations and our redeemable noncontrolling interest on the consolidated balance sheets.</w:t>
      </w:r>
    </w:p>
    <w:p>
      <w:pPr>
        <w:spacing w:after="0" w:line="85"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During the fourth quarter of 2011, our management changed our non-GAAP financial measure that we use to measure our operating performance from Operating Income Before Amortization, or OIBA, to Adjusted Earnings Before Interest, Taxes, Depreciation, and Amortization, or Adjusted EBITDA. Consequently we have reclassified all of our depreciation expense, which previously had resided in technology and content expense and general and administrative expense, and have presented it as a separate line item on the consolidated and combined statement of operations. This reclassification had no net effect on either total operating expenses or total operating income. The table below provides a summary of that reclassification for the periods presented.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Three months</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Nine months</w:t>
            </w:r>
          </w:p>
        </w:tc>
      </w:tr>
      <w:tr>
        <w:trPr>
          <w:trHeight w:val="149"/>
        </w:trPr>
        <w:tc>
          <w:tcPr>
            <w:tcW w:w="5060" w:type="dxa"/>
            <w:vAlign w:val="bottom"/>
          </w:tcPr>
          <w:p>
            <w:pPr>
              <w:spacing w:after="0"/>
              <w:rPr>
                <w:sz w:val="12"/>
                <w:szCs w:val="12"/>
                <w:color w:val="auto"/>
              </w:rPr>
            </w:pP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0"/>
              </w:rPr>
              <w:t>ended September 30,</w:t>
            </w:r>
          </w:p>
        </w:tc>
        <w:tc>
          <w:tcPr>
            <w:tcW w:w="2320" w:type="dxa"/>
            <w:vAlign w:val="bottom"/>
            <w:gridSpan w:val="4"/>
          </w:tcPr>
          <w:p>
            <w:pPr>
              <w:ind w:left="1020"/>
              <w:spacing w:after="0" w:line="149" w:lineRule="exact"/>
              <w:rPr>
                <w:sz w:val="20"/>
                <w:szCs w:val="20"/>
                <w:color w:val="auto"/>
              </w:rPr>
            </w:pPr>
            <w:r>
              <w:rPr>
                <w:rFonts w:ascii="Arial" w:cs="Arial" w:eastAsia="Arial" w:hAnsi="Arial"/>
                <w:sz w:val="14"/>
                <w:szCs w:val="14"/>
                <w:b w:val="1"/>
                <w:bCs w:val="1"/>
                <w:color w:val="auto"/>
                <w:w w:val="90"/>
              </w:rPr>
              <w:t>ended September 30,</w:t>
            </w:r>
          </w:p>
        </w:tc>
      </w:tr>
      <w:tr>
        <w:trPr>
          <w:trHeight w:val="161"/>
        </w:trPr>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13,246</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Technology and content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(3,658)</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(10,627)</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(972)</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(2,619)</w:t>
            </w:r>
          </w:p>
        </w:tc>
      </w:tr>
      <w:tr>
        <w:trPr>
          <w:trHeight w:val="20"/>
        </w:trPr>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060" w:type="dxa"/>
            <w:vAlign w:val="bottom"/>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5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being the fourth quarter. However, adverse economic conditions or continued growth of our international operations with differing holiday peaks may influence the typical trend of our seasonality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Policy Updates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the third quarter of 2012, we updated our accounting policy for Cash Equivalents and Marketable Securities which incorporates changes to our investment management policy as to how we may invest our cash on a prospective basis. In addition, during the third quarter of 2012, we established a policy for accounting for derivative financial instruments as we initiated using derivative financial instruments to manage our foreign currency exchange rate risk. Neither of these policy changes impacted consolidated and combined financial statements or related disclosures for any prior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Marketable Securities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cash equivalents consist of highly liquid investments with maturities of three months or less at the date of purchase. Our marketable debt and equity securities have been classified and accounted for as available-for-sale. We determine the appropriate classification of our investments at the time of purchase and reevaluate the designations at each balance sheet date. We invest in highly-rated securities, and our investment policy generally limits the amount of credit exposure to any one issuer, industry group and currency. The policy requires investments to be investment grade, with the primary objective of minimizing the potential risk of principal loss and providing liquidity of investments sufficient to meet our operating and capital spending requirements and debt repayments.</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will classify our marketable debt securities as either short-term or long-term based on each instrument’s underlying contractual maturity date and as to whether and when we intend to sell a particular security prior to its maturity date. Marketable debt securities with maturities of 12 months or less will be classified as short-term and marketable debt securities with maturities greater than 12 months will generally be classified as long-term. We classify our marketable equity securities, limited to money market funds and mutual funds, as either short-term or long-term based on the nature of each security and its availability for use in current operations. Our marketable debt and equity securities are carried at fair value, with the unrealized gains and losses, net of taxes, reported in accumulated other comprehensive income (loss) as a component of shareholders’ equity. Fair values are determined for each individual security in the investment portfolio.</w:t>
      </w:r>
    </w:p>
    <w:p>
      <w:pPr>
        <w:spacing w:after="0" w:line="14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cost of securities sold is based upon the specific identification method. We may sell certain of our marketable securities prior to their stated maturities for strategic reasons including, but not limited to, anticipation of credit deterioration and liquidity and duration management. The weighted average maturity of our total invested cash shall not exceed 12 months, and no security shall have a final maturity date greater than three years.</w:t>
      </w:r>
    </w:p>
    <w:p>
      <w:pPr>
        <w:spacing w:after="0" w:line="10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When evaluating an investment for other-than-temporary impairment, we review factors such as the length of time and extent to which fair value has been below its cost basis, the financial condition of the issuer and any changes thereto, and our intent to sell, or whether it is more likely than not it will be required to sell the investment before recovery of the investment’s cost basis.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measure assets and liabilities at fair value based on the expected exit price, which is the amount that would be received on the sale of an asset or amount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1—Valuations based on quoted prices for identical assets and liabilities in active markets.</w:t>
      </w:r>
    </w:p>
    <w:p>
      <w:pPr>
        <w:spacing w:after="0" w:line="90" w:lineRule="exact"/>
        <w:rPr>
          <w:sz w:val="20"/>
          <w:szCs w:val="20"/>
          <w:color w:val="auto"/>
        </w:rPr>
      </w:pPr>
    </w:p>
    <w:p>
      <w:pPr>
        <w:ind w:left="460" w:right="180" w:firstLine="438"/>
        <w:spacing w:after="0" w:line="259" w:lineRule="auto"/>
        <w:rPr>
          <w:sz w:val="20"/>
          <w:szCs w:val="20"/>
          <w:color w:val="auto"/>
        </w:rPr>
      </w:pPr>
      <w:r>
        <w:rPr>
          <w:rFonts w:ascii="Arial" w:cs="Arial" w:eastAsia="Arial" w:hAnsi="Arial"/>
          <w:sz w:val="18"/>
          <w:szCs w:val="18"/>
          <w:color w:val="auto"/>
        </w:rPr>
        <w:t>Level 2—Valuations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sz w:val="20"/>
          <w:szCs w:val="20"/>
          <w:color w:val="auto"/>
        </w:rPr>
      </w:pPr>
    </w:p>
    <w:p>
      <w:pPr>
        <w:ind w:left="460" w:right="120" w:firstLine="438"/>
        <w:spacing w:after="0" w:line="268" w:lineRule="auto"/>
        <w:rPr>
          <w:sz w:val="20"/>
          <w:szCs w:val="20"/>
          <w:color w:val="auto"/>
        </w:rPr>
      </w:pPr>
      <w:r>
        <w:rPr>
          <w:rFonts w:ascii="Arial" w:cs="Arial" w:eastAsia="Arial" w:hAnsi="Arial"/>
          <w:sz w:val="18"/>
          <w:szCs w:val="18"/>
          <w:color w:val="auto"/>
        </w:rPr>
        <w:t>Level 3—Valuations based on unobservable inputs reflecting our own assumptions, consistent with reasonably available assumptions made by other market participants. These valuations require significant judgment.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right="60" w:firstLine="913"/>
        <w:spacing w:after="0" w:line="370" w:lineRule="auto"/>
        <w:rPr>
          <w:sz w:val="20"/>
          <w:szCs w:val="20"/>
          <w:color w:val="auto"/>
        </w:rPr>
      </w:pPr>
      <w:r>
        <w:rPr>
          <w:rFonts w:ascii="Arial" w:cs="Arial" w:eastAsia="Arial" w:hAnsi="Arial"/>
          <w:sz w:val="15"/>
          <w:szCs w:val="15"/>
          <w:color w:val="auto"/>
        </w:rPr>
        <w:t>Our goal in managing our foreign exchange risk is to reduce, to the extent practicable, our potential exposure to the changes that exchange rates might have on our earnings, cash flows and financial position. We account for our derivative instruments as either assets or liabilities and carry them at fair value.</w:t>
      </w:r>
    </w:p>
    <w:p>
      <w:pPr>
        <w:spacing w:after="0" w:line="62"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For derivative instruments that hedge the exposure to variability in expected future cash flows that are designated as cash flow hedges, the effective portion of the gain or loss on the derivative instrument is reported as a component of accumulated other comprehensive income (“AOCI”) in shareholders’ equity and reclassified into income in the same period or periods during which the hedged transaction affects earnings. The ineffective portion of the gain or loss on the derivative instrument, if any, is recognized in current income. To receive hedge accounting treatment, cash flow hedges must be highly effective in offsetting changes to expected future cash flows on hedged transactions. For options designated as cash flow hedges, changes in the time value are excluded from the assessment of hedge effectiveness and are recognized in income. For derivative instruments that hedge the exposure to changes in the fair value of an asset or a liability and that are designated as fair value hedges, both the net gain or loss on the derivative instrument as well as the offsetting gain or loss on the hedged item attributable to the hedged risk are recognized in earnings in the current period. The net gain or loss on the effective portion of a derivative instrument that is designated as an economic hedge of the foreign currency translation exposure of the net investment in a foreign operation is reported in the same manner as a foreign currency translation adjustment. For forward exchange contracts designated as net investment hedges, we exclude changes in fair value relating to changes in the forward carry component from its definition of effectiveness. Accordingly, any gains or losses related to this component are recognized in current income. We have not entered into any cash flow, fair value or net investment hedges to date as of September 30, 2012.</w:t>
      </w:r>
    </w:p>
    <w:p>
      <w:pPr>
        <w:spacing w:after="0" w:line="124"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Derivatives that do not qualify as hedges must be adjusted to fair value through current income. In certain circumstances, we enter into foreign currency forward exchange contracts (“forward contracts”) to reduce the effects of fluctuating foreign currency exchange rates on our cash flows denominated in foreign currencies. Our derivative instruments or forward contracts that were entered into and are not designated as hedges as of September 30, 2012 are disclosed below in Note 3, </w:t>
      </w:r>
      <w:r>
        <w:rPr>
          <w:rFonts w:ascii="Arial" w:cs="Arial" w:eastAsia="Arial" w:hAnsi="Arial"/>
          <w:sz w:val="16"/>
          <w:szCs w:val="16"/>
          <w:i w:val="1"/>
          <w:iCs w:val="1"/>
          <w:color w:val="auto"/>
        </w:rPr>
        <w:t>Financial Instruments</w:t>
      </w:r>
      <w:r>
        <w:rPr>
          <w:rFonts w:ascii="Arial" w:cs="Arial" w:eastAsia="Arial" w:hAnsi="Arial"/>
          <w:sz w:val="16"/>
          <w:szCs w:val="16"/>
          <w:color w:val="auto"/>
        </w:rPr>
        <w:t>. Monetary assets and liabilities denominated in a currency other than the functional currency of a given subsidiary are remeasured at spot rates in effect on the balance sheet date with the effects of changes in spot rates reported in Other (income) expense (“Other, net”) on our unaudited consolidated and combined statement of operations. Accordingly, fair value changes in the forward contracts help mitigate the changes in the value of the remeasured assets and liabilities attributable to changes in foreign currency exchange rates, except to the extent of the spot-forward differences. These differences are not expected to be significant due to the short-term nature of the contracts, which typically have average maturities at inception of less than one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Testing Goodwill for Impairment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September 2011, the FASB issued ASU 2011-08. ASU 2011-08 was issued to amend FASB Accounting Standards Codification (“ASC”) (Topic</w:t>
      </w:r>
    </w:p>
    <w:p>
      <w:pPr>
        <w:spacing w:after="0" w:line="3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350): Intangibles—Goodwill and Other. The guidance in ASU 2011-08 is intended to reduce complexity and costs by allowing an entity the option to first make a qualitative evaluation about the likelihood of goodwill impairment to determine whether it should calculate the fair value of a reporting unit. If entities determine, on the basis of qualitative factors, that it is more likely than not that the fair value of a reporting unit is less than the carrying amount, the two-step impairment test would be required. Otherwise, further testing would not be needed. The amendments in this update are effective for annual and interim goodwill impairment tests performed for fiscal years beginning after December 15, 2011. Early adoption is permitted, and we adopted ASU 2011-08 on October 1, 2011 for the fiscal year 2011 goodwill impairment test. The adoption of ASU 2011-08 did not have a material impact on our consolidated and combined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Presentation of Other Comprehensive Income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June 2011, the FASB issued ASU 2011-05, Comprehensive Income (Topic 220): Presentation on Comprehensive Income (“ASU 2011-05”). Under ASU 2011-05, there will no longer be the option to present items of other comprehensive income in the statement of stockholders’ equity. ASU 2011-05 requires entities to present net income and other comprehensive income in either a single continuous statement or in two separate, but consecutive, statements of net income and other comprehensive income. ASU 2011-05 is effective for fiscal years and interim periods beginning after December 15, 2011 on a retrospective basis, with early adoption permitted. Accordingly, we have adopted the presentation requirements of ASU 2011-05 on December 31, 2011. The adoption of ASU 2011-05 did not have a material impact on our consolidated and combined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Testing Indefinite-lived Intangibles for Impairment</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July 2012, the FASB issued ASU 2012-02, which amends ASC Topic 350, “Intangibles—Goodwill and Other.” The guidance amends the impairment test for indefinite lived intangible assets other than goodwill by allowing companies to first assess qualitative factors to determine if it is more likely than not that an indefinite lived intangible asset is impaired and whether it is necessary to perform the impairment test of comparing the carrying amount with the recoverable amount of the indefinite lived intangible asset. This guidance is effective for interim and annual periods beginning after September 15, 2012, however, we have decided to early adopt and make it effective for our 2012 impairment review, which will take place in the fourth quarter. We do not anticipate that the adoption of this guidance will have a material impact on our consolidated and combined financial statements.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Disclosure about Offsetting Assets and Liabilities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December 2011, the FASB issued ASU 2011-11, which amends ASC Subtopic 210-20, “Offsetting.” The guidance requires enhanced disclosures with improved information about financial instruments and derivative instruments that are either (i) offset in accordance with current guidance or (ii) subject to an enforceable master netting arrangement or similar agreement, irrespective of whether they are offset in accordance with current guidance. This guidance is effective for interim and annual periods beginning after January 1, 2013. The guidance is limited to the form and content of disclosures, and we do not anticipate that the adoption of this guidance will have an impact on our consolidated and combined financial statements.</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For additional information about our critical accounting policies and estimates, 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included in our Annual Report on Form 10-K filed on March 15, 2012 for the year ended December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FINANCIAL INSTRUMENTS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The following tables show our cash and available-for-sale securities’ adjusted cost, gross unrealized gains, gross unrealized losses and fair value by significant investment category recorded as cash and cash equivalents as of September 30, 2012 and December 31, 2011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3"/>
              </w:rPr>
              <w:t>September 30, 2012</w:t>
            </w: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Cash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Amortized</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3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Cash</w:t>
            </w: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4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Equivalents</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2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$279,225</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$279,225</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$ 279,225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Level 1:</w:t>
            </w:r>
          </w:p>
        </w:tc>
        <w:tc>
          <w:tcPr>
            <w:tcW w:w="2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27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269,147</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269,147</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60" w:type="dxa"/>
            <w:vAlign w:val="bottom"/>
          </w:tcPr>
          <w:p>
            <w:pPr>
              <w:ind w:left="880"/>
              <w:spacing w:after="0"/>
              <w:rPr>
                <w:sz w:val="20"/>
                <w:szCs w:val="20"/>
                <w:color w:val="auto"/>
              </w:rPr>
            </w:pPr>
            <w:r>
              <w:rPr>
                <w:rFonts w:ascii="Arial" w:cs="Arial" w:eastAsia="Arial" w:hAnsi="Arial"/>
                <w:sz w:val="18"/>
                <w:szCs w:val="18"/>
                <w:color w:val="auto"/>
              </w:rPr>
              <w:t>Total</w:t>
            </w:r>
          </w:p>
        </w:tc>
        <w:tc>
          <w:tcPr>
            <w:tcW w:w="3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548,372</w:t>
            </w:r>
          </w:p>
        </w:tc>
        <w:tc>
          <w:tcPr>
            <w:tcW w:w="4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548,372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$ 548,372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7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5"/>
              </w:rPr>
              <w:t>December 31, 2011</w:t>
            </w: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Cash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Amortized</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3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Cash</w:t>
            </w: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4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Equivalents</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2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$ 114,532</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$ 114,532</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$ 114,532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Level 1:</w:t>
            </w:r>
          </w:p>
        </w:tc>
        <w:tc>
          <w:tcPr>
            <w:tcW w:w="2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27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69,000</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69,000</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60" w:type="dxa"/>
            <w:vAlign w:val="bottom"/>
          </w:tcPr>
          <w:p>
            <w:pPr>
              <w:ind w:left="880"/>
              <w:spacing w:after="0"/>
              <w:rPr>
                <w:sz w:val="20"/>
                <w:szCs w:val="20"/>
                <w:color w:val="auto"/>
              </w:rPr>
            </w:pPr>
            <w:r>
              <w:rPr>
                <w:rFonts w:ascii="Arial" w:cs="Arial" w:eastAsia="Arial" w:hAnsi="Arial"/>
                <w:sz w:val="18"/>
                <w:szCs w:val="18"/>
                <w:color w:val="auto"/>
              </w:rPr>
              <w:t>Total</w:t>
            </w:r>
          </w:p>
        </w:tc>
        <w:tc>
          <w:tcPr>
            <w:tcW w:w="3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183,532</w:t>
            </w:r>
          </w:p>
        </w:tc>
        <w:tc>
          <w:tcPr>
            <w:tcW w:w="4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183,532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$ 183,532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700" w:type="dxa"/>
            <w:vAlign w:val="bottom"/>
            <w:vMerge w:val="restart"/>
          </w:tcPr>
          <w:p>
            <w:pPr>
              <w:jc w:val="right"/>
              <w:ind w:right="572"/>
              <w:spacing w:after="0"/>
              <w:rPr>
                <w:sz w:val="20"/>
                <w:szCs w:val="20"/>
                <w:color w:val="auto"/>
              </w:rPr>
            </w:pPr>
            <w:r>
              <w:rPr>
                <w:rFonts w:ascii="Arial" w:cs="Arial" w:eastAsia="Arial" w:hAnsi="Arial"/>
                <w:sz w:val="18"/>
                <w:szCs w:val="18"/>
                <w:color w:val="auto"/>
              </w:rPr>
              <w:t>12</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classified our cash equivalents within Level 1 as we have valued our cash equivalents using quoted market prices. There were no sales of our cash equivalents for the three and nine months ended September 30, 2012 and 2011,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the normal course of business, we are exposed to the impact of foreign currency fluctuations, which we mitigate through the use of derivative instruments. Accordingly, we have entered into forward contracts to reduce the effects of fluctuating foreign currency exchange rates on our cash flows denominated in foreign currencies. We do not use derivatives for trading or speculative purposes. In accordance with current accounting guidance on derivative instruments and hedging activities, we record all our derivative instruments as either an asset or liability measured at their fair value.</w:t>
      </w:r>
    </w:p>
    <w:p>
      <w:pPr>
        <w:spacing w:after="0" w:line="11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current forward contracts are not designated as hedges. Consequently, any gain or loss resulting from the change in fair value is recognized in the current period earnings. These gains or losses are offset by the exposure related to receivables and payables with our foreign subsidiaries. We recorded a loss in other income (expense) (“Other, net”), of $0.3 million for the three and nine months ended September 30, 2012. No derivative instruments were entered into or settled during the three and nine months ended September 30, 2011 and no derivative instruments were settled during the three and nine months ended September 30, 2012.</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shows the fair value and notional principal amounts of our outstanding or unsettled derivative instruments that are not designated as hedging instruments: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88"/>
              </w:rPr>
              <w:t>September 30, 2012</w:t>
            </w: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60" w:type="dxa"/>
            <w:vAlign w:val="bottom"/>
            <w:gridSpan w:val="5"/>
          </w:tcPr>
          <w:p>
            <w:pPr>
              <w:jc w:val="center"/>
              <w:ind w:right="340"/>
              <w:spacing w:after="0" w:line="129" w:lineRule="exact"/>
              <w:rPr>
                <w:sz w:val="20"/>
                <w:szCs w:val="20"/>
                <w:color w:val="auto"/>
              </w:rPr>
            </w:pPr>
            <w:r>
              <w:rPr>
                <w:rFonts w:ascii="Arial" w:cs="Arial" w:eastAsia="Arial" w:hAnsi="Arial"/>
                <w:sz w:val="14"/>
                <w:szCs w:val="14"/>
                <w:b w:val="1"/>
                <w:bCs w:val="1"/>
                <w:color w:val="auto"/>
                <w:w w:val="89"/>
              </w:rPr>
              <w:t>Fair Value of Derivative</w:t>
            </w:r>
          </w:p>
        </w:tc>
        <w:tc>
          <w:tcPr>
            <w:tcW w:w="60" w:type="dxa"/>
            <w:vAlign w:val="bottom"/>
          </w:tcPr>
          <w:p>
            <w:pPr>
              <w:spacing w:after="0"/>
              <w:rPr>
                <w:sz w:val="11"/>
                <w:szCs w:val="11"/>
                <w:color w:val="auto"/>
              </w:rPr>
            </w:pPr>
          </w:p>
        </w:tc>
        <w:tc>
          <w:tcPr>
            <w:tcW w:w="660" w:type="dxa"/>
            <w:vAlign w:val="bottom"/>
          </w:tcPr>
          <w:p>
            <w:pPr>
              <w:spacing w:after="0" w:line="129" w:lineRule="exact"/>
              <w:rPr>
                <w:sz w:val="20"/>
                <w:szCs w:val="20"/>
                <w:color w:val="auto"/>
              </w:rPr>
            </w:pPr>
            <w:r>
              <w:rPr>
                <w:rFonts w:ascii="Arial" w:cs="Arial" w:eastAsia="Arial" w:hAnsi="Arial"/>
                <w:sz w:val="14"/>
                <w:szCs w:val="14"/>
                <w:b w:val="1"/>
                <w:bCs w:val="1"/>
                <w:color w:val="auto"/>
                <w:w w:val="90"/>
              </w:rPr>
              <w:t>U.S. Dollar</w:t>
            </w:r>
          </w:p>
        </w:tc>
        <w:tc>
          <w:tcPr>
            <w:tcW w:w="100" w:type="dxa"/>
            <w:vAlign w:val="bottom"/>
          </w:tcPr>
          <w:p>
            <w:pPr>
              <w:spacing w:after="0"/>
              <w:rPr>
                <w:sz w:val="11"/>
                <w:szCs w:val="11"/>
                <w:color w:val="auto"/>
              </w:rPr>
            </w:pPr>
          </w:p>
        </w:tc>
      </w:tr>
      <w:tr>
        <w:trPr>
          <w:trHeight w:val="175"/>
        </w:trPr>
        <w:tc>
          <w:tcPr>
            <w:tcW w:w="9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Sheet</w:t>
            </w:r>
          </w:p>
        </w:tc>
        <w:tc>
          <w:tcPr>
            <w:tcW w:w="3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Notional</w:t>
            </w:r>
          </w:p>
        </w:tc>
      </w:tr>
      <w:tr>
        <w:trPr>
          <w:trHeight w:val="149"/>
        </w:trPr>
        <w:tc>
          <w:tcPr>
            <w:tcW w:w="9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thousands)</w:t>
            </w:r>
          </w:p>
        </w:tc>
        <w:tc>
          <w:tcPr>
            <w:tcW w:w="3920" w:type="dxa"/>
            <w:vAlign w:val="bottom"/>
          </w:tcPr>
          <w:p>
            <w:pPr>
              <w:spacing w:after="0"/>
              <w:rPr>
                <w:sz w:val="12"/>
                <w:szCs w:val="12"/>
                <w:color w:val="auto"/>
              </w:rPr>
            </w:pPr>
          </w:p>
        </w:tc>
        <w:tc>
          <w:tcPr>
            <w:tcW w:w="3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Caption</w:t>
            </w:r>
          </w:p>
        </w:tc>
        <w:tc>
          <w:tcPr>
            <w:tcW w:w="320" w:type="dxa"/>
            <w:vAlign w:val="bottom"/>
          </w:tcPr>
          <w:p>
            <w:pPr>
              <w:spacing w:after="0"/>
              <w:rPr>
                <w:sz w:val="12"/>
                <w:szCs w:val="12"/>
                <w:color w:val="auto"/>
              </w:rPr>
            </w:pPr>
          </w:p>
        </w:tc>
        <w:tc>
          <w:tcPr>
            <w:tcW w:w="480" w:type="dxa"/>
            <w:vAlign w:val="bottom"/>
          </w:tcPr>
          <w:p>
            <w:pPr>
              <w:jc w:val="right"/>
              <w:ind w:right="6"/>
              <w:spacing w:after="0" w:line="129" w:lineRule="exact"/>
              <w:rPr>
                <w:sz w:val="20"/>
                <w:szCs w:val="20"/>
                <w:color w:val="auto"/>
              </w:rPr>
            </w:pPr>
            <w:r>
              <w:rPr>
                <w:rFonts w:ascii="Arial" w:cs="Arial" w:eastAsia="Arial" w:hAnsi="Arial"/>
                <w:sz w:val="14"/>
                <w:szCs w:val="14"/>
                <w:b w:val="1"/>
                <w:bCs w:val="1"/>
                <w:color w:val="auto"/>
                <w:w w:val="99"/>
              </w:rPr>
              <w:t>Asset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22"/>
              <w:spacing w:after="0" w:line="129" w:lineRule="exact"/>
              <w:rPr>
                <w:sz w:val="20"/>
                <w:szCs w:val="20"/>
                <w:color w:val="auto"/>
              </w:rPr>
            </w:pPr>
            <w:r>
              <w:rPr>
                <w:rFonts w:ascii="Arial" w:cs="Arial" w:eastAsia="Arial" w:hAnsi="Arial"/>
                <w:sz w:val="14"/>
                <w:szCs w:val="14"/>
                <w:b w:val="1"/>
                <w:bCs w:val="1"/>
                <w:color w:val="auto"/>
                <w:w w:val="90"/>
              </w:rPr>
              <w:t>Liability</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exchange- forward contracts (current)</w:t>
            </w:r>
          </w:p>
        </w:tc>
        <w:tc>
          <w:tcPr>
            <w:tcW w:w="3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Accrued and other current liabilities (1)</w:t>
            </w: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6"/>
              <w:spacing w:after="0" w:line="203" w:lineRule="exact"/>
              <w:rPr>
                <w:sz w:val="20"/>
                <w:szCs w:val="20"/>
                <w:color w:val="auto"/>
              </w:rPr>
            </w:pPr>
            <w:r>
              <w:rPr>
                <w:rFonts w:ascii="Arial" w:cs="Arial" w:eastAsia="Arial" w:hAnsi="Arial"/>
                <w:sz w:val="18"/>
                <w:szCs w:val="18"/>
                <w:color w:val="auto"/>
                <w:w w:val="99"/>
              </w:rPr>
              <w:t>$  —</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305</w:t>
            </w:r>
          </w:p>
        </w:tc>
        <w:tc>
          <w:tcPr>
            <w:tcW w:w="3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gridSpan w:val="3"/>
            <w:shd w:val="clear" w:color="auto" w:fill="CCEEFF"/>
          </w:tcPr>
          <w:p>
            <w:pPr>
              <w:ind w:left="60"/>
              <w:spacing w:after="0" w:line="202"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 (18,330)</w:t>
            </w:r>
          </w:p>
        </w:tc>
      </w:tr>
      <w:tr>
        <w:trPr>
          <w:trHeight w:val="20"/>
        </w:trPr>
        <w:tc>
          <w:tcPr>
            <w:tcW w:w="9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0" w:hanging="452"/>
        <w:spacing w:after="0" w:line="28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These derivative contracts mitigate changes in the value of remeasured foreign currency denominated monetary assets and liabilities attributable to changes in foreign currency exchange rates. Our current derivative contracts address foreign exchange fluctuations for the Euro versus the U.S. Dollar.</w:t>
      </w:r>
    </w:p>
    <w:p>
      <w:pPr>
        <w:ind w:left="460" w:right="4840" w:hanging="452"/>
        <w:spacing w:after="0" w:line="535" w:lineRule="auto"/>
        <w:tabs>
          <w:tab w:leader="none" w:pos="4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fair value of our derivative liability is measured using Level 2 fair value inputs. No derivative instruments were entered into during the year ended December 31, 2011.</w:t>
      </w:r>
    </w:p>
    <w:p>
      <w:pPr>
        <w:spacing w:after="0" w:line="1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Counterparties to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Other financial instruments not measured at fair value on a recurring basis include trade receivables, related party receivables, trade payables, short-term debt, accrued and other current liabilities and long-term debt. With the exception of long-term debt, the carrying amount approximates fair value because of the short maturity of these instruments as reported on the unaudited consolidated and combined balance sheet as of September 30, 2012 and December 31, 2011. The carrying value of the long-term borrowings outstanding on our Credit Agreement bear interest at a variable rate and therefore is also considered to approximate fair value.</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One of our acquisitions made during 2008 includes noncontrolling interests with certain rights whereby we may acquire, and the minority shareholders may sell to us, the additional shares of the subsidiary, at fair value or at adjusted fair values at our discretion, beginning in the fourth quarter of 2012. Fair value determination has been based on various internal valuation techniques, including market comparables and discounted cash flow projections and is considered a Level 3 liability at September 30, 2012. The total liability balance at September 30, 2012 and December 31, 2011 was $14.6 million and $3.9 million respectively, and is included in redeemable noncontrolling interests in the mezzanine section of the consolidated balance sheets. Refer to Note 12, </w:t>
      </w:r>
      <w:r>
        <w:rPr>
          <w:rFonts w:ascii="Arial" w:cs="Arial" w:eastAsia="Arial" w:hAnsi="Arial"/>
          <w:sz w:val="18"/>
          <w:szCs w:val="18"/>
          <w:i w:val="1"/>
          <w:iCs w:val="1"/>
          <w:color w:val="auto"/>
        </w:rPr>
        <w:t>Redeemable Noncontrolling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Interests </w:t>
      </w:r>
      <w:r>
        <w:rPr>
          <w:rFonts w:ascii="Arial" w:cs="Arial" w:eastAsia="Arial" w:hAnsi="Arial"/>
          <w:sz w:val="18"/>
          <w:szCs w:val="18"/>
          <w:color w:val="auto"/>
        </w:rPr>
        <w:t>for additional information.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have any Level 2 or Level 3 assets for the periods ended September 30, 2012 or December 31, 2011.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 Due 2016 and Revolving Credit Facility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20, 2011, in connection with the Spin-Off, we entered into the Credit Agreement, which provides $600 million of borrowing including:</w:t>
      </w:r>
    </w:p>
    <w:p>
      <w:pPr>
        <w:spacing w:after="0" w:line="113"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 Loan Facility, or Term Loan, in an aggregate principal amount of $400 million with a term of five years due December 2016; and</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Revolving Credit Facility in an aggregate principal amount of $200 million available in U.S. dollars, Euros and British pound sterling with a term of five years expiring December 2016.</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Term Loan and any loans under the Revolving Credit Facility bear interest by reference to a base rate or a Eurocurrency rate, in either case plus an applicable margin based on our leverage ratio. We are also required to 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175 basis points, or the Eurocurrency Spread, or the alternate base rate (“ABR”) plus 75 basis points, and undrawn amounts are currently subject to a commitment fee of 30 basis points.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September 30, 2012 we are using a one-month interest period Eurocurrency Spread which is approximately 2.0% per annum. Interest is currently payable on a monthly basis while we are borrowing under the one-month interest rate period. The current interest rates are based on current assumptions, leverage and LIBOR rates and do not take into account that rates will reset periodically.</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Term Loan principal will be repayable in quarterly installments on the last day of each calendar quarter equal to 1.25%, with $15 million paid during the nine months ended September 30, 2012. The payments for the year ending December 31, 2012 will be equal to 1.25% of the original principal amount and will be equal to 2.5% of the original principal amount in each year thereafter, with the balance due on the final maturity date.</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Revolving Credit Facility includes $40 million of borrowing capacity available for letters of credit and $40 million for borrowings on same-day notice. Immediately following the Spin-Off, $10 million was drawn down under the Revolving Credit Facility, which was repaid during the three months ended March 31, 2012. As of September 30, 2012 there are no outstanding borrowings under our Revolving Credit Facility.</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three and nine months ended September 30, 2012, we recorded total interest and commitment fees on our Credit Agreement of $2.1 million and $6.5 million, respectively, to interest expense on our consolidated statement of operations. All unpaid interest and commitment fee amounts as of September 30, 2012 were not material.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outstanding borrowings under the Credit Agreement consist of the following (in thousands):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760" w:type="dxa"/>
            <w:vAlign w:val="bottom"/>
            <w:gridSpan w:val="4"/>
          </w:tcPr>
          <w:p>
            <w:pPr>
              <w:ind w:left="3840"/>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80" w:type="dxa"/>
            <w:vAlign w:val="bottom"/>
            <w:tcBorders>
              <w:bottom w:val="single" w:sz="8" w:color="CCEEFF"/>
            </w:tcBorders>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Short-Term Debt:</w:t>
            </w:r>
          </w:p>
        </w:tc>
        <w:tc>
          <w:tcPr>
            <w:tcW w:w="3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Revolving Credit Facility</w:t>
            </w:r>
          </w:p>
        </w:tc>
        <w:tc>
          <w:tcPr>
            <w:tcW w:w="4000" w:type="dxa"/>
            <w:vAlign w:val="bottom"/>
            <w:gridSpan w:val="2"/>
          </w:tcPr>
          <w:p>
            <w:pPr>
              <w:ind w:left="38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 Loan</w:t>
            </w:r>
          </w:p>
        </w:tc>
        <w:tc>
          <w:tcPr>
            <w:tcW w:w="3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gridSpan w:val="2"/>
          </w:tcPr>
          <w:p>
            <w:pPr>
              <w:spacing w:after="0"/>
              <w:rPr>
                <w:sz w:val="20"/>
                <w:szCs w:val="20"/>
                <w:color w:val="auto"/>
              </w:rPr>
            </w:pPr>
            <w:r>
              <w:rPr>
                <w:rFonts w:ascii="Arial" w:cs="Arial" w:eastAsia="Arial" w:hAnsi="Arial"/>
                <w:sz w:val="18"/>
                <w:szCs w:val="18"/>
                <w:color w:val="auto"/>
              </w:rPr>
              <w:t>Total Short-Term Borrowings</w:t>
            </w:r>
          </w:p>
        </w:tc>
        <w:tc>
          <w:tcPr>
            <w:tcW w:w="4000" w:type="dxa"/>
            <w:vAlign w:val="bottom"/>
            <w:gridSpan w:val="2"/>
          </w:tcPr>
          <w:p>
            <w:pPr>
              <w:ind w:left="38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Term Loan</w:t>
            </w:r>
          </w:p>
        </w:tc>
        <w:tc>
          <w:tcPr>
            <w:tcW w:w="4000" w:type="dxa"/>
            <w:vAlign w:val="bottom"/>
            <w:gridSpan w:val="2"/>
          </w:tcPr>
          <w:p>
            <w:pPr>
              <w:ind w:left="38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Borrowings</w:t>
            </w:r>
          </w:p>
        </w:tc>
        <w:tc>
          <w:tcPr>
            <w:tcW w:w="400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40" w:type="dxa"/>
            <w:vAlign w:val="bottom"/>
            <w:vMerge w:val="restart"/>
          </w:tcPr>
          <w:p>
            <w:pPr>
              <w:ind w:left="780"/>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remaining future minimum principal payment obligations due under the Credit Agreement related to our Term Loan is as follows as of September 30, 2012 (in thousands):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jc w:val="right"/>
              <w:ind w:right="6112"/>
              <w:spacing w:after="0" w:line="202" w:lineRule="exact"/>
              <w:rPr>
                <w:sz w:val="20"/>
                <w:szCs w:val="20"/>
                <w:color w:val="auto"/>
              </w:rPr>
            </w:pPr>
            <w:r>
              <w:rPr>
                <w:rFonts w:ascii="Arial" w:cs="Arial" w:eastAsia="Arial" w:hAnsi="Arial"/>
                <w:sz w:val="18"/>
                <w:szCs w:val="18"/>
                <w:color w:val="auto"/>
              </w:rPr>
              <w:t>2012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jc w:val="right"/>
              <w:ind w:right="6112"/>
              <w:spacing w:after="0"/>
              <w:rPr>
                <w:sz w:val="20"/>
                <w:szCs w:val="20"/>
                <w:color w:val="auto"/>
              </w:rPr>
            </w:pPr>
            <w:r>
              <w:rPr>
                <w:rFonts w:ascii="Arial" w:cs="Arial" w:eastAsia="Arial" w:hAnsi="Arial"/>
                <w:sz w:val="18"/>
                <w:szCs w:val="18"/>
                <w:color w:val="auto"/>
              </w:rPr>
              <w:t>2013</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jc w:val="right"/>
              <w:ind w:right="6112"/>
              <w:spacing w:after="0"/>
              <w:rPr>
                <w:sz w:val="20"/>
                <w:szCs w:val="20"/>
                <w:color w:val="auto"/>
              </w:rPr>
            </w:pPr>
            <w:r>
              <w:rPr>
                <w:rFonts w:ascii="Arial" w:cs="Arial" w:eastAsia="Arial" w:hAnsi="Arial"/>
                <w:sz w:val="18"/>
                <w:szCs w:val="18"/>
                <w:color w:val="auto"/>
              </w:rPr>
              <w:t>2014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jc w:val="right"/>
              <w:ind w:right="6112"/>
              <w:spacing w:after="0"/>
              <w:rPr>
                <w:sz w:val="20"/>
                <w:szCs w:val="20"/>
                <w:color w:val="auto"/>
              </w:rPr>
            </w:pPr>
            <w:r>
              <w:rPr>
                <w:rFonts w:ascii="Arial" w:cs="Arial" w:eastAsia="Arial" w:hAnsi="Arial"/>
                <w:sz w:val="18"/>
                <w:szCs w:val="18"/>
                <w:color w:val="auto"/>
              </w:rPr>
              <w:t>2015</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jc w:val="right"/>
              <w:ind w:right="6112"/>
              <w:spacing w:after="0"/>
              <w:rPr>
                <w:sz w:val="20"/>
                <w:szCs w:val="20"/>
                <w:color w:val="auto"/>
              </w:rPr>
            </w:pPr>
            <w:r>
              <w:rPr>
                <w:rFonts w:ascii="Arial" w:cs="Arial" w:eastAsia="Arial" w:hAnsi="Arial"/>
                <w:sz w:val="18"/>
                <w:szCs w:val="18"/>
                <w:color w:val="auto"/>
              </w:rPr>
              <w:t>2016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jc w:val="right"/>
              <w:ind w:right="6532"/>
              <w:spacing w:after="0"/>
              <w:rPr>
                <w:sz w:val="20"/>
                <w:szCs w:val="20"/>
                <w:color w:val="auto"/>
              </w:rPr>
            </w:pPr>
            <w:r>
              <w:rPr>
                <w:rFonts w:ascii="Arial" w:cs="Arial" w:eastAsia="Arial" w:hAnsi="Arial"/>
                <w:sz w:val="18"/>
                <w:szCs w:val="18"/>
                <w:color w:val="auto"/>
                <w:w w:val="84"/>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vMerge w:val="continue"/>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All obligations under the Credit Agreement are unconditionally guaranteed by us and each of our existing and subsequently acquired or organized direct or indirect wholly-owned domestic and foreign restricted subsidiaries, subject to certain exceptions for subsidiaries that are controlled foreign corporations, foreign subsidiaries in jurisdictions where applicable law would otherwise be violated, and non-material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or repurchase our capital stock, make investments, loans or advances, prepay certain subordinated indebtedness, make certain acquisitions, engage in certain transactions with affiliates, amend material agreements governing certain subordinated indebtedness, and change our fiscal year. The Credit Agreement also requires us to maintain a maximum leverage ratio and a minimum cash interest coverage ratio, and contain certain customary affirmative covenants and events of default, including a change of control. If an event of default occurs, the lenders under the Credit Agreement will be entitled to take various actions, including the acceleration of all amounts due under Credit Agreement and all actions permitted to be taken by a secured creditor.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2012 we believe we are in compliance with all of our debt covenants.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full text of the Credit Agreement is incorporated by reference to Exhibit 4.2 of our Annual Report on Form 10-K filed on March 15, 2012 for the year ending December 31,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to our borrowings under the Credit Agreement, we maintain our Chinese Credit Facilities. As of September 30, 2012 and December 31, 2011, we had $29.5 million and $16.7 million of short term borrowings outstanding, respectively.</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Certain of our Chinese subsidiaries entered into a RMB 138,600,000 (approximately $22 million), one-year revolving credit facility with Bank of America (the “Chinese Credit Facility—BOA”) that has a current termination date of December 2012. During the third quarter of 2012 this credit line was increased to RMB 189,000,000 (approximately $30 million). We currently have $21.6 million of outstanding borrowings from this credit facility as of September 30, 2012. Our Chinese Credit Facility—BOA currently bears interest based at 100% of the People’s Bank of China’s base rate and was 5.6% as of September 30, 2012.</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addition, during April 2012, certain of our Chinese subsidiaries entered into a RMB 125,000,000 (approximately $20 million) one-year revolving credit facility with J.P. Morgan Chase Bank (“Chinese Credit Facility-JPM”). We currently have $7.9 million of outstanding borrowings from this credit facility as of September 30, 2012. Our Chinese Credit Facility—JPM currently bears interest based at 100% of the People’s Bank of China’s base rate and was 5.6% as of September 30, 2012.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There have been no material changes to our commitments and contingencies since December 31, 2011. (Refer to “Note 10—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in the Notes to our Consolidated and Combined Financial Statements in Item 8 of our Annual Report on Form 10-K filed on March 15, 2012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2011.)</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 BASED AWARDS AND OTHER EQUITY INSTRUMENTS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Stock-based compensation expense relates primarily to expense for restricted stock units (“RSUs”) and stock options. Our outstanding RSUs and stock options generally vest over five years and four years, respectively.</w:t>
      </w:r>
    </w:p>
    <w:p>
      <w:pPr>
        <w:spacing w:after="0" w:line="132" w:lineRule="exact"/>
        <w:rPr>
          <w:sz w:val="20"/>
          <w:szCs w:val="20"/>
          <w:color w:val="auto"/>
        </w:rPr>
      </w:pPr>
    </w:p>
    <w:p>
      <w:pPr>
        <w:ind w:right="240" w:firstLine="456"/>
        <w:spacing w:after="0" w:line="303" w:lineRule="auto"/>
        <w:rPr>
          <w:sz w:val="20"/>
          <w:szCs w:val="20"/>
          <w:color w:val="auto"/>
        </w:rPr>
      </w:pPr>
      <w:r>
        <w:rPr>
          <w:rFonts w:ascii="Arial" w:cs="Arial" w:eastAsia="Arial" w:hAnsi="Arial"/>
          <w:sz w:val="15"/>
          <w:szCs w:val="15"/>
          <w:color w:val="auto"/>
        </w:rPr>
        <w:t>For the three and nine months ended September 30, 2012, we recognized total stock-based compensation expense of $8.5 million and $19.9 million, respectively. The total income tax benefit related to stock-based compensation expense was $3.2 million and $7.2 million for the three and nine months ended September 30, 2012, respectively. For the three and nine months ended September 30, 2011, we recognized total stock-based compensation expense of</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$2.0 million and $6.5 million, respectively. The total income tax benefit related to stock-based compensation expense was $0.8 million and $2.6 million for the three and nine months ended September 30, 2011,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Based Awards and Other Equity Instruments Assumed at Spin-Off</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Prior to the Spin-Off, we participated in the Amended and Restated Expedia, Inc. 2005 Stock and Annual Incentive Plan, under which we, through Expedia, granted RSUs, stock options, and other stock-based awards to our directors, officers, employees and consultants. Following the Spin-Off, these existing Expedia stock-based awards were primarily converted as follows:</w:t>
      </w:r>
    </w:p>
    <w:p>
      <w:pPr>
        <w:spacing w:after="0" w:line="59" w:lineRule="exact"/>
        <w:rPr>
          <w:sz w:val="20"/>
          <w:szCs w:val="20"/>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vested stock option to purchase shares of Expedia common stock converted into an option to purchase shares of Expedia common stock and an option to purchase shares of TripAdvisor common stock;</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unvested stock option to purchase shares of Expedia common stock converted into a stock option to purchase shares of common stock of the applicable company for which the employee was employed following the Spin-Off;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RSUs converted into RSUs of the applicable company for which the employee was employed following the Spin-Off.</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In addition, upon Spin-Off, we entered into a warrant agreement (the “Warrant Agreement”) with Mellon Investor Services LLC and issued warrants exercisable for TripAdvisor common stock in respect of previously outstanding warrants exercisable for Expedia common stock that were adjusted on account of Expedia’s reverse stock split and the Spin-Off. The warrants, which totaled 32,186,792 at Spin-Off, were subsequently converted into 7,952,456 shares of our common stock during the six months ended June 30, 2012, prior to their expiration date of May 7, 2012. Refer to our discussion below in this Note 6— </w:t>
      </w:r>
      <w:r>
        <w:rPr>
          <w:rFonts w:ascii="Arial" w:cs="Arial" w:eastAsia="Arial" w:hAnsi="Arial"/>
          <w:sz w:val="16"/>
          <w:szCs w:val="16"/>
          <w:i w:val="1"/>
          <w:iCs w:val="1"/>
          <w:color w:val="auto"/>
        </w:rPr>
        <w:t>2012</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Warrant Activity </w:t>
      </w:r>
      <w:r>
        <w:rPr>
          <w:rFonts w:ascii="Arial" w:cs="Arial" w:eastAsia="Arial" w:hAnsi="Arial"/>
          <w:sz w:val="16"/>
          <w:szCs w:val="16"/>
          <w:color w:val="auto"/>
        </w:rPr>
        <w:t>for a discussion of warrant activity during the nine months ended September 30, 2012.</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One tranche of warrants (issued in respect of Expedia warrants that had featured an exercise price of $12.23 per warrant prior to adjustment) were exercisable for 0.25 (one-quarter) of a share of TripAdvisor common stock at an exercise price equal to $6.48 per warrant, and the other tranche of warrants (issued in respect of Expedia warrants that had featured an exercise price of $14.45 per warrant prior to adjustment) were exercisable for 0.25 (one-quarter) of a share of TripAdvisor common stock at an exercise price equal to $7.66 per warrant. The exercise price could have been paid in cash or via “cashless exercise” as set forth in the Warrant Agreement. In total, at Spin-Off, the warrants could be converted into a maximum of 8,046,698 shares of our common stock without any further adjustments to the Warrant Agreement.</w:t>
      </w:r>
    </w:p>
    <w:p>
      <w:pPr>
        <w:spacing w:after="0" w:line="12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Below is a summary of our stock-based awards and warrants issued upon completion of the conversion of existing Expedia stock-based awards and warrants into TripAdvisor stock-based awards and warrants on December 20, 2011 and the related weighted-average grant date exercise price for options and warrants and the weighted-average grant date fair value for RSUs: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and Stock Warrants: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Potential Shares of</w:t>
            </w:r>
          </w:p>
        </w:tc>
        <w:tc>
          <w:tcPr>
            <w:tcW w:w="2140" w:type="dxa"/>
            <w:vAlign w:val="bottom"/>
            <w:gridSpan w:val="4"/>
          </w:tcPr>
          <w:p>
            <w:pPr>
              <w:ind w:left="980"/>
              <w:spacing w:after="0"/>
              <w:rPr>
                <w:sz w:val="20"/>
                <w:szCs w:val="20"/>
                <w:color w:val="auto"/>
              </w:rPr>
            </w:pPr>
            <w:r>
              <w:rPr>
                <w:rFonts w:ascii="Arial" w:cs="Arial" w:eastAsia="Arial" w:hAnsi="Arial"/>
                <w:sz w:val="14"/>
                <w:szCs w:val="14"/>
                <w:b w:val="1"/>
                <w:bCs w:val="1"/>
                <w:color w:val="auto"/>
                <w:w w:val="93"/>
              </w:rPr>
              <w:t>Weighted Average</w:t>
            </w:r>
          </w:p>
        </w:tc>
      </w:tr>
      <w:tr>
        <w:trPr>
          <w:trHeight w:val="149"/>
        </w:trPr>
        <w:tc>
          <w:tcPr>
            <w:tcW w:w="1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Common Stock (in</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1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Exercise Price</w:t>
            </w:r>
          </w:p>
        </w:tc>
      </w:tr>
      <w:tr>
        <w:trPr>
          <w:trHeight w:val="210"/>
        </w:trPr>
        <w:tc>
          <w:tcPr>
            <w:tcW w:w="138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w:t>
            </w:r>
          </w:p>
        </w:tc>
        <w:tc>
          <w:tcPr>
            <w:tcW w:w="1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center"/>
              <w:ind w:left="627"/>
              <w:spacing w:after="0"/>
              <w:rPr>
                <w:sz w:val="20"/>
                <w:szCs w:val="20"/>
                <w:color w:val="auto"/>
              </w:rPr>
            </w:pPr>
            <w:r>
              <w:rPr>
                <w:rFonts w:ascii="Arial" w:cs="Arial" w:eastAsia="Arial" w:hAnsi="Arial"/>
                <w:sz w:val="18"/>
                <w:szCs w:val="18"/>
                <w:color w:val="auto"/>
                <w:w w:val="88"/>
              </w:rPr>
              <w:t>6,575</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Warrants—$6.48 TripAdvisor Warrants</w:t>
            </w:r>
          </w:p>
        </w:tc>
        <w:tc>
          <w:tcPr>
            <w:tcW w:w="2460" w:type="dxa"/>
            <w:vAlign w:val="bottom"/>
            <w:gridSpan w:val="4"/>
          </w:tcPr>
          <w:p>
            <w:pPr>
              <w:jc w:val="center"/>
              <w:ind w:left="1982"/>
              <w:spacing w:after="0"/>
              <w:rPr>
                <w:sz w:val="20"/>
                <w:szCs w:val="20"/>
                <w:color w:val="auto"/>
              </w:rPr>
            </w:pPr>
            <w:r>
              <w:rPr>
                <w:rFonts w:ascii="Arial" w:cs="Arial" w:eastAsia="Arial" w:hAnsi="Arial"/>
                <w:sz w:val="18"/>
                <w:szCs w:val="18"/>
                <w:color w:val="auto"/>
                <w:w w:val="88"/>
              </w:rPr>
              <w:t>6,047</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Warrants—$7.66 TripAdvisor Warrants</w:t>
            </w:r>
          </w:p>
        </w:tc>
        <w:tc>
          <w:tcPr>
            <w:tcW w:w="2460" w:type="dxa"/>
            <w:vAlign w:val="bottom"/>
            <w:gridSpan w:val="4"/>
            <w:shd w:val="clear" w:color="auto" w:fill="CCEEFF"/>
          </w:tcPr>
          <w:p>
            <w:pPr>
              <w:jc w:val="center"/>
              <w:ind w:left="1982"/>
              <w:spacing w:after="0"/>
              <w:rPr>
                <w:sz w:val="20"/>
                <w:szCs w:val="20"/>
                <w:color w:val="auto"/>
              </w:rPr>
            </w:pPr>
            <w:r>
              <w:rPr>
                <w:rFonts w:ascii="Arial" w:cs="Arial" w:eastAsia="Arial" w:hAnsi="Arial"/>
                <w:sz w:val="18"/>
                <w:szCs w:val="18"/>
                <w:color w:val="auto"/>
                <w:w w:val="88"/>
              </w:rPr>
              <w:t>2,000</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00" w:type="dxa"/>
            <w:vAlign w:val="bottom"/>
            <w:shd w:val="clear" w:color="auto" w:fill="CCEEFF"/>
          </w:tcPr>
          <w:p>
            <w:pPr>
              <w:spacing w:after="0"/>
              <w:rPr>
                <w:sz w:val="18"/>
                <w:szCs w:val="18"/>
                <w:color w:val="auto"/>
              </w:rPr>
            </w:pPr>
          </w:p>
        </w:tc>
      </w:tr>
      <w:tr>
        <w:trPr>
          <w:trHeight w:val="457"/>
        </w:trPr>
        <w:tc>
          <w:tcPr>
            <w:tcW w:w="5460" w:type="dxa"/>
            <w:vAlign w:val="bottom"/>
            <w:gridSpan w:val="2"/>
          </w:tcPr>
          <w:p>
            <w:pPr>
              <w:spacing w:after="0"/>
              <w:rPr>
                <w:sz w:val="20"/>
                <w:szCs w:val="20"/>
                <w:color w:val="auto"/>
              </w:rPr>
            </w:pPr>
            <w:r>
              <w:rPr>
                <w:rFonts w:ascii="Arial" w:cs="Arial" w:eastAsia="Arial" w:hAnsi="Arial"/>
                <w:sz w:val="18"/>
                <w:szCs w:val="18"/>
                <w:i w:val="1"/>
                <w:iCs w:val="1"/>
                <w:color w:val="auto"/>
              </w:rPr>
              <w:t>RSUs:</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1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60" w:type="dxa"/>
            <w:vAlign w:val="bottom"/>
            <w:gridSpan w:val="4"/>
          </w:tcPr>
          <w:p>
            <w:pPr>
              <w:jc w:val="center"/>
              <w:ind w:left="1142"/>
              <w:spacing w:after="0"/>
              <w:rPr>
                <w:sz w:val="20"/>
                <w:szCs w:val="20"/>
                <w:color w:val="auto"/>
              </w:rPr>
            </w:pPr>
            <w:r>
              <w:rPr>
                <w:rFonts w:ascii="Arial" w:cs="Arial" w:eastAsia="Arial" w:hAnsi="Arial"/>
                <w:sz w:val="14"/>
                <w:szCs w:val="14"/>
                <w:b w:val="1"/>
                <w:bCs w:val="1"/>
                <w:color w:val="auto"/>
                <w:w w:val="85"/>
              </w:rPr>
              <w:t>Potential Shares of</w:t>
            </w:r>
          </w:p>
        </w:tc>
        <w:tc>
          <w:tcPr>
            <w:tcW w:w="2140" w:type="dxa"/>
            <w:vAlign w:val="bottom"/>
            <w:gridSpan w:val="4"/>
          </w:tcPr>
          <w:p>
            <w:pPr>
              <w:ind w:left="980"/>
              <w:spacing w:after="0"/>
              <w:rPr>
                <w:sz w:val="20"/>
                <w:szCs w:val="20"/>
                <w:color w:val="auto"/>
              </w:rPr>
            </w:pPr>
            <w:r>
              <w:rPr>
                <w:rFonts w:ascii="Arial" w:cs="Arial" w:eastAsia="Arial" w:hAnsi="Arial"/>
                <w:sz w:val="14"/>
                <w:szCs w:val="14"/>
                <w:b w:val="1"/>
                <w:bCs w:val="1"/>
                <w:color w:val="auto"/>
                <w:w w:val="93"/>
              </w:rPr>
              <w:t>Weighted Average</w:t>
            </w:r>
          </w:p>
        </w:tc>
      </w:tr>
      <w:tr>
        <w:trPr>
          <w:trHeight w:val="149"/>
        </w:trPr>
        <w:tc>
          <w:tcPr>
            <w:tcW w:w="1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460" w:type="dxa"/>
            <w:vAlign w:val="bottom"/>
            <w:gridSpan w:val="4"/>
          </w:tcPr>
          <w:p>
            <w:pPr>
              <w:jc w:val="center"/>
              <w:ind w:left="1142"/>
              <w:spacing w:after="0" w:line="149" w:lineRule="exact"/>
              <w:rPr>
                <w:sz w:val="20"/>
                <w:szCs w:val="20"/>
                <w:color w:val="auto"/>
              </w:rPr>
            </w:pPr>
            <w:r>
              <w:rPr>
                <w:rFonts w:ascii="Arial" w:cs="Arial" w:eastAsia="Arial" w:hAnsi="Arial"/>
                <w:sz w:val="14"/>
                <w:szCs w:val="14"/>
                <w:b w:val="1"/>
                <w:bCs w:val="1"/>
                <w:color w:val="auto"/>
                <w:w w:val="87"/>
              </w:rPr>
              <w:t>Common Stock (in</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1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138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RSUs</w:t>
            </w:r>
          </w:p>
        </w:tc>
        <w:tc>
          <w:tcPr>
            <w:tcW w:w="13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center"/>
              <w:ind w:left="722"/>
              <w:spacing w:after="0"/>
              <w:rPr>
                <w:sz w:val="20"/>
                <w:szCs w:val="20"/>
                <w:color w:val="auto"/>
              </w:rPr>
            </w:pPr>
            <w:r>
              <w:rPr>
                <w:rFonts w:ascii="Arial" w:cs="Arial" w:eastAsia="Arial" w:hAnsi="Arial"/>
                <w:sz w:val="18"/>
                <w:szCs w:val="18"/>
                <w:color w:val="auto"/>
                <w:w w:val="86"/>
              </w:rPr>
              <w:t>893</w:t>
            </w: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TripAdvisor, Inc. 2011 Stock and Annual Incentive Plan (“2011 Incentive Plan”)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On December 20, 2011, the 2011 Incentive Plan became effective. A summary of certain important features of the 2011 Incentive Plan can be found in “Note 7— </w:t>
      </w:r>
      <w:r>
        <w:rPr>
          <w:rFonts w:ascii="Arial" w:cs="Arial" w:eastAsia="Arial" w:hAnsi="Arial"/>
          <w:sz w:val="16"/>
          <w:szCs w:val="16"/>
          <w:i w:val="1"/>
          <w:iCs w:val="1"/>
          <w:color w:val="auto"/>
        </w:rPr>
        <w:t>Stock Based Awards and Other Equity Instruments,</w:t>
      </w:r>
      <w:r>
        <w:rPr>
          <w:rFonts w:ascii="Arial" w:cs="Arial" w:eastAsia="Arial" w:hAnsi="Arial"/>
          <w:sz w:val="16"/>
          <w:szCs w:val="16"/>
          <w:color w:val="auto"/>
        </w:rPr>
        <w:t>” in the Notes to our Consolidated and Combined Financial Statements in Item 8 of our Annual Report on Form 10-K filed on March 15, 2012 for the year ended December 31, 2011. The summary of the material terms of the 2011 Incentive Plan is qualified in its entirety by the full text of the 2011 Incentive Plan which is incorporated by reference in our Annual Report on Form 10-K as Exhibit 4.3.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Stock Option Activity</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exercise price for all stock options granted by us to date has been equal to the market price of the underlying shares of common stock at the date of grant. In this regard, when making stock option awards, our practice is to determine the applicable grant date and to specify that the exercise price shall be the closing price of our common stock on the date of grant. Stock options granted during the first nine months of 2012 have a term of ten years from the date of grant and generally vest over a four-year service period.</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nine months ended September 30, 2012, we have issued 3,470,975 of primarily service based stock options under the 2011 Incentive Plan with a weighted average grant-date fair value per option of $20.55. We will amortize the fair value, net of estimated forfeitures, as stock-based compensation expense over the vesting term of generally four years on a straight-line basis. We use historical data to estimate pre-vesting option forfeitures and record share-based compensation expense only for those awards that are expected to vest. Changes in estimated forfeitures will be recognized through a cumulative catch-up adjustment in the period of change and will also impact the amount of stock compensation expense to be recognized in future periods.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summary of the status and activity for stock option awards relating to our common stock for the nine months ended September 30, 2012, is presented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Weighted</w:t>
            </w: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Average</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Exercise</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Options</w:t>
            </w:r>
          </w:p>
        </w:tc>
        <w:tc>
          <w:tcPr>
            <w:tcW w:w="34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Price Per</w:t>
            </w: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Outstanding</w:t>
            </w:r>
          </w:p>
        </w:tc>
        <w:tc>
          <w:tcPr>
            <w:tcW w:w="340" w:type="dxa"/>
            <w:vAlign w:val="bottom"/>
          </w:tcPr>
          <w:p>
            <w:pPr>
              <w:spacing w:after="0"/>
              <w:rPr>
                <w:sz w:val="14"/>
                <w:szCs w:val="14"/>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2"/>
              </w:rPr>
              <w:t>Share</w:t>
            </w: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66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1, 2012</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6,575</w:t>
            </w:r>
          </w:p>
        </w:tc>
        <w:tc>
          <w:tcPr>
            <w:tcW w:w="15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$ 23.65</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3,471</w:t>
            </w:r>
          </w:p>
        </w:tc>
        <w:tc>
          <w:tcPr>
            <w:tcW w:w="1580" w:type="dxa"/>
            <w:vAlign w:val="bottom"/>
            <w:gridSpan w:val="3"/>
          </w:tcPr>
          <w:p>
            <w:pPr>
              <w:jc w:val="right"/>
              <w:ind w:right="680"/>
              <w:spacing w:after="0"/>
              <w:rPr>
                <w:sz w:val="20"/>
                <w:szCs w:val="20"/>
                <w:color w:val="auto"/>
              </w:rPr>
            </w:pPr>
            <w:r>
              <w:rPr>
                <w:rFonts w:ascii="Arial" w:cs="Arial" w:eastAsia="Arial" w:hAnsi="Arial"/>
                <w:sz w:val="18"/>
                <w:szCs w:val="18"/>
                <w:color w:val="auto"/>
              </w:rPr>
              <w:t>40.18</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738</w:t>
            </w:r>
          </w:p>
        </w:tc>
        <w:tc>
          <w:tcPr>
            <w:tcW w:w="15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15.95</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Cancelled</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337</w:t>
            </w:r>
          </w:p>
        </w:tc>
        <w:tc>
          <w:tcPr>
            <w:tcW w:w="1580" w:type="dxa"/>
            <w:vAlign w:val="bottom"/>
            <w:gridSpan w:val="3"/>
          </w:tcPr>
          <w:p>
            <w:pPr>
              <w:jc w:val="right"/>
              <w:ind w:right="680"/>
              <w:spacing w:after="0"/>
              <w:rPr>
                <w:sz w:val="20"/>
                <w:szCs w:val="20"/>
                <w:color w:val="auto"/>
              </w:rPr>
            </w:pPr>
            <w:r>
              <w:rPr>
                <w:rFonts w:ascii="Arial" w:cs="Arial" w:eastAsia="Arial" w:hAnsi="Arial"/>
                <w:sz w:val="18"/>
                <w:szCs w:val="18"/>
                <w:color w:val="auto"/>
              </w:rPr>
              <w:t>27.52</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September 30, 2012</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8,971</w:t>
            </w:r>
          </w:p>
        </w:tc>
        <w:tc>
          <w:tcPr>
            <w:tcW w:w="15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$ 30.52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September 30, 2012</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3"/>
            <w:vMerge w:val="restart"/>
          </w:tcPr>
          <w:p>
            <w:pPr>
              <w:jc w:val="right"/>
              <w:ind w:right="680"/>
              <w:spacing w:after="0"/>
              <w:rPr>
                <w:sz w:val="20"/>
                <w:szCs w:val="20"/>
                <w:color w:val="auto"/>
              </w:rPr>
            </w:pPr>
            <w:r>
              <w:rPr>
                <w:rFonts w:ascii="Arial" w:cs="Arial" w:eastAsia="Arial" w:hAnsi="Arial"/>
                <w:sz w:val="18"/>
                <w:szCs w:val="18"/>
                <w:color w:val="auto"/>
              </w:rPr>
              <w:t>$ 25.14</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32,788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gridSpan w:val="2"/>
            <w:vMerge w:val="continue"/>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3,511</w:t>
            </w:r>
          </w:p>
        </w:tc>
        <w:tc>
          <w:tcPr>
            <w:tcW w:w="1580" w:type="dxa"/>
            <w:vAlign w:val="bottom"/>
            <w:gridSpan w:val="3"/>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after September 30, 2012</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7,834</w:t>
            </w:r>
          </w:p>
        </w:tc>
        <w:tc>
          <w:tcPr>
            <w:tcW w:w="15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$ 29.60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20" w:firstLine="456"/>
        <w:spacing w:after="0" w:line="268" w:lineRule="auto"/>
        <w:rPr>
          <w:sz w:val="20"/>
          <w:szCs w:val="20"/>
          <w:color w:val="auto"/>
        </w:rPr>
      </w:pPr>
      <w:r>
        <w:rPr>
          <w:rFonts w:ascii="Arial" w:cs="Arial" w:eastAsia="Arial" w:hAnsi="Arial"/>
          <w:sz w:val="18"/>
          <w:szCs w:val="18"/>
          <w:color w:val="auto"/>
        </w:rPr>
        <w:t>Aggregate intrinsic value represents the difference between the closing stock price of our common stock and the exercise price of outstanding, in-the-money options. Our closing stock price as reported on NASDAQ as of September 28, 2012 was $32.93.</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estimated fair value of the options granted under the 2011 Incentive Plan was calculated using a Black-Scholes Merton option-pricing model (“Black-Scholes model”). The Black-Scholes model incorporates assumptions to value stock-based awards, which includes the risk-free rate of return, volatility, expected term and expected dividend yield.</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risk-free interest rate is based on the rates currently available on zero-coupon U.S. Treasury issues, in effect at the time of the grant, whose remaining maturity period most closely approximates the stock option’s expected term assumption. We estimated the volatility of our common stock by using an average of historical stock price volatility of publicly traded companies that we consider peers based on daily price observations over a period equivalent or approximate to the expected term of the stock option grants. The decision to use a weighted average volatility factor of a peer group was based upon the relatively short period of availability of data on our common stock. We estimated our expected term using the simplified method for all stock options as we do not have sufficient historical exercise data on our common stock. Our expected dividend yield is zero, as we have not paid and do not anticipate paying dividends on our common stock in the foreseeable future.</w:t>
      </w:r>
    </w:p>
    <w:p>
      <w:pPr>
        <w:spacing w:after="0" w:line="14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fair value of stock option grants under the 2011 Incentive Plan has been estimated at the date of grant using the Black–Scholes option pricing model with the following weighted average assumptions: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Nine</w:t>
            </w:r>
          </w:p>
        </w:tc>
      </w:tr>
      <w:tr>
        <w:trPr>
          <w:trHeight w:val="149"/>
        </w:trPr>
        <w:tc>
          <w:tcPr>
            <w:tcW w:w="37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Three</w:t>
            </w:r>
          </w:p>
        </w:tc>
        <w:tc>
          <w:tcPr>
            <w:tcW w:w="1460" w:type="dxa"/>
            <w:vAlign w:val="bottom"/>
            <w:gridSpan w:val="3"/>
          </w:tcPr>
          <w:p>
            <w:pPr>
              <w:jc w:val="center"/>
              <w:ind w:left="140"/>
              <w:spacing w:after="0" w:line="149" w:lineRule="exact"/>
              <w:rPr>
                <w:sz w:val="20"/>
                <w:szCs w:val="20"/>
                <w:color w:val="auto"/>
              </w:rPr>
            </w:pPr>
            <w:r>
              <w:rPr>
                <w:rFonts w:ascii="Arial" w:cs="Arial" w:eastAsia="Arial" w:hAnsi="Arial"/>
                <w:sz w:val="14"/>
                <w:szCs w:val="14"/>
                <w:b w:val="1"/>
                <w:bCs w:val="1"/>
                <w:color w:val="auto"/>
                <w:w w:val="83"/>
              </w:rPr>
              <w:t>months ended</w:t>
            </w:r>
          </w:p>
        </w:tc>
      </w:tr>
      <w:tr>
        <w:trPr>
          <w:trHeight w:val="149"/>
        </w:trPr>
        <w:tc>
          <w:tcPr>
            <w:tcW w:w="37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4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w:t>
            </w:r>
          </w:p>
        </w:tc>
      </w:tr>
      <w:tr>
        <w:trPr>
          <w:trHeight w:val="149"/>
        </w:trPr>
        <w:tc>
          <w:tcPr>
            <w:tcW w:w="3760" w:type="dxa"/>
            <w:vAlign w:val="bottom"/>
          </w:tcPr>
          <w:p>
            <w:pPr>
              <w:spacing w:after="0"/>
              <w:rPr>
                <w:sz w:val="12"/>
                <w:szCs w:val="12"/>
                <w:color w:val="auto"/>
              </w:rPr>
            </w:pPr>
          </w:p>
        </w:tc>
        <w:tc>
          <w:tcPr>
            <w:tcW w:w="3460" w:type="dxa"/>
            <w:vAlign w:val="bottom"/>
            <w:gridSpan w:val="3"/>
          </w:tcPr>
          <w:p>
            <w:pPr>
              <w:jc w:val="center"/>
              <w:ind w:left="1357"/>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260" w:type="dxa"/>
            <w:vAlign w:val="bottom"/>
            <w:gridSpan w:val="2"/>
          </w:tcPr>
          <w:p>
            <w:pPr>
              <w:jc w:val="right"/>
              <w:ind w:right="267"/>
              <w:spacing w:after="0" w:line="149" w:lineRule="exact"/>
              <w:rPr>
                <w:sz w:val="20"/>
                <w:szCs w:val="20"/>
                <w:color w:val="auto"/>
              </w:rPr>
            </w:pPr>
            <w:r>
              <w:rPr>
                <w:rFonts w:ascii="Arial" w:cs="Arial" w:eastAsia="Arial" w:hAnsi="Arial"/>
                <w:sz w:val="14"/>
                <w:szCs w:val="14"/>
                <w:b w:val="1"/>
                <w:bCs w:val="1"/>
                <w:color w:val="auto"/>
              </w:rPr>
              <w:t>30,</w:t>
            </w:r>
          </w:p>
        </w:tc>
        <w:tc>
          <w:tcPr>
            <w:tcW w:w="200" w:type="dxa"/>
            <w:vAlign w:val="bottom"/>
          </w:tcPr>
          <w:p>
            <w:pPr>
              <w:spacing w:after="0"/>
              <w:rPr>
                <w:sz w:val="12"/>
                <w:szCs w:val="12"/>
                <w:color w:val="auto"/>
              </w:rPr>
            </w:pPr>
          </w:p>
        </w:tc>
      </w:tr>
      <w:tr>
        <w:trPr>
          <w:trHeight w:val="161"/>
        </w:trPr>
        <w:tc>
          <w:tcPr>
            <w:tcW w:w="376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6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 free interest rate</w:t>
            </w:r>
          </w:p>
        </w:tc>
        <w:tc>
          <w:tcPr>
            <w:tcW w:w="20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6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6.22</w:t>
            </w:r>
          </w:p>
        </w:tc>
        <w:tc>
          <w:tcPr>
            <w:tcW w:w="2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54.78%</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53.54%</w:t>
            </w: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60" w:type="dxa"/>
            <w:vAlign w:val="bottom"/>
            <w:gridSpan w:val="3"/>
          </w:tcPr>
          <w:p>
            <w:pPr>
              <w:jc w:val="right"/>
              <w:ind w:right="460"/>
              <w:spacing w:after="0"/>
              <w:rPr>
                <w:sz w:val="20"/>
                <w:szCs w:val="20"/>
                <w:color w:val="auto"/>
              </w:rPr>
            </w:pPr>
            <w:r>
              <w:rPr>
                <w:rFonts w:ascii="Arial" w:cs="Arial" w:eastAsia="Arial" w:hAnsi="Arial"/>
                <w:sz w:val="18"/>
                <w:szCs w:val="18"/>
                <w:color w:val="auto"/>
              </w:rPr>
              <w:t>0%</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RSU Activity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nine months ended September 30, 2012, we issued 59,951 RSUs under the 2011 Incentive Plan for which the fair value was measured based on the quoted price of our common stock at the date of grant of $33.27. We will amortize the fair value, net of estimated forfeitures, as stock-based compensation expense over the vesting term of two years on a straight-line basis.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RSU activity on our common stock:</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Grant-</w:t>
            </w: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jc w:val="right"/>
              <w:ind w:right="122"/>
              <w:spacing w:after="0" w:line="149" w:lineRule="exact"/>
              <w:rPr>
                <w:sz w:val="20"/>
                <w:szCs w:val="20"/>
                <w:color w:val="auto"/>
              </w:rPr>
            </w:pPr>
            <w:r>
              <w:rPr>
                <w:rFonts w:ascii="Arial" w:cs="Arial" w:eastAsia="Arial" w:hAnsi="Arial"/>
                <w:sz w:val="14"/>
                <w:szCs w:val="14"/>
                <w:b w:val="1"/>
                <w:bCs w:val="1"/>
                <w:color w:val="auto"/>
              </w:rPr>
              <w:t>RSUs</w:t>
            </w:r>
          </w:p>
        </w:tc>
        <w:tc>
          <w:tcPr>
            <w:tcW w:w="10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Date Fair</w:t>
            </w: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w:t>
            </w:r>
          </w:p>
        </w:tc>
        <w:tc>
          <w:tcPr>
            <w:tcW w:w="1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Value Per Share</w:t>
            </w: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rPr>
              <w:t>(In thousands)</w:t>
            </w: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Unvested RSUs outstanding as of January 1, 2012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Vested and released (1)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Cancelled</w:t>
            </w:r>
          </w:p>
        </w:tc>
        <w:tc>
          <w:tcPr>
            <w:tcW w:w="9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Unvested RSUs outstanding as of September 30, 2012 (2)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Inclusive of 112,110 RSUs withheld to satisfy minimum tax withholding requirements.</w:t>
      </w:r>
    </w:p>
    <w:p>
      <w:pPr>
        <w:spacing w:after="0" w:line="15" w:lineRule="exact"/>
        <w:rPr>
          <w:rFonts w:ascii="Arial" w:cs="Arial" w:eastAsia="Arial" w:hAnsi="Arial"/>
          <w:sz w:val="18"/>
          <w:szCs w:val="18"/>
          <w:color w:val="auto"/>
        </w:rPr>
      </w:pPr>
    </w:p>
    <w:p>
      <w:pPr>
        <w:ind w:left="460" w:right="60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RSUs outstanding at September 30, 2012 are 400,000 RSUs awarded to one of our non-employee Directors, for which vesting is tied to achievement of performance targets and a requisite service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Stock Warrant Activity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the nine months ended September 30, 2012, there were a total of 32,186,791 warrants exercised which resulted in a total of 7,952,456 shares of our common stock being issued during that period, which included 31,641,337 warrants for which the exercise price was paid in cash at a weighted average price of $27.11. We received total exercise proceeds of $214.5 million related to these warrant exercises. In addition there were 545,454 cashless warrants exercised with a weighted average exercise price of $25.92 of which we did not receive any exercise proceeds. As of September 30, 2012, we had no outstanding warrants available which could be convertible to shares of our common stock.</w:t>
      </w:r>
    </w:p>
    <w:p>
      <w:pPr>
        <w:spacing w:after="0" w:line="1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 summary of the unrecognized compensation expense, net of estimated forfeitures and the weighted average period remaining at September 30, 2012 related to our non-vested stock options and RSU awards is presented below (in thousands, except per year information):</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jc w:val="right"/>
              <w:ind w:right="46"/>
              <w:spacing w:after="0"/>
              <w:rPr>
                <w:sz w:val="20"/>
                <w:szCs w:val="20"/>
                <w:color w:val="auto"/>
              </w:rPr>
            </w:pPr>
            <w:r>
              <w:rPr>
                <w:rFonts w:ascii="Arial" w:cs="Arial" w:eastAsia="Arial" w:hAnsi="Arial"/>
                <w:sz w:val="14"/>
                <w:szCs w:val="14"/>
                <w:b w:val="1"/>
                <w:bCs w:val="1"/>
                <w:color w:val="auto"/>
              </w:rPr>
              <w:t>Stock</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Options</w:t>
            </w:r>
          </w:p>
        </w:tc>
        <w:tc>
          <w:tcPr>
            <w:tcW w:w="44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RSUs</w:t>
            </w:r>
          </w:p>
        </w:tc>
      </w:tr>
      <w:tr>
        <w:trPr>
          <w:trHeight w:val="210"/>
        </w:trPr>
        <w:tc>
          <w:tcPr>
            <w:tcW w:w="5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Unrecognized compensation expense (net of forfeitures)</w:t>
            </w:r>
          </w:p>
        </w:tc>
        <w:tc>
          <w:tcPr>
            <w:tcW w:w="1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$63,063</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Each interim period is considered an integral part of the annual period and, accordingly, we measure our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effective tax rate for the three and nine months ended September 30, 2012 was 34.4% and 32.6%, respectively. Our effective tax rate for the three and nine months ended September 30, 2011 was 31.7% and 34.6%, respectively. For the three and nine months ended September 30, 2012, the effective tax rate is less than the federal statutory rate primarily due to earnings in jurisdictions outside the United States, where our effective tax rate is lower, which was partially offset by state income taxes, non-deductible stock compensation and accruals on uncertain tax positions. The change in the effective tax rate for 2012 compared to the 2011 rate was primarily due to an increase in earnings in jurisdictions outside the United States and increases in uncertain tax positions.</w:t>
      </w:r>
    </w:p>
    <w:p>
      <w:pPr>
        <w:spacing w:after="0" w:line="1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policy is to recognize accrued interest and penalties related to unrecognized tax benefits and income tax liabilities as part of our income tax expense. As of September 30, 2012, accrued interest is $0.4 million, net of federal benefit, and no penalties have been accrued. We do not anticipate any material releases in the next twelve months.</w:t>
      </w:r>
    </w:p>
    <w:p>
      <w:pPr>
        <w:spacing w:after="0" w:line="14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are subject to taxation in the United States and various States and foreign jurisdictions. As of September 30, 2012, the Company’s tax years for 2009, 2010 and 2011 are subject to examination by the tax authorities. The Company is currently under an IRS audit for 2009 and 2010, and has various ongoing state income tax audits. As of September 30, 2012 no material assessments have resulted from these audits.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 and Class B Common Stock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on most matters. Holders of TripAdvisor common stock, acting as a single class, are entitled to elect a number of directors equal to 25% percent of the total number of directors, rounded up to the next whole number, which is currently three directors.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As discussed in our Annual Report on Form 10-K filed March 15, 2012 (“Note 1— </w:t>
      </w:r>
      <w:r>
        <w:rPr>
          <w:rFonts w:ascii="Arial" w:cs="Arial" w:eastAsia="Arial" w:hAnsi="Arial"/>
          <w:sz w:val="16"/>
          <w:szCs w:val="16"/>
          <w:i w:val="1"/>
          <w:iCs w:val="1"/>
          <w:color w:val="auto"/>
        </w:rPr>
        <w:t>Organization and Basis of Presentation</w:t>
      </w:r>
      <w:r>
        <w:rPr>
          <w:rFonts w:ascii="Arial" w:cs="Arial" w:eastAsia="Arial" w:hAnsi="Arial"/>
          <w:sz w:val="16"/>
          <w:szCs w:val="16"/>
          <w:color w:val="auto"/>
        </w:rPr>
        <w:t>”), in connection with the Spin-Off a one-for-two reverse stock split of outstanding Expedia capital stock occurred immediately prior to the Spin-Off, which resulted in 120,661,020 shares of Common Stock and 12,799,999 shares of Class B common stock outstanding immediately following the Spin-Off.</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addition to common stock, we are authorized to issue up to 100 million preferred shares, with $ 0.001 par value per share, with terms determined by our Board of Directors, without further action by our stockholders. At September 30, 2012, no preferred shares had been issued.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the period January 1, 2012 through September 30, 2012, our Board of Directors did not authorize any share buyback program and we have not repurchased any shares of outstanding common stock.</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period January 1, 2012 through September 30, 2012, our Board of Directors did not declare any dividends on our outstanding common stock.</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Accumulated other comprehensive income (loss) for the nine months ended September 30, 2012 and the year ended December 31, 2011 is comprised of accumulated foreign currency translation adjustments.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INFORMATION</w:t>
      </w:r>
    </w:p>
    <w:p>
      <w:pPr>
        <w:spacing w:after="0" w:line="96"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We have one reportable segment: TripAdvisor. We determined our segment based on how our chief operating decision maker manages our business, makes operating decisions and evaluates operating performance. Our primary operating metric for evaluating segment performance is Adjusted EBITDA. Adjusted EBITDA is defined as operating income plus: (1) depreciation of property and equipment, including internal use software and website development;</w:t>
      </w:r>
    </w:p>
    <w:p>
      <w:pPr>
        <w:spacing w:after="0" w:line="1" w:lineRule="exact"/>
        <w:rPr>
          <w:sz w:val="20"/>
          <w:szCs w:val="20"/>
          <w:color w:val="auto"/>
        </w:rPr>
      </w:pPr>
    </w:p>
    <w:p>
      <w:pPr>
        <w:ind w:right="300" w:firstLine="8"/>
        <w:spacing w:after="0" w:line="302"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amortization of intangible assets; (3) stock-based compensation; and (4) non-recurring expenses incurred to effect the Spin-Off during the year ended December 31, 2011. Such amounts are detailed in our segment reconciliation below. In addition, please see our discussion of Adjusted EBITDA in the section entitled “Management’s Discussion and Analysis of Financial Condition and Results of Operations” below.</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reconciliation of Adjusted EBITDA to operating income and net income for the periods presented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5"/>
              </w:rPr>
              <w:t>Three months ended</w:t>
            </w:r>
          </w:p>
        </w:tc>
        <w:tc>
          <w:tcPr>
            <w:tcW w:w="18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18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107,059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$ 93,340</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$288,169</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$267,834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Depreciation (1)</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(5,037)</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(4,630)</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(14,033)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OIBA (2)</w:t>
            </w:r>
          </w:p>
        </w:tc>
        <w:tc>
          <w:tcPr>
            <w:tcW w:w="1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102,022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88,710</w:t>
            </w: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274,136</w:t>
            </w: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254,588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(1,310)</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(2,394)</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(4,909)</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(8,463)</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(2,037)</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(19,923)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Spin-off costs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(2,211)</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92,249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82,068</w:t>
            </w: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249,304</w:t>
            </w: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239,201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(2,806)</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212</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(8,143)</w:t>
            </w:r>
          </w:p>
        </w:tc>
        <w:tc>
          <w:tcPr>
            <w:tcW w:w="66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1,367</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(2,802)</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(2,476)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(31,275)</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(25,185)</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(77,814)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(82,574)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54,293</w:t>
            </w: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160,871</w:t>
            </w: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155,774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21</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(381)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TripAdvisor, Inc.</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59,360</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$ 54,314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160,490</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155,656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internal use software and website development.</w:t>
      </w:r>
    </w:p>
    <w:p>
      <w:pPr>
        <w:spacing w:after="0" w:line="15" w:lineRule="exact"/>
        <w:rPr>
          <w:rFonts w:ascii="Arial" w:cs="Arial" w:eastAsia="Arial" w:hAnsi="Arial"/>
          <w:sz w:val="18"/>
          <w:szCs w:val="18"/>
          <w:color w:val="auto"/>
        </w:rPr>
      </w:pPr>
    </w:p>
    <w:p>
      <w:pPr>
        <w:ind w:left="460" w:right="80" w:hanging="452"/>
        <w:spacing w:after="0" w:line="25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primary operating metric prior to the Spin-Off for evaluating operating performance was OIBA, as reported on our Registration Statement. OIBA is defined as operating income plus: (1) amortization of intangible assets and any related impairment; (2) stock-based compensation expense; and (3) non-recurring expenses incurred to effect the Spin-Off during the year ended December 31, 2011. This operating metric is no longer being used by our management to measure operating performance and is only being shown above to illustrate the financial impact as we converted to a new operating metric post Spin-Off.</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As discussed in our Annual Report on Form 10-K filed March 15, 2012 (“Note 1— </w:t>
      </w:r>
      <w:r>
        <w:rPr>
          <w:rFonts w:ascii="Arial" w:cs="Arial" w:eastAsia="Arial" w:hAnsi="Arial"/>
          <w:sz w:val="16"/>
          <w:szCs w:val="16"/>
          <w:i w:val="1"/>
          <w:iCs w:val="1"/>
          <w:color w:val="auto"/>
        </w:rPr>
        <w:t>Organization and Basis of Presentation</w:t>
      </w:r>
      <w:r>
        <w:rPr>
          <w:rFonts w:ascii="Arial" w:cs="Arial" w:eastAsia="Arial" w:hAnsi="Arial"/>
          <w:sz w:val="16"/>
          <w:szCs w:val="16"/>
          <w:color w:val="auto"/>
        </w:rPr>
        <w:t>”) in connection with the Spin-Off a one-for-two reverse stock split of outstanding Expedia capital stock occurred immediately prior to the Spin-Off, which resulted in 120,661,020 shares of common stock and 12,799,999 shares of Class B common stock outstanding immediately following the Spin-Off.</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For the three and nine months ended September 30, 2012, we computed basic earnings per share using the number of shares of common stock and Class B common stock outstanding as of December 31, 2011 plus the weighted average of any additional shares issued and outstanding during the three and nine months ended September 30, 2012.</w:t>
      </w:r>
    </w:p>
    <w:p>
      <w:pPr>
        <w:spacing w:after="0" w:line="140" w:lineRule="exact"/>
        <w:rPr>
          <w:sz w:val="20"/>
          <w:szCs w:val="20"/>
          <w:color w:val="auto"/>
        </w:rPr>
      </w:pPr>
    </w:p>
    <w:p>
      <w:pPr>
        <w:jc w:val="both"/>
        <w:ind w:right="60" w:firstLine="456"/>
        <w:spacing w:after="0" w:line="332" w:lineRule="auto"/>
        <w:rPr>
          <w:sz w:val="20"/>
          <w:szCs w:val="20"/>
          <w:color w:val="auto"/>
        </w:rPr>
      </w:pPr>
      <w:r>
        <w:rPr>
          <w:rFonts w:ascii="Arial" w:cs="Arial" w:eastAsia="Arial" w:hAnsi="Arial"/>
          <w:sz w:val="16"/>
          <w:szCs w:val="16"/>
          <w:color w:val="auto"/>
        </w:rPr>
        <w:t>For the three and nine months ended September 30, 2011, we computed basic earnings per share using the number of shares of common stock and Class B common stock outstanding immediately following the Spin-Off, as if such shares were outstanding for the entire period.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three and nine months ended September 30, 2012, we computed diluted earnings per share using (i) the number of shares of common stock and Class B common stock outstanding at December 31, 2011, (ii) the weighted average of any additional shares issued and outstanding for the three and nine months ended September 30, 2012, and (iii) if dilutive, the incremental weighted average common stock that we would issue upon the assumed exercise of common equivalent shares related to stock options and stock warrants and the vesting of restricted stock units using the treasury stock method during the three and nine months ended September 30, 2012, and (iv) if dilutive, performance based awards based on the number of shares that would be issuable as of the end of the reporting period assuming the end of the reporting period was also the end of the contingency period.</w:t>
      </w:r>
    </w:p>
    <w:p>
      <w:pPr>
        <w:spacing w:after="0" w:line="12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the average unrecognized compensation cost during the period and any tax benefits credited upon exercise to additional paid-in-capital. The treasury stock method assumes that a company uses the proceeds from the exercise of an award to repurchase common stock at the average market price for the period. Windfall tax benefits created upon the exercise of an award would be added to assumed proceeds, while shortfalls charged to additional paid-in-capital would be deducted from assumed proceeds. Any shortfalls not covered by the windfall tax pool would be charged to the income statement and would be excluded from the calculation of assumed proceeds, if any.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For the three and nine months ended September 30, 2011, we computed diluted earnings per share using (i) the number of shares of common stock and Class B common stock outstanding immediately following the Spin-Off, as no TripAdvisor equity awards were outstanding prior to the Spin-Off.</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earnings per share (in thousands, except for per share information):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ind w:left="34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9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7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Numerator:</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gridSpan w:val="3"/>
          </w:tcPr>
          <w:p>
            <w:pPr>
              <w:ind w:left="440"/>
              <w:spacing w:after="0"/>
              <w:rPr>
                <w:sz w:val="20"/>
                <w:szCs w:val="20"/>
                <w:color w:val="auto"/>
              </w:rPr>
            </w:pPr>
            <w:r>
              <w:rPr>
                <w:rFonts w:ascii="Arial" w:cs="Arial" w:eastAsia="Arial" w:hAnsi="Arial"/>
                <w:sz w:val="18"/>
                <w:szCs w:val="18"/>
                <w:color w:val="auto"/>
              </w:rPr>
              <w:t>Net income attributable to TripAdvisor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59,360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54,314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160,490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155,656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7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Denominator:</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gridSpan w:val="3"/>
          </w:tcPr>
          <w:p>
            <w:pPr>
              <w:ind w:left="440"/>
              <w:spacing w:after="0"/>
              <w:rPr>
                <w:sz w:val="20"/>
                <w:szCs w:val="20"/>
                <w:color w:val="auto"/>
              </w:rPr>
            </w:pPr>
            <w:r>
              <w:rPr>
                <w:rFonts w:ascii="Arial" w:cs="Arial" w:eastAsia="Arial" w:hAnsi="Arial"/>
                <w:sz w:val="18"/>
                <w:szCs w:val="18"/>
                <w:color w:val="auto"/>
              </w:rPr>
              <w:t>Weighted average shares used to compute Basic EPS</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142,342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133,461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138,458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Weighted average effect of dilutive securities: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3"/>
          </w:tcPr>
          <w:p>
            <w:pPr>
              <w:ind w:left="880"/>
              <w:spacing w:after="0"/>
              <w:rPr>
                <w:sz w:val="20"/>
                <w:szCs w:val="20"/>
                <w:color w:val="auto"/>
              </w:rPr>
            </w:pPr>
            <w:r>
              <w:rPr>
                <w:rFonts w:ascii="Arial" w:cs="Arial" w:eastAsia="Arial" w:hAnsi="Arial"/>
                <w:sz w:val="18"/>
                <w:szCs w:val="18"/>
                <w:color w:val="auto"/>
              </w:rPr>
              <w:t>Stock options</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1,249</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RSUs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00" w:type="dxa"/>
            <w:vAlign w:val="bottom"/>
            <w:gridSpan w:val="3"/>
          </w:tcPr>
          <w:p>
            <w:pPr>
              <w:ind w:left="880"/>
              <w:spacing w:after="0"/>
              <w:rPr>
                <w:sz w:val="20"/>
                <w:szCs w:val="20"/>
                <w:color w:val="auto"/>
              </w:rPr>
            </w:pPr>
            <w:r>
              <w:rPr>
                <w:rFonts w:ascii="Arial" w:cs="Arial" w:eastAsia="Arial" w:hAnsi="Arial"/>
                <w:sz w:val="18"/>
                <w:szCs w:val="18"/>
                <w:color w:val="auto"/>
              </w:rPr>
              <w:t>Stock warrants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Weighted average shares used to compute Diluted EPS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143,657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133,461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140,517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spacing w:after="0"/>
              <w:rPr>
                <w:sz w:val="20"/>
                <w:szCs w:val="20"/>
                <w:color w:val="auto"/>
              </w:rPr>
            </w:pPr>
            <w:r>
              <w:rPr>
                <w:rFonts w:ascii="Arial" w:cs="Arial" w:eastAsia="Arial" w:hAnsi="Arial"/>
                <w:sz w:val="18"/>
                <w:szCs w:val="18"/>
                <w:color w:val="auto"/>
              </w:rPr>
              <w:t>Basic EPS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00" w:type="dxa"/>
            <w:vAlign w:val="bottom"/>
            <w:gridSpan w:val="3"/>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EPS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potential common shares related to stock options and RSUs were excluded from the calculation of diluted net income per share because their effect would have been anti-dilutive for the periods presented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0" w:type="dxa"/>
            <w:vAlign w:val="bottom"/>
            <w:gridSpan w:val="3"/>
          </w:tcPr>
          <w:p>
            <w:pPr>
              <w:jc w:val="right"/>
              <w:ind w:right="37"/>
              <w:spacing w:after="0"/>
              <w:rPr>
                <w:sz w:val="20"/>
                <w:szCs w:val="20"/>
                <w:color w:val="auto"/>
              </w:rPr>
            </w:pPr>
            <w:r>
              <w:rPr>
                <w:rFonts w:ascii="Arial" w:cs="Arial" w:eastAsia="Arial" w:hAnsi="Arial"/>
                <w:sz w:val="14"/>
                <w:szCs w:val="14"/>
                <w:b w:val="1"/>
                <w:bCs w:val="1"/>
                <w:color w:val="auto"/>
                <w:w w:val="91"/>
              </w:rPr>
              <w:t>Three months ended</w:t>
            </w:r>
          </w:p>
        </w:tc>
        <w:tc>
          <w:tcPr>
            <w:tcW w:w="400" w:type="dxa"/>
            <w:vAlign w:val="bottom"/>
          </w:tcPr>
          <w:p>
            <w:pPr>
              <w:spacing w:after="0"/>
              <w:rPr>
                <w:sz w:val="14"/>
                <w:szCs w:val="14"/>
                <w:color w:val="auto"/>
              </w:rPr>
            </w:pPr>
          </w:p>
        </w:tc>
        <w:tc>
          <w:tcPr>
            <w:tcW w:w="1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Nine months ended</w:t>
            </w:r>
          </w:p>
        </w:tc>
      </w:tr>
      <w:tr>
        <w:trPr>
          <w:trHeight w:val="161"/>
        </w:trPr>
        <w:tc>
          <w:tcPr>
            <w:tcW w:w="43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4"/>
                <w:szCs w:val="14"/>
                <w:color w:val="auto"/>
              </w:rPr>
            </w:pPr>
          </w:p>
        </w:tc>
      </w:tr>
      <w:tr>
        <w:trPr>
          <w:trHeight w:val="223"/>
        </w:trPr>
        <w:tc>
          <w:tcPr>
            <w:tcW w:w="4320" w:type="dxa"/>
            <w:vAlign w:val="bottom"/>
          </w:tcPr>
          <w:p>
            <w:pPr>
              <w:spacing w:after="0"/>
              <w:rPr>
                <w:sz w:val="19"/>
                <w:szCs w:val="19"/>
                <w:color w:val="auto"/>
              </w:rPr>
            </w:pPr>
          </w:p>
        </w:tc>
        <w:tc>
          <w:tcPr>
            <w:tcW w:w="368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86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2012</w:t>
            </w:r>
          </w:p>
        </w:tc>
        <w:tc>
          <w:tcPr>
            <w:tcW w:w="700" w:type="dxa"/>
            <w:vAlign w:val="bottom"/>
            <w:gridSpan w:val="2"/>
          </w:tcPr>
          <w:p>
            <w:pPr>
              <w:jc w:val="center"/>
              <w:ind w:left="332"/>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9"/>
                <w:szCs w:val="19"/>
                <w:color w:val="auto"/>
              </w:rPr>
            </w:pPr>
          </w:p>
        </w:tc>
      </w:tr>
      <w:tr>
        <w:trPr>
          <w:trHeight w:val="210"/>
        </w:trPr>
        <w:tc>
          <w:tcPr>
            <w:tcW w:w="4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 options (1)</w:t>
            </w:r>
          </w:p>
        </w:tc>
        <w:tc>
          <w:tcPr>
            <w:tcW w:w="3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3,584</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RSUs (1)</w:t>
            </w:r>
          </w:p>
        </w:tc>
        <w:tc>
          <w:tcPr>
            <w:tcW w:w="3120" w:type="dxa"/>
            <w:vAlign w:val="bottom"/>
          </w:tcPr>
          <w:p>
            <w:pPr>
              <w:spacing w:after="0"/>
              <w:rPr>
                <w:sz w:val="19"/>
                <w:szCs w:val="19"/>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9"/>
                <w:szCs w:val="19"/>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4,921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0"/>
        </w:trPr>
        <w:tc>
          <w:tcPr>
            <w:tcW w:w="4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 w:hanging="452"/>
        <w:spacing w:after="0" w:line="335"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These totals do not include performance based options and RSUs representing the right to acquire 110,000 shares and 400,000 shares of common stock, respectively, for which all targets required to trigger vesting have not been achieved during the three and nine months ended September 30, 2012; therefore, such awards were excluded from the calculation of weighted average shares used to compute diluted earnings per share for those reporting periods.</w:t>
      </w:r>
    </w:p>
    <w:p>
      <w:pPr>
        <w:spacing w:after="0" w:line="8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Expedia</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Following the Spin-Off, TripAdvisor and Expedia are related parties since they are under common control. Revenue we derived from related party transactions with Expedia was $56.9 million and $164.2 million for the three and nine months ended September 30, 2012 and was $60.4 million and $173.6 million for the three and nine months ended September 30, 2011, respectively, which primarily consisted of click-based advertising and other advertising services provided to Expedia and its subsidiaries and is recorded at contract value, which we believe is a reasonable reflection of the value of the services provided. This related-party revenue represented 26.7% and 27.7% of our total revenue for the three and nine months ended September 30, 2012 and for the three and nine months ended September 30, 2011, related-party revenue represented 33.4% and 34.8% of our total revenue, respectively.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operating expenses for the three and nine months ended September 30, 2011 included a related-party shared services fee of $2.0 million and $5.9 million, which was comprised of allocations from Expedia for accounting, legal, tax, corporate development, treasury, financial reporting, real estate management and included an allocation of employee compensation within these functions. This related-party shared service fee ended in connection with the Spin-Off. These allocations were determined on a basis that Expedia and we considered to be a reasonable reflection of the cost of services provided or the benefit received by us. These expenses were allocated based on a number of factors including headcount, estimated time spent and operating expenses. It was not practicable to determine the amounts of these expenses that would have been incurred had we operated as an unaffiliated entity. In the opinion of our management, the allocation method was reasonable.</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related-party operating expenses which were included within Selling and Marketing expense were $1.7 million and $5.2 million for the three and nine months ended September 30, 2012, respectively, which primarily consisted of marketing expense for exit windows. For the three and nine months ended September 30, 2011, other related-party operating expenses which were included within Selling and Marketing expense were approximately $1.3 million and $3.3 million.</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net related party receivable with Expedia and its subsidiaries reflected in our consolidated balance sheets as of September 30, 2012 and December 31, 2011 were $32.5 million and $14.1 million, respectively. We received $7.0 million from Expedia during the first fiscal quarter of 2012, which was owed to us as a result of the subsequent reconciliation process allowed in the Separation Agreement related to the approximate $406 million distribution paid to Expedia immediately prior to the Spin-Off. This balance was included in our related party receivable balance at December 31, 2011.</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For purposes of governing certain of the ongoing relationships between us and Expedia at and after the Spin-Off, and to provide for an orderly transition, we and Expedia entered into various agreements, including, among others, the Separation Agreement, the Tax Sharing Agreement, the Employee Matters agreement, the Transition Services Agreement, and commercial agreements. The various commercial agreements, including click-based advertising agreements, content sharing agreements and display-based and other advertising agreements, have terms of one to three years.</w:t>
      </w:r>
    </w:p>
    <w:p>
      <w:pPr>
        <w:spacing w:after="0" w:line="113"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full texts of the Separation Agreement, the Tax Sharing Agreement, the Employee Matters Agreement, the Transition Services Agreement and the Master Advertising Agreement (CPC) are incorporated by reference into our Annual Report on Form 10-K filed on March 15, 2012 for the year ended December 31, 2011 as Exhibits 2.1, 10.2, 10.3, 10.4 and 10.6 (10.6 filed in redacted form pursuant to confidential treatment request),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Interactive Corporation and Barry Diller</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Mr. Diller, our Chairman of the Board of Directors and Senior Executive, through shares he owns beneficially as well as those subject to an irrevocable proxy granted by Liberty Interactive Corporation, or Liberty, controls approximately 57.1% of the combined voting power of the outstanding TripAdvisor capital stock as of September 30, 2012. As such, Mr. Diller effectively controls the outcome of all matters submitted to a vote or for the consent of our stockholders (other than with respect to the election by the holders of common stock of 25% of the members of our Board of Directors and matters as to which Delaware law requires a separate class vote). Upon Mr. Diller’s permanent departure from TripAdvisor, the irrevocable proxy would terminate and depending on the capitalization of TripAdvisor at such time, Liberty could effectively control the voting power of our capital stock. On May 3, 2012, Liberty Interactive Corporation, or Liberty, sold 8,450,000 shares of our common stock pursuant to Rule 144 under the Securities Act of 1933, as amended at an average per share price of $40.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REDEEMABLE NONCONTROLLING INTEREST</w:t>
      </w:r>
    </w:p>
    <w:p>
      <w:pPr>
        <w:spacing w:after="0" w:line="96" w:lineRule="exact"/>
        <w:rPr>
          <w:sz w:val="20"/>
          <w:szCs w:val="20"/>
          <w:color w:val="auto"/>
        </w:rPr>
      </w:pPr>
    </w:p>
    <w:p>
      <w:pPr>
        <w:jc w:val="both"/>
        <w:ind w:right="560" w:firstLine="913"/>
        <w:spacing w:after="0" w:line="370" w:lineRule="auto"/>
        <w:rPr>
          <w:sz w:val="20"/>
          <w:szCs w:val="20"/>
          <w:color w:val="auto"/>
        </w:rPr>
      </w:pPr>
      <w:r>
        <w:rPr>
          <w:rFonts w:ascii="Arial" w:cs="Arial" w:eastAsia="Arial" w:hAnsi="Arial"/>
          <w:sz w:val="15"/>
          <w:szCs w:val="15"/>
          <w:color w:val="auto"/>
        </w:rPr>
        <w:t>Redeemable noncontrolling interests are measured at fair value, both at the date of acquisition and subsequently at each reporting period. The redeemable noncontrolling interests are reported on the our consolidated balance sheet in the mezzanine section in “redeemable noncontrolling interests.”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One of our acquisitions made during 2008 includes noncontrolling interests with certain rights whereby we may acquire, and the minority shareholders may sell to us, the additional shares of the subsidiary, at fair value or at adjusted fair values at our discretion, beginning in the fourth quarter of 2012. Fair value determination has been based on various internal valuation techniques, including industry market comparables and a discounted cash flow valuation model. Certain assumptions are used in determining fair value, including revenue growth rates and discount rates. Changes in these assumptions would impact the fair value. In addition, under certain circumstances the parties may be required to submit to arbitration in order to determine the final fair value of the noncontrolling interests. Changes in the fair value of the shares for which the minority shareholders may sell to us have been recorded to the redeemable noncontrolling interest with charges or credits to additional paid in capital. The final determination of fair value and ultimate payment to the noncontrolling interests are expected to be made during the fourth quarter of 2012.</w:t>
      </w:r>
    </w:p>
    <w:p>
      <w:pPr>
        <w:spacing w:after="0" w:line="11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 addition, we have incurred stock based compensation for the three and nine months ending September 30, 2012, of $2.0 million and $2.5 million, respectively related to stock option and RSU issuances which are convertible for common shares of our noncontrolling interest. All stock option and RSU grants issued by our noncontrolling interest were issued with an exercise price at fair value, calculated as described above, and generally vest over a four-year service period, with accelerated vesting upon a liquidation event. In accordance with current accounting guidance on stock based compensation, we have classified these awards as liability awards and therefore mark the liability to market at each report date with stock based compensation expense recognized ratably over the vesting period.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A reconciliation of redeemable noncontrolling interests for the nine months ended September 30, 2012 and twelve months ended December 31, 2011, respectively, is as follows (in thousands):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Nine months ended</w:t>
            </w:r>
          </w:p>
        </w:tc>
        <w:tc>
          <w:tcPr>
            <w:tcW w:w="2360" w:type="dxa"/>
            <w:vAlign w:val="bottom"/>
            <w:gridSpan w:val="4"/>
          </w:tcPr>
          <w:p>
            <w:pPr>
              <w:ind w:left="1000"/>
              <w:spacing w:after="0"/>
              <w:rPr>
                <w:sz w:val="20"/>
                <w:szCs w:val="20"/>
                <w:color w:val="auto"/>
              </w:rPr>
            </w:pPr>
            <w:r>
              <w:rPr>
                <w:rFonts w:ascii="Arial" w:cs="Arial" w:eastAsia="Arial" w:hAnsi="Arial"/>
                <w:sz w:val="14"/>
                <w:szCs w:val="14"/>
                <w:b w:val="1"/>
                <w:bCs w:val="1"/>
                <w:color w:val="auto"/>
                <w:w w:val="91"/>
              </w:rPr>
              <w:t>Twelve months ended</w:t>
            </w: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2012</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9"/>
              </w:rPr>
              <w:t>December 31, 2011</w:t>
            </w: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 (1)</w:t>
            </w:r>
          </w:p>
        </w:tc>
        <w:tc>
          <w:tcPr>
            <w:tcW w:w="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381</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7,951</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1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14,645</w:t>
            </w: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50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Balance reclassified as of September 30, 2012 from accrued expenses and other current liabilities to redeemable noncontrolling interests on the consolidated balance sheet.</w:t>
      </w:r>
    </w:p>
    <w:p>
      <w:pPr>
        <w:spacing w:after="0" w:line="11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240" w:top="459" w:right="6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Annual Report on Form 10-K for the year ended December 31, 2011, Part I, Item 1A, “Risk Factors,” as well as those discussed elsewhere in this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Securities and Exchange Commission (“SEC”) that attempt to advise interested parties of the risks and factors that may affect our business, prospects and results of operations.</w:t>
      </w:r>
    </w:p>
    <w:p>
      <w:pPr>
        <w:spacing w:after="0" w:line="12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information included in this management’s discussion and analysis of financial condition and results of operations should be read in conjunction with our consolidated and combined financial statements and the notes included in this Quarterly Report on Form 10-Q, and the audited consolidated and combined financial statements and notes and Management’s Discussion and Analysis of Financial Condition and Results of Operations contained in our Annual Report on Form 10-K filed March 15, 2012 for the year ended December 31,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are the world’s largest online travel company, empowering users to plan and have the perfect trip. Our travel research platform aggregates reviews and opinions from our community about destinations, accommodations (including hotels, resorts, motels, B&amp;Bs, specialty lodging and vacation rentals), restaurants and activities throughout the world through our flagship TripAdvisor brand. Our branded websites include tripadvisor.com in the United States and localized versions of the website in 29 other countries, including in China under the brand daodao.com. Our TripAdvisor branded websites globally received an average of more than 57 million monthly unique visitors for the quarter ended September 2012, according to comScore, and we have built a base of more than 36 million marketable members, which are members we have permission to email on a regular basis, and we feature over 75 million reviews and opinions. Beyond travel-related content, our websites also include links to the websites of our advertisers, including travel advertisers, allowing travelers to directly book their travel arrangements. In addition to the flagship TripAdvisor brand, we now manage and operate websites under 19 other travel brands, connected by the common goal of providing comprehensive travel planning resources across the travel sector. On March 21, 2012, we announced the launch of a new travel brand, Tingo, the first hotel booking site that automatically rebooks hotel rooms at a lower price if the rate drops and then refunds the difference to the travelers’ credit cards when the traveler books a “Money Back” room.</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additional information about our portfolio of brands, see “Other Travel Brands and Websites” in Part I, Item 1, “Business,” in our Annual Report on Form 10-K filed on March 15, 2012 for the year ended December 31,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derive substantially all of our revenue from the sale of advertising, primarily through click-based advertising and, to a lesser extent, display-based advertising. The remainder of our revenue is generated through a combination of subscription-based offerings, transactions conducted via our flash sale website, SniqueAway, and our recently-launched Tingo hotel booking site, and other revenue including content licensing.</w:t>
      </w:r>
    </w:p>
    <w:p>
      <w:pPr>
        <w:spacing w:after="0" w:line="26" w:lineRule="exact"/>
        <w:rPr>
          <w:sz w:val="20"/>
          <w:szCs w:val="20"/>
          <w:color w:val="auto"/>
        </w:rPr>
      </w:pPr>
    </w:p>
    <w:p>
      <w:pPr>
        <w:ind w:left="900" w:right="160" w:hanging="325"/>
        <w:spacing w:after="0" w:line="289"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Click-Based Advertising Revenue</w:t>
      </w:r>
      <w:r>
        <w:rPr>
          <w:rFonts w:ascii="Arial" w:cs="Arial" w:eastAsia="Arial" w:hAnsi="Arial"/>
          <w:sz w:val="16"/>
          <w:szCs w:val="16"/>
          <w:color w:val="auto"/>
        </w:rPr>
        <w:t>. Our largest source of revenue is click-based advertising, which includes our “check rates” feature as well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contextually-relevant branded and unbranded textlinks. Our click-based advertising partners are predominantly online travel agencies and direct suppliers in the hotel, airline and cruise product categories. The “check rates” feature enables users to compare pricing and availability for a particular hotel across different on-line travel agents’ and hotel partners’ booking engines and thereby delivers a highly-targeted audience deep into the booking paths of their websites. Click-based advertising is generally priced on a cost-per-click, or CPC, basis, with payments from advertisers based on the number of users who click on each type of link. Advertisers who increase their CPC rates generally get an increased number of clicks from their click-based advertising on our websites. Most of our click-based advertising contracts can be terminated by the advertisers at will or on short notice.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325"/>
        <w:spacing w:after="0" w:line="29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Display-Based Advertising Revenue</w:t>
      </w:r>
      <w:r>
        <w:rPr>
          <w:rFonts w:ascii="Arial" w:cs="Arial" w:eastAsia="Arial" w:hAnsi="Arial"/>
          <w:sz w:val="16"/>
          <w:szCs w:val="16"/>
          <w:color w:val="auto"/>
        </w:rPr>
        <w:t>. We also earn revenue from a variety of display-based advertising placements on our websites through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advertising partners can promote their brands in a contextually-relevant manner. While our display-based advertising clients include direct suppliers in the hotel, airline and cruise categories and online travel agencies, we have also broadened our advertiser base to include destination marketing organizations, casinos, resorts and attractions, as well as advertisers from non-travel categories. We generally sell our display-based advertising on a cost per thousand impressions, or CPM, basis. Our display-based advertising products also include a number of custom-built products including the sponsorship of certain site features and functionality, as well as certain customized co-branded features.</w:t>
      </w:r>
    </w:p>
    <w:p>
      <w:pPr>
        <w:spacing w:after="0" w:line="39" w:lineRule="exact"/>
        <w:rPr>
          <w:rFonts w:ascii="Arial" w:cs="Arial" w:eastAsia="Arial" w:hAnsi="Arial"/>
          <w:sz w:val="16"/>
          <w:szCs w:val="16"/>
          <w:color w:val="auto"/>
        </w:rPr>
      </w:pPr>
    </w:p>
    <w:p>
      <w:pPr>
        <w:ind w:left="900" w:right="20" w:hanging="325"/>
        <w:spacing w:after="0" w:line="25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Subscription-Based, Transaction and Other Revenue</w:t>
      </w:r>
      <w:r>
        <w:rPr>
          <w:rFonts w:ascii="Arial" w:cs="Arial" w:eastAsia="Arial" w:hAnsi="Arial"/>
          <w:sz w:val="18"/>
          <w:szCs w:val="18"/>
          <w:color w:val="auto"/>
        </w:rPr>
        <w:t>. We also offer advertising via a subscription model that is sold for a flat fee per time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Managed by our Trip for Business division, this advertising product, Business Listings, is currently offered to hotels, B&amp;Bs and other specialty lodging properties and allows subscribers to list a website URL, email address and phone number on TripAdvisor-branded websites as well as to post special offers for travelers. Our Vacation Rentals division allows individual vacation property owners or managers to pay a subscription fee to list properties on our Holiday Lettings and FlipKey websites, as well as on select TripAdvisor-branded websites. Other sources of revenue include selling discounted hotel room nights and coupons on our flash sale website, SniqueAway, transactions via our Tingo website and licensing our content to third-party sites.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financial results are dependent on our ability to drive our click-based advertising revenue and continue to invest in areas of potential growth, including our social, mobile and global initiatives as well as our subscription-based businesses, which include vacation rentals and business listings, and our transaction – based businesses, which include SniqueAway and Tingo. We have leveraged our position as the largest online travel company to become a critical partner for online advertisers – including hotels, online travel agencies and other travel-related service providers – by providing our customers with access to our large audience of highly-qualified, highly-engaged users. The key drivers of our click-based advertising revenue are described below, as well as a summary of our key growth areas and the current trends impacting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Drivers of Click-Based Advertising Revenue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the three and nine months ended September 30, 2012, respectively, 79% and 78% of our total revenue came from our core cost-per-click, or CPC, based lead generation product. For the three and nine months ended September 30, 2011, respectively, 81% and 80% of our total revenue came from our core cost-per-click, or CPC, based lead generation product. Revenues derived from CPC based lead generation represented 79% of our total revenue for the year ending December 31, 2011. The key drivers of our click-based advertising revenue include the growth in hotel shoppers, user conversion and lead pricing. Total traffic growth, or growth in monthly visits from unique IP addresses is reflective of our overall brand growth. We continue to refine our ability to track and analyze sub-segments of traffic and its correlation to revenue generation and we believe that hotel shoppers are a more useful indicator of revenue growth. We use the term “hotel shoppers” to refer to users who view a listing of hotels in a city or visitors who view a specific hotel page.</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After hotel shoppers, the second driver of our business is user conversion, which is a measure of how many hotel shoppers ultimately click on a CPC link that generates revenue for us. User conversion on our site is primarily driven by three factors: merchandising, commerce coverage and choice. We think of merchandising as the number and location of ads that are available on a page; commerce coverage is whether we have a client who can take an online booking for a particular property; and choice is the number of clients available for any given property, allowing the user to shop for the best price. In summary, our CPC revenue depends on the number of hotel shoppers that we can get interested in a property, whether there is a commerce link available for that hotel shopper to click on for that property and whether there are several commerce choices available for that property, so the hotel shopper can shop around. The other key driver that we look at is the CPC price that online travel agencies and hoteliers are willing to pay us for our leads.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Growth Areas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continue to invest in areas of potential growth, including our social, mobile and global initiatives as well as our subscription-based businesses, which include vacation rentals and business listings.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Social</w:t>
      </w:r>
      <w:r>
        <w:rPr>
          <w:rFonts w:ascii="Arial" w:cs="Arial" w:eastAsia="Arial" w:hAnsi="Arial"/>
          <w:sz w:val="16"/>
          <w:szCs w:val="16"/>
          <w:color w:val="auto"/>
        </w:rPr>
        <w:t>. Our Wisdom of Friends initiative is a core component of our strategic growth plan; 76% of respondents to a recent Nielsen study cited</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“recommendations from people I know” as the information source that they trust most. We believe that having a strong social presence drives traffic to and engagement on our sites and improves the sites’ “stickiness” amongst the users. As a result, we continue to deepen our integration with Facebook’s Friend Graph. As of September 30, 2012, and according to AppData, an independent application tracking traffic service, TripAdvisor has averaged more than 34 million monthly Facebook users via it’s TripAdvisor Facebook application id. We offer these Facebook users a personalized and social travel planning experience that enables travelers to engage first with their own Facebook friends’ reviews and opinions when planning their perfect trip on TripAdvisor.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i w:val="1"/>
          <w:iCs w:val="1"/>
          <w:color w:val="auto"/>
        </w:rPr>
        <w:t>Mobile</w:t>
      </w:r>
      <w:r>
        <w:rPr>
          <w:rFonts w:ascii="Arial" w:cs="Arial" w:eastAsia="Arial" w:hAnsi="Arial"/>
          <w:sz w:val="15"/>
          <w:szCs w:val="15"/>
          <w:color w:val="auto"/>
        </w:rPr>
        <w:t>. Mobile is an investment area that is geared towards creating a more complete user experience by reinforcing the TripAdvisor brand when users are</w:t>
      </w:r>
      <w:r>
        <w:rPr>
          <w:rFonts w:ascii="Arial" w:cs="Arial" w:eastAsia="Arial" w:hAnsi="Arial"/>
          <w:sz w:val="15"/>
          <w:szCs w:val="15"/>
          <w:i w:val="1"/>
          <w:iCs w:val="1"/>
          <w:color w:val="auto"/>
        </w:rPr>
        <w:t xml:space="preserve"> </w:t>
      </w:r>
      <w:r>
        <w:rPr>
          <w:rFonts w:ascii="Arial" w:cs="Arial" w:eastAsia="Arial" w:hAnsi="Arial"/>
          <w:sz w:val="15"/>
          <w:szCs w:val="15"/>
          <w:color w:val="auto"/>
        </w:rPr>
        <w:t>in-market. In the year ended December 31, 2011, we saw strong user uptake, reaching an aggregate of 13 million mobile downloads and approximately 16 million monthly unique users, as measured by our own log files, and as of September 30, 2012, we reached over 26 million mobile downloads of our TripAdvisor, City Guides, and SeatGuru apps and averaged more than 35 million monthly unique users, as measured by our own log files. We believe that mobile devices, including smartphones and tablet devices, are increasingly used when travelers begin to plan trips. In order to capture an increasing percentage of these users, we have designed our mobile product to be user-friendly and have chosen not to monetize that platform to its full potential at this time. We expect the long-term benefits of a more engaged mobile audience to outweigh the short-term revenue that we could generate from, for example, an increased number of advertisements.</w:t>
      </w:r>
    </w:p>
    <w:p>
      <w:pPr>
        <w:spacing w:after="0" w:line="10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Vacation Rentals</w:t>
      </w:r>
      <w:r>
        <w:rPr>
          <w:rFonts w:ascii="Arial" w:cs="Arial" w:eastAsia="Arial" w:hAnsi="Arial"/>
          <w:sz w:val="16"/>
          <w:szCs w:val="16"/>
          <w:color w:val="auto"/>
        </w:rPr>
        <w:t>. This product addresses a highly-fragmented $85 billion per-year industry, according to a 2010 Radius Global Market study. Historically,</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built our supply content through acquisitions, namely our U.S.-based FlipKey and U.K.-based Holiday Lettings businesses, but during the fourth quarter of 2011 we announced partnerships aimed at increasing our supply content. We believe that our nearly 200,000 properties, as of December 31, 2011, and our highly-engaged and motivated community, position us extremely well for success.</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Business Listings</w:t>
      </w:r>
      <w:r>
        <w:rPr>
          <w:rFonts w:ascii="Arial" w:cs="Arial" w:eastAsia="Arial" w:hAnsi="Arial"/>
          <w:sz w:val="16"/>
          <w:szCs w:val="16"/>
          <w:color w:val="auto"/>
        </w:rPr>
        <w:t>. This product was created in early 2010 to allow hotel and accommodation owners to list pertinent information on TripAdvisor, bringing</w:t>
      </w:r>
      <w:r>
        <w:rPr>
          <w:rFonts w:ascii="Arial" w:cs="Arial" w:eastAsia="Arial" w:hAnsi="Arial"/>
          <w:sz w:val="16"/>
          <w:szCs w:val="16"/>
          <w:i w:val="1"/>
          <w:iCs w:val="1"/>
          <w:color w:val="auto"/>
        </w:rPr>
        <w:t xml:space="preserve"> </w:t>
      </w:r>
      <w:r>
        <w:rPr>
          <w:rFonts w:ascii="Arial" w:cs="Arial" w:eastAsia="Arial" w:hAnsi="Arial"/>
          <w:sz w:val="16"/>
          <w:szCs w:val="16"/>
          <w:color w:val="auto"/>
        </w:rPr>
        <w:t>them closer to the traveler and thereby increasing direct bookings. In the year ended December 31, 2011, we saw nearly 80% subscriber growth, reaching our approximately 35,000 Business Listing customers by the end of the year, which is still only around 6% of our current hotel listings on our TripAdvisor branded sites. We continue to expand our sales force and improve features to attract additional customers from our installed base.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Trends Affecting Our Business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Increasing Competition. </w:t>
      </w:r>
      <w:r>
        <w:rPr>
          <w:rFonts w:ascii="Arial" w:cs="Arial" w:eastAsia="Arial" w:hAnsi="Arial"/>
          <w:sz w:val="16"/>
          <w:szCs w:val="16"/>
          <w:color w:val="auto"/>
        </w:rPr>
        <w:t>The travel review industry and, more generally, the business of collecting and aggregating travel-related resources and</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have become increasingly competitive. In recent years, an increasing number of companies, such as search companies Google Inc. and Baidu.com, Inc. and several large online travel agencies, have begun to collect and aggregate travel information and resources. We plan to continue to invest in order to remain the leading source of travel reviews as well as continuing to enhance our content and user experience.</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Increasing Use of Internet and Social Media to Access Travel Information. </w:t>
      </w:r>
      <w:r>
        <w:rPr>
          <w:rFonts w:ascii="Arial" w:cs="Arial" w:eastAsia="Arial" w:hAnsi="Arial"/>
          <w:sz w:val="18"/>
          <w:szCs w:val="18"/>
          <w:color w:val="auto"/>
        </w:rPr>
        <w:t>Commerce, information and advertising continue to migrate to the Internet and</w:t>
      </w:r>
      <w:r>
        <w:rPr>
          <w:rFonts w:ascii="Arial" w:cs="Arial" w:eastAsia="Arial" w:hAnsi="Arial"/>
          <w:sz w:val="18"/>
          <w:szCs w:val="18"/>
          <w:i w:val="1"/>
          <w:iCs w:val="1"/>
          <w:color w:val="auto"/>
        </w:rPr>
        <w:t xml:space="preserve"> </w:t>
      </w:r>
      <w:r>
        <w:rPr>
          <w:rFonts w:ascii="Arial" w:cs="Arial" w:eastAsia="Arial" w:hAnsi="Arial"/>
          <w:sz w:val="18"/>
          <w:szCs w:val="18"/>
          <w:color w:val="auto"/>
        </w:rPr>
        <w:t>away from traditional media outlets. We believe that this trend will create strategic growth opportunities, allowing us to attract new consumers and develop unique and effective advertising solutions. Consumers are increasingly using online social media, such as Facebook, as a means to communicate and exchange information, including travel information and opinions. We have made significant efforts related to social networking in order to leverage the expanding use of this channel and enhance traffic diversification and user engagement.</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Increasing Mobile Usage. </w:t>
      </w:r>
      <w:r>
        <w:rPr>
          <w:rFonts w:ascii="Arial" w:cs="Arial" w:eastAsia="Arial" w:hAnsi="Arial"/>
          <w:sz w:val="16"/>
          <w:szCs w:val="16"/>
          <w:color w:val="auto"/>
        </w:rPr>
        <w:t>Consumers are increasingly using mobile and tablet computing devices to access the Internet. To address these demands, we</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to extend the platform to develop mobile and tablet applications to allow greater access to our travel information and resources. Although the substantial majority of our mobile users also access and engage with our websites on personal computers where we display advertising, our users could decide to increasingly access our products primarily through mobile devices. Historically we have not displayed graphic advertising on smartphones and our mobile monetization strategies are still developing. Improvement of our mobile offerings is a key company priority which we believe is critical to help us maintain and grow our user base and engagement over the long term and we will continue to invest and innovate in this growing platform.</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Click-Based Advertising Revenue. </w:t>
      </w:r>
      <w:r>
        <w:rPr>
          <w:rFonts w:ascii="Arial" w:cs="Arial" w:eastAsia="Arial" w:hAnsi="Arial"/>
          <w:sz w:val="16"/>
          <w:szCs w:val="16"/>
          <w:color w:val="auto"/>
        </w:rPr>
        <w:t>In recent years, the majority of our revenue growth resulted from higher click-based advertising revenue due to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traffic on our websites, an increase in the volume of clicks on advertisers’ placements, and, in 2011, an increase in the average CPC price. Although click-based advertising revenue growth has generally been driven by traffic volume, we remain focused on the various factors that could impact revenue growth, including, but not limited to, the growth in hotel shoppers, CPC pricing fluctuations, the overall economy, the ability of advertisers to monetize our traffic, the quality and mix of traffic to our websites, and the quality and mix of traffic from our advertising placements to advertisers, as well as advertisers’ evolving approach to transaction attribution models and return on investment targets. We monitor and regularly respond to changes in these factors in order to strategically improve our user experience, customer satisfaction and monetization in this dynamic environment.</w:t>
      </w:r>
    </w:p>
    <w:p>
      <w:pPr>
        <w:spacing w:after="0" w:line="118"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i w:val="1"/>
          <w:iCs w:val="1"/>
          <w:color w:val="auto"/>
        </w:rPr>
        <w:t xml:space="preserve">Global Economic Conditions. </w:t>
      </w:r>
      <w:r>
        <w:rPr>
          <w:rFonts w:ascii="Arial" w:cs="Arial" w:eastAsia="Arial" w:hAnsi="Arial"/>
          <w:sz w:val="15"/>
          <w:szCs w:val="15"/>
          <w:color w:val="auto"/>
        </w:rPr>
        <w:t>In late 2008 and throughout 2009, weak global economic conditions created uncertainty for travelers and suppliers, and put</w:t>
      </w:r>
      <w:r>
        <w:rPr>
          <w:rFonts w:ascii="Arial" w:cs="Arial" w:eastAsia="Arial" w:hAnsi="Arial"/>
          <w:sz w:val="15"/>
          <w:szCs w:val="15"/>
          <w:i w:val="1"/>
          <w:iCs w:val="1"/>
          <w:color w:val="auto"/>
        </w:rPr>
        <w:t xml:space="preserve"> </w:t>
      </w:r>
      <w:r>
        <w:rPr>
          <w:rFonts w:ascii="Arial" w:cs="Arial" w:eastAsia="Arial" w:hAnsi="Arial"/>
          <w:sz w:val="15"/>
          <w:szCs w:val="15"/>
          <w:color w:val="auto"/>
        </w:rPr>
        <w:t>pressure on discretionary spending on travel and advertising. As a result, our revenue growth slowed in 2009, with a corresponding pull back in sales and marketing and a reduction in general and administrative expenses. Since 2010 the travel industry has been gradually improving. However, global economic conditions remain uncertain, and in particular, we anticipate travel expenditures in Europe to continue to be adversely effected by the economic issues overseas.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 expanding our global reach, we leverage significant investments in technology, operations, brand-building, and advertiser and other partner relationships. For example, we are able to aggregate a large base of consumer reviews, in a variety of languages, across our global core platform. We expect to continue leveraging this investment when launching additional points of sale in new countries, introducing new product features and adding new business model offerings.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Investment in Technology. </w:t>
      </w:r>
      <w:r>
        <w:rPr>
          <w:rFonts w:ascii="Arial" w:cs="Arial" w:eastAsia="Arial" w:hAnsi="Arial"/>
          <w:sz w:val="16"/>
          <w:szCs w:val="16"/>
          <w:color w:val="auto"/>
        </w:rPr>
        <w:t>We believe that our ability to continue to innovate by providing additional functionality to our main Internet sites, while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 same time extending that functionality to various platforms such as mobile and tablets, will enable us to continue providing an industry-leading user experience. We have a strong culture of speed-to-market with our innovations. By innovating and releasing updates quickly, we believe that we can continue to grow our site visitors and over 75 million reviews and opinions, increase revenue and effectively compete with our competitors.</w:t>
      </w:r>
    </w:p>
    <w:p>
      <w:pPr>
        <w:spacing w:after="0" w:line="31" w:lineRule="exact"/>
        <w:rPr>
          <w:rFonts w:ascii="Arial" w:cs="Arial" w:eastAsia="Arial" w:hAnsi="Arial"/>
          <w:sz w:val="16"/>
          <w:szCs w:val="16"/>
          <w:color w:val="auto"/>
        </w:rPr>
      </w:pPr>
    </w:p>
    <w:p>
      <w:pPr>
        <w:ind w:left="900" w:hanging="325"/>
        <w:spacing w:after="0" w:line="294"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New Social Sharing Tools</w:t>
      </w:r>
      <w:r>
        <w:rPr>
          <w:rFonts w:ascii="Arial" w:cs="Arial" w:eastAsia="Arial" w:hAnsi="Arial"/>
          <w:sz w:val="16"/>
          <w:szCs w:val="16"/>
          <w:color w:val="auto"/>
        </w:rPr>
        <w:t>. We intend to continue to expand our social integration and member acquisition efforts with social media,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Facebook, Twitter and other social sharing platforms. We believe that this integration will be critical to continuing to grow and maintain engagement with our user base and increase our content. For example, by tapping into Facebook’s rich social data, TripAdvisor connects users to their friends and shares helpful content about where their friends have traveled and where they would like to visit in the future. While on the TripAdvisor website, friends can discuss their travel plans and recommendations and build out personal profiles of places they have been.</w:t>
      </w:r>
    </w:p>
    <w:p>
      <w:pPr>
        <w:spacing w:after="0" w:line="34" w:lineRule="exact"/>
        <w:rPr>
          <w:rFonts w:ascii="Arial" w:cs="Arial" w:eastAsia="Arial" w:hAnsi="Arial"/>
          <w:sz w:val="16"/>
          <w:szCs w:val="16"/>
          <w:color w:val="auto"/>
        </w:rPr>
      </w:pPr>
    </w:p>
    <w:p>
      <w:pPr>
        <w:ind w:left="900" w:hanging="325"/>
        <w:spacing w:after="0" w:line="294"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Investment in Search Engine Marketing</w:t>
      </w:r>
      <w:r>
        <w:rPr>
          <w:rFonts w:ascii="Arial" w:cs="Arial" w:eastAsia="Arial" w:hAnsi="Arial"/>
          <w:sz w:val="16"/>
          <w:szCs w:val="16"/>
          <w:color w:val="auto"/>
        </w:rPr>
        <w:t>. One of the ways that we look to penetrate new markets is to leverage our expertise in search engine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or SEM. SEM is a form of Internet marketing that involves the promotion of websites by increasing their visibility in search engine results pages through the use of paid placement, contextual advertising, and paid inclusion. In certain markets we may bid on keywords to break even or at a loss in order to drive traffic, build our brand, gain more users to our product, collect content and scale more quickly. We think SEM is an important channel because it delivers a significant number of brand impressions and can be a cost-effective method to get people to try our sites.</w:t>
      </w:r>
    </w:p>
    <w:p>
      <w:pPr>
        <w:spacing w:after="0" w:line="34" w:lineRule="exact"/>
        <w:rPr>
          <w:rFonts w:ascii="Arial" w:cs="Arial" w:eastAsia="Arial" w:hAnsi="Arial"/>
          <w:sz w:val="16"/>
          <w:szCs w:val="16"/>
          <w:color w:val="auto"/>
        </w:rPr>
      </w:pPr>
    </w:p>
    <w:p>
      <w:pPr>
        <w:ind w:left="900" w:hanging="325"/>
        <w:spacing w:after="0" w:line="25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International Expansion</w:t>
      </w:r>
      <w:r>
        <w:rPr>
          <w:rFonts w:ascii="Arial" w:cs="Arial" w:eastAsia="Arial" w:hAnsi="Arial"/>
          <w:sz w:val="18"/>
          <w:szCs w:val="18"/>
          <w:color w:val="auto"/>
        </w:rPr>
        <w:t>. We are focused on expanding our footprint globally. We are continuing to expand in Europe, Asia and South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especially in emerging markets, such as Brazil, Russia, India and China. During 2011, we added new points-of-sale in Taiwan, Malaysia and Egypt, bringing our total TripAdvisor-branded websites to 30 countries and 21 languages. These and the other newer sites in Asia-Pacific represent a longer-term opportunity for us. We believe that China represents a large international opportunity for our business. We currently have two lead product offerings in the Chinese market—DaoDao and Kuxun—both headquartered in Beijing. We continue to invest heavily and operate at a loss in the Chinese market.</w:t>
      </w:r>
    </w:p>
    <w:p>
      <w:pPr>
        <w:spacing w:after="0" w:line="63" w:lineRule="exact"/>
        <w:rPr>
          <w:rFonts w:ascii="Arial" w:cs="Arial" w:eastAsia="Arial" w:hAnsi="Arial"/>
          <w:sz w:val="18"/>
          <w:szCs w:val="18"/>
          <w:color w:val="auto"/>
        </w:rPr>
      </w:pPr>
    </w:p>
    <w:p>
      <w:pPr>
        <w:ind w:left="900" w:right="28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Acquisitions </w:t>
      </w:r>
      <w:r>
        <w:rPr>
          <w:rFonts w:ascii="Arial" w:cs="Arial" w:eastAsia="Arial" w:hAnsi="Arial"/>
          <w:sz w:val="16"/>
          <w:szCs w:val="16"/>
          <w:color w:val="auto"/>
        </w:rPr>
        <w:t>. We have a history of successfully acquiring and integrating companies that expand our footprint either geographically or in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sectors that are complementary to our flagship properties. We intend to continue to seek acquisition targets.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have one reportable segment. The segment is determined based on how our chief operating decision maker manages our business, makes operating decisions and evaluates operating performance.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760" w:firstLine="913"/>
        <w:spacing w:after="0" w:line="332" w:lineRule="auto"/>
        <w:rPr>
          <w:sz w:val="20"/>
          <w:szCs w:val="20"/>
          <w:color w:val="auto"/>
        </w:rPr>
      </w:pPr>
      <w:r>
        <w:rPr>
          <w:rFonts w:ascii="Arial" w:cs="Arial" w:eastAsia="Arial" w:hAnsi="Arial"/>
          <w:sz w:val="16"/>
          <w:szCs w:val="16"/>
          <w:color w:val="auto"/>
        </w:rPr>
        <w:t>As of September 30, 2012, we had 1,483 employees. Of these employees, 874 were based in the United States. None of our employees are represented by a labor union or are subject to a collective bargaining agreement. We believe that relations with our employees are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historically being the fourth quarter. However, adverse economic conditions or continued growth of our international operations with differing holiday peaks may influence the typical trend of our seasonality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Critical accounting policies and estimates are those that we believe are important in the preparation of our consolidated and combined financial statements because they require that we use judgment and estimates in applying those policies. We prepare our consolidated and combined financial statements and accompanying notes in accordance with generally accepted accounting principles in the United States (“GAAP”). Preparation of the consolidated and combined financial statements and accompanying notes requires that we make estimates and assumptions that affect the reported amounts of assets and liabilities and the disclosure of contingent assets and liabilities as of the date of the consolidated and combined financial statements as well as revenue and expenses during the periods reported. We base our estimates on historical experience, where applicable, and other assumptions that we believe are reasonable under the circumstances. Actual results may differ from our estimates under different assumptions or conditions.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are certain critical estimates that we believe require significant judgment in the preparation of our consolidated and combined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consider an accounting estimate to be critical if:</w:t>
      </w:r>
    </w:p>
    <w:p>
      <w:pPr>
        <w:spacing w:after="0" w:line="84" w:lineRule="exact"/>
        <w:rPr>
          <w:sz w:val="20"/>
          <w:szCs w:val="20"/>
          <w:color w:val="auto"/>
        </w:rPr>
      </w:pPr>
    </w:p>
    <w:p>
      <w:pPr>
        <w:ind w:left="900" w:right="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For additional information about our critical accounting policies and estimates, see the disclosure included in our Annual Report on Form 10-K filed on March 15, 2012 for the year ended December 31, 2011 and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above in notes to consolidated and combined financial statements in this Quarterly Report on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For a discussion of new accounting pronouncements, see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in the notes to the consolidated and combined financial statements in this Quarterly Report on Form 10-Q. We are an “issuer” (as defined in Section 2(a) of the Sarbanes-Oxley Act of 2002), and, as such, are required to comply with all new and revised accounting standards applicable to public companies.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60"/>
          </w:cols>
          <w:pgMar w:left="240" w:top="459"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40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87"/>
              </w:rPr>
              <w:t>Three months ended September 30,</w:t>
            </w: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3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87"/>
              </w:rPr>
              <w:t>Nine months ended September 30,</w:t>
            </w: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120,384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325,705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Related-party revenue from Expedia</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56,875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60,417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164,203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173,560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212,710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180,801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593,573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499,265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 (exclusive of amortization) (1)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3,227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8,193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Selling and marketing(2)</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67,647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60,349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199,279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157,229</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content(2)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14,748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41,216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General and administrative(2)</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20,056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9,194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54,562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25,332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Related-party shared services fee to Expedia</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5,940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5,037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4,630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14,033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13,246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5,643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Spin-off costs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2,211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3,265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120,461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98,733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344,269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260,064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92,249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82,068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249,304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239,201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Interest (expense) income, net</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212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(8,143)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527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Total other expense, net</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(2,590)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(10,619)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(853)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79,478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238,685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238,348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(31,275)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(25,185)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(77,814)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(82,574)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54,293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160,871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155,774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TripAdvisor, Inc.</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59,360</w:t>
            </w:r>
          </w:p>
        </w:tc>
        <w:tc>
          <w:tcPr>
            <w:tcW w:w="3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54,314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160,490</w:t>
            </w:r>
          </w:p>
        </w:tc>
        <w:tc>
          <w:tcPr>
            <w:tcW w:w="3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155,656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 attributable to TripAdvisor, Inc.</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c>
          <w:tcPr>
            <w:tcW w:w="3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3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0.41</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142,342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133,461</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138,458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133,461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143,657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133,461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140,517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133,461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(3)</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107,059</w:t>
            </w:r>
          </w:p>
        </w:tc>
        <w:tc>
          <w:tcPr>
            <w:tcW w:w="3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93,340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288,169</w:t>
            </w:r>
          </w:p>
        </w:tc>
        <w:tc>
          <w:tcPr>
            <w:tcW w:w="3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267,834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(1)  Excludes amortization as follows: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acquired technology included in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3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w:t>
            </w:r>
          </w:p>
        </w:tc>
        <w:tc>
          <w:tcPr>
            <w:tcW w:w="3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396</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ind w:left="860"/>
              <w:spacing w:after="0"/>
              <w:rPr>
                <w:sz w:val="20"/>
                <w:szCs w:val="20"/>
                <w:color w:val="auto"/>
              </w:rPr>
            </w:pPr>
            <w:r>
              <w:rPr>
                <w:rFonts w:ascii="Arial" w:cs="Arial" w:eastAsia="Arial" w:hAnsi="Arial"/>
                <w:sz w:val="18"/>
                <w:szCs w:val="18"/>
                <w:color w:val="auto"/>
                <w:w w:val="94"/>
              </w:rPr>
              <w:t>Amortization of website development costs included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1060"/>
              <w:spacing w:after="0"/>
              <w:rPr>
                <w:sz w:val="20"/>
                <w:szCs w:val="20"/>
                <w:color w:val="auto"/>
              </w:rPr>
            </w:pPr>
            <w:r>
              <w:rPr>
                <w:rFonts w:ascii="Arial" w:cs="Arial" w:eastAsia="Arial" w:hAnsi="Arial"/>
                <w:sz w:val="18"/>
                <w:szCs w:val="18"/>
                <w:color w:val="auto"/>
              </w:rPr>
              <w:t>in depreciation</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3,197</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8,923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8,920</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3,414</w:t>
            </w:r>
          </w:p>
        </w:tc>
        <w:tc>
          <w:tcPr>
            <w:tcW w:w="3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3,268</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9,470</w:t>
            </w:r>
          </w:p>
        </w:tc>
        <w:tc>
          <w:tcPr>
            <w:tcW w:w="3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9,316</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(2)  Includes stock-based compensation as follows: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Selling and marketing</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1,184</w:t>
            </w:r>
          </w:p>
        </w:tc>
        <w:tc>
          <w:tcPr>
            <w:tcW w:w="3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3,185</w:t>
            </w:r>
          </w:p>
        </w:tc>
        <w:tc>
          <w:tcPr>
            <w:tcW w:w="3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1,962</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60"/>
              <w:spacing w:after="0"/>
              <w:rPr>
                <w:sz w:val="20"/>
                <w:szCs w:val="20"/>
                <w:color w:val="auto"/>
              </w:rPr>
            </w:pPr>
            <w:r>
              <w:rPr>
                <w:rFonts w:ascii="Arial" w:cs="Arial" w:eastAsia="Arial" w:hAnsi="Arial"/>
                <w:sz w:val="18"/>
                <w:szCs w:val="18"/>
                <w:color w:val="auto"/>
              </w:rPr>
              <w:t>Technology and content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750</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2,277</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719</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2,240</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38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“Adjusted EBITDA” below for more information and for a reconciliation of Adjusted EBITDA to operating income, the most directly comparable financial measure calculated and presented in accordance with GAAP.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in our Quarterly Report on Form 10-Q, a non-GAAP financial measure. We have provided reconciliations below of Adjusted EBITDA to operating income, the most directly comparable 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define “Adjusted EBITDA” as operating income (loss), excluding depreciation of property and equipment, which includes internal use software and website development, amortization of intangible assets, stock-based compensation and non-recurring expenses incurred to effect the Spin-Off from Expedia during the year ended December 31, 2011. Adjusted EBITDA is the primary metric by which management evaluates the performance of its business and on which internal budgets are based. In particular, the exclusion of certain expenses in calculating Adjusted EBITDA facilitates operating performance comparisons on a period-to-period basis. Adjusted EBITDA eliminates items that are either not part of our core operations such as the costs incurred to spin-off from Expedia or those costs that do not require a cash outlay, such as stock-based compensation. Adjusted EBITDA also excludes depreciation and amortization expense, which is based on our estimates of the useful life of tangible and intangible assets. These estimates could vary from actual performance of the asset, are based on historical costs and other factors and may not be indicative of current or future capital expenditures. We believe that by excluding certain items, such as stock-based compensation and non-recurring expenses, Adjusted EBITDA corresponds more closely to the cash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Some of these limitations are:</w:t>
      </w:r>
    </w:p>
    <w:p>
      <w:pPr>
        <w:spacing w:after="0" w:line="5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stock-based compensation;</w:t>
      </w:r>
    </w:p>
    <w:p>
      <w:pPr>
        <w:spacing w:after="0" w:line="90" w:lineRule="exact"/>
        <w:rPr>
          <w:rFonts w:ascii="Arial" w:cs="Arial" w:eastAsia="Arial" w:hAnsi="Arial"/>
          <w:sz w:val="18"/>
          <w:szCs w:val="18"/>
          <w:color w:val="auto"/>
        </w:rPr>
      </w:pPr>
    </w:p>
    <w:p>
      <w:pPr>
        <w:ind w:left="900" w:right="120" w:hanging="325"/>
        <w:spacing w:after="0" w:line="357"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ind w:left="900" w:right="4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and our other GAAP results.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reconciliation of Adjusted EBITDA to operating income for the periods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1"/>
              </w:rPr>
              <w:t>Three months ended</w:t>
            </w:r>
          </w:p>
        </w:tc>
        <w:tc>
          <w:tcPr>
            <w:tcW w:w="17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107,059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$93,340</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$288,169</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$267,834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Depreciation (1)</w:t>
            </w:r>
          </w:p>
        </w:tc>
        <w:tc>
          <w:tcPr>
            <w:tcW w:w="8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(5,037)</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(4,630)</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(14,033)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(13,246)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OIBA (2)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102,022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88,710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274,136</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254,588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(1,310)</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(2,394)</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(4,909)</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(8,463)</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(2,037)</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(19,923)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Spin-off costs</w:t>
            </w: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(2,211)</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92,249</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82,068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249,304</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239,201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internal use software and website development.</w:t>
      </w:r>
    </w:p>
    <w:p>
      <w:pPr>
        <w:spacing w:after="0" w:line="15" w:lineRule="exact"/>
        <w:rPr>
          <w:rFonts w:ascii="Arial" w:cs="Arial" w:eastAsia="Arial" w:hAnsi="Arial"/>
          <w:sz w:val="18"/>
          <w:szCs w:val="18"/>
          <w:color w:val="auto"/>
        </w:rPr>
      </w:pPr>
    </w:p>
    <w:p>
      <w:pPr>
        <w:ind w:left="460" w:right="40" w:hanging="452"/>
        <w:spacing w:after="0" w:line="29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primary operating metric prior to the Spin-Off for evaluating operating performance was Operating Income Before Amortization, or OIBA, as reported on our Form S-4 filed with the SEC on November 1, 2011. OIBA is defined as operating income plus: (1) amortization of intangible assets and any related impairment; (2) stock-based compensation expense; and (3) non-recurring expenses incurred to effect the Spin-Off during the year ended December 31, 2011. This operating metric is no longer being used by our management to measure operating performance and is only being shown above to illustrate the financial impact of our conversion to a new operating metric post Spin-Off.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reclassifications have been made to conform the prior period’s data to the current format.</w:t>
      </w:r>
    </w:p>
    <w:p>
      <w:pPr>
        <w:spacing w:after="0" w:line="171"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Our management has changed the non-GAAP financial measure that we use to measure our operating performance from OIBA to Adjusted EBITDA. Consequently we have reclassified depreciation expense, which previously had resided in technology and content expense and general and administrative expense, and have presented it as a separate line item on the consolidated and combined statement of operations. This reclassification had no net effect on either total operating expenses or total operating income for any period. The table below provides a reconciliation of that reclassification for the periods presented.</w:t>
      </w:r>
    </w:p>
    <w:p>
      <w:pPr>
        <w:spacing w:after="0" w:line="12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Three months</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Nine months</w:t>
            </w:r>
          </w:p>
        </w:tc>
      </w:tr>
      <w:tr>
        <w:trPr>
          <w:trHeight w:val="149"/>
        </w:trPr>
        <w:tc>
          <w:tcPr>
            <w:tcW w:w="5060" w:type="dxa"/>
            <w:vAlign w:val="bottom"/>
          </w:tcPr>
          <w:p>
            <w:pPr>
              <w:spacing w:after="0"/>
              <w:rPr>
                <w:sz w:val="12"/>
                <w:szCs w:val="12"/>
                <w:color w:val="auto"/>
              </w:rPr>
            </w:pP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0"/>
              </w:rPr>
              <w:t>ended September 30,</w:t>
            </w:r>
          </w:p>
        </w:tc>
        <w:tc>
          <w:tcPr>
            <w:tcW w:w="2320" w:type="dxa"/>
            <w:vAlign w:val="bottom"/>
            <w:gridSpan w:val="4"/>
          </w:tcPr>
          <w:p>
            <w:pPr>
              <w:ind w:left="1020"/>
              <w:spacing w:after="0" w:line="149" w:lineRule="exact"/>
              <w:rPr>
                <w:sz w:val="20"/>
                <w:szCs w:val="20"/>
                <w:color w:val="auto"/>
              </w:rPr>
            </w:pPr>
            <w:r>
              <w:rPr>
                <w:rFonts w:ascii="Arial" w:cs="Arial" w:eastAsia="Arial" w:hAnsi="Arial"/>
                <w:sz w:val="14"/>
                <w:szCs w:val="14"/>
                <w:b w:val="1"/>
                <w:bCs w:val="1"/>
                <w:color w:val="auto"/>
                <w:w w:val="90"/>
              </w:rPr>
              <w:t>ended September 30,</w:t>
            </w:r>
          </w:p>
        </w:tc>
      </w:tr>
      <w:tr>
        <w:trPr>
          <w:trHeight w:val="161"/>
        </w:trPr>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13,246</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Technology and content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(3,658)</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(10,627)</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(972)</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(2,619)</w:t>
            </w:r>
          </w:p>
        </w:tc>
      </w:tr>
      <w:tr>
        <w:trPr>
          <w:trHeight w:val="20"/>
        </w:trPr>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060" w:type="dxa"/>
            <w:vAlign w:val="bottom"/>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5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derive substantially all of our revenue through the sale of advertising, primarily through click-based advertising and, to a lesser extent, display-based advertising. In addition, we earn revenue through a combination of subscription-based offerings, transaction revenue from our flash sale website, SniqueAway, our recently-launched hotel booking site, Tingo, and other revenue including content licensing.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7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0"/>
              </w:rPr>
              <w:t>Three months ended September 30,</w:t>
            </w: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8"/>
              </w:rPr>
              <w:t>% Change</w:t>
            </w:r>
          </w:p>
        </w:tc>
        <w:tc>
          <w:tcPr>
            <w:tcW w:w="120" w:type="dxa"/>
            <w:vAlign w:val="bottom"/>
          </w:tcPr>
          <w:p>
            <w:pPr>
              <w:spacing w:after="0"/>
              <w:rPr>
                <w:sz w:val="14"/>
                <w:szCs w:val="14"/>
                <w:color w:val="auto"/>
              </w:rPr>
            </w:pPr>
          </w:p>
        </w:tc>
        <w:tc>
          <w:tcPr>
            <w:tcW w:w="212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w w:val="85"/>
              </w:rPr>
              <w:t>Nine months ended September 30,</w:t>
            </w:r>
          </w:p>
        </w:tc>
        <w:tc>
          <w:tcPr>
            <w:tcW w:w="420" w:type="dxa"/>
            <w:vAlign w:val="bottom"/>
          </w:tcPr>
          <w:p>
            <w:pPr>
              <w:spacing w:after="0"/>
              <w:rPr>
                <w:sz w:val="14"/>
                <w:szCs w:val="14"/>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right"/>
              <w:ind w:right="23"/>
              <w:spacing w:after="0" w:line="142" w:lineRule="exact"/>
              <w:rPr>
                <w:sz w:val="20"/>
                <w:szCs w:val="20"/>
                <w:color w:val="auto"/>
              </w:rPr>
            </w:pPr>
            <w:r>
              <w:rPr>
                <w:rFonts w:ascii="Arial" w:cs="Arial" w:eastAsia="Arial" w:hAnsi="Arial"/>
                <w:sz w:val="14"/>
                <w:szCs w:val="14"/>
                <w:b w:val="1"/>
                <w:bCs w:val="1"/>
                <w:color w:val="auto"/>
              </w:rPr>
              <w:t>($ in millions)</w:t>
            </w:r>
          </w:p>
        </w:tc>
        <w:tc>
          <w:tcPr>
            <w:tcW w:w="6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 in millions)</w:t>
            </w:r>
          </w:p>
        </w:tc>
        <w:tc>
          <w:tcPr>
            <w:tcW w:w="6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Click-based advertising</w:t>
            </w: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146</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Display-based advertising</w:t>
            </w:r>
          </w:p>
        </w:tc>
        <w:tc>
          <w:tcPr>
            <w:tcW w:w="5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21</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Subscription, transaction and other</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440"/>
              <w:spacing w:after="0"/>
              <w:rPr>
                <w:sz w:val="20"/>
                <w:szCs w:val="20"/>
                <w:color w:val="auto"/>
              </w:rPr>
            </w:pPr>
            <w:r>
              <w:rPr>
                <w:rFonts w:ascii="Arial" w:cs="Arial" w:eastAsia="Arial" w:hAnsi="Arial"/>
                <w:sz w:val="18"/>
                <w:szCs w:val="18"/>
                <w:color w:val="auto"/>
              </w:rPr>
              <w:t>Total revenue</w:t>
            </w: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222"/>
        </w:trPr>
        <w:tc>
          <w:tcPr>
            <w:tcW w:w="4080" w:type="dxa"/>
            <w:vAlign w:val="bottom"/>
            <w:vMerge w:val="continue"/>
          </w:tcPr>
          <w:p>
            <w:pPr>
              <w:spacing w:after="0"/>
              <w:rPr>
                <w:sz w:val="19"/>
                <w:szCs w:val="19"/>
                <w:color w:val="auto"/>
              </w:rPr>
            </w:pPr>
          </w:p>
        </w:tc>
        <w:tc>
          <w:tcPr>
            <w:tcW w:w="560" w:type="dxa"/>
            <w:vAlign w:val="bottom"/>
          </w:tcPr>
          <w:p>
            <w:pPr>
              <w:jc w:val="right"/>
              <w:ind w:right="408"/>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213</w:t>
            </w:r>
          </w:p>
        </w:tc>
        <w:tc>
          <w:tcPr>
            <w:tcW w:w="58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181</w:t>
            </w:r>
          </w:p>
        </w:tc>
        <w:tc>
          <w:tcPr>
            <w:tcW w:w="114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594</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499</w:t>
            </w:r>
          </w:p>
        </w:tc>
        <w:tc>
          <w:tcPr>
            <w:tcW w:w="12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Revenue increased $32 million and $94 million during the three and nine months ended September 30, 2012, respectively, when compared to the same period in 2011, primarily due to an increase in click-based advertising revenue of $22 million and $64 million, respectively. The primary driver of the increase in click-based advertising revenue was an increase in hotel shoppers during the three and nine months ended September 30, 2012 when compared to the same period in 2011, of approximately 30%, partially offset during the three and nine months ended September 30, 2012 by lower clicks per hotel shopper due to our site redesign in the third quarter of 2011, lower hotel shopper volume during the Olympics, and lower revenue per click. Subscription, transaction and other revenue increased by $7 million and $22 million in the three and nine months ended September 30, 2012, respectively, primarily due to growth in Business Listings.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product revenue discussion above, related-party revenue from Expedia, which consists primarily of click-based advertising,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5"/>
              </w:rPr>
              <w:t>Three months ended September 30,</w:t>
            </w: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5"/>
              </w:rPr>
              <w:t>% Change</w:t>
            </w:r>
          </w:p>
        </w:tc>
        <w:tc>
          <w:tcPr>
            <w:tcW w:w="100" w:type="dxa"/>
            <w:vAlign w:val="bottom"/>
          </w:tcPr>
          <w:p>
            <w:pPr>
              <w:spacing w:after="0"/>
              <w:rPr>
                <w:sz w:val="14"/>
                <w:szCs w:val="14"/>
                <w:color w:val="auto"/>
              </w:rPr>
            </w:pPr>
          </w:p>
        </w:tc>
        <w:tc>
          <w:tcPr>
            <w:tcW w:w="26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5"/>
              </w:rPr>
              <w:t>Nine months ended September 30,</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604"/>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584"/>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center"/>
              <w:ind w:left="444"/>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center"/>
              <w:ind w:left="444"/>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Related party revenue from Expedia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44"/>
              <w:spacing w:after="0"/>
              <w:rPr>
                <w:sz w:val="20"/>
                <w:szCs w:val="20"/>
                <w:color w:val="auto"/>
              </w:rPr>
            </w:pPr>
            <w:r>
              <w:rPr>
                <w:rFonts w:ascii="Arial" w:cs="Arial" w:eastAsia="Arial" w:hAnsi="Arial"/>
                <w:sz w:val="18"/>
                <w:szCs w:val="18"/>
                <w:color w:val="auto"/>
              </w:rPr>
              <w:t>57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44"/>
              <w:spacing w:after="0"/>
              <w:rPr>
                <w:sz w:val="20"/>
                <w:szCs w:val="20"/>
                <w:color w:val="auto"/>
              </w:rPr>
            </w:pPr>
            <w:r>
              <w:rPr>
                <w:rFonts w:ascii="Arial" w:cs="Arial" w:eastAsia="Arial" w:hAnsi="Arial"/>
                <w:sz w:val="18"/>
                <w:szCs w:val="18"/>
                <w:color w:val="auto"/>
              </w:rPr>
              <w:t>164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 of revenue</w:t>
            </w:r>
          </w:p>
        </w:tc>
        <w:tc>
          <w:tcPr>
            <w:tcW w:w="120" w:type="dxa"/>
            <w:vAlign w:val="bottom"/>
          </w:tcPr>
          <w:p>
            <w:pPr>
              <w:spacing w:after="0"/>
              <w:rPr>
                <w:sz w:val="19"/>
                <w:szCs w:val="19"/>
                <w:color w:val="auto"/>
              </w:rPr>
            </w:pPr>
          </w:p>
        </w:tc>
        <w:tc>
          <w:tcPr>
            <w:tcW w:w="1100" w:type="dxa"/>
            <w:vAlign w:val="bottom"/>
          </w:tcPr>
          <w:p>
            <w:pPr>
              <w:jc w:val="right"/>
              <w:ind w:right="204"/>
              <w:spacing w:after="0"/>
              <w:rPr>
                <w:sz w:val="20"/>
                <w:szCs w:val="20"/>
                <w:color w:val="auto"/>
              </w:rPr>
            </w:pPr>
            <w:r>
              <w:rPr>
                <w:rFonts w:ascii="Arial" w:cs="Arial" w:eastAsia="Arial" w:hAnsi="Arial"/>
                <w:sz w:val="18"/>
                <w:szCs w:val="18"/>
                <w:color w:val="auto"/>
              </w:rPr>
              <w:t>26.7%</w:t>
            </w:r>
          </w:p>
        </w:tc>
        <w:tc>
          <w:tcPr>
            <w:tcW w:w="46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33.4%</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204"/>
              <w:spacing w:after="0"/>
              <w:rPr>
                <w:sz w:val="20"/>
                <w:szCs w:val="20"/>
                <w:color w:val="auto"/>
              </w:rPr>
            </w:pPr>
            <w:r>
              <w:rPr>
                <w:rFonts w:ascii="Arial" w:cs="Arial" w:eastAsia="Arial" w:hAnsi="Arial"/>
                <w:sz w:val="18"/>
                <w:szCs w:val="18"/>
                <w:color w:val="auto"/>
              </w:rPr>
              <w:t>27.7%</w:t>
            </w:r>
          </w:p>
        </w:tc>
        <w:tc>
          <w:tcPr>
            <w:tcW w:w="44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34.8%</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TripAdvisor and Expedia entered into certain commercial arrangements in connection with the Spin-Off. The arrangements generally have terms one to three years and are described in “Note 9—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in the notes to our consolidated and combined financial statements in our Annual Report on Form 10-K filed on March 15, 2012 for the year ended December 31, 2011. In connection with the Spin-Off, Expedia expected to lower its CPC pricing by 10-15%. This change was rolled out throughout the fourth quarter of 2011, and trended towards the upper end of the expected discount range. We expect the decrease in CPC pricing paid by Expedia to continue to negatively impact total revenue for the year ended 2012 by approximately 5%.</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Cost of revenue consists of expenses that are closely correlated or directly related to revenue generation, including ad serving fees, flight search fees, credit card fees and data center costs.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82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5"/>
              </w:rPr>
              <w:t>Three months ended September 30,</w:t>
            </w: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5"/>
              </w:rPr>
              <w:t>% Change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4"/>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2012</w:t>
            </w:r>
          </w:p>
        </w:tc>
        <w:tc>
          <w:tcPr>
            <w:tcW w:w="9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w w:val="96"/>
              </w:rPr>
              <w:t>2011</w:t>
            </w:r>
          </w:p>
        </w:tc>
        <w:tc>
          <w:tcPr>
            <w:tcW w:w="5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5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5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20" w:type="dxa"/>
            <w:vAlign w:val="bottom"/>
            <w:shd w:val="clear" w:color="auto" w:fill="CCEEFF"/>
          </w:tcPr>
          <w:p>
            <w:pPr>
              <w:jc w:val="right"/>
              <w:ind w:right="34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 of revenue</w:t>
            </w:r>
          </w:p>
        </w:tc>
        <w:tc>
          <w:tcPr>
            <w:tcW w:w="520" w:type="dxa"/>
            <w:vAlign w:val="bottom"/>
          </w:tcPr>
          <w:p>
            <w:pPr>
              <w:spacing w:after="0"/>
              <w:rPr>
                <w:sz w:val="19"/>
                <w:szCs w:val="19"/>
                <w:color w:val="auto"/>
              </w:rPr>
            </w:pPr>
          </w:p>
        </w:tc>
        <w:tc>
          <w:tcPr>
            <w:tcW w:w="700" w:type="dxa"/>
            <w:vAlign w:val="bottom"/>
          </w:tcPr>
          <w:p>
            <w:pPr>
              <w:jc w:val="right"/>
              <w:ind w:right="239"/>
              <w:spacing w:after="0"/>
              <w:rPr>
                <w:sz w:val="20"/>
                <w:szCs w:val="20"/>
                <w:color w:val="auto"/>
              </w:rPr>
            </w:pPr>
            <w:r>
              <w:rPr>
                <w:rFonts w:ascii="Arial" w:cs="Arial" w:eastAsia="Arial" w:hAnsi="Arial"/>
                <w:sz w:val="18"/>
                <w:szCs w:val="18"/>
                <w:color w:val="auto"/>
                <w:w w:val="87"/>
              </w:rPr>
              <w:t>1.4%</w:t>
            </w:r>
          </w:p>
        </w:tc>
        <w:tc>
          <w:tcPr>
            <w:tcW w:w="5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742"/>
              <w:spacing w:after="0"/>
              <w:rPr>
                <w:sz w:val="20"/>
                <w:szCs w:val="20"/>
                <w:color w:val="auto"/>
              </w:rPr>
            </w:pPr>
            <w:r>
              <w:rPr>
                <w:rFonts w:ascii="Arial" w:cs="Arial" w:eastAsia="Arial" w:hAnsi="Arial"/>
                <w:sz w:val="18"/>
                <w:szCs w:val="18"/>
                <w:color w:val="auto"/>
              </w:rPr>
              <w:t>1.4%</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revenue remained relatively unchanged during the three and nine months ended September 30, 2012 when compared to the same period in 2011.</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Sales and marketing expenses primarily consist of direct costs, including search engine marketing, or SEM, other traffic acquisition costs, syndication costs and affiliate program commissions, brand advertising and public relations. In addition, our indirect sales and marketing expense consists of personnel and overhead expenses, including salaries, commissions, benefits, stock-based compensation expense and bonuses for sales, sales support, customer support and marketing employees.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85"/>
              </w:rPr>
              <w:t>Three months ended September 30,</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tcPr>
          <w:p>
            <w:pPr>
              <w:spacing w:after="0"/>
              <w:rPr>
                <w:sz w:val="14"/>
                <w:szCs w:val="14"/>
                <w:color w:val="auto"/>
              </w:rPr>
            </w:pPr>
          </w:p>
        </w:tc>
        <w:tc>
          <w:tcPr>
            <w:tcW w:w="26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86"/>
              </w:rPr>
              <w:t>Nine months ended September 30,</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 in millions)</w:t>
            </w:r>
          </w:p>
        </w:tc>
        <w:tc>
          <w:tcPr>
            <w:tcW w:w="6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 in millions)</w:t>
            </w:r>
          </w:p>
        </w:tc>
        <w:tc>
          <w:tcPr>
            <w:tcW w:w="6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Personnel and overhead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18</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selling and marketing</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6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31.8%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33.4%</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31.5%</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Direct selling and marketing costs increased $3 million and $31 million during the three and nine months ended September 30, 2012 when compared to the same period in 2011, primarily due to increased search engine marketing costs, brand advertising costs and investments in social media costs. We increased our spending on social media in the three and nine months ended September 30, 2012 compared to the same period in 2011, in order to increase social engagement on our websites. Personnel and overhead costs increased $5 million and $11 million during the three and nine months ended September 30, 2012 when compared to the same period in 2011, primarily due to an increase in headcount to support business growth, including international expansion.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Technology and content expenses consist of personnel and overhead expenses, including salaries and benefits, stock-based compensation expense and bonuses for salaried employees and contractors engaged in the design, development, testing and maintenance of our website. Other costs include licensing and maintenance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85"/>
              </w:rPr>
              <w:t>Three months ended September 30,</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tcPr>
          <w:p>
            <w:pPr>
              <w:spacing w:after="0"/>
              <w:rPr>
                <w:sz w:val="14"/>
                <w:szCs w:val="14"/>
                <w:color w:val="auto"/>
              </w:rPr>
            </w:pPr>
          </w:p>
        </w:tc>
        <w:tc>
          <w:tcPr>
            <w:tcW w:w="2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86"/>
              </w:rPr>
              <w:t>Nine months ended September 30,</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2012</w:t>
            </w: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 in millions)</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 in millions)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Personnel and overhead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w:t>
            </w:r>
          </w:p>
        </w:tc>
        <w:tc>
          <w:tcPr>
            <w:tcW w:w="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14</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technology and content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w:t>
            </w:r>
          </w:p>
        </w:tc>
        <w:tc>
          <w:tcPr>
            <w:tcW w:w="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15</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2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w w:val="82"/>
              </w:rPr>
              <w:t>8.2%</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8.3%</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Technology and content costs increased $9 million and $22 million during the three and nine months ended September 30, 2012 when compared to the same periods in 2011, primarily due to increased personnel costs from increased headcount to support business growth, including international expansion, enhanced site features and mobile initiatives, as well as an increase in stock based compensation.</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discussed in our Annual Report on Form 10-K filed on March 15, 2012 for the year ended December 31, 2011, all depreciation costs of technology assets, including web servers and purchased and capitalized website and development activities for all prior periods have been reclassified to depreciation expense on our consolidated and combined statement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General and administrative expense consists primarily of personnel and related overhead costs, including executive leadership, finance, legal and human resource functions and stock-based compensation as well as professional service fees and other fees including audit, legal, tax and accounting, and other costs including bad debt expense and our charitable foundation costs.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78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w w:val="90"/>
              </w:rPr>
              <w:t>Three months ended September 30,</w:t>
            </w: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 Change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85"/>
              </w:rPr>
              <w:t>Nine months ended September 30,</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5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5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Personnel and overhead</w:t>
            </w:r>
          </w:p>
        </w:tc>
        <w:tc>
          <w:tcPr>
            <w:tcW w:w="52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9"/>
              </w:rPr>
              <w:t>14</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Professional service fees and other</w:t>
            </w:r>
          </w:p>
        </w:tc>
        <w:tc>
          <w:tcPr>
            <w:tcW w:w="520" w:type="dxa"/>
            <w:vAlign w:val="bottom"/>
          </w:tcPr>
          <w:p>
            <w:pPr>
              <w:spacing w:after="0"/>
              <w:rPr>
                <w:sz w:val="18"/>
                <w:szCs w:val="18"/>
                <w:color w:val="auto"/>
              </w:rPr>
            </w:pPr>
          </w:p>
        </w:tc>
        <w:tc>
          <w:tcPr>
            <w:tcW w:w="700" w:type="dxa"/>
            <w:vAlign w:val="bottom"/>
            <w:gridSpan w:val="2"/>
          </w:tcPr>
          <w:p>
            <w:pPr>
              <w:jc w:val="right"/>
              <w:ind w:right="412"/>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general and administrative</w:t>
            </w:r>
          </w:p>
        </w:tc>
        <w:tc>
          <w:tcPr>
            <w:tcW w:w="52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9"/>
              </w:rPr>
              <w:t>20</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right"/>
              <w:ind w:right="252"/>
              <w:spacing w:after="0"/>
              <w:rPr>
                <w:sz w:val="20"/>
                <w:szCs w:val="20"/>
                <w:color w:val="auto"/>
              </w:rPr>
            </w:pPr>
            <w:r>
              <w:rPr>
                <w:rFonts w:ascii="Arial" w:cs="Arial" w:eastAsia="Arial" w:hAnsi="Arial"/>
                <w:sz w:val="18"/>
                <w:szCs w:val="18"/>
                <w:color w:val="auto"/>
                <w:w w:val="87"/>
              </w:rPr>
              <w:t>9.4%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39"/>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General and administrative costs increased $11 million and $29 million during the three and nine months ended September 30, 2012, when compared to the same periods in 2011, primarily due to increased personnel costs related to an increase in stock based compensation, as well as increased headcount as a result of the Spin-Off and to support business growth, as well as additional professional service fees in order to support our operations as a standalone public company. In addition, in connection with the Spin-Off, we assumed Expedia’s obligation to fund a charitable foundation. Our expense related to the funding of this charitable foundation was $2 million and $6 million, respectively, for the three and nine months ended September 30, 2012.</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discussed above, all depreciation costs of capitalized assets, primarily consisting of furniture and office equipment for prior periods have been reclassified in our Annual Report on Form 10-K filed on March 15, 2012 for the year ended December 31, 2011 to depreciation expense on our consolidated and combined statement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Related-Party Shared Services Fee</w:t>
      </w:r>
    </w:p>
    <w:p>
      <w:pPr>
        <w:spacing w:after="0" w:line="9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Prior to the Spin-Off, our related-party shared services fee was comprised of allocations from Expedia for accounting, legal, tax, corporate development, treasury, financial reporting, real estate management and included an allocation of employee compensation within these functions. These allocations were determined based on what we and Expedia considered being reasonable reflections of the utilization of services provided or the benefit received by us.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2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5"/>
              </w:rPr>
              <w:t>Three months ended September 30,</w:t>
            </w: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5"/>
              </w:rPr>
              <w:t>% Change</w:t>
            </w:r>
          </w:p>
        </w:tc>
        <w:tc>
          <w:tcPr>
            <w:tcW w:w="100" w:type="dxa"/>
            <w:vAlign w:val="bottom"/>
          </w:tcPr>
          <w:p>
            <w:pPr>
              <w:spacing w:after="0"/>
              <w:rPr>
                <w:sz w:val="14"/>
                <w:szCs w:val="14"/>
                <w:color w:val="auto"/>
              </w:rPr>
            </w:pPr>
          </w:p>
        </w:tc>
        <w:tc>
          <w:tcPr>
            <w:tcW w:w="26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5"/>
              </w:rPr>
              <w:t>Nine months ended September 30,</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w w:val="96"/>
              </w:rPr>
              <w:t>2011</w:t>
            </w:r>
          </w:p>
        </w:tc>
        <w:tc>
          <w:tcPr>
            <w:tcW w:w="5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92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2011</w:t>
            </w:r>
          </w:p>
        </w:tc>
        <w:tc>
          <w:tcPr>
            <w:tcW w:w="5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99"/>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5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center"/>
              <w:ind w:left="544"/>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Related-party shared services fee</w:t>
            </w:r>
          </w:p>
        </w:tc>
        <w:tc>
          <w:tcPr>
            <w:tcW w:w="12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 of revenue</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9"/>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ind w:left="40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Related-party shared services fee costs incurred for the use of Expedia shared services ceased in connection with the Spin-Off. Refer to “Note 11— </w:t>
      </w:r>
      <w:r>
        <w:rPr>
          <w:rFonts w:ascii="Arial" w:cs="Arial" w:eastAsia="Arial" w:hAnsi="Arial"/>
          <w:sz w:val="18"/>
          <w:szCs w:val="18"/>
          <w:i w:val="1"/>
          <w:iCs w:val="1"/>
          <w:color w:val="auto"/>
        </w:rPr>
        <w:t>Related</w:t>
      </w:r>
      <w:r>
        <w:rPr>
          <w:rFonts w:ascii="Arial" w:cs="Arial" w:eastAsia="Arial" w:hAnsi="Arial"/>
          <w:sz w:val="18"/>
          <w:szCs w:val="18"/>
          <w:color w:val="auto"/>
        </w:rPr>
        <w:t xml:space="preserve"> </w:t>
      </w:r>
      <w:r>
        <w:rPr>
          <w:rFonts w:ascii="Arial" w:cs="Arial" w:eastAsia="Arial" w:hAnsi="Arial"/>
          <w:sz w:val="18"/>
          <w:szCs w:val="18"/>
          <w:i w:val="1"/>
          <w:iCs w:val="1"/>
          <w:color w:val="auto"/>
        </w:rPr>
        <w:t>Party Transactions</w:t>
      </w:r>
      <w:r>
        <w:rPr>
          <w:rFonts w:ascii="Arial" w:cs="Arial" w:eastAsia="Arial" w:hAnsi="Arial"/>
          <w:sz w:val="18"/>
          <w:szCs w:val="18"/>
          <w:color w:val="auto"/>
        </w:rPr>
        <w:t>” in this Quarterly Report on Form 10-Q for further information on our relationship with Expedia.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5"/>
              </w:rPr>
              <w:t>Three months ended September 30,</w:t>
            </w: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tcPr>
          <w:p>
            <w:pPr>
              <w:spacing w:after="0"/>
              <w:rPr>
                <w:sz w:val="14"/>
                <w:szCs w:val="14"/>
                <w:color w:val="auto"/>
              </w:rPr>
            </w:pPr>
          </w:p>
        </w:tc>
        <w:tc>
          <w:tcPr>
            <w:tcW w:w="26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86"/>
              </w:rPr>
              <w:t>Nine months ended September 30,</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2012</w:t>
            </w:r>
          </w:p>
        </w:tc>
        <w:tc>
          <w:tcPr>
            <w:tcW w:w="9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5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420" w:type="dxa"/>
            <w:vAlign w:val="bottom"/>
          </w:tcPr>
          <w:p>
            <w:pPr>
              <w:spacing w:after="0"/>
              <w:rPr>
                <w:sz w:val="20"/>
                <w:szCs w:val="20"/>
                <w:color w:val="auto"/>
              </w:rPr>
            </w:pPr>
            <w:r>
              <w:rPr>
                <w:rFonts w:ascii="Arial" w:cs="Arial" w:eastAsia="Arial" w:hAnsi="Arial"/>
                <w:sz w:val="18"/>
                <w:szCs w:val="18"/>
                <w:color w:val="auto"/>
              </w:rPr>
              <w:t>% of revenue</w:t>
            </w:r>
          </w:p>
        </w:tc>
        <w:tc>
          <w:tcPr>
            <w:tcW w:w="1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ind w:right="239"/>
              <w:spacing w:after="0"/>
              <w:rPr>
                <w:sz w:val="20"/>
                <w:szCs w:val="20"/>
                <w:color w:val="auto"/>
              </w:rPr>
            </w:pPr>
            <w:r>
              <w:rPr>
                <w:rFonts w:ascii="Arial" w:cs="Arial" w:eastAsia="Arial" w:hAnsi="Arial"/>
                <w:sz w:val="18"/>
                <w:szCs w:val="18"/>
                <w:color w:val="auto"/>
                <w:w w:val="87"/>
              </w:rPr>
              <w:t>2.4%</w:t>
            </w:r>
          </w:p>
        </w:tc>
        <w:tc>
          <w:tcPr>
            <w:tcW w:w="50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722"/>
              <w:spacing w:after="0"/>
              <w:rPr>
                <w:sz w:val="20"/>
                <w:szCs w:val="20"/>
                <w:color w:val="auto"/>
              </w:rPr>
            </w:pPr>
            <w:r>
              <w:rPr>
                <w:rFonts w:ascii="Arial" w:cs="Arial" w:eastAsia="Arial" w:hAnsi="Arial"/>
                <w:sz w:val="18"/>
                <w:szCs w:val="18"/>
                <w:color w:val="auto"/>
              </w:rPr>
              <w:t>2.4%</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 was no significant change in depreciation expense for the three and nine months ended September 30, 2012 compared to the same periods in 2011.</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7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5"/>
              </w:rPr>
              <w:t>Three months ended September 30,</w:t>
            </w: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5"/>
              </w:rPr>
              <w:t>% Change</w:t>
            </w:r>
          </w:p>
        </w:tc>
        <w:tc>
          <w:tcPr>
            <w:tcW w:w="120" w:type="dxa"/>
            <w:vAlign w:val="bottom"/>
          </w:tcPr>
          <w:p>
            <w:pPr>
              <w:spacing w:after="0"/>
              <w:rPr>
                <w:sz w:val="14"/>
                <w:szCs w:val="14"/>
                <w:color w:val="auto"/>
              </w:rPr>
            </w:pPr>
          </w:p>
        </w:tc>
        <w:tc>
          <w:tcPr>
            <w:tcW w:w="26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85"/>
              </w:rPr>
              <w:t>Nine months ended September 30,</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2012</w:t>
            </w:r>
          </w:p>
        </w:tc>
        <w:tc>
          <w:tcPr>
            <w:tcW w:w="9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6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5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 of revenue</w:t>
            </w:r>
          </w:p>
        </w:tc>
        <w:tc>
          <w:tcPr>
            <w:tcW w:w="500" w:type="dxa"/>
            <w:vAlign w:val="bottom"/>
          </w:tcPr>
          <w:p>
            <w:pPr>
              <w:spacing w:after="0"/>
              <w:rPr>
                <w:sz w:val="19"/>
                <w:szCs w:val="19"/>
                <w:color w:val="auto"/>
              </w:rPr>
            </w:pPr>
          </w:p>
        </w:tc>
        <w:tc>
          <w:tcPr>
            <w:tcW w:w="700" w:type="dxa"/>
            <w:vAlign w:val="bottom"/>
          </w:tcPr>
          <w:p>
            <w:pPr>
              <w:jc w:val="right"/>
              <w:ind w:right="239"/>
              <w:spacing w:after="0"/>
              <w:rPr>
                <w:sz w:val="20"/>
                <w:szCs w:val="20"/>
                <w:color w:val="auto"/>
              </w:rPr>
            </w:pPr>
            <w:r>
              <w:rPr>
                <w:rFonts w:ascii="Arial" w:cs="Arial" w:eastAsia="Arial" w:hAnsi="Arial"/>
                <w:sz w:val="18"/>
                <w:szCs w:val="18"/>
                <w:color w:val="auto"/>
                <w:w w:val="87"/>
              </w:rPr>
              <w:t>0.6%</w:t>
            </w:r>
          </w:p>
        </w:tc>
        <w:tc>
          <w:tcPr>
            <w:tcW w:w="48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702"/>
              <w:spacing w:after="0"/>
              <w:rPr>
                <w:sz w:val="20"/>
                <w:szCs w:val="20"/>
                <w:color w:val="auto"/>
              </w:rPr>
            </w:pPr>
            <w:r>
              <w:rPr>
                <w:rFonts w:ascii="Arial" w:cs="Arial" w:eastAsia="Arial" w:hAnsi="Arial"/>
                <w:sz w:val="18"/>
                <w:szCs w:val="18"/>
                <w:color w:val="auto"/>
              </w:rPr>
              <w:t>0.8%</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Amortization of intangible assets decreased slightly during the three and nine months ended September 30, 2012 when compared to the same periods in 2011, primarily due to the completion of amortization related to certain technology intangible assets.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5"/>
              </w:rPr>
              <w:t>Three months ended September 30,</w:t>
            </w: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tcPr>
          <w:p>
            <w:pPr>
              <w:spacing w:after="0"/>
              <w:rPr>
                <w:sz w:val="14"/>
                <w:szCs w:val="14"/>
                <w:color w:val="auto"/>
              </w:rPr>
            </w:pPr>
          </w:p>
        </w:tc>
        <w:tc>
          <w:tcPr>
            <w:tcW w:w="26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6"/>
              </w:rPr>
              <w:t>Nine months ended September 30,</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624"/>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604"/>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center"/>
              <w:ind w:left="464"/>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center"/>
              <w:ind w:left="424"/>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6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364"/>
              <w:spacing w:after="0"/>
              <w:rPr>
                <w:sz w:val="20"/>
                <w:szCs w:val="20"/>
                <w:color w:val="auto"/>
              </w:rPr>
            </w:pPr>
            <w:r>
              <w:rPr>
                <w:rFonts w:ascii="Arial" w:cs="Arial" w:eastAsia="Arial" w:hAnsi="Arial"/>
                <w:sz w:val="18"/>
                <w:szCs w:val="18"/>
                <w:color w:val="auto"/>
              </w:rPr>
              <w:t>92</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44"/>
              <w:spacing w:after="0"/>
              <w:rPr>
                <w:sz w:val="20"/>
                <w:szCs w:val="20"/>
                <w:color w:val="auto"/>
              </w:rPr>
            </w:pPr>
            <w:r>
              <w:rPr>
                <w:rFonts w:ascii="Arial" w:cs="Arial" w:eastAsia="Arial" w:hAnsi="Arial"/>
                <w:sz w:val="18"/>
                <w:szCs w:val="18"/>
                <w:color w:val="auto"/>
              </w:rPr>
              <w:t>249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 of revenue</w:t>
            </w:r>
          </w:p>
        </w:tc>
        <w:tc>
          <w:tcPr>
            <w:tcW w:w="100" w:type="dxa"/>
            <w:vAlign w:val="bottom"/>
          </w:tcPr>
          <w:p>
            <w:pPr>
              <w:spacing w:after="0"/>
              <w:rPr>
                <w:sz w:val="19"/>
                <w:szCs w:val="19"/>
                <w:color w:val="auto"/>
              </w:rPr>
            </w:pPr>
          </w:p>
        </w:tc>
        <w:tc>
          <w:tcPr>
            <w:tcW w:w="1120" w:type="dxa"/>
            <w:vAlign w:val="bottom"/>
          </w:tcPr>
          <w:p>
            <w:pPr>
              <w:jc w:val="right"/>
              <w:ind w:right="224"/>
              <w:spacing w:after="0"/>
              <w:rPr>
                <w:sz w:val="20"/>
                <w:szCs w:val="20"/>
                <w:color w:val="auto"/>
              </w:rPr>
            </w:pPr>
            <w:r>
              <w:rPr>
                <w:rFonts w:ascii="Arial" w:cs="Arial" w:eastAsia="Arial" w:hAnsi="Arial"/>
                <w:sz w:val="18"/>
                <w:szCs w:val="18"/>
                <w:color w:val="auto"/>
              </w:rPr>
              <w:t>43.4%</w:t>
            </w:r>
          </w:p>
        </w:tc>
        <w:tc>
          <w:tcPr>
            <w:tcW w:w="46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45.4%</w:t>
            </w: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204"/>
              <w:spacing w:after="0"/>
              <w:rPr>
                <w:sz w:val="20"/>
                <w:szCs w:val="20"/>
                <w:color w:val="auto"/>
              </w:rPr>
            </w:pPr>
            <w:r>
              <w:rPr>
                <w:rFonts w:ascii="Arial" w:cs="Arial" w:eastAsia="Arial" w:hAnsi="Arial"/>
                <w:sz w:val="18"/>
                <w:szCs w:val="18"/>
                <w:color w:val="auto"/>
              </w:rPr>
              <w:t>42.0%</w:t>
            </w:r>
          </w:p>
        </w:tc>
        <w:tc>
          <w:tcPr>
            <w:tcW w:w="44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47.9%</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Operating income increased $10 million for the three and nine months ended September 30, 2012 when compared to the same periods in 2011, primarily due to an increase in revenue of $32 million and $94 million, respectively, which was offset by a corresponding increase to operating expenses of $22 million and $84 million, respectively, particularly in personnel costs to support business growth and operations as a standalone public company, as well as stock based compensation, and traffic acquisition costs to drive higher revenue.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8"/>
              </w:rPr>
              <w:t>% Change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5"/>
              </w:rPr>
              <w:t>Nine months ended September 30,</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94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624"/>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2011</w:t>
            </w:r>
          </w:p>
        </w:tc>
        <w:tc>
          <w:tcPr>
            <w:tcW w:w="4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center"/>
              <w:ind w:left="364"/>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4"/>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 of revenue</w:t>
            </w:r>
          </w:p>
        </w:tc>
        <w:tc>
          <w:tcPr>
            <w:tcW w:w="100" w:type="dxa"/>
            <w:vAlign w:val="bottom"/>
          </w:tcPr>
          <w:p>
            <w:pPr>
              <w:spacing w:after="0"/>
              <w:rPr>
                <w:sz w:val="19"/>
                <w:szCs w:val="19"/>
                <w:color w:val="auto"/>
              </w:rPr>
            </w:pPr>
          </w:p>
        </w:tc>
        <w:tc>
          <w:tcPr>
            <w:tcW w:w="1420" w:type="dxa"/>
            <w:vAlign w:val="bottom"/>
          </w:tcPr>
          <w:p>
            <w:pPr>
              <w:jc w:val="right"/>
              <w:ind w:right="524"/>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02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204"/>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9"/>
                <w:szCs w:val="19"/>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rPr>
              <w:t>— %</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Other interest expense, increased $3 million and $9 million during the three and nine months ended September 30, 2012 when compared to the same periods in 2011, primarily due to interest expense on our Term Loan and revolving credit facilities.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net is primarily comprised of net foreign exchange gains and losses for the periods presented.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5"/>
              </w:rPr>
              <w:t>Three months ended September 30,</w:t>
            </w: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tcPr>
          <w:p>
            <w:pPr>
              <w:spacing w:after="0"/>
              <w:rPr>
                <w:sz w:val="14"/>
                <w:szCs w:val="14"/>
                <w:color w:val="auto"/>
              </w:rPr>
            </w:pPr>
          </w:p>
        </w:tc>
        <w:tc>
          <w:tcPr>
            <w:tcW w:w="26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5"/>
              </w:rPr>
              <w:t>Nine months ended September 30,</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604"/>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584"/>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center"/>
              <w:ind w:left="444"/>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center"/>
              <w:ind w:left="444"/>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64"/>
              <w:spacing w:after="0"/>
              <w:rPr>
                <w:sz w:val="20"/>
                <w:szCs w:val="20"/>
                <w:color w:val="auto"/>
              </w:rPr>
            </w:pPr>
            <w:r>
              <w:rPr>
                <w:rFonts w:ascii="Arial" w:cs="Arial" w:eastAsia="Arial" w:hAnsi="Arial"/>
                <w:sz w:val="18"/>
                <w:szCs w:val="18"/>
                <w:color w:val="auto"/>
              </w:rPr>
              <w:t>31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44"/>
              <w:spacing w:after="0"/>
              <w:rPr>
                <w:sz w:val="20"/>
                <w:szCs w:val="20"/>
                <w:color w:val="auto"/>
              </w:rPr>
            </w:pPr>
            <w:r>
              <w:rPr>
                <w:rFonts w:ascii="Arial" w:cs="Arial" w:eastAsia="Arial" w:hAnsi="Arial"/>
                <w:sz w:val="18"/>
                <w:szCs w:val="18"/>
                <w:color w:val="auto"/>
              </w:rPr>
              <w:t>78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Effective tax rate</w:t>
            </w:r>
          </w:p>
        </w:tc>
        <w:tc>
          <w:tcPr>
            <w:tcW w:w="120" w:type="dxa"/>
            <w:vAlign w:val="bottom"/>
          </w:tcPr>
          <w:p>
            <w:pPr>
              <w:spacing w:after="0"/>
              <w:rPr>
                <w:sz w:val="19"/>
                <w:szCs w:val="19"/>
                <w:color w:val="auto"/>
              </w:rPr>
            </w:pPr>
          </w:p>
        </w:tc>
        <w:tc>
          <w:tcPr>
            <w:tcW w:w="1100" w:type="dxa"/>
            <w:vAlign w:val="bottom"/>
          </w:tcPr>
          <w:p>
            <w:pPr>
              <w:jc w:val="right"/>
              <w:ind w:right="204"/>
              <w:spacing w:after="0"/>
              <w:rPr>
                <w:sz w:val="20"/>
                <w:szCs w:val="20"/>
                <w:color w:val="auto"/>
              </w:rPr>
            </w:pPr>
            <w:r>
              <w:rPr>
                <w:rFonts w:ascii="Arial" w:cs="Arial" w:eastAsia="Arial" w:hAnsi="Arial"/>
                <w:sz w:val="18"/>
                <w:szCs w:val="18"/>
                <w:color w:val="auto"/>
              </w:rPr>
              <w:t>34.4%</w:t>
            </w:r>
          </w:p>
        </w:tc>
        <w:tc>
          <w:tcPr>
            <w:tcW w:w="46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31.7%</w:t>
            </w: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204"/>
              <w:spacing w:after="0"/>
              <w:rPr>
                <w:sz w:val="20"/>
                <w:szCs w:val="20"/>
                <w:color w:val="auto"/>
              </w:rPr>
            </w:pPr>
            <w:r>
              <w:rPr>
                <w:rFonts w:ascii="Arial" w:cs="Arial" w:eastAsia="Arial" w:hAnsi="Arial"/>
                <w:sz w:val="18"/>
                <w:szCs w:val="18"/>
                <w:color w:val="auto"/>
              </w:rPr>
              <w:t>32.6%</w:t>
            </w:r>
          </w:p>
        </w:tc>
        <w:tc>
          <w:tcPr>
            <w:tcW w:w="44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34.6%</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the three and nine months ended September 30, 2012, the effective tax rate is less than the federal statutory tax rate primarily due to earnings in jurisdictions outside the United States, where our effective tax rate is lower, which was partially offset by state income taxes, non-deductible stock compensation and accruals on uncertain tax positions. The change in the effective tax rate for 2012 compared to the 2011 rate was primarily due to an increase in earnings in jurisdictions outside the United States and increases in uncertain tax positions.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Position, Liquidity and Capital Resources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the nine months ended September 30, 2012 we had $548 million of cash and cash equivalents, and at December 31, 2011 we had $184 million of cash and cash equivalents. The cash and cash equivalent balances include cash and a money market account held in the United Kingdom ($225 million and $165 million for the period ended September 30, 2012 and December 31, 2011, respectively) related to earnings we intend to reinvest permanently outside the United States. Should we distribute earnings of foreign subsidiaries in the form of dividends or otherwise, we may be subject to U.S. income taxes. Cumulative undistributed earnings of foreign subsidiaries that we intend to indefinitely reinvest outside of the United States totaled approximately $375 million as of September 30, 2012. Should we distribute, or be treated under certain U.S. tax rules as having distributed, the earnings of foreign subsidiaries in the form of dividends or otherwise, we may be subject to U.S. income taxes. Determination of the amount of any unrecognized deferred income tax liability on this temporary difference is not practicable because of the complexities of the hypothetical calculation. Cash held is primarily denominated in U.S. dollars.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In connection with the Spin-Off, we entered into our Revolving Credit Facility with a borrowing capacity of $200 million and have also entered into our five-year, $400 million Term Loan, as discussed in “Note 4— </w:t>
      </w:r>
      <w:r>
        <w:rPr>
          <w:rFonts w:ascii="Arial" w:cs="Arial" w:eastAsia="Arial" w:hAnsi="Arial"/>
          <w:sz w:val="18"/>
          <w:szCs w:val="18"/>
          <w:i w:val="1"/>
          <w:iCs w:val="1"/>
          <w:color w:val="auto"/>
        </w:rPr>
        <w:t>Debt</w:t>
      </w:r>
      <w:r>
        <w:rPr>
          <w:rFonts w:ascii="Arial" w:cs="Arial" w:eastAsia="Arial" w:hAnsi="Arial"/>
          <w:sz w:val="18"/>
          <w:szCs w:val="18"/>
          <w:color w:val="auto"/>
        </w:rPr>
        <w:t>” in this Quarterly Report on Form 10-Q. Immediately prior to the Spin-Off, we transferred approximately $406 million in the form of a dividend to Expedia, which included an estimate of our cash in excess of $165 million. This distribution included the proceeds from our $400 million Term Loan.</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Historically, the cash we generate has been sufficient to fund our working capital and capital expenditure requirements. Management believes that our cash and cash equivalents, combined with expected cash flows generated by operating activities and the our Revolving Credit Facility will be sufficient to fund our ongoing working capital needs, capital expenditure requirements and business growth initiatives and to meet our long term debt obligations and commitments and fund acquisitions for at least the next 12 months.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flows are as follows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4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64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2011</w:t>
            </w:r>
          </w:p>
        </w:tc>
        <w:tc>
          <w:tcPr>
            <w:tcW w:w="120" w:type="dxa"/>
            <w:vAlign w:val="bottom"/>
            <w:tcBorders>
              <w:bottom w:val="single" w:sz="8" w:color="CCEEFF"/>
            </w:tcBorders>
          </w:tcPr>
          <w:p>
            <w:pPr>
              <w:spacing w:after="0"/>
              <w:rPr>
                <w:sz w:val="12"/>
                <w:szCs w:val="12"/>
                <w:color w:val="auto"/>
              </w:rPr>
            </w:pPr>
          </w:p>
        </w:tc>
      </w:tr>
      <w:tr>
        <w:trPr>
          <w:trHeight w:val="196"/>
        </w:trPr>
        <w:tc>
          <w:tcPr>
            <w:tcW w:w="4640" w:type="dxa"/>
            <w:vAlign w:val="bottom"/>
            <w:shd w:val="clear" w:color="auto" w:fill="CCEEFF"/>
          </w:tcPr>
          <w:p>
            <w:pPr>
              <w:jc w:val="center"/>
              <w:ind w:right="2352"/>
              <w:spacing w:after="0" w:line="196" w:lineRule="exact"/>
              <w:rPr>
                <w:sz w:val="20"/>
                <w:szCs w:val="20"/>
                <w:color w:val="auto"/>
              </w:rPr>
            </w:pPr>
            <w:r>
              <w:rPr>
                <w:rFonts w:ascii="Arial" w:cs="Arial" w:eastAsia="Arial" w:hAnsi="Arial"/>
                <w:sz w:val="18"/>
                <w:szCs w:val="18"/>
                <w:color w:val="auto"/>
                <w:w w:val="88"/>
              </w:rPr>
              <w:t>Net cash provided by (used in):</w:t>
            </w:r>
          </w:p>
        </w:tc>
        <w:tc>
          <w:tcPr>
            <w:tcW w:w="2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640" w:type="dxa"/>
            <w:vAlign w:val="bottom"/>
          </w:tcPr>
          <w:p>
            <w:pPr>
              <w:jc w:val="center"/>
              <w:ind w:right="2292"/>
              <w:spacing w:after="0"/>
              <w:rPr>
                <w:sz w:val="20"/>
                <w:szCs w:val="20"/>
                <w:color w:val="auto"/>
              </w:rPr>
            </w:pPr>
            <w:r>
              <w:rPr>
                <w:rFonts w:ascii="Arial" w:cs="Arial" w:eastAsia="Arial" w:hAnsi="Arial"/>
                <w:sz w:val="18"/>
                <w:szCs w:val="18"/>
                <w:color w:val="auto"/>
                <w:w w:val="90"/>
              </w:rPr>
              <w:t>Operating activities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168</w:t>
            </w:r>
          </w:p>
        </w:tc>
        <w:tc>
          <w:tcPr>
            <w:tcW w:w="28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r>
      <w:tr>
        <w:trPr>
          <w:trHeight w:val="216"/>
        </w:trPr>
        <w:tc>
          <w:tcPr>
            <w:tcW w:w="4640" w:type="dxa"/>
            <w:vAlign w:val="bottom"/>
            <w:shd w:val="clear" w:color="auto" w:fill="CCEEFF"/>
          </w:tcPr>
          <w:p>
            <w:pPr>
              <w:jc w:val="center"/>
              <w:ind w:right="2352"/>
              <w:spacing w:after="0"/>
              <w:rPr>
                <w:sz w:val="20"/>
                <w:szCs w:val="20"/>
                <w:color w:val="auto"/>
              </w:rPr>
            </w:pPr>
            <w:r>
              <w:rPr>
                <w:rFonts w:ascii="Arial" w:cs="Arial" w:eastAsia="Arial" w:hAnsi="Arial"/>
                <w:sz w:val="18"/>
                <w:szCs w:val="18"/>
                <w:color w:val="auto"/>
                <w:w w:val="90"/>
              </w:rPr>
              <w:t>Investing activities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r>
      <w:tr>
        <w:trPr>
          <w:trHeight w:val="222"/>
        </w:trPr>
        <w:tc>
          <w:tcPr>
            <w:tcW w:w="4640" w:type="dxa"/>
            <w:vAlign w:val="bottom"/>
          </w:tcPr>
          <w:p>
            <w:pPr>
              <w:jc w:val="center"/>
              <w:ind w:right="2292"/>
              <w:spacing w:after="0"/>
              <w:rPr>
                <w:sz w:val="20"/>
                <w:szCs w:val="20"/>
                <w:color w:val="auto"/>
              </w:rPr>
            </w:pPr>
            <w:r>
              <w:rPr>
                <w:rFonts w:ascii="Arial" w:cs="Arial" w:eastAsia="Arial" w:hAnsi="Arial"/>
                <w:sz w:val="18"/>
                <w:szCs w:val="18"/>
                <w:color w:val="auto"/>
                <w:w w:val="90"/>
              </w:rPr>
              <w:t>Financing activities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213</w:t>
            </w:r>
          </w:p>
        </w:tc>
        <w:tc>
          <w:tcPr>
            <w:tcW w:w="28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the nine months ended September 30, 2012, net cash provided by operating activities decreased by $24 million or 12% when compared to the same period in 2011, primarily due to a decrease in working capital movements which includes the timing of customer cash receipts and vendor payments, but, was primarily driven by related party activity with Expedia of $26 million subsequent to the Spin-Off being classified in operating activities as compared to investing activities in the prior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For the nine months ended September 30, 2012, net cash provided by investing activities increased by $94 million when compared to the same period in 2011 primarily due to the cessation of cash transfers to Expedia in 2012 related to business operations of $104 million which occurred regularly up through the Spin-Off. In addition, we received $7 million during the nine months ended September 30, 2012, from Expedia which was owed to us related to the Spin-Off and we paid $8 million in 2011 for business acquisitions. This was offset by $20 million received in 2011 from the maturity of a short term investment which did not reoccur in 2012 and higher capital expenditures of $5 million during the nine months ended September 30, 2012.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For the nine months ended September 30, 2012, net cash provided by financing activities increased by $202 million when compared to the same period in 2011 primarily due to proceeds from the exercise of our stock options and warrants of $226 million, net of payment of minimum withholding taxes related to the vesting of our RSUs of $4 million during the nine months ended September 30, 2012. We also borrowed an additional $8 million under our Chinese Credit Facilities in 2012. This was partially offset by $15 million in year to date principal payments on our Term Loan and a $10 million repayment of our outstanding borrowing on our Revolving Credit Facility for the nine months ended September 30, 2012. In addition, during the nine months ended September 30, 2011, we received $5 million of funding from Expedia related to an external acquisition, which did not reoccur in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 and Off-Balance Sheet Arrangements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There have been no material changes to our commitments and contingencies and off-balance sheet arrangements since December 31, 2011. (See “Commitments, Contingencies and Off-Balance Sheet Arrangements” in the Management’s Discussion and Analysis of Financial Condition and Results of Operations in Item 7 of our Annual Report on Form 10-K filed on March 15, 2012 for the year ended December 31, 2011.) Other than our contractual obligations and commercial commitments, we did not have any off-balance sheet arrangements as of September 30, 2012 or December 31,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Refer to “Note 11—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above for information on related party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We adopted the TripAdvisor, Inc. 2011 Stock and Annual Incentive Plan, or the 2011 Incentive Plan, as of December 21, 2011, under which we may grant restricted stock, restricted stock awards, RSUs, stock options and other stock-based awards to our directors, officers, employees and consultants. Refer to “Note 6 — </w:t>
      </w:r>
      <w:r>
        <w:rPr>
          <w:rFonts w:ascii="Arial" w:cs="Arial" w:eastAsia="Arial" w:hAnsi="Arial"/>
          <w:sz w:val="16"/>
          <w:szCs w:val="16"/>
          <w:i w:val="1"/>
          <w:iCs w:val="1"/>
          <w:color w:val="auto"/>
        </w:rPr>
        <w:t>Stock Based Awards and Other Equity Instruments</w:t>
      </w:r>
      <w:r>
        <w:rPr>
          <w:rFonts w:ascii="Arial" w:cs="Arial" w:eastAsia="Arial" w:hAnsi="Arial"/>
          <w:sz w:val="16"/>
          <w:szCs w:val="16"/>
          <w:color w:val="auto"/>
        </w:rPr>
        <w:t>” above for further information on the 2011 Incentive Plan.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 Activity</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exercise price for all stock options granted by us to date has been equal to the market price of the underlying shares of common stock at the date of grant. In this regard, when making stock option awards, our practice is to determine the applicable grant date and to specify that the exercise price shall be the closing price of our common stock on the date of grant. Stock options granted during the first nine months of 2012 have had a term of ten years from the date of grant and generally vest over a four-year period.</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three and nine months ended September 30, 2012, we have issued 3,470,975 of primarily service based stock options under the 2011 Incentive Plan with a weighted average grant-date fair value per option of $20.55. We will amortize the fair value, net of estimated forfeitures, as stock-based compensation expense over the vesting term of four years on a straight-line basis. We use historical data to estimate pre-vesting option forfeitures and record share-based compensation expense only for those awards that are expected to vest. Changes in estimated forfeitures will be recognized through a cumulative catch-up adjustment in the period of change and will also impact the amount of stock compensation expense to be recognized in future periods.</w:t>
      </w:r>
    </w:p>
    <w:p>
      <w:pPr>
        <w:spacing w:after="0" w:line="1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estimated fair value of the options granted under the 2011 Incentive Plan was calculated using a Black-Scholes Merton option-pricing model (“Black-Scholes model”). The Black-Scholes model incorporates assumptions to value stock-based awards, which includes the risk-free rate of return, volatility, expected term and expected dividend yield.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risk-free interest rate is based on the rates currently available on zero-coupon U.S. Treasury issues, in effect at the time of the grant, whose remaining maturity period most closely approximates the stock option’s expected term assumption. We estimated the volatility of our common stock by using an average of historical stock price volatility of publicly traded companies that we consider peers based on daily price observations over a period equivalent or approximate to the expected term of the stock option grants. The decision to use a weighted average volatility factor of a peer group was based upon the relatively short period of availability of data on our common stock. We estimated our expected term using the simplified method for all stock options as we do not have sufficient historical exercise data on our common stock. Our expected dividend yield is zero, as we have not paid and do not anticipate paying dividends on our common stock in the foreseeable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Warrant Activity</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the nine months ended September 30, 2012, there were a total of 32,186,791 warrants exercised which resulted in a total of 7,952,456 shares of our common stock being issued during that period, which included 31,641,337 warrants for which the exercise price was paid in cash at a weighted average price of $27.11. We received total exercise proceeds of $214.5 million related to these warrant exercises. In addition there were 545,454 cashless warrants exercised with a weighted average exercise price of $25.92 of which we did not receive any exercise proceeds. As of September 30, 2012, we had no outstanding warrants available which could be convertible to shares of our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Stock Based Awards and Other Equity Instruments</w:t>
      </w:r>
      <w:r>
        <w:rPr>
          <w:rFonts w:ascii="Arial" w:cs="Arial" w:eastAsia="Arial" w:hAnsi="Arial"/>
          <w:sz w:val="18"/>
          <w:szCs w:val="18"/>
          <w:color w:val="auto"/>
        </w:rPr>
        <w:t>” above for further information on current year equity award activity.</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Please refer to Item 7A, Quantitative and Qualitative Disclosures About Market Risk, in Part II of our Annual Report on Form 10-K for the year ended December 31,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 has been no material change in our market risk management strategy during the three and nine months ended September 30, 2012, except as follows.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conduct business in certain international markets, primarily the European Union, the U.K. and China. Because we operate in international markets, we have exposure to different economic climates, political arenas, tax systems and regulations that could affect foreign exchange rates. Our primary exposure to foreign currency risk relates to transacting in foreign currency and recording the activity in U.S. dollars. Changes in exchange rates between the U.S. dollar, the British pound sterling, the Euro and other currencies will result in transaction gains or losses, which we recognize in our consolidated and combined statements of operations. As we increase our operations in international markets, we become increasingly exposed to potentially volatile movements in currency exchange rates. These movements, if material, could cause us to adjust our financing and operating strategies.</w:t>
      </w:r>
    </w:p>
    <w:p>
      <w:pPr>
        <w:spacing w:after="0" w:line="120"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We currently manage our exposure to foreign currency risk through internally established policies and procedures and, when deemed appropriate, through the use of derivative financial instruments, which we began using during the three months ending September 30, 2012. We use foreign exchange derivative contracts to manage short-term foreign currency risk.</w:t>
      </w:r>
    </w:p>
    <w:p>
      <w:pPr>
        <w:spacing w:after="0" w:line="14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Our objective is to hedge only those currency exposures that can be confidently identified and quantified and that may result in significant impacts to corporate cash or the consolidated income statement. Our policy does not allow speculation in derivative instruments for profit or execution of derivative instrument contracts for which there are no underlying exposures. We do not use financial instruments for trading purposes and are not a party to any leveraged derivatives.</w:t>
      </w:r>
    </w:p>
    <w:p>
      <w:pPr>
        <w:spacing w:after="0" w:line="143"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Our current derivative contracts principally address foreign exchange fluctuation risk for the Euro versus the U.S. Dollar. We account for our derivative instruments as either assets or liabilities and carry them at fair value.</w:t>
      </w:r>
    </w:p>
    <w:p>
      <w:pPr>
        <w:spacing w:after="0" w:line="13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As of September 30, 2012 we had outstanding forward currency contracts not designated as hedging contracts with a notional value of ($18.3) million. These contracts are all short-term in nature. The fair value of these derivatives at September 30, 2012 was a net liability of $0.3 million and was recorded in accrued expenses and other current liabilities on the consolidated balance sheet. For the three and nine months ended September 30, 2012, $0.3 million of expense was recorded to Other, net on our consolidated and combined statement of operations. We did not enter into any derivative instruments for the year ending December 31, 2011.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September 30, 2012, our management, with the participation of our President and Chief Executive Officer and our Chief Financial Officer, evaluated the effectiveness of our disclosure controls and procedures pursuant to Rule 13a-15(b) promulgated under the Securities Exchange Act of 1934, as amended, or the Exchange Act. Based upon that evaluation, our President and Chief Executive Officer and our Chief Financial Officer concluded that, as of September 30, 2012,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September 30, 2012 that have materially affected, or are reasonably likely to materially affect, our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TripAdvisor and our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2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addition to the other information set forth in this Quarterly Report on Form 10-Q, you should carefully consider the factors discussed in Part I—Item 1A., “Risk Factors” in our Annual Report on Form 10-K for the year ended December 31, 2011 which could materially affect our business, financial condition or future results. During the quarter ended September 30, 2012, there have been no material changes in our risk factors from those disclosed in Part 1, Item 1A., “Risk Factors” in our Annual Report on Form 10-K for the fiscal year ended December 31, 2011.</w:t>
      </w:r>
    </w:p>
    <w:p>
      <w:pPr>
        <w:spacing w:after="0" w:line="22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During the quarter ended September 30, 2012,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0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gridSpan w:val="4"/>
          </w:tcPr>
          <w:p>
            <w:pPr>
              <w:ind w:left="140"/>
              <w:spacing w:after="0"/>
              <w:rPr>
                <w:sz w:val="20"/>
                <w:szCs w:val="20"/>
                <w:color w:val="auto"/>
              </w:rPr>
            </w:pPr>
            <w:r>
              <w:rPr>
                <w:rFonts w:ascii="Arial" w:cs="Arial" w:eastAsia="Arial" w:hAnsi="Arial"/>
                <w:sz w:val="14"/>
                <w:szCs w:val="14"/>
                <w:b w:val="1"/>
                <w:bCs w:val="1"/>
                <w:color w:val="auto"/>
              </w:rPr>
              <w:t>Filed</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9"/>
        </w:trPr>
        <w:tc>
          <w:tcPr>
            <w:tcW w:w="460" w:type="dxa"/>
            <w:vAlign w:val="bottom"/>
            <w:tcBorders>
              <w:bottom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2"/>
                <w:szCs w:val="12"/>
                <w:color w:val="auto"/>
              </w:rPr>
            </w:pPr>
          </w:p>
        </w:tc>
        <w:tc>
          <w:tcPr>
            <w:tcW w:w="5780" w:type="dxa"/>
            <w:vAlign w:val="bottom"/>
            <w:gridSpan w:val="2"/>
          </w:tcPr>
          <w:p>
            <w:pPr>
              <w:ind w:left="2100"/>
              <w:spacing w:after="0" w:line="129" w:lineRule="exact"/>
              <w:rPr>
                <w:sz w:val="20"/>
                <w:szCs w:val="20"/>
                <w:color w:val="auto"/>
              </w:rPr>
            </w:pPr>
            <w:r>
              <w:rPr>
                <w:rFonts w:ascii="Arial" w:cs="Arial" w:eastAsia="Arial" w:hAnsi="Arial"/>
                <w:sz w:val="14"/>
                <w:szCs w:val="14"/>
                <w:b w:val="1"/>
                <w:bCs w:val="1"/>
                <w:color w:val="auto"/>
              </w:rPr>
              <w:t>Exhibit Description</w:t>
            </w:r>
          </w:p>
        </w:tc>
        <w:tc>
          <w:tcPr>
            <w:tcW w:w="1880" w:type="dxa"/>
            <w:vAlign w:val="bottom"/>
            <w:gridSpan w:val="4"/>
          </w:tcPr>
          <w:p>
            <w:pPr>
              <w:jc w:val="right"/>
              <w:ind w:right="1340"/>
              <w:spacing w:after="0" w:line="129" w:lineRule="exact"/>
              <w:rPr>
                <w:sz w:val="20"/>
                <w:szCs w:val="20"/>
                <w:color w:val="auto"/>
              </w:rPr>
            </w:pPr>
            <w:r>
              <w:rPr>
                <w:rFonts w:ascii="Arial" w:cs="Arial" w:eastAsia="Arial" w:hAnsi="Arial"/>
                <w:sz w:val="14"/>
                <w:szCs w:val="14"/>
                <w:b w:val="1"/>
                <w:bCs w:val="1"/>
                <w:color w:val="auto"/>
                <w:w w:val="87"/>
              </w:rPr>
              <w:t>Herewith</w:t>
            </w:r>
          </w:p>
        </w:tc>
        <w:tc>
          <w:tcPr>
            <w:tcW w:w="2120" w:type="dxa"/>
            <w:vAlign w:val="bottom"/>
            <w:gridSpan w:val="4"/>
          </w:tcPr>
          <w:p>
            <w:pPr>
              <w:ind w:left="220"/>
              <w:spacing w:after="0" w:line="129" w:lineRule="exact"/>
              <w:rPr>
                <w:sz w:val="20"/>
                <w:szCs w:val="20"/>
                <w:color w:val="auto"/>
              </w:rPr>
            </w:pPr>
            <w:r>
              <w:rPr>
                <w:rFonts w:ascii="Arial" w:cs="Arial" w:eastAsia="Arial" w:hAnsi="Arial"/>
                <w:sz w:val="14"/>
                <w:szCs w:val="14"/>
                <w:b w:val="1"/>
                <w:bCs w:val="1"/>
                <w:color w:val="auto"/>
              </w:rPr>
              <w:t>Incorporated by Reference</w:t>
            </w:r>
          </w:p>
        </w:tc>
        <w:tc>
          <w:tcPr>
            <w:tcW w:w="640" w:type="dxa"/>
            <w:vAlign w:val="bottom"/>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29"/>
        </w:trPr>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Form</w:t>
            </w:r>
          </w:p>
        </w:tc>
        <w:tc>
          <w:tcPr>
            <w:tcW w:w="12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SEC File No.</w:t>
            </w: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line="129" w:lineRule="exact"/>
              <w:rPr>
                <w:sz w:val="20"/>
                <w:szCs w:val="20"/>
                <w:color w:val="auto"/>
              </w:rPr>
            </w:pPr>
            <w:r>
              <w:rPr>
                <w:rFonts w:ascii="Arial" w:cs="Arial" w:eastAsia="Arial" w:hAnsi="Arial"/>
                <w:sz w:val="14"/>
                <w:szCs w:val="14"/>
                <w:b w:val="1"/>
                <w:bCs w:val="1"/>
                <w:color w:val="auto"/>
                <w:w w:val="86"/>
              </w:rPr>
              <w:t>Filing Date</w:t>
            </w:r>
          </w:p>
        </w:tc>
      </w:tr>
      <w:tr>
        <w:trPr>
          <w:trHeight w:val="296"/>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w w:val="95"/>
              </w:rPr>
              <w:t>Certification of the Chairman and Senior Executive Pursuant to Section 302</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of the Sarbanes-Oxley Act of 2002</w:t>
            </w:r>
          </w:p>
        </w:tc>
        <w:tc>
          <w:tcPr>
            <w:tcW w:w="1880" w:type="dxa"/>
            <w:vAlign w:val="bottom"/>
            <w:gridSpan w:val="4"/>
          </w:tcPr>
          <w:p>
            <w:pPr>
              <w:jc w:val="right"/>
              <w:ind w:right="1340"/>
              <w:spacing w:after="0"/>
              <w:rPr>
                <w:sz w:val="20"/>
                <w:szCs w:val="20"/>
                <w:color w:val="auto"/>
              </w:rPr>
            </w:pPr>
            <w:r>
              <w:rPr>
                <w:rFonts w:ascii="Arial" w:cs="Arial" w:eastAsia="Arial" w:hAnsi="Arial"/>
                <w:sz w:val="18"/>
                <w:szCs w:val="18"/>
                <w:color w:val="auto"/>
              </w:rPr>
              <w:t>X</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w w:val="99"/>
              </w:rPr>
              <w:t>Certification of the Chief Executive Officer Pursuant to Section 302 of the</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1880" w:type="dxa"/>
            <w:vAlign w:val="bottom"/>
            <w:gridSpan w:val="4"/>
          </w:tcPr>
          <w:p>
            <w:pPr>
              <w:jc w:val="right"/>
              <w:ind w:right="1340"/>
              <w:spacing w:after="0"/>
              <w:rPr>
                <w:sz w:val="20"/>
                <w:szCs w:val="20"/>
                <w:color w:val="auto"/>
              </w:rPr>
            </w:pPr>
            <w:r>
              <w:rPr>
                <w:rFonts w:ascii="Arial" w:cs="Arial" w:eastAsia="Arial" w:hAnsi="Arial"/>
                <w:sz w:val="18"/>
                <w:szCs w:val="18"/>
                <w:color w:val="auto"/>
              </w:rPr>
              <w:t>X</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31.3</w:t>
            </w:r>
          </w:p>
        </w:tc>
        <w:tc>
          <w:tcPr>
            <w:tcW w:w="54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Certification of the Chief Financial Officer pursuant Section 302 of the</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1880" w:type="dxa"/>
            <w:vAlign w:val="bottom"/>
            <w:gridSpan w:val="4"/>
          </w:tcPr>
          <w:p>
            <w:pPr>
              <w:jc w:val="right"/>
              <w:ind w:right="1340"/>
              <w:spacing w:after="0"/>
              <w:rPr>
                <w:sz w:val="20"/>
                <w:szCs w:val="20"/>
                <w:color w:val="auto"/>
              </w:rPr>
            </w:pPr>
            <w:r>
              <w:rPr>
                <w:rFonts w:ascii="Arial" w:cs="Arial" w:eastAsia="Arial" w:hAnsi="Arial"/>
                <w:sz w:val="18"/>
                <w:szCs w:val="18"/>
                <w:color w:val="auto"/>
              </w:rPr>
              <w:t>X</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w w:val="96"/>
              </w:rPr>
              <w:t>Certification of the Chairman and Senior Executive pursuant Section 906 of</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the Sarbanes-Oxley Act of 2002</w:t>
            </w:r>
          </w:p>
        </w:tc>
        <w:tc>
          <w:tcPr>
            <w:tcW w:w="1880" w:type="dxa"/>
            <w:vAlign w:val="bottom"/>
            <w:gridSpan w:val="4"/>
          </w:tcPr>
          <w:p>
            <w:pPr>
              <w:jc w:val="right"/>
              <w:ind w:right="1340"/>
              <w:spacing w:after="0"/>
              <w:rPr>
                <w:sz w:val="20"/>
                <w:szCs w:val="20"/>
                <w:color w:val="auto"/>
              </w:rPr>
            </w:pPr>
            <w:r>
              <w:rPr>
                <w:rFonts w:ascii="Arial" w:cs="Arial" w:eastAsia="Arial" w:hAnsi="Arial"/>
                <w:sz w:val="18"/>
                <w:szCs w:val="18"/>
                <w:color w:val="auto"/>
              </w:rPr>
              <w:t>X</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Certification of the Chief Executive Officer pursuant Section 906 of the</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1880" w:type="dxa"/>
            <w:vAlign w:val="bottom"/>
            <w:gridSpan w:val="4"/>
          </w:tcPr>
          <w:p>
            <w:pPr>
              <w:jc w:val="right"/>
              <w:ind w:right="1340"/>
              <w:spacing w:after="0"/>
              <w:rPr>
                <w:sz w:val="20"/>
                <w:szCs w:val="20"/>
                <w:color w:val="auto"/>
              </w:rPr>
            </w:pPr>
            <w:r>
              <w:rPr>
                <w:rFonts w:ascii="Arial" w:cs="Arial" w:eastAsia="Arial" w:hAnsi="Arial"/>
                <w:sz w:val="18"/>
                <w:szCs w:val="18"/>
                <w:color w:val="auto"/>
              </w:rPr>
              <w:t>X</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32.3</w:t>
            </w:r>
          </w:p>
        </w:tc>
        <w:tc>
          <w:tcPr>
            <w:tcW w:w="54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Certification of the Chief Financial Officer pursuant Section 906 of the</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1880" w:type="dxa"/>
            <w:vAlign w:val="bottom"/>
            <w:gridSpan w:val="4"/>
          </w:tcPr>
          <w:p>
            <w:pPr>
              <w:jc w:val="right"/>
              <w:ind w:right="1340"/>
              <w:spacing w:after="0"/>
              <w:rPr>
                <w:sz w:val="20"/>
                <w:szCs w:val="20"/>
                <w:color w:val="auto"/>
              </w:rPr>
            </w:pPr>
            <w:r>
              <w:rPr>
                <w:rFonts w:ascii="Arial" w:cs="Arial" w:eastAsia="Arial" w:hAnsi="Arial"/>
                <w:sz w:val="18"/>
                <w:szCs w:val="18"/>
                <w:color w:val="auto"/>
              </w:rPr>
              <w:t>X</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65"/>
        </w:trPr>
        <w:tc>
          <w:tcPr>
            <w:tcW w:w="460" w:type="dxa"/>
            <w:vAlign w:val="bottom"/>
          </w:tcPr>
          <w:p>
            <w:pPr>
              <w:spacing w:after="0"/>
              <w:rPr>
                <w:sz w:val="24"/>
                <w:szCs w:val="24"/>
                <w:color w:val="auto"/>
              </w:rPr>
            </w:pPr>
          </w:p>
        </w:tc>
        <w:tc>
          <w:tcPr>
            <w:tcW w:w="5860" w:type="dxa"/>
            <w:vAlign w:val="bottom"/>
            <w:gridSpan w:val="2"/>
          </w:tcPr>
          <w:p>
            <w:pPr>
              <w:jc w:val="right"/>
              <w:ind w:right="434"/>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jc w:val="right"/>
              <w:ind w:right="452"/>
              <w:spacing w:after="0"/>
              <w:rPr>
                <w:sz w:val="20"/>
                <w:szCs w:val="20"/>
                <w:color w:val="auto"/>
              </w:rPr>
            </w:pPr>
            <w:r>
              <w:rPr>
                <w:rFonts w:ascii="Arial" w:cs="Arial" w:eastAsia="Arial" w:hAnsi="Arial"/>
                <w:sz w:val="18"/>
                <w:szCs w:val="18"/>
                <w:color w:val="auto"/>
                <w:w w:val="91"/>
              </w:rPr>
              <w:t>101*</w:t>
            </w:r>
          </w:p>
        </w:tc>
        <w:tc>
          <w:tcPr>
            <w:tcW w:w="8280" w:type="dxa"/>
            <w:vAlign w:val="bottom"/>
          </w:tcPr>
          <w:p>
            <w:pPr>
              <w:ind w:left="540"/>
              <w:spacing w:after="0"/>
              <w:rPr>
                <w:sz w:val="20"/>
                <w:szCs w:val="20"/>
                <w:color w:val="auto"/>
              </w:rPr>
            </w:pPr>
            <w:r>
              <w:rPr>
                <w:rFonts w:ascii="Arial" w:cs="Arial" w:eastAsia="Arial" w:hAnsi="Arial"/>
                <w:sz w:val="18"/>
                <w:szCs w:val="18"/>
                <w:color w:val="auto"/>
                <w:w w:val="90"/>
              </w:rPr>
              <w:t>The following financial statements from the Company’s Quarterly Report on Form 10-Q for the period ended</w:t>
            </w:r>
          </w:p>
        </w:tc>
      </w:tr>
      <w:tr>
        <w:trPr>
          <w:trHeight w:val="216"/>
        </w:trPr>
        <w:tc>
          <w:tcPr>
            <w:tcW w:w="900" w:type="dxa"/>
            <w:vAlign w:val="bottom"/>
          </w:tcPr>
          <w:p>
            <w:pPr>
              <w:spacing w:after="0"/>
              <w:rPr>
                <w:sz w:val="18"/>
                <w:szCs w:val="18"/>
                <w:color w:val="auto"/>
              </w:rPr>
            </w:pPr>
          </w:p>
        </w:tc>
        <w:tc>
          <w:tcPr>
            <w:tcW w:w="8280" w:type="dxa"/>
            <w:vAlign w:val="bottom"/>
          </w:tcPr>
          <w:p>
            <w:pPr>
              <w:ind w:left="540"/>
              <w:spacing w:after="0"/>
              <w:rPr>
                <w:sz w:val="20"/>
                <w:szCs w:val="20"/>
                <w:color w:val="auto"/>
              </w:rPr>
            </w:pPr>
            <w:r>
              <w:rPr>
                <w:rFonts w:ascii="Arial" w:cs="Arial" w:eastAsia="Arial" w:hAnsi="Arial"/>
                <w:sz w:val="18"/>
                <w:szCs w:val="18"/>
                <w:color w:val="auto"/>
                <w:w w:val="98"/>
              </w:rPr>
              <w:t>September 30, 2012, formatted in XBRL: (i) Unaudited Consolidated and Combined Statements of</w:t>
            </w:r>
          </w:p>
        </w:tc>
      </w:tr>
      <w:tr>
        <w:trPr>
          <w:trHeight w:val="216"/>
        </w:trPr>
        <w:tc>
          <w:tcPr>
            <w:tcW w:w="900" w:type="dxa"/>
            <w:vAlign w:val="bottom"/>
          </w:tcPr>
          <w:p>
            <w:pPr>
              <w:spacing w:after="0"/>
              <w:rPr>
                <w:sz w:val="18"/>
                <w:szCs w:val="18"/>
                <w:color w:val="auto"/>
              </w:rPr>
            </w:pPr>
          </w:p>
        </w:tc>
        <w:tc>
          <w:tcPr>
            <w:tcW w:w="8280" w:type="dxa"/>
            <w:vAlign w:val="bottom"/>
          </w:tcPr>
          <w:p>
            <w:pPr>
              <w:ind w:left="540"/>
              <w:spacing w:after="0"/>
              <w:rPr>
                <w:sz w:val="20"/>
                <w:szCs w:val="20"/>
                <w:color w:val="auto"/>
              </w:rPr>
            </w:pPr>
            <w:r>
              <w:rPr>
                <w:rFonts w:ascii="Arial" w:cs="Arial" w:eastAsia="Arial" w:hAnsi="Arial"/>
                <w:sz w:val="18"/>
                <w:szCs w:val="18"/>
                <w:color w:val="auto"/>
                <w:w w:val="88"/>
              </w:rPr>
              <w:t>Operations, (ii) Unaudited Consolidated and Combined Statements of Comprehensive Income, (iii) Unaudited</w:t>
            </w:r>
          </w:p>
        </w:tc>
      </w:tr>
      <w:tr>
        <w:trPr>
          <w:trHeight w:val="222"/>
        </w:trPr>
        <w:tc>
          <w:tcPr>
            <w:tcW w:w="900" w:type="dxa"/>
            <w:vAlign w:val="bottom"/>
          </w:tcPr>
          <w:p>
            <w:pPr>
              <w:spacing w:after="0"/>
              <w:rPr>
                <w:sz w:val="19"/>
                <w:szCs w:val="19"/>
                <w:color w:val="auto"/>
              </w:rPr>
            </w:pPr>
          </w:p>
        </w:tc>
        <w:tc>
          <w:tcPr>
            <w:tcW w:w="8280" w:type="dxa"/>
            <w:vAlign w:val="bottom"/>
          </w:tcPr>
          <w:p>
            <w:pPr>
              <w:ind w:left="540"/>
              <w:spacing w:after="0"/>
              <w:rPr>
                <w:sz w:val="20"/>
                <w:szCs w:val="20"/>
                <w:color w:val="auto"/>
              </w:rPr>
            </w:pPr>
            <w:r>
              <w:rPr>
                <w:rFonts w:ascii="Arial" w:cs="Arial" w:eastAsia="Arial" w:hAnsi="Arial"/>
                <w:sz w:val="18"/>
                <w:szCs w:val="18"/>
                <w:color w:val="auto"/>
                <w:w w:val="91"/>
              </w:rPr>
              <w:t>Consolidated Balance Sheets, (iv) Unaudited Consolidated Statement of Changes in Stockholders’ Equity,</w:t>
            </w:r>
          </w:p>
        </w:tc>
      </w:tr>
    </w:tbl>
    <w:p>
      <w:pPr>
        <w:ind w:left="1440" w:right="3020"/>
        <w:spacing w:after="0" w:line="323" w:lineRule="auto"/>
        <w:tabs>
          <w:tab w:leader="none" w:pos="1689" w:val="left"/>
        </w:tabs>
        <w:numPr>
          <w:ilvl w:val="1"/>
          <w:numId w:val="18"/>
        </w:numPr>
        <w:rPr>
          <w:rFonts w:ascii="Arial" w:cs="Arial" w:eastAsia="Arial" w:hAnsi="Arial"/>
          <w:sz w:val="16"/>
          <w:szCs w:val="16"/>
          <w:color w:val="auto"/>
        </w:rPr>
      </w:pPr>
      <w:r>
        <w:rPr>
          <w:rFonts w:ascii="Arial" w:cs="Arial" w:eastAsia="Arial" w:hAnsi="Arial"/>
          <w:sz w:val="16"/>
          <w:szCs w:val="16"/>
          <w:color w:val="auto"/>
        </w:rPr>
        <w:t>Unaudited Consolidated and Combined Statements of Cash Flows, and (vi) Unaudited Notes to Consolidated and Combined Financial Statements, tagged as blocks of text.</w:t>
      </w:r>
    </w:p>
    <w:p>
      <w:pPr>
        <w:spacing w:after="0" w:line="133" w:lineRule="exact"/>
        <w:rPr>
          <w:rFonts w:ascii="Arial" w:cs="Arial" w:eastAsia="Arial" w:hAnsi="Arial"/>
          <w:sz w:val="16"/>
          <w:szCs w:val="16"/>
          <w:color w:val="auto"/>
        </w:rPr>
      </w:pPr>
    </w:p>
    <w:p>
      <w:pPr>
        <w:ind w:left="220" w:hanging="216"/>
        <w:spacing w:after="0" w:line="259" w:lineRule="auto"/>
        <w:rPr>
          <w:rFonts w:ascii="Arial" w:cs="Arial" w:eastAsia="Arial" w:hAnsi="Arial"/>
          <w:sz w:val="16"/>
          <w:szCs w:val="16"/>
          <w:color w:val="auto"/>
        </w:rPr>
      </w:pPr>
      <w:r>
        <w:rPr>
          <w:rFonts w:ascii="Arial" w:cs="Arial" w:eastAsia="Arial" w:hAnsi="Arial"/>
          <w:sz w:val="18"/>
          <w:szCs w:val="18"/>
          <w:color w:val="auto"/>
        </w:rPr>
        <w:t>* 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TripAdvisor, Inc.</w:t>
      </w:r>
    </w:p>
    <w:p>
      <w:pPr>
        <w:spacing w:after="0" w:line="225" w:lineRule="exact"/>
        <w:rPr>
          <w:sz w:val="20"/>
          <w:szCs w:val="20"/>
          <w:color w:val="auto"/>
        </w:rPr>
      </w:pPr>
    </w:p>
    <w:p>
      <w:pPr>
        <w:ind w:left="6860"/>
        <w:spacing w:after="0"/>
        <w:tabs>
          <w:tab w:leader="none" w:pos="8360" w:val="left"/>
          <w:tab w:leader="none" w:pos="8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J</w:t>
      </w:r>
      <w:r>
        <w:rPr>
          <w:rFonts w:ascii="Arial" w:cs="Arial" w:eastAsia="Arial" w:hAnsi="Arial"/>
          <w:sz w:val="14"/>
          <w:szCs w:val="14"/>
          <w:color w:val="auto"/>
        </w:rPr>
        <w:t>ULIE</w:t>
      </w:r>
      <w:r>
        <w:rPr>
          <w:rFonts w:ascii="Arial" w:cs="Arial" w:eastAsia="Arial" w:hAnsi="Arial"/>
          <w:sz w:val="18"/>
          <w:szCs w:val="18"/>
          <w:color w:val="auto"/>
        </w:rPr>
        <w:t xml:space="preserve"> M.B. B</w:t>
      </w:r>
      <w:r>
        <w:rPr>
          <w:rFonts w:ascii="Arial" w:cs="Arial" w:eastAsia="Arial" w:hAnsi="Arial"/>
          <w:sz w:val="14"/>
          <w:szCs w:val="14"/>
          <w:color w:val="auto"/>
        </w:rPr>
        <w:t>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Julie M.B. Bradley</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November 5, 2012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540"/>
          </w:cols>
          <w:pgMar w:left="240" w:top="459" w:right="11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Barry Diller, Chairman and Senior Executive of TripAdvisor, Inc., certify that:</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2012 of TripAdvisor,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November 5, 2012</w:t>
      </w:r>
      <w:r>
        <w:rPr>
          <w:sz w:val="20"/>
          <w:szCs w:val="20"/>
          <w:color w:val="auto"/>
        </w:rPr>
        <w:tab/>
      </w:r>
      <w:r>
        <w:rPr>
          <w:rFonts w:ascii="Arial" w:cs="Arial" w:eastAsia="Arial" w:hAnsi="Arial"/>
          <w:sz w:val="16"/>
          <w:szCs w:val="16"/>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Barry Diller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Chairman and Senior Executive</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2012 of TripAdvisor,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November 5, 2012</w:t>
      </w:r>
      <w:r>
        <w:rPr>
          <w:sz w:val="20"/>
          <w:szCs w:val="20"/>
          <w:color w:val="auto"/>
        </w:rPr>
        <w:tab/>
      </w:r>
      <w:r>
        <w:rPr>
          <w:rFonts w:ascii="Arial" w:cs="Arial" w:eastAsia="Arial" w:hAnsi="Arial"/>
          <w:sz w:val="16"/>
          <w:szCs w:val="16"/>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Stephen Kaufer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Julie M.B. Bradley, Chief Financial Officer of TripAdvisor, Inc. certify that:</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2012 of TripAdvisor,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November 5, 2012</w:t>
      </w:r>
      <w:r>
        <w:rPr>
          <w:sz w:val="20"/>
          <w:szCs w:val="20"/>
          <w:color w:val="auto"/>
        </w:rPr>
        <w:tab/>
      </w:r>
      <w:r>
        <w:rPr>
          <w:rFonts w:ascii="Arial" w:cs="Arial" w:eastAsia="Arial" w:hAnsi="Arial"/>
          <w:sz w:val="16"/>
          <w:szCs w:val="16"/>
          <w:color w:val="auto"/>
        </w:rPr>
        <w:t>/s/ 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Julie M.B. Bradley</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September 30, 2012, as filed with the Securities and Exchange Commission on the date hereof (the “Report”), I, Barry Diller, Chairman and Senior Executive of the Company, certify, pursuant to Section 906 of the Sarbanes-Oxley Act of 2002, 18 U.S.C. Section 1350, that:</w:t>
      </w:r>
    </w:p>
    <w:p>
      <w:pPr>
        <w:spacing w:after="0" w:line="181" w:lineRule="exact"/>
        <w:rPr>
          <w:sz w:val="20"/>
          <w:szCs w:val="20"/>
          <w:color w:val="auto"/>
        </w:rPr>
      </w:pPr>
    </w:p>
    <w:p>
      <w:pPr>
        <w:ind w:left="460" w:right="34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November 5, 2012</w:t>
      </w:r>
      <w:r>
        <w:rPr>
          <w:sz w:val="20"/>
          <w:szCs w:val="20"/>
          <w:color w:val="auto"/>
        </w:rPr>
        <w:tab/>
      </w:r>
      <w:r>
        <w:rPr>
          <w:rFonts w:ascii="Arial" w:cs="Arial" w:eastAsia="Arial" w:hAnsi="Arial"/>
          <w:sz w:val="16"/>
          <w:szCs w:val="16"/>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Barry Diller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Chairman and Senior Executive</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September 30, 2012, as filed with the Securities and Exchange Commission on the date hereof (the “Report”), I, Stephen Kaufer, Chief Executive Officer of the Company, certify, pursuant to Section 906 of the Sarbanes-Oxley Act of 2002, 18 U.S.C. Section 1350, that:</w:t>
      </w:r>
    </w:p>
    <w:p>
      <w:pPr>
        <w:spacing w:after="0" w:line="181" w:lineRule="exact"/>
        <w:rPr>
          <w:sz w:val="20"/>
          <w:szCs w:val="20"/>
          <w:color w:val="auto"/>
        </w:rPr>
      </w:pPr>
    </w:p>
    <w:p>
      <w:pPr>
        <w:ind w:left="460" w:right="34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November 5, 2012</w:t>
      </w:r>
      <w:r>
        <w:rPr>
          <w:sz w:val="20"/>
          <w:szCs w:val="20"/>
          <w:color w:val="auto"/>
        </w:rPr>
        <w:tab/>
      </w:r>
      <w:r>
        <w:rPr>
          <w:rFonts w:ascii="Arial" w:cs="Arial" w:eastAsia="Arial" w:hAnsi="Arial"/>
          <w:sz w:val="16"/>
          <w:szCs w:val="16"/>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Stephen Kaufer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September 30, 2012, as filed with the Securities and Exchange Commission on the date hereof (the “Report”), I, Julie M.B. Bradley, Chief Financial Officer of the Company, certify, pursuant to Section 906 of the Sarbanes-Oxley Act of 2002, 18 U.S.C. Section 1350, that:</w:t>
      </w:r>
    </w:p>
    <w:p>
      <w:pPr>
        <w:spacing w:after="0" w:line="181" w:lineRule="exact"/>
        <w:rPr>
          <w:sz w:val="20"/>
          <w:szCs w:val="20"/>
          <w:color w:val="auto"/>
        </w:rPr>
      </w:pPr>
    </w:p>
    <w:p>
      <w:pPr>
        <w:ind w:left="460" w:right="34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November 5, 2012</w:t>
      </w:r>
      <w:r>
        <w:rPr>
          <w:sz w:val="20"/>
          <w:szCs w:val="20"/>
          <w:color w:val="auto"/>
        </w:rPr>
        <w:tab/>
      </w:r>
      <w:r>
        <w:rPr>
          <w:rFonts w:ascii="Arial" w:cs="Arial" w:eastAsia="Arial" w:hAnsi="Arial"/>
          <w:sz w:val="16"/>
          <w:szCs w:val="16"/>
          <w:color w:val="auto"/>
        </w:rPr>
        <w:t>/s/ 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Julie M.B. Bradley</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2"/>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3"/>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lvl w:ilvl="1">
      <w:lvlJc w:val="left"/>
      <w:lvlText w:val="(%2)"/>
      <w:numFmt w:val="lowerRoman"/>
      <w:start w:val="5"/>
    </w:lvl>
  </w:abstractNum>
  <w:abstractNum w:abstractNumId="18">
    <w:nsid w:val="333AB105"/>
    <w:multiLevelType w:val="hybridMultilevel"/>
    <w:lvl w:ilvl="0">
      <w:lvlJc w:val="left"/>
      <w:lvlText w:val="%1."/>
      <w:numFmt w:val="decimal"/>
      <w:start w:val="1"/>
    </w:lvl>
    <w:lvl w:ilvl="1">
      <w:lvlJc w:val="left"/>
      <w:lvlText w:val="%2."/>
      <w:numFmt w:val="lowerLetter"/>
      <w:start w:val="1"/>
    </w:lvl>
  </w:abstractNum>
  <w:abstractNum w:abstractNumId="19">
    <w:nsid w:val="721DA317"/>
    <w:multiLevelType w:val="hybridMultilevel"/>
    <w:lvl w:ilvl="0">
      <w:lvlJc w:val="left"/>
      <w:lvlText w:val="%1."/>
      <w:numFmt w:val="decimal"/>
      <w:start w:val="1"/>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2019-12-09T19:23:46Z</dcterms:created>
  <dcterms:modified xsi:type="dcterms:W3CDTF">2019-12-09T19:23:46Z</dcterms:modified>
</cp:coreProperties>
</file>