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55880</wp:posOffset>
            </wp:positionV>
            <wp:extent cx="23717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71725" cy="8255"/>
                    </a:xfrm>
                    <a:prstGeom prst="rect">
                      <a:avLst/>
                    </a:prstGeom>
                    <a:noFill/>
                  </pic:spPr>
                </pic:pic>
              </a:graphicData>
            </a:graphic>
          </wp:anchor>
        </w:drawing>
      </w:r>
    </w:p>
    <w:p>
      <w:pPr>
        <w:spacing w:after="0" w:line="9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60"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-120015</wp:posOffset>
            </wp:positionV>
            <wp:extent cx="23717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71725" cy="8255"/>
                    </a:xfrm>
                    <a:prstGeom prst="rect">
                      <a:avLst/>
                    </a:prstGeom>
                    <a:noFill/>
                  </pic:spPr>
                </pic:pic>
              </a:graphicData>
            </a:graphic>
          </wp:anchor>
        </w:drawing>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2023</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3"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33" w:lineRule="exact"/>
        <w:rPr>
          <w:sz w:val="24"/>
          <w:szCs w:val="24"/>
          <w:color w:val="auto"/>
        </w:rPr>
      </w:pPr>
    </w:p>
    <w:p>
      <w:pPr>
        <w:ind w:left="4260"/>
        <w:spacing w:after="0"/>
        <w:tabs>
          <w:tab w:leader="none" w:pos="646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Commission file number: 001-35362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55880</wp:posOffset>
            </wp:positionV>
            <wp:extent cx="23717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71725" cy="8255"/>
                    </a:xfrm>
                    <a:prstGeom prst="rect">
                      <a:avLst/>
                    </a:prstGeom>
                    <a:noFill/>
                  </pic:spPr>
                </pic:pic>
              </a:graphicData>
            </a:graphic>
          </wp:anchor>
        </w:drawing>
      </w: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394"/>
        </w:trPr>
        <w:tc>
          <w:tcPr>
            <w:tcW w:w="7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60" w:type="dxa"/>
            <w:vAlign w:val="bottom"/>
            <w:gridSpan w:val="2"/>
          </w:tcPr>
          <w:p>
            <w:pPr>
              <w:ind w:left="260"/>
              <w:spacing w:after="0"/>
              <w:rPr>
                <w:sz w:val="20"/>
                <w:szCs w:val="20"/>
                <w:color w:val="auto"/>
              </w:rPr>
            </w:pPr>
            <w:r>
              <w:rPr>
                <w:rFonts w:ascii="Times New Roman" w:cs="Times New Roman" w:eastAsia="Times New Roman" w:hAnsi="Times New Roman"/>
                <w:sz w:val="32"/>
                <w:szCs w:val="32"/>
                <w:b w:val="1"/>
                <w:bCs w:val="1"/>
                <w:color w:val="auto"/>
              </w:rPr>
              <w:t>TRIPADVISOR, INC.</w:t>
            </w:r>
          </w:p>
        </w:tc>
        <w:tc>
          <w:tcPr>
            <w:tcW w:w="3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7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60" w:type="dxa"/>
            <w:vAlign w:val="bottom"/>
            <w:gridSpan w:val="2"/>
          </w:tcPr>
          <w:p>
            <w:pPr>
              <w:jc w:val="center"/>
              <w:ind w:left="216"/>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c>
          <w:tcPr>
            <w:tcW w:w="36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700" w:type="dxa"/>
            <w:vAlign w:val="bottom"/>
          </w:tcPr>
          <w:p>
            <w:pPr>
              <w:spacing w:after="0"/>
              <w:rPr>
                <w:sz w:val="5"/>
                <w:szCs w:val="5"/>
                <w:color w:val="auto"/>
              </w:rPr>
            </w:pPr>
          </w:p>
        </w:tc>
        <w:tc>
          <w:tcPr>
            <w:tcW w:w="2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3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700" w:type="dxa"/>
            <w:vAlign w:val="bottom"/>
          </w:tcPr>
          <w:p>
            <w:pPr>
              <w:spacing w:after="0"/>
              <w:rPr>
                <w:sz w:val="20"/>
                <w:szCs w:val="20"/>
                <w:color w:val="auto"/>
              </w:rPr>
            </w:pPr>
          </w:p>
        </w:tc>
        <w:tc>
          <w:tcPr>
            <w:tcW w:w="2960" w:type="dxa"/>
            <w:vAlign w:val="bottom"/>
            <w:gridSpan w:val="2"/>
          </w:tcPr>
          <w:p>
            <w:pPr>
              <w:jc w:val="center"/>
              <w:ind w:left="1106"/>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980" w:type="dxa"/>
            <w:vAlign w:val="bottom"/>
            <w:gridSpan w:val="2"/>
          </w:tcPr>
          <w:p>
            <w:pPr>
              <w:jc w:val="center"/>
              <w:ind w:right="1211"/>
              <w:spacing w:after="0"/>
              <w:rPr>
                <w:sz w:val="20"/>
                <w:szCs w:val="20"/>
                <w:color w:val="auto"/>
              </w:rPr>
            </w:pPr>
            <w:r>
              <w:rPr>
                <w:rFonts w:ascii="Times New Roman" w:cs="Times New Roman" w:eastAsia="Times New Roman" w:hAnsi="Times New Roman"/>
                <w:sz w:val="14"/>
                <w:szCs w:val="14"/>
                <w:b w:val="1"/>
                <w:bCs w:val="1"/>
                <w:color w:val="auto"/>
              </w:rPr>
              <w:t>80-0743202</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2960" w:type="dxa"/>
            <w:vAlign w:val="bottom"/>
            <w:gridSpan w:val="2"/>
          </w:tcPr>
          <w:p>
            <w:pPr>
              <w:jc w:val="center"/>
              <w:ind w:left="1086"/>
              <w:spacing w:after="0" w:line="149" w:lineRule="exact"/>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20" w:type="dxa"/>
            <w:vAlign w:val="bottom"/>
          </w:tcPr>
          <w:p>
            <w:pPr>
              <w:jc w:val="center"/>
              <w:ind w:right="1571"/>
              <w:spacing w:after="0" w:line="149" w:lineRule="exact"/>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178"/>
        </w:trPr>
        <w:tc>
          <w:tcPr>
            <w:tcW w:w="700" w:type="dxa"/>
            <w:vAlign w:val="bottom"/>
          </w:tcPr>
          <w:p>
            <w:pPr>
              <w:spacing w:after="0"/>
              <w:rPr>
                <w:sz w:val="15"/>
                <w:szCs w:val="15"/>
                <w:color w:val="auto"/>
              </w:rPr>
            </w:pPr>
          </w:p>
        </w:tc>
        <w:tc>
          <w:tcPr>
            <w:tcW w:w="2960" w:type="dxa"/>
            <w:vAlign w:val="bottom"/>
            <w:gridSpan w:val="2"/>
          </w:tcPr>
          <w:p>
            <w:pPr>
              <w:jc w:val="center"/>
              <w:ind w:left="1086"/>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20" w:type="dxa"/>
            <w:vAlign w:val="bottom"/>
          </w:tcPr>
          <w:p>
            <w:pPr>
              <w:jc w:val="center"/>
              <w:ind w:right="1571"/>
              <w:spacing w:after="0"/>
              <w:rPr>
                <w:sz w:val="20"/>
                <w:szCs w:val="20"/>
                <w:color w:val="auto"/>
              </w:rPr>
            </w:pPr>
            <w:r>
              <w:rPr>
                <w:rFonts w:ascii="Times New Roman" w:cs="Times New Roman" w:eastAsia="Times New Roman" w:hAnsi="Times New Roman"/>
                <w:sz w:val="13"/>
                <w:szCs w:val="13"/>
                <w:b w:val="1"/>
                <w:bCs w:val="1"/>
                <w:color w:val="auto"/>
              </w:rPr>
              <w:t>Identification No.)</w:t>
            </w:r>
          </w:p>
        </w:tc>
        <w:tc>
          <w:tcPr>
            <w:tcW w:w="0" w:type="dxa"/>
            <w:vAlign w:val="bottom"/>
          </w:tcPr>
          <w:p>
            <w:pPr>
              <w:spacing w:after="0"/>
              <w:rPr>
                <w:sz w:val="1"/>
                <w:szCs w:val="1"/>
                <w:color w:val="auto"/>
              </w:rPr>
            </w:pPr>
          </w:p>
        </w:tc>
      </w:tr>
      <w:tr>
        <w:trPr>
          <w:trHeight w:val="178"/>
        </w:trPr>
        <w:tc>
          <w:tcPr>
            <w:tcW w:w="7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60" w:type="dxa"/>
            <w:vAlign w:val="bottom"/>
            <w:gridSpan w:val="2"/>
          </w:tcPr>
          <w:p>
            <w:pPr>
              <w:jc w:val="center"/>
              <w:ind w:left="236"/>
              <w:spacing w:after="0" w:line="178" w:lineRule="exact"/>
              <w:rPr>
                <w:sz w:val="20"/>
                <w:szCs w:val="20"/>
                <w:color w:val="auto"/>
              </w:rPr>
            </w:pPr>
            <w:r>
              <w:rPr>
                <w:rFonts w:ascii="Times New Roman" w:cs="Times New Roman" w:eastAsia="Times New Roman" w:hAnsi="Times New Roman"/>
                <w:sz w:val="14"/>
                <w:szCs w:val="14"/>
                <w:b w:val="1"/>
                <w:bCs w:val="1"/>
                <w:color w:val="auto"/>
                <w:w w:val="98"/>
              </w:rPr>
              <w:t>400 1</w:t>
            </w:r>
            <w:r>
              <w:rPr>
                <w:rFonts w:ascii="Times New Roman" w:cs="Times New Roman" w:eastAsia="Times New Roman" w:hAnsi="Times New Roman"/>
                <w:sz w:val="19"/>
                <w:szCs w:val="19"/>
                <w:b w:val="1"/>
                <w:bCs w:val="1"/>
                <w:color w:val="auto"/>
                <w:w w:val="98"/>
                <w:vertAlign w:val="superscript"/>
              </w:rPr>
              <w:t>st</w:t>
            </w:r>
            <w:r>
              <w:rPr>
                <w:rFonts w:ascii="Times New Roman" w:cs="Times New Roman" w:eastAsia="Times New Roman" w:hAnsi="Times New Roman"/>
                <w:sz w:val="14"/>
                <w:szCs w:val="14"/>
                <w:b w:val="1"/>
                <w:bCs w:val="1"/>
                <w:color w:val="auto"/>
                <w:w w:val="98"/>
              </w:rPr>
              <w:t xml:space="preserve"> Avenue</w:t>
            </w:r>
          </w:p>
        </w:tc>
        <w:tc>
          <w:tcPr>
            <w:tcW w:w="36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60" w:type="dxa"/>
            <w:vAlign w:val="bottom"/>
            <w:gridSpan w:val="2"/>
          </w:tcPr>
          <w:p>
            <w:pPr>
              <w:jc w:val="center"/>
              <w:ind w:left="216"/>
              <w:spacing w:after="0" w:line="156" w:lineRule="exact"/>
              <w:rPr>
                <w:sz w:val="20"/>
                <w:szCs w:val="20"/>
                <w:color w:val="auto"/>
              </w:rPr>
            </w:pPr>
            <w:r>
              <w:rPr>
                <w:rFonts w:ascii="Times New Roman" w:cs="Times New Roman" w:eastAsia="Times New Roman" w:hAnsi="Times New Roman"/>
                <w:sz w:val="14"/>
                <w:szCs w:val="14"/>
                <w:b w:val="1"/>
                <w:bCs w:val="1"/>
                <w:color w:val="auto"/>
              </w:rPr>
              <w:t>Needham, MA 02494</w:t>
            </w:r>
          </w:p>
        </w:tc>
        <w:tc>
          <w:tcPr>
            <w:tcW w:w="36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60" w:type="dxa"/>
            <w:vAlign w:val="bottom"/>
            <w:gridSpan w:val="2"/>
          </w:tcPr>
          <w:p>
            <w:pPr>
              <w:jc w:val="center"/>
              <w:ind w:left="196"/>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 (Zip Code)</w:t>
            </w:r>
          </w:p>
        </w:tc>
        <w:tc>
          <w:tcPr>
            <w:tcW w:w="36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340" w:type="dxa"/>
            <w:vAlign w:val="bottom"/>
            <w:gridSpan w:val="4"/>
          </w:tcPr>
          <w:p>
            <w:pPr>
              <w:jc w:val="center"/>
              <w:ind w:right="363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80" w:type="dxa"/>
            <w:vAlign w:val="bottom"/>
            <w:gridSpan w:val="4"/>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(781) 800-5000</w:t>
            </w:r>
          </w:p>
        </w:tc>
        <w:tc>
          <w:tcPr>
            <w:tcW w:w="3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700" w:type="dxa"/>
            <w:vAlign w:val="bottom"/>
          </w:tcPr>
          <w:p>
            <w:pPr>
              <w:spacing w:after="0"/>
              <w:rPr>
                <w:sz w:val="5"/>
                <w:szCs w:val="5"/>
                <w:color w:val="auto"/>
              </w:rPr>
            </w:pPr>
          </w:p>
        </w:tc>
        <w:tc>
          <w:tcPr>
            <w:tcW w:w="2680" w:type="dxa"/>
            <w:vAlign w:val="bottom"/>
          </w:tcPr>
          <w:p>
            <w:pPr>
              <w:spacing w:after="0"/>
              <w:rPr>
                <w:sz w:val="5"/>
                <w:szCs w:val="5"/>
                <w:color w:val="auto"/>
              </w:rPr>
            </w:pPr>
          </w:p>
        </w:tc>
        <w:tc>
          <w:tcPr>
            <w:tcW w:w="380" w:type="dxa"/>
            <w:vAlign w:val="bottom"/>
            <w:gridSpan w:val="2"/>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3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714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7"/>
        </w:trPr>
        <w:tc>
          <w:tcPr>
            <w:tcW w:w="700" w:type="dxa"/>
            <w:vAlign w:val="bottom"/>
          </w:tcPr>
          <w:p>
            <w:pPr>
              <w:spacing w:after="0"/>
              <w:rPr>
                <w:sz w:val="6"/>
                <w:szCs w:val="6"/>
                <w:color w:val="auto"/>
              </w:rPr>
            </w:pPr>
          </w:p>
        </w:tc>
        <w:tc>
          <w:tcPr>
            <w:tcW w:w="26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3980" w:type="dxa"/>
            <w:vAlign w:val="bottom"/>
            <w:tcBorders>
              <w:bottom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700" w:type="dxa"/>
            <w:vAlign w:val="bottom"/>
            <w:tcBorders>
              <w:right w:val="single" w:sz="8" w:color="auto"/>
            </w:tcBorders>
          </w:tcPr>
          <w:p>
            <w:pPr>
              <w:spacing w:after="0"/>
              <w:rPr>
                <w:sz w:val="19"/>
                <w:szCs w:val="19"/>
                <w:color w:val="auto"/>
              </w:rPr>
            </w:pP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jc w:val="center"/>
              <w:ind w:right="336"/>
              <w:spacing w:after="0"/>
              <w:rPr>
                <w:sz w:val="20"/>
                <w:szCs w:val="20"/>
                <w:color w:val="auto"/>
              </w:rPr>
            </w:pPr>
            <w:r>
              <w:rPr>
                <w:rFonts w:ascii="Times New Roman" w:cs="Times New Roman" w:eastAsia="Times New Roman" w:hAnsi="Times New Roman"/>
                <w:sz w:val="16"/>
                <w:szCs w:val="16"/>
                <w:color w:val="auto"/>
              </w:rPr>
              <w:t>Trading Symbol</w:t>
            </w:r>
          </w:p>
        </w:tc>
        <w:tc>
          <w:tcPr>
            <w:tcW w:w="1080" w:type="dxa"/>
            <w:vAlign w:val="bottom"/>
            <w:tcBorders>
              <w:bottom w:val="single" w:sz="8" w:color="auto"/>
            </w:tcBorders>
          </w:tcPr>
          <w:p>
            <w:pPr>
              <w:spacing w:after="0"/>
              <w:rPr>
                <w:sz w:val="19"/>
                <w:szCs w:val="19"/>
                <w:color w:val="auto"/>
              </w:rPr>
            </w:pPr>
          </w:p>
        </w:tc>
        <w:tc>
          <w:tcPr>
            <w:tcW w:w="3980" w:type="dxa"/>
            <w:vAlign w:val="bottom"/>
            <w:tcBorders>
              <w:bottom w:val="single" w:sz="8" w:color="auto"/>
              <w:right w:val="single" w:sz="8" w:color="auto"/>
            </w:tcBorders>
            <w:gridSpan w:val="2"/>
          </w:tcPr>
          <w:p>
            <w:pPr>
              <w:jc w:val="center"/>
              <w:ind w:right="1031"/>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0" w:type="dxa"/>
            <w:vAlign w:val="bottom"/>
          </w:tcPr>
          <w:p>
            <w:pPr>
              <w:spacing w:after="0"/>
              <w:rPr>
                <w:sz w:val="1"/>
                <w:szCs w:val="1"/>
                <w:color w:val="auto"/>
              </w:rPr>
            </w:pPr>
          </w:p>
        </w:tc>
      </w:tr>
      <w:tr>
        <w:trPr>
          <w:trHeight w:val="203"/>
        </w:trPr>
        <w:tc>
          <w:tcPr>
            <w:tcW w:w="700" w:type="dxa"/>
            <w:vAlign w:val="bottom"/>
            <w:tcBorders>
              <w:right w:val="single" w:sz="8" w:color="auto"/>
            </w:tcBorders>
          </w:tcPr>
          <w:p>
            <w:pPr>
              <w:spacing w:after="0"/>
              <w:rPr>
                <w:sz w:val="17"/>
                <w:szCs w:val="17"/>
                <w:color w:val="auto"/>
              </w:rPr>
            </w:pP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w:t>
            </w: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80" w:type="dxa"/>
            <w:vAlign w:val="bottom"/>
            <w:tcBorders>
              <w:bottom w:val="single" w:sz="8" w:color="auto"/>
              <w:right w:val="single" w:sz="8" w:color="auto"/>
            </w:tcBorders>
          </w:tcPr>
          <w:p>
            <w:pPr>
              <w:jc w:val="center"/>
              <w:ind w:right="336"/>
              <w:spacing w:after="0"/>
              <w:rPr>
                <w:sz w:val="20"/>
                <w:szCs w:val="20"/>
                <w:color w:val="auto"/>
              </w:rPr>
            </w:pPr>
            <w:r>
              <w:rPr>
                <w:rFonts w:ascii="Times New Roman" w:cs="Times New Roman" w:eastAsia="Times New Roman" w:hAnsi="Times New Roman"/>
                <w:sz w:val="16"/>
                <w:szCs w:val="16"/>
                <w:color w:val="auto"/>
                <w:w w:val="97"/>
              </w:rPr>
              <w:t>TRIP</w:t>
            </w:r>
          </w:p>
        </w:tc>
        <w:tc>
          <w:tcPr>
            <w:tcW w:w="1080" w:type="dxa"/>
            <w:vAlign w:val="bottom"/>
            <w:tcBorders>
              <w:bottom w:val="single" w:sz="8" w:color="auto"/>
            </w:tcBorders>
          </w:tcPr>
          <w:p>
            <w:pPr>
              <w:spacing w:after="0"/>
              <w:rPr>
                <w:sz w:val="17"/>
                <w:szCs w:val="17"/>
                <w:color w:val="auto"/>
              </w:rPr>
            </w:pPr>
          </w:p>
        </w:tc>
        <w:tc>
          <w:tcPr>
            <w:tcW w:w="3980" w:type="dxa"/>
            <w:vAlign w:val="bottom"/>
            <w:tcBorders>
              <w:bottom w:val="single" w:sz="8" w:color="auto"/>
              <w:right w:val="single" w:sz="8" w:color="auto"/>
            </w:tcBorders>
            <w:gridSpan w:val="2"/>
          </w:tcPr>
          <w:p>
            <w:pPr>
              <w:jc w:val="center"/>
              <w:ind w:right="1031"/>
              <w:spacing w:after="0"/>
              <w:rPr>
                <w:sz w:val="20"/>
                <w:szCs w:val="20"/>
                <w:color w:val="auto"/>
              </w:rPr>
            </w:pPr>
            <w:r>
              <w:rPr>
                <w:rFonts w:ascii="Times New Roman" w:cs="Times New Roman" w:eastAsia="Times New Roman" w:hAnsi="Times New Roman"/>
                <w:sz w:val="16"/>
                <w:szCs w:val="16"/>
                <w:color w:val="auto"/>
              </w:rPr>
              <w:t>The Nasdaq Global Select Market</w:t>
            </w:r>
          </w:p>
        </w:tc>
        <w:tc>
          <w:tcPr>
            <w:tcW w:w="0" w:type="dxa"/>
            <w:vAlign w:val="bottom"/>
          </w:tcPr>
          <w:p>
            <w:pPr>
              <w:spacing w:after="0"/>
              <w:rPr>
                <w:sz w:val="1"/>
                <w:szCs w:val="1"/>
                <w:color w:val="auto"/>
              </w:rPr>
            </w:pPr>
          </w:p>
        </w:tc>
      </w:tr>
      <w:tr>
        <w:trPr>
          <w:trHeight w:val="204"/>
        </w:trPr>
        <w:tc>
          <w:tcPr>
            <w:tcW w:w="7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60" w:type="dxa"/>
            <w:vAlign w:val="bottom"/>
            <w:gridSpan w:val="6"/>
          </w:tcPr>
          <w:p>
            <w:pPr>
              <w:jc w:val="center"/>
              <w:ind w:right="3491"/>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0" w:type="dxa"/>
            <w:vAlign w:val="bottom"/>
          </w:tcPr>
          <w:p>
            <w:pPr>
              <w:spacing w:after="0"/>
              <w:rPr>
                <w:sz w:val="1"/>
                <w:szCs w:val="1"/>
                <w:color w:val="auto"/>
              </w:rPr>
            </w:pPr>
          </w:p>
        </w:tc>
      </w:tr>
      <w:tr>
        <w:trPr>
          <w:trHeight w:val="79"/>
        </w:trPr>
        <w:tc>
          <w:tcPr>
            <w:tcW w:w="3780" w:type="dxa"/>
            <w:vAlign w:val="bottom"/>
            <w:gridSpan w:val="5"/>
          </w:tcPr>
          <w:p>
            <w:pPr>
              <w:spacing w:after="0"/>
              <w:rPr>
                <w:sz w:val="6"/>
                <w:szCs w:val="6"/>
                <w:color w:val="auto"/>
              </w:rPr>
            </w:pPr>
          </w:p>
        </w:tc>
        <w:tc>
          <w:tcPr>
            <w:tcW w:w="3360" w:type="dxa"/>
            <w:vAlign w:val="bottom"/>
            <w:tcBorders>
              <w:bottom w:val="single" w:sz="8" w:color="auto"/>
            </w:tcBorders>
            <w:gridSpan w:val="2"/>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3620" w:type="dxa"/>
            <w:vAlign w:val="bottom"/>
            <w:vMerge w:val="restart"/>
          </w:tcPr>
          <w:p>
            <w:pPr>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35"/>
        </w:trPr>
        <w:tc>
          <w:tcPr>
            <w:tcW w:w="714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  Yes</w:t>
            </w:r>
          </w:p>
        </w:tc>
        <w:tc>
          <w:tcPr>
            <w:tcW w:w="36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3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spacing w:after="0" w:line="161" w:lineRule="exact"/>
        <w:tabs>
          <w:tab w:leader="none" w:pos="7000" w:val="left"/>
          <w:tab w:leader="none" w:pos="7560" w:val="left"/>
        </w:tabs>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40"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ectPr>
          <w:pgSz w:w="11900" w:h="16838" w:orient="portrait"/>
          <w:cols w:equalWidth="0" w:num="1">
            <w:col w:w="11240"/>
          </w:cols>
          <w:pgMar w:left="320" w:top="1151" w:right="339" w:bottom="1440" w:gutter="0" w:footer="0" w:header="0"/>
        </w:sectPr>
      </w:pPr>
    </w:p>
    <w:p>
      <w:pPr>
        <w:spacing w:after="0" w:line="60"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20" w:type="dxa"/>
        <w:tblCellMar>
          <w:top w:w="0" w:type="dxa"/>
          <w:left w:w="0" w:type="dxa"/>
          <w:bottom w:w="0" w:type="dxa"/>
          <w:right w:w="0" w:type="dxa"/>
        </w:tblCellMar>
      </w:tblPr>
      <w:tr>
        <w:trPr>
          <w:trHeight w:val="202"/>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180" w:type="dxa"/>
            <w:vAlign w:val="bottom"/>
          </w:tcPr>
          <w:p>
            <w:pPr>
              <w:ind w:left="1760"/>
              <w:spacing w:after="0" w:line="141" w:lineRule="exact"/>
              <w:rPr>
                <w:sz w:val="20"/>
                <w:szCs w:val="20"/>
                <w:color w:val="auto"/>
              </w:rPr>
            </w:pPr>
            <w:r>
              <w:rPr>
                <w:rFonts w:ascii="MS PGothic" w:cs="MS PGothic" w:eastAsia="MS PGothic" w:hAnsi="MS PGothic"/>
                <w:sz w:val="14"/>
                <w:szCs w:val="14"/>
                <w:color w:val="auto"/>
              </w:rPr>
              <w:t>☒</w:t>
            </w:r>
          </w:p>
        </w:tc>
        <w:tc>
          <w:tcPr>
            <w:tcW w:w="1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Accelerated filer</w:t>
            </w:r>
          </w:p>
        </w:tc>
      </w:tr>
      <w:tr>
        <w:trPr>
          <w:trHeight w:val="202"/>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180" w:type="dxa"/>
            <w:vAlign w:val="bottom"/>
          </w:tcPr>
          <w:p>
            <w:pPr>
              <w:ind w:left="1760"/>
              <w:spacing w:after="0" w:line="141" w:lineRule="exact"/>
              <w:rPr>
                <w:sz w:val="20"/>
                <w:szCs w:val="20"/>
                <w:color w:val="auto"/>
              </w:rPr>
            </w:pPr>
            <w:r>
              <w:rPr>
                <w:rFonts w:ascii="MS PGothic" w:cs="MS PGothic" w:eastAsia="MS PGothic" w:hAnsi="MS PGothic"/>
                <w:sz w:val="14"/>
                <w:szCs w:val="14"/>
                <w:color w:val="auto"/>
              </w:rPr>
              <w:t>☐</w:t>
            </w:r>
          </w:p>
        </w:tc>
        <w:tc>
          <w:tcPr>
            <w:tcW w:w="1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Smaller reporting company</w:t>
            </w:r>
          </w:p>
        </w:tc>
      </w:tr>
      <w:tr>
        <w:trPr>
          <w:trHeight w:val="241"/>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2180" w:type="dxa"/>
            <w:vAlign w:val="bottom"/>
          </w:tcPr>
          <w:p>
            <w:pPr>
              <w:ind w:left="1760"/>
              <w:spacing w:after="0" w:line="141" w:lineRule="exact"/>
              <w:rPr>
                <w:sz w:val="20"/>
                <w:szCs w:val="20"/>
                <w:color w:val="auto"/>
              </w:rPr>
            </w:pPr>
            <w:r>
              <w:rPr>
                <w:rFonts w:ascii="MS PGothic" w:cs="MS PGothic" w:eastAsia="MS PGothic" w:hAnsi="MS PGothic"/>
                <w:sz w:val="14"/>
                <w:szCs w:val="14"/>
                <w:color w:val="auto"/>
              </w:rPr>
              <w:t>☐</w:t>
            </w:r>
          </w:p>
        </w:tc>
        <w:tc>
          <w:tcPr>
            <w:tcW w:w="18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br w:type="column"/>
      </w:r>
    </w:p>
    <w:p>
      <w:pPr>
        <w:spacing w:after="0" w:line="40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357" w:lineRule="exact"/>
        <w:rPr>
          <w:sz w:val="24"/>
          <w:szCs w:val="24"/>
          <w:color w:val="auto"/>
        </w:rPr>
      </w:pPr>
    </w:p>
    <w:p>
      <w:pPr>
        <w:sectPr>
          <w:pgSz w:w="11900" w:h="16838" w:orient="portrait"/>
          <w:cols w:equalWidth="0" w:num="2">
            <w:col w:w="10700" w:space="180"/>
            <w:col w:w="360"/>
          </w:cols>
          <w:pgMar w:left="320" w:top="1151" w:right="339" w:bottom="1440" w:gutter="0" w:footer="0" w:header="0"/>
          <w:type w:val="continuous"/>
        </w:sect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0" w:lineRule="exact"/>
        <w:rPr>
          <w:sz w:val="24"/>
          <w:szCs w:val="24"/>
          <w:color w:val="auto"/>
        </w:rPr>
      </w:pPr>
    </w:p>
    <w:p>
      <w:pPr>
        <w:ind w:right="60"/>
        <w:spacing w:after="0" w:line="186" w:lineRule="exact"/>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MS PGothic" w:cs="MS PGothic" w:eastAsia="MS PGothic" w:hAnsi="MS PGothic"/>
          <w:sz w:val="14"/>
          <w:szCs w:val="14"/>
          <w:color w:val="auto"/>
        </w:rPr>
        <w:t>☒</w:t>
      </w:r>
    </w:p>
    <w:p>
      <w:pPr>
        <w:spacing w:after="0" w:line="60" w:lineRule="exact"/>
        <w:rPr>
          <w:sz w:val="24"/>
          <w:szCs w:val="24"/>
          <w:color w:val="auto"/>
        </w:rPr>
      </w:pPr>
    </w:p>
    <w:p>
      <w:pPr>
        <w:ind w:right="14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0" w:lineRule="exact"/>
        <w:rPr>
          <w:sz w:val="24"/>
          <w:szCs w:val="24"/>
          <w:color w:val="auto"/>
        </w:rPr>
      </w:pPr>
    </w:p>
    <w:p>
      <w:pPr>
        <w:ind w:right="30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42"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40" w:lineRule="exact"/>
        <w:rPr>
          <w:sz w:val="24"/>
          <w:szCs w:val="24"/>
          <w:color w:val="auto"/>
        </w:rPr>
      </w:pPr>
    </w:p>
    <w:p>
      <w:pPr>
        <w:ind w:right="680"/>
        <w:spacing w:after="0" w:line="258" w:lineRule="auto"/>
        <w:rPr>
          <w:sz w:val="20"/>
          <w:szCs w:val="20"/>
          <w:color w:val="auto"/>
        </w:rPr>
      </w:pPr>
      <w:r>
        <w:rPr>
          <w:rFonts w:ascii="Times New Roman" w:cs="Times New Roman" w:eastAsia="Times New Roman" w:hAnsi="Times New Roman"/>
          <w:sz w:val="14"/>
          <w:szCs w:val="14"/>
          <w:color w:val="auto"/>
        </w:rPr>
        <w:t>The aggregate market value of the common stock held by non-affiliates of the registrant as of the last business day of the registrant’s most recently completed second fiscal quarter was $1,755,043,826 based on the closing price on The Nasdaq Global Select Market on such date.</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Class</w:t>
            </w:r>
          </w:p>
        </w:tc>
        <w:tc>
          <w:tcPr>
            <w:tcW w:w="220" w:type="dxa"/>
            <w:vAlign w:val="bottom"/>
          </w:tcPr>
          <w:p>
            <w:pPr>
              <w:spacing w:after="0"/>
              <w:rPr>
                <w:sz w:val="15"/>
                <w:szCs w:val="15"/>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Outstanding Shares at February 9, 2024</w:t>
            </w:r>
          </w:p>
        </w:tc>
      </w:tr>
      <w:tr>
        <w:trPr>
          <w:trHeight w:val="160"/>
        </w:trPr>
        <w:tc>
          <w:tcPr>
            <w:tcW w:w="55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color w:val="auto"/>
              </w:rPr>
              <w:t>Common Stock, $0.001 par value per share</w:t>
            </w:r>
          </w:p>
        </w:tc>
        <w:tc>
          <w:tcPr>
            <w:tcW w:w="220" w:type="dxa"/>
            <w:vAlign w:val="bottom"/>
          </w:tcPr>
          <w:p>
            <w:pPr>
              <w:spacing w:after="0"/>
              <w:rPr>
                <w:sz w:val="13"/>
                <w:szCs w:val="13"/>
                <w:color w:val="auto"/>
              </w:rPr>
            </w:pPr>
          </w:p>
        </w:tc>
        <w:tc>
          <w:tcPr>
            <w:tcW w:w="55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color w:val="auto"/>
              </w:rPr>
              <w:t>125,099,694 shares</w:t>
            </w:r>
          </w:p>
        </w:tc>
      </w:tr>
      <w:tr>
        <w:trPr>
          <w:trHeight w:val="186"/>
        </w:trPr>
        <w:tc>
          <w:tcPr>
            <w:tcW w:w="5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B common stock, $0.001 par value per share</w:t>
            </w:r>
          </w:p>
        </w:tc>
        <w:tc>
          <w:tcPr>
            <w:tcW w:w="220" w:type="dxa"/>
            <w:vAlign w:val="bottom"/>
          </w:tcPr>
          <w:p>
            <w:pPr>
              <w:spacing w:after="0"/>
              <w:rPr>
                <w:sz w:val="16"/>
                <w:szCs w:val="16"/>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12,799,999 shares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59055</wp:posOffset>
            </wp:positionV>
            <wp:extent cx="23717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71725" cy="8255"/>
                    </a:xfrm>
                    <a:prstGeom prst="rect">
                      <a:avLst/>
                    </a:prstGeom>
                    <a:noFill/>
                  </pic:spPr>
                </pic:pic>
              </a:graphicData>
            </a:graphic>
          </wp:anchor>
        </w:drawing>
      </w:r>
    </w:p>
    <w:p>
      <w:pPr>
        <w:spacing w:after="0" w:line="8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30" w:lineRule="exact"/>
        <w:rPr>
          <w:sz w:val="24"/>
          <w:szCs w:val="24"/>
          <w:color w:val="auto"/>
        </w:rPr>
      </w:pPr>
    </w:p>
    <w:p>
      <w:pPr>
        <w:jc w:val="both"/>
        <w:ind w:right="20"/>
        <w:spacing w:after="0" w:line="258" w:lineRule="auto"/>
        <w:rPr>
          <w:sz w:val="20"/>
          <w:szCs w:val="20"/>
          <w:color w:val="auto"/>
        </w:rPr>
      </w:pPr>
      <w:r>
        <w:rPr>
          <w:rFonts w:ascii="Times New Roman" w:cs="Times New Roman" w:eastAsia="Times New Roman" w:hAnsi="Times New Roman"/>
          <w:sz w:val="14"/>
          <w:szCs w:val="14"/>
          <w:color w:val="auto"/>
        </w:rPr>
        <w:t>The registrant intends to file a proxy statement pursuant to Regulation 14A not later than 120 days after the close of the fiscal year ended December 31, 2023. Portions of such proxy statement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603885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6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3"/>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w w:val="91"/>
              </w:rPr>
              <w:t>PART I</w:t>
            </w:r>
          </w:p>
        </w:tc>
        <w:tc>
          <w:tcPr>
            <w:tcW w:w="1060" w:type="dxa"/>
            <w:vAlign w:val="bottom"/>
            <w:gridSpan w:val="4"/>
            <w:vMerge w:val="restart"/>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40" w:type="dxa"/>
            <w:vAlign w:val="bottom"/>
            <w:tcBorders>
              <w:bottom w:val="single" w:sz="8" w:color="0000EE"/>
            </w:tcBorders>
            <w:vMerge w:val="continue"/>
          </w:tcPr>
          <w:p>
            <w:pPr>
              <w:spacing w:after="0"/>
              <w:rPr>
                <w:sz w:val="15"/>
                <w:szCs w:val="15"/>
                <w:color w:val="auto"/>
              </w:rPr>
            </w:pPr>
          </w:p>
        </w:tc>
        <w:tc>
          <w:tcPr>
            <w:tcW w:w="106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71"/>
        </w:trPr>
        <w:tc>
          <w:tcPr>
            <w:tcW w:w="16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Item 1.</w:t>
            </w:r>
          </w:p>
        </w:tc>
        <w:tc>
          <w:tcPr>
            <w:tcW w:w="89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Business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6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Item 1A.</w:t>
            </w:r>
          </w:p>
        </w:tc>
        <w:tc>
          <w:tcPr>
            <w:tcW w:w="89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6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Item 1B.</w:t>
            </w:r>
          </w:p>
        </w:tc>
        <w:tc>
          <w:tcPr>
            <w:tcW w:w="89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71"/>
        </w:trPr>
        <w:tc>
          <w:tcPr>
            <w:tcW w:w="16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1020" w:type="dxa"/>
            <w:vAlign w:val="bottom"/>
            <w:tcBorders>
              <w:top w:val="single" w:sz="8" w:color="0000EE"/>
            </w:tcBorders>
            <w:gridSpan w:val="6"/>
          </w:tcPr>
          <w:p>
            <w:pPr>
              <w:spacing w:after="0"/>
              <w:rPr>
                <w:sz w:val="24"/>
                <w:szCs w:val="24"/>
                <w:color w:val="auto"/>
              </w:rPr>
            </w:pPr>
          </w:p>
        </w:tc>
        <w:tc>
          <w:tcPr>
            <w:tcW w:w="6920" w:type="dxa"/>
            <w:vAlign w:val="bottom"/>
            <w:gridSpan w:val="14"/>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465"/>
        </w:trPr>
        <w:tc>
          <w:tcPr>
            <w:tcW w:w="16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8220" w:type="dxa"/>
            <w:vAlign w:val="bottom"/>
            <w:gridSpan w:val="23"/>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71"/>
        </w:trPr>
        <w:tc>
          <w:tcPr>
            <w:tcW w:w="16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620" w:type="dxa"/>
            <w:vAlign w:val="bottom"/>
            <w:gridSpan w:val="18"/>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71"/>
        </w:trPr>
        <w:tc>
          <w:tcPr>
            <w:tcW w:w="16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Item 4.</w:t>
            </w:r>
          </w:p>
        </w:tc>
        <w:tc>
          <w:tcPr>
            <w:tcW w:w="89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71"/>
        </w:trPr>
        <w:tc>
          <w:tcPr>
            <w:tcW w:w="6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FF"/>
                <w:w w:val="92"/>
              </w:rPr>
              <w:t>PART II</w:t>
            </w:r>
          </w:p>
        </w:tc>
        <w:tc>
          <w:tcPr>
            <w:tcW w:w="1000" w:type="dxa"/>
            <w:vAlign w:val="bottom"/>
            <w:gridSpan w:val="3"/>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71"/>
        </w:trPr>
        <w:tc>
          <w:tcPr>
            <w:tcW w:w="16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Item 5.</w:t>
            </w:r>
          </w:p>
        </w:tc>
        <w:tc>
          <w:tcPr>
            <w:tcW w:w="89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71"/>
        </w:trPr>
        <w:tc>
          <w:tcPr>
            <w:tcW w:w="16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Item 6.</w:t>
            </w:r>
          </w:p>
        </w:tc>
        <w:tc>
          <w:tcPr>
            <w:tcW w:w="160" w:type="dxa"/>
            <w:vAlign w:val="bottom"/>
            <w:tcBorders>
              <w:top w:val="single" w:sz="8" w:color="0000EE"/>
            </w:tcBorders>
          </w:tcPr>
          <w:p>
            <w:pPr>
              <w:spacing w:after="0"/>
              <w:rPr>
                <w:sz w:val="24"/>
                <w:szCs w:val="24"/>
                <w:color w:val="auto"/>
              </w:rPr>
            </w:pPr>
          </w:p>
        </w:tc>
        <w:tc>
          <w:tcPr>
            <w:tcW w:w="80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7100" w:type="dxa"/>
            <w:vAlign w:val="bottom"/>
            <w:tcBorders>
              <w:top w:val="single" w:sz="8" w:color="0000EE"/>
            </w:tcBorders>
            <w:gridSpan w:val="20"/>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71"/>
        </w:trPr>
        <w:tc>
          <w:tcPr>
            <w:tcW w:w="16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500" w:type="dxa"/>
            <w:vAlign w:val="bottom"/>
            <w:gridSpan w:val="4"/>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71"/>
        </w:trPr>
        <w:tc>
          <w:tcPr>
            <w:tcW w:w="16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600" w:type="dxa"/>
            <w:vAlign w:val="bottom"/>
            <w:gridSpan w:val="8"/>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371"/>
        </w:trPr>
        <w:tc>
          <w:tcPr>
            <w:tcW w:w="16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5620" w:type="dxa"/>
            <w:vAlign w:val="bottom"/>
            <w:gridSpan w:val="10"/>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371"/>
        </w:trPr>
        <w:tc>
          <w:tcPr>
            <w:tcW w:w="16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480" w:type="dxa"/>
            <w:vAlign w:val="bottom"/>
            <w:gridSpan w:val="3"/>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371"/>
        </w:trPr>
        <w:tc>
          <w:tcPr>
            <w:tcW w:w="16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180" w:type="dxa"/>
            <w:vAlign w:val="bottom"/>
            <w:gridSpan w:val="16"/>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371"/>
        </w:trPr>
        <w:tc>
          <w:tcPr>
            <w:tcW w:w="16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640" w:type="dxa"/>
            <w:vAlign w:val="bottom"/>
            <w:gridSpan w:val="19"/>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371"/>
        </w:trPr>
        <w:tc>
          <w:tcPr>
            <w:tcW w:w="16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Item 9C.</w:t>
            </w:r>
          </w:p>
        </w:tc>
        <w:tc>
          <w:tcPr>
            <w:tcW w:w="89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371"/>
        </w:trPr>
        <w:tc>
          <w:tcPr>
            <w:tcW w:w="6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FF"/>
                <w:w w:val="93"/>
              </w:rPr>
              <w:t>PART III</w:t>
            </w:r>
          </w:p>
        </w:tc>
        <w:tc>
          <w:tcPr>
            <w:tcW w:w="940" w:type="dxa"/>
            <w:vAlign w:val="bottom"/>
            <w:gridSpan w:val="2"/>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371"/>
        </w:trPr>
        <w:tc>
          <w:tcPr>
            <w:tcW w:w="16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860" w:type="dxa"/>
            <w:vAlign w:val="bottom"/>
            <w:gridSpan w:val="9"/>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371"/>
        </w:trPr>
        <w:tc>
          <w:tcPr>
            <w:tcW w:w="16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Item 11.</w:t>
            </w:r>
          </w:p>
        </w:tc>
        <w:tc>
          <w:tcPr>
            <w:tcW w:w="89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gridSpan w:val="9"/>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gridSpan w:val="7"/>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6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Item 12.</w:t>
            </w:r>
          </w:p>
        </w:tc>
        <w:tc>
          <w:tcPr>
            <w:tcW w:w="89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371"/>
        </w:trPr>
        <w:tc>
          <w:tcPr>
            <w:tcW w:w="16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680" w:type="dxa"/>
            <w:vAlign w:val="bottom"/>
            <w:gridSpan w:val="2"/>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371"/>
        </w:trPr>
        <w:tc>
          <w:tcPr>
            <w:tcW w:w="16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3520" w:type="dxa"/>
            <w:vAlign w:val="bottom"/>
            <w:gridSpan w:val="5"/>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371"/>
        </w:trPr>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PART IV</w:t>
            </w:r>
          </w:p>
        </w:tc>
        <w:tc>
          <w:tcPr>
            <w:tcW w:w="1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gridSpan w:val="9"/>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5860" w:type="dxa"/>
            <w:vAlign w:val="bottom"/>
            <w:gridSpan w:val="1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6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Item 15.</w:t>
            </w:r>
          </w:p>
        </w:tc>
        <w:tc>
          <w:tcPr>
            <w:tcW w:w="31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FF"/>
                <w:w w:val="99"/>
              </w:rPr>
              <w:t>Exhibit and Financial Statement Schedules</w:t>
            </w:r>
          </w:p>
        </w:tc>
        <w:tc>
          <w:tcPr>
            <w:tcW w:w="5860" w:type="dxa"/>
            <w:vAlign w:val="bottom"/>
            <w:gridSpan w:val="12"/>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331"/>
        </w:trPr>
        <w:tc>
          <w:tcPr>
            <w:tcW w:w="160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Item 16.</w:t>
            </w:r>
          </w:p>
        </w:tc>
        <w:tc>
          <w:tcPr>
            <w:tcW w:w="89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371"/>
        </w:trPr>
        <w:tc>
          <w:tcPr>
            <w:tcW w:w="11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FF"/>
                <w:w w:val="96"/>
              </w:rPr>
              <w:t>SIGNATURES</w:t>
            </w:r>
          </w:p>
        </w:tc>
        <w:tc>
          <w:tcPr>
            <w:tcW w:w="50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483870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02" w:right="339" w:bottom="1440" w:gutter="0" w:footer="0" w:header="0"/>
        </w:sectPr>
      </w:pPr>
    </w:p>
    <w:bookmarkStart w:id="2" w:name="page3"/>
    <w:bookmarkEnd w:id="2"/>
    <w:p>
      <w:pPr>
        <w:ind w:right="40" w:firstLine="749"/>
        <w:spacing w:after="0" w:line="260" w:lineRule="auto"/>
        <w:rPr>
          <w:sz w:val="20"/>
          <w:szCs w:val="20"/>
          <w:color w:val="auto"/>
        </w:rPr>
      </w:pPr>
      <w:r>
        <w:rPr>
          <w:rFonts w:ascii="Times New Roman" w:cs="Times New Roman" w:eastAsia="Times New Roman" w:hAnsi="Times New Roman"/>
          <w:sz w:val="18"/>
          <w:szCs w:val="18"/>
          <w:color w:val="auto"/>
        </w:rPr>
        <w:t>We refer to Tripadvisor, Inc. and our wholly-owned subsidiaries as “Tripadvisor,” “Tripadvisor group,” “the Company,” “us,” “we” and “our” in this Annual Report on Form 10-K. The Company renamed our Tripadvisor Core segment to “Brand Tripadvisor”, and its “Tripadvisor-branded display and platform” revenue stream within the Brand Tripadvisor segment, as “Media and advertising” revenue. These nomenclature changes had no impact on the composition of our segments, revenue streams, or on any current or historic financial information.</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Annual Report that are not purely historical are forward-looking statements within the meaning of Section 27A of the Securities Act of 1933, as amended, or the Securities Act, and Section 21E of the Securities Exchange Act of 1934, as amended, or the Exchange Act. The following words, when used, are intended to identify forward-looking statements: “anticipate,” “believe,” “could,” “estimate,” “expect,” “intend,” “may,” “might,” “plan,” “project,” “target,” “result,” “should,” “will,” and similar expressions which do not relate solely to historical matters. We caution investors that any forward-looking statements in this report, or which management may make orally or in writing from time to time, are based on management’s beliefs and on assumptions made by, and information currently available to, management. Such statements are subject to risks, uncertainties and assumptions and are not guarantees of future performance, which may be affected by known and unknown risks, trends, uncertainties and factors that are beyond our control. Risks and uncertainties that may cause our actual results, performance or achievements to differ materially from those expressed or implied by forward-looking statements include, but are not limited to, those described in Part I. Item 1A. "Risk Factors." Moreover, we operate in a rapidly changing environment. New risk factors emerge from time to time and it is not possible for management to predict all such risk factors, nor can we assess the impact of all such risk factors on our business or the extent to which any factor, or combination of factors, may cause actual results to differ materially from those contained in any forward-looking statements. We caution you that, while forward-looking statements reflect our good faith beliefs, they are not guarantees of future performance and are impacted by actual events when they occur after we make such statements. We expressly disclaim any responsibility to update our forward-looking statements, whether as a result of new information, future events or otherwise.</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Investors should also refer to our quarterly reports on Form 10-Q for future periods and current reports on Form 8-K as we file them with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(the "SEC"), and to other materials we may furnish to the public from time to time through SEC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6" w:right="37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00" w:firstLine="509"/>
        <w:spacing w:after="0" w:line="280" w:lineRule="auto"/>
        <w:rPr>
          <w:sz w:val="20"/>
          <w:szCs w:val="20"/>
          <w:color w:val="auto"/>
        </w:rPr>
      </w:pPr>
      <w:r>
        <w:rPr>
          <w:rFonts w:ascii="Times New Roman" w:cs="Times New Roman" w:eastAsia="Times New Roman" w:hAnsi="Times New Roman"/>
          <w:sz w:val="17"/>
          <w:szCs w:val="17"/>
          <w:color w:val="auto"/>
        </w:rPr>
        <w:t>The Tripadvisor group operates as a family of brands with the purpose of connecting people to experiences worth sharing. Our vision is to be the world’s most trusted source for travel and experiences. The Company operates across three business segments: Brand Tripadvisor (formerly Tripadvisor Core), Viator, and TheFork. We leverage our brands, technology platforms, and capabilities to connect our large, global audience with partners by offering rich content, travel guidance products and services, and two-sided marketplaces for experiences, accommodations, restaurants, and other travel categories.</w:t>
      </w:r>
    </w:p>
    <w:p>
      <w:pPr>
        <w:spacing w:after="0" w:line="166"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Brand Tripadvisor’s purpose is to empower everyone to be a better traveler by serving as the world’s most trusted and essential travel guidance platform. Since Tripadvisor’s founding in 2000, the Tripadvisor brand has developed a relationship of trust and community with travelers and experience seekers by providing an online global platform for travelers to discover, generate, and share authentic user-generated content (“UGC”) in the form of ratings and reviews for destinations, points-of-interest (“POIs”), experiences, accommodations, restaurants, and cruises in over 40 countries and in more than 20 languages across the world. Tripadvisor offers more than 1 billion user-generated ratings and reviews on over 8 million experiences, accommodations, restaurants, airlines, and cruises. Tripadvisor’s online platform attracts one of the world’s largest travel audiences, with hundreds of millions of visitors annually.</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Viator’s purpose is to bring extraordinary, unexpected, and forever memorable experiences to more people, more often, wherever they are traveling. In doing so, Viator elevates tens of thousands of businesses, large and small. Viator delivers on its purpose by enabling travelers to discover and book iconic, unique and memorable experiences from experience operators around the globe. Our online marketplace is comprehensive and easy-to-use, connecting millions of travelers to the world’s largest supply of bookable tours, activities and attractions—over 350,000 experiences from more than 55,000 operators. Viator is a pure-play experiences online travel agency (“OTA”) singularly focused on the needs of both travelers and operators with the largest supply of bookable experiences available to travelers.</w:t>
      </w:r>
    </w:p>
    <w:p>
      <w:pPr>
        <w:spacing w:after="0" w:line="186"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TheFork’s purpose is to deliver happiness through amazing dining experiences. TheFork delivers on its purpose by providing an online marketplace that enables diners to discover and book online reservations at approximately 55,000 restaurants in 11 countries across the U.K., western and central Europe. TheFork has become an urban, gastronomic guide with a strong community that offers approximately 20 million restaurant reviews.</w:t>
      </w:r>
    </w:p>
    <w:p>
      <w:pPr>
        <w:spacing w:after="0" w:line="17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COVID-19 pandemic had a significant negative impact on the travel and hospitality industries and, consequently, adversely and materially affected our business, results of operations, liquidity and financial condition through the first quarter of 2022. Overall, in 2022, we generally experienced a travel demand recovery fueled by the continued easing of government restrictions globally and increasing consumer travel demand. During 2023, we continued to experience strong consumer demand for our offerings, particularly for our experiences offerings across our Viator and Brand Tripadvisor segments. We believe that consumers will continue to seek connection with others, discover new places, and experience new things through travel.</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Industry and Market Opportunity</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are one of the world’s largest online travel companies and our consolidated annual revenue in 2023 represents a small fraction of total worldwide travel spending, which highlights the potential size of our global market opportunity. Phocuswright, an independent travel, tourism and hospitality research firm, estimated global travel spending, exclusive of experiences, short-term vacation rentals, and dining, at approximately $1.6 trillion in 2020 prior to the onset of COVID-19. Phocuswright estimates global travel spending will reach approximately $1.7 trillion by 2026, with an expected increasing share booked through online channels each year.</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2" w:right="359" w:bottom="1440" w:gutter="0" w:footer="0" w:header="0"/>
        </w:sectPr>
      </w:pPr>
    </w:p>
    <w:bookmarkStart w:id="4" w:name="page5"/>
    <w:bookmarkEnd w:id="4"/>
    <w:p>
      <w:pPr>
        <w:spacing w:after="0" w:line="19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believe that we are a compelling leader in the global experiences industry and well positioned to capture increased share in a large and growing market that is estimated to reach approximately $280 billion by 2025 according to Arival’s October 2022 report (the “Arival Report”), a leading research provider on the in-destination experiences industry. Moreover, we believe we are poised to benefit from increased online adoption in the global experiences industry. While online penetration in experiences remains nearly a third below other major travel categories, such as hotel accommodations, the anticipated total size of the online experiences market will continue to grow according to the Arival Report as travelers become increasingly aware of the category online and operators continue to shift their business online. In addition, OTAs are the fastest growing channel in the travel experiences market and are expected to undergo significant growth going forward, with the OTA channel expected to experience a compounded annual growth rate (“CAGR”) of 37% from 2022 to 2025 according to the Arival Report.</w:t>
      </w:r>
    </w:p>
    <w:p>
      <w:pPr>
        <w:spacing w:after="0" w:line="18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Based on information in Euromonitor's February 2022 report, a leading provider of global business intelligence, market research data and analysis, we estimate the full-service European restaurants industry may reach approximately $250 billion by 2025. In addition, based on this same data, this industry is exhibiting a similar trend as the experiences industry in terms of online adoption; the majority of restaurant reservation bookings still take place offline, but an increasing share is booked through online channels each year. We believe that we are still early in the global shift in consumer adoption towards booking experiences and restaurants online, which provides an exciting future market opportunity for our business.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Strategy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Tripadvisor group operates in a unique position in the travel and experiences ecosystem:</w:t>
      </w:r>
    </w:p>
    <w:p>
      <w:pPr>
        <w:spacing w:after="0" w:line="117" w:lineRule="exact"/>
        <w:rPr>
          <w:sz w:val="20"/>
          <w:szCs w:val="20"/>
          <w:color w:val="auto"/>
        </w:rPr>
      </w:pPr>
    </w:p>
    <w:p>
      <w:pPr>
        <w:ind w:left="1560" w:hanging="504"/>
        <w:spacing w:after="0"/>
        <w:tabs>
          <w:tab w:leader="none" w:pos="1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global, and growing addressable markets including travel, experiences, and digital advertising;</w:t>
      </w:r>
    </w:p>
    <w:p>
      <w:pPr>
        <w:spacing w:after="0" w:line="27" w:lineRule="exact"/>
        <w:rPr>
          <w:rFonts w:ascii="Times New Roman" w:cs="Times New Roman" w:eastAsia="Times New Roman" w:hAnsi="Times New Roman"/>
          <w:sz w:val="18"/>
          <w:szCs w:val="18"/>
          <w:color w:val="auto"/>
        </w:rPr>
      </w:pPr>
    </w:p>
    <w:p>
      <w:pPr>
        <w:ind w:left="1560" w:hanging="504"/>
        <w:spacing w:after="0"/>
        <w:tabs>
          <w:tab w:leader="none" w:pos="1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global, and engaged audience making meaningful contributions that reinforces a relationship of trust and community; and</w:t>
      </w:r>
    </w:p>
    <w:p>
      <w:pPr>
        <w:spacing w:after="0" w:line="8" w:lineRule="exact"/>
        <w:rPr>
          <w:rFonts w:ascii="Times New Roman" w:cs="Times New Roman" w:eastAsia="Times New Roman" w:hAnsi="Times New Roman"/>
          <w:sz w:val="18"/>
          <w:szCs w:val="18"/>
          <w:color w:val="auto"/>
        </w:rPr>
      </w:pPr>
    </w:p>
    <w:p>
      <w:pPr>
        <w:ind w:left="1560" w:right="20" w:hanging="504"/>
        <w:spacing w:after="0" w:line="255" w:lineRule="auto"/>
        <w:tabs>
          <w:tab w:leader="none" w:pos="1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wealth of high-intent data that comes from serving our audience of travelers and experience seekers at different points along their journey - whether they are engaging on our platforms for inspiration on their next experience, planning a trip, or making a purchasing decision.</w:t>
      </w:r>
    </w:p>
    <w:p>
      <w:pPr>
        <w:spacing w:after="0" w:line="18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our Brand Tripadvisor segment, we offer a compelling value proposition to both travelers and partners across a number of key offerings that include accommodations, experiences, dining, and media. This value proposition is delivered through a collection of durable assets that we believe is difficult to replicate: a trusted brand, authentic UGC, a large community of contributors, and one of the largest global travel audiences. Our strategy in this segment is to leverage these core assets as well as our technology capabilities to provide travelers with a compelling user experience to help make the best decisions in each phase of the travel journey, including pre-trip planning, in-destination, and post-trip sharing. We intend to drive new traveler acquisition and repeat audience engagement on our platform by offering meaningful travel guidance solutions and services that reduce friction in the traveler journey and create a deeper, more persistent relationship with travelers. We evaluate investment opportunities across data, product, marketing, and technology that we believe will improve and diversify the monetization of our audience through deeper engagement, which, in turn, we expect will drive more value to our partners.</w:t>
      </w:r>
    </w:p>
    <w:p>
      <w:pPr>
        <w:spacing w:after="0" w:line="186"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Brand Tripadvisor segment plays an important role in our portfolio. For over two decades, we believe we have built difficult to replicate assets such as a trusted brand, authentic content, a large community of contributors, and one of the largest global travel audiences available. Our long-term strategy for the Brand Tripadvisor segment builds on our heritage and the reasons hundreds of millions of travelers come to Tripadvisor each year. Fundamental to this strategy will be: (1) innovating and enhancing world-class travel guidance and planning products to help travelers make confident decisions in a world where it is hard to find advice you can trust; (2) prioritizing deeper engagement with travelers by leveraging our rich data and technology assets to provide more relevant, curated, and contextual content throughout the traveler journey; and (3) driving a step change in the value we can deliver to our partners by accelerating and diversifying the monetization of our valuable audience across key categories, including hotel meta, media advertising, and experiences.</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 w:name="page6"/>
    <w:bookmarkEnd w:id="5"/>
    <w:p>
      <w:pPr>
        <w:spacing w:after="0" w:line="19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our Viator and TheFork segments, we provide two-sided marketplaces that connect travelers and diners to operators of bookable experiences and restaurants, respectively. Within our Viator segment, we are investing in growth, future scale, and market share gains to accelerate our market leadership position, while improving unit economics on both sides of the marketplace that provide visibility to sustainable future profitability. This means driving awareness and higher quality audience engagement, which we believe will drive greater repeat behavior, more direct traffic, and translate into improved unit economics over time. Our investments on both sides of our marketplace, as well as in our primary offerings, are intended to deliver a differentiated value proposition that we believe will drive sustainable market leadership as our partners, operators, and travelers find themselves in an increasingly competitive marketplace environment. We are focused on continuing to grow both our supplier base and our user base by offering innovative tools and features on our branded platforms, and through continued awareness of our brand through marketing efforts.</w:t>
      </w:r>
    </w:p>
    <w:p>
      <w:pPr>
        <w:spacing w:after="0" w:line="189" w:lineRule="exact"/>
        <w:rPr>
          <w:sz w:val="20"/>
          <w:szCs w:val="20"/>
          <w:color w:val="auto"/>
        </w:rPr>
      </w:pPr>
    </w:p>
    <w:p>
      <w:pPr>
        <w:ind w:right="380" w:firstLine="509"/>
        <w:spacing w:after="0" w:line="265" w:lineRule="auto"/>
        <w:rPr>
          <w:sz w:val="20"/>
          <w:szCs w:val="20"/>
          <w:color w:val="auto"/>
        </w:rPr>
      </w:pPr>
      <w:r>
        <w:rPr>
          <w:rFonts w:ascii="Times New Roman" w:cs="Times New Roman" w:eastAsia="Times New Roman" w:hAnsi="Times New Roman"/>
          <w:sz w:val="18"/>
          <w:szCs w:val="18"/>
          <w:color w:val="auto"/>
        </w:rPr>
        <w:t>We are focused on executing initiatives across the Tripadvisor group through organic investment in data, products, marketing and technology to further enhance the value we deliver to travelers and partners across our brands, platforms, and segments. In addition, we may accelerate growth inorganically by opportunistically pursuing strategic acquisitions.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Models</w:t>
      </w:r>
    </w:p>
    <w:p>
      <w:pPr>
        <w:spacing w:after="0" w:line="229" w:lineRule="exact"/>
        <w:rPr>
          <w:sz w:val="20"/>
          <w:szCs w:val="20"/>
          <w:color w:val="auto"/>
        </w:rPr>
      </w:pPr>
    </w:p>
    <w:p>
      <w:pPr>
        <w:ind w:right="500" w:firstLine="509"/>
        <w:spacing w:after="0" w:line="281" w:lineRule="auto"/>
        <w:rPr>
          <w:sz w:val="20"/>
          <w:szCs w:val="20"/>
          <w:color w:val="auto"/>
        </w:rPr>
      </w:pPr>
      <w:r>
        <w:rPr>
          <w:rFonts w:ascii="Times New Roman" w:cs="Times New Roman" w:eastAsia="Times New Roman" w:hAnsi="Times New Roman"/>
          <w:sz w:val="18"/>
          <w:szCs w:val="18"/>
          <w:color w:val="auto"/>
        </w:rPr>
        <w:t>We manage our Brand Tripadvisor segment (formerly Tripadvisor Core segment) primarily through the following revenue sources and related business models:</w:t>
      </w:r>
    </w:p>
    <w:p>
      <w:pPr>
        <w:spacing w:after="0" w:line="51" w:lineRule="exact"/>
        <w:rPr>
          <w:sz w:val="20"/>
          <w:szCs w:val="20"/>
          <w:color w:val="auto"/>
        </w:rPr>
      </w:pPr>
    </w:p>
    <w:p>
      <w:pPr>
        <w:ind w:left="1580" w:right="40" w:hanging="374"/>
        <w:spacing w:after="0" w:line="255" w:lineRule="auto"/>
        <w:tabs>
          <w:tab w:leader="none" w:pos="1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Tripadvisor-branded Hotels Revenue. </w:t>
      </w:r>
      <w:r>
        <w:rPr>
          <w:rFonts w:ascii="Times New Roman" w:cs="Times New Roman" w:eastAsia="Times New Roman" w:hAnsi="Times New Roman"/>
          <w:sz w:val="18"/>
          <w:szCs w:val="18"/>
          <w:color w:val="auto"/>
        </w:rPr>
        <w:t>The largest source of Brand Tripadvisor segment revenue is generated from click-based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advertising on our hotel meta platform (also referred to as our hotel auction), which consists primarily of contextually-relevant booking links to partner websites, which predominantly include OTAs and hotels. Click-based advertising is generally priced on a cost-per-click (“CPC”) basis, with payments from partners determined by the number of clicks generated on a commerce link multiplied by the CPC rate for each particular click. CPC rates are determined in a dynamic, competitive auction bidding process. We also generate click-based advertising revenue on a cost-per-acquisition (“CPA”) basis, with payments from partners determined by a contractual commission rate based on a traveler click generated on our platform that ultimately results in a hotel booking and stay via the partners’ websites.</w:t>
      </w:r>
    </w:p>
    <w:p>
      <w:pPr>
        <w:spacing w:after="0" w:line="186" w:lineRule="exact"/>
        <w:rPr>
          <w:rFonts w:ascii="Times New Roman" w:cs="Times New Roman" w:eastAsia="Times New Roman" w:hAnsi="Times New Roman"/>
          <w:sz w:val="18"/>
          <w:szCs w:val="18"/>
          <w:color w:val="auto"/>
        </w:rPr>
      </w:pPr>
    </w:p>
    <w:p>
      <w:pPr>
        <w:ind w:left="15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additional business-to-business (“B2B”) offerings to hotels and related accommodation partners that deliver other unique opportunities to further promote, advertise, and operate their businesses as well as merchandise their inventory on our platform. These include a subscription-based advertising solution, with revenue determined by a contractual fee and time duration, or other CPC-based advertising services through hotel sponsored placements on our platform.</w:t>
      </w:r>
    </w:p>
    <w:p>
      <w:pPr>
        <w:spacing w:after="0" w:line="69" w:lineRule="exact"/>
        <w:rPr>
          <w:rFonts w:ascii="Times New Roman" w:cs="Times New Roman" w:eastAsia="Times New Roman" w:hAnsi="Times New Roman"/>
          <w:sz w:val="18"/>
          <w:szCs w:val="18"/>
          <w:color w:val="auto"/>
        </w:rPr>
      </w:pPr>
    </w:p>
    <w:p>
      <w:pPr>
        <w:ind w:left="1580" w:right="80" w:hanging="374"/>
        <w:spacing w:after="0" w:line="259" w:lineRule="auto"/>
        <w:tabs>
          <w:tab w:leader="none" w:pos="1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Media and Advertising Revenue. </w:t>
      </w:r>
      <w:r>
        <w:rPr>
          <w:rFonts w:ascii="Times New Roman" w:cs="Times New Roman" w:eastAsia="Times New Roman" w:hAnsi="Times New Roman"/>
          <w:sz w:val="18"/>
          <w:szCs w:val="18"/>
          <w:color w:val="auto"/>
        </w:rPr>
        <w:t>We offer endemic and non-endemic advertisers opportunities to promote their brands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display-based advertising (or “media advertising”) placements across our brands on our platform. Our advertising clients are predominantly direct suppliers of hotels, airlines and cruises, as well as destination marketing organizations (“DMOs”), OTAs, and other travel related businesses. Display-based advertising placements are predominantly sold on a cost per thousand impressions (“CPM”) basis.</w:t>
      </w:r>
    </w:p>
    <w:p>
      <w:pPr>
        <w:spacing w:after="0" w:line="69" w:lineRule="exact"/>
        <w:rPr>
          <w:rFonts w:ascii="Times New Roman" w:cs="Times New Roman" w:eastAsia="Times New Roman" w:hAnsi="Times New Roman"/>
          <w:sz w:val="18"/>
          <w:szCs w:val="18"/>
          <w:color w:val="auto"/>
        </w:rPr>
      </w:pPr>
    </w:p>
    <w:p>
      <w:pPr>
        <w:ind w:left="1580" w:right="120" w:hanging="374"/>
        <w:spacing w:after="0" w:line="259" w:lineRule="auto"/>
        <w:tabs>
          <w:tab w:leader="none" w:pos="1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Tripadvisor Experiences and Dining Revenue. </w:t>
      </w:r>
      <w:r>
        <w:rPr>
          <w:rFonts w:ascii="Times New Roman" w:cs="Times New Roman" w:eastAsia="Times New Roman" w:hAnsi="Times New Roman"/>
          <w:sz w:val="18"/>
          <w:szCs w:val="18"/>
          <w:color w:val="auto"/>
        </w:rPr>
        <w:t>We merchandise, on the Tripadvisor platform, bookable experiences available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Viator and bookable dining reservations available on TheFork and earn affiliate marketing commission revenue on bookings that are driven by our platform, which are fulfilled by Viator and TheFork, respectively. These transactions generate intercompany (intersegment) revenue which is eliminated on a consolidated basis. The nature and economics of these transactions are consistent with the Viator segment and TheFork segment, as described below.</w:t>
      </w:r>
    </w:p>
    <w:p>
      <w:pPr>
        <w:spacing w:after="0" w:line="181" w:lineRule="exact"/>
        <w:rPr>
          <w:rFonts w:ascii="Times New Roman" w:cs="Times New Roman" w:eastAsia="Times New Roman" w:hAnsi="Times New Roman"/>
          <w:sz w:val="18"/>
          <w:szCs w:val="18"/>
          <w:color w:val="auto"/>
        </w:rPr>
      </w:pPr>
    </w:p>
    <w:p>
      <w:pPr>
        <w:ind w:left="1580" w:right="16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additional B2B offerings to restaurant partners that deliver other unique opportunities to further promote, advertise, and operate their businesses as well as merchandise their businesses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line="192" w:lineRule="exact"/>
        <w:rPr>
          <w:sz w:val="20"/>
          <w:szCs w:val="20"/>
          <w:color w:val="auto"/>
        </w:rPr>
      </w:pPr>
    </w:p>
    <w:p>
      <w:pPr>
        <w:ind w:left="1580" w:right="80"/>
        <w:spacing w:after="0" w:line="281" w:lineRule="auto"/>
        <w:rPr>
          <w:sz w:val="20"/>
          <w:szCs w:val="20"/>
          <w:color w:val="auto"/>
        </w:rPr>
      </w:pPr>
      <w:r>
        <w:rPr>
          <w:rFonts w:ascii="Times New Roman" w:cs="Times New Roman" w:eastAsia="Times New Roman" w:hAnsi="Times New Roman"/>
          <w:sz w:val="18"/>
          <w:szCs w:val="18"/>
          <w:color w:val="auto"/>
        </w:rPr>
        <w:t>on our platform. These offerings can be subscription-based, with revenue determined by a contractual fee and time duration, or CPC-based advertising services through restaurant sponsored placements on our platform.</w:t>
      </w:r>
    </w:p>
    <w:p>
      <w:pPr>
        <w:spacing w:after="0" w:line="51" w:lineRule="exact"/>
        <w:rPr>
          <w:sz w:val="20"/>
          <w:szCs w:val="20"/>
          <w:color w:val="auto"/>
        </w:rPr>
      </w:pPr>
    </w:p>
    <w:p>
      <w:pPr>
        <w:ind w:left="1580" w:right="120" w:hanging="374"/>
        <w:spacing w:after="0" w:line="256" w:lineRule="auto"/>
        <w:tabs>
          <w:tab w:leader="none" w:pos="1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Revenue. </w:t>
      </w:r>
      <w:r>
        <w:rPr>
          <w:rFonts w:ascii="Times New Roman" w:cs="Times New Roman" w:eastAsia="Times New Roman" w:hAnsi="Times New Roman"/>
          <w:sz w:val="18"/>
          <w:szCs w:val="18"/>
          <w:color w:val="auto"/>
        </w:rPr>
        <w:t>We provide travelers additional offerings across various other travel categories, including alternative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accommodations (e.g., short-term vacation rentals), cruises, flights, and rental cars. We provide these offerings across a collection of brands that complement and reinforce our segment strategy of providing differentiated guidance that helps travelers reduce friction and make better decisions. Our alternative accommodation rentals platform is a two-way marketplace that connect travelers with owners and operators of short-term rental properties, generating commission revenue from both the traveler and the property owner for each booking we facilitate across our branded platforms. Our cruise, flight, and rental cars offerings generate revenue primarily through click-based and display-based advertising opportunities.</w:t>
      </w:r>
    </w:p>
    <w:p>
      <w:pPr>
        <w:spacing w:after="0" w:line="184"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Our Viator segment offers travelers a comprehensive online marketplace that provides access to over 350,000 experiences and more than 55,000 experience operators. These experiences are instantly bookable online in over 200 countries. Our business model relies on the success of travelers and operators who join our marketplace and generate consistent bookings over time. As experience operators become more successful on our platform and as travelers return over time, we benefit from the recurring activity on our marketplace. We generate revenue through commissions for each booking transaction we facilitate directly and indirectly through our platform. Through Viator, we also power traveler experience bookings on behalf of third-party distribution partner websites, including the Tripadvisor platform as well as many of the world’s major OTAs, airlines, hotels, online and offline travel agencies, and other prominent content and eCommerce brands. For the majority of experience bookings, we collect the full amount charged to the traveler at the time of booking and remit the operator’s portion after the booked experience occurs. In addition, Viator offers our “Reserve Now, Pay Later” payment option, which allows our travelers the option to reserve certain experiences and defer payment until a date no later than two days before the experience date.</w:t>
      </w:r>
    </w:p>
    <w:p>
      <w:pPr>
        <w:spacing w:after="0" w:line="19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TheFork segment offers travelers and diners a comprehensive online marketplace that provides access to approximately 55,000 restaurants to discover and book reservations in 11 countries across the U.K., western and central Europe. We primarily generate revenue for each booking reservation we facilitate on our platform, calculated on a per seated diner fee basis and paid for by the restaurant partner. We also generate revenue on a subscription basis from restaurant partners by providing, for a fee, access to premium online reservation booking software and related services offerings to help them more effectively and efficiently manage their business.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119" w:lineRule="exact"/>
        <w:rPr>
          <w:sz w:val="20"/>
          <w:szCs w:val="20"/>
          <w:color w:val="auto"/>
        </w:rPr>
      </w:pPr>
    </w:p>
    <w:p>
      <w:pPr>
        <w:ind w:right="20" w:firstLine="509"/>
        <w:spacing w:after="0" w:line="272" w:lineRule="auto"/>
        <w:rPr>
          <w:sz w:val="20"/>
          <w:szCs w:val="20"/>
          <w:color w:val="auto"/>
        </w:rPr>
      </w:pPr>
      <w:r>
        <w:rPr>
          <w:rFonts w:ascii="Times New Roman" w:cs="Times New Roman" w:eastAsia="Times New Roman" w:hAnsi="Times New Roman"/>
          <w:sz w:val="17"/>
          <w:szCs w:val="17"/>
          <w:color w:val="auto"/>
        </w:rPr>
        <w:t xml:space="preserve">Consumer travel expenditures have historically followed a seasonal pattern. Correspondingly, travel partner advertising investments, and therefore our revenue and operating profits, have also historically followed a seasonal pattern. Our financial performance tends to be seasonally highest in the second and third quarters of a given year, which includes the seasonal peak in consumer demand, including traveler accommodation stays, and travel experiences taken, compared to the first and fourth quarters, which represent seasonal low points. </w:t>
      </w:r>
      <w:r>
        <w:rPr>
          <w:rFonts w:ascii="Times New Roman" w:cs="Times New Roman" w:eastAsia="Times New Roman" w:hAnsi="Times New Roman"/>
          <w:sz w:val="17"/>
          <w:szCs w:val="17"/>
          <w:color w:val="231F20"/>
        </w:rPr>
        <w:t>In addition, during the first half of the year, experience bookings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typically exceed the amount of completed experiences, resulting in higher cash flow related to working capital, while during the second half of the year, particularly in the third quarter, this pattern reverses and cash flows from these transactions are typically negative</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231F20"/>
        </w:rPr>
        <w:t xml:space="preserve"> Other factors may also impact typical seasonal fluctuations, such as significant shifts in our business mix, adverse economic conditions, public health-related events, as well as other factors.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22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have established world-renowned, widely used, and recognized brands through the innovative and efficient implementation of marketing and promotional campaigns. Particularly, we believe we have been successful with the strategic use of a number of cost effective online and offline marketing channels to reach travelers and diners, including our own platform channels (i.e., websites and apps), online search engines (primarily Google), social media, email, media via public relations, partnerships, and content distribution. Our omni-channel marketing programs are intended to showcase the value of our industry-leading travel brands; increase user traffic; efficiently</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drive transactions and engagement; optimize ongoing traveler acquisition costs; and strategically position our brands in relation to one another as we continue to differentiate our offering versus those of our competitors. Our sustained scale and profitability depend on our ability to effectively maintain our costs and increase the overall number of users engaged on our platforms and their subsequent transactions. We continue to focus on our ability to attract and engage new and repeat users and encourage users to directly visit our websites and apps. We have the ability to manage our marketing investments across our portfolio of brands to optimize results for the Company. Our relative flexibility enables us to make decisions on a brand-by-brand, market-by-market, travel segment and customer basis that we think are appropriate based on the relative growth opportunity, the expected returns and the competitive environment.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We operate in a very competitive set of market environments that constantly evolve and change. Some of our current and potential competitors, listed below, have significantly more customers, data, and financial and other resources than we do, and may be able to leverage those strengths to compete more aggressively with us.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Across our three segments, we primarily compete, and in some cases partner, with the following businesses:</w:t>
      </w:r>
    </w:p>
    <w:p>
      <w:pPr>
        <w:spacing w:after="0" w:line="117" w:lineRule="exact"/>
        <w:rPr>
          <w:sz w:val="20"/>
          <w:szCs w:val="20"/>
          <w:color w:val="auto"/>
        </w:rPr>
      </w:pPr>
    </w:p>
    <w:p>
      <w:pPr>
        <w:ind w:left="1020" w:right="240" w:hanging="504"/>
        <w:spacing w:after="0" w:line="260"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OTAs, such as Expedia, Booking Holdings, Airbnb, traveloka, Despegar, Trip.com, and their respective subsidiaries and operating companies;</w:t>
      </w:r>
    </w:p>
    <w:p>
      <w:pPr>
        <w:spacing w:after="0" w:line="1"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Experiences OTAs, such as GetYourGuide, Klook, and TUI Musement;</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Hotel metasearch providers, such as trivago, Kayak and Skyscanner;</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search, social media, and marketplace platforms for advertising spend, such as Google, Facebook, Twitter, Pinterest, and Snap;</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and regional travel, experiences, and restaurant brands seeking to promote direct bookings;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online advertising businesses, such as ad-supported retail and entertainment platforms like Amazon, Spotify, and Walmart;</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Artificial intelligence driven travel curators;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offline travel agencies; and</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and regional restaurant technology providers for reservation management and related services, such as OpenTable, Resy, and Tock.</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Relationships</w:t>
      </w:r>
    </w:p>
    <w:p>
      <w:pPr>
        <w:spacing w:after="0" w:line="229"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We have commercial relationships with a majority of the world’s leading OTAs, as well as thousands of other travel partners, pursuant to which these companies primarily purchase traveler leads from us, generally on a click-based advertising basis. Although these relationships are memorialized in agreements, many of these agreements are for limited terms or are terminable at will or on short notice. As a result, we seek to ensure the mutual success of these relationships.</w:t>
      </w:r>
    </w:p>
    <w:p>
      <w:pPr>
        <w:spacing w:after="0" w:line="182"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For the years ended December 31, 2023, 2022 and 2021, our two most significant travel partners were Expedia (and its subsidiaries) and Booking (and its subsidiaries), each of which accounted for 10% or more of our consolidated revenue and together accounted for approximately 25%, 31% and 34% of our consolidated revenue, respectively. Nearly all of this concentration of revenue is recorded in our Brand Tripadvisor segment during these reporting periods.</w:t>
      </w:r>
    </w:p>
    <w:p>
      <w:pPr>
        <w:spacing w:after="0" w:line="182" w:lineRule="exact"/>
        <w:rPr>
          <w:sz w:val="20"/>
          <w:szCs w:val="20"/>
          <w:color w:val="auto"/>
        </w:rPr>
      </w:pPr>
    </w:p>
    <w:p>
      <w:pPr>
        <w:ind w:right="260" w:firstLine="509"/>
        <w:spacing w:after="0" w:line="265" w:lineRule="auto"/>
        <w:rPr>
          <w:sz w:val="20"/>
          <w:szCs w:val="20"/>
          <w:color w:val="auto"/>
        </w:rPr>
      </w:pPr>
      <w:r>
        <w:rPr>
          <w:rFonts w:ascii="Times New Roman" w:cs="Times New Roman" w:eastAsia="Times New Roman" w:hAnsi="Times New Roman"/>
          <w:sz w:val="18"/>
          <w:szCs w:val="18"/>
          <w:color w:val="auto"/>
        </w:rPr>
        <w:t>Additionally, our business is dependent on relationships with third-party service operators that we rely on to fulfill service obligations to our customers where we are the merchant of record, such as our experience providers. However, no single operator’s inventory resulted in more than 10% of our revenue on a consolidated basis or at a reportable segment level in any period presented.</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and Technology</w:t>
      </w:r>
    </w:p>
    <w:p>
      <w:pPr>
        <w:spacing w:after="0" w:line="121"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We have assembled a team of highly skilled software engineers, computer scientists, data scientists, network engineers and systems engineers whose expertise spans a broad range of technical areas, including a wide variety of open source operating systems, databases, languages, analytics, networking, scalable web architecture, operations and warehousing technologies. We make significant investments in product and feature development, data management, personalization technologies, scalable infrastructures, networking, data warehousing, and search engine technologies.</w:t>
      </w:r>
    </w:p>
    <w:p>
      <w:pPr>
        <w:spacing w:after="0" w:line="182" w:lineRule="exact"/>
        <w:rPr>
          <w:sz w:val="20"/>
          <w:szCs w:val="20"/>
          <w:color w:val="auto"/>
        </w:rPr>
      </w:pPr>
    </w:p>
    <w:p>
      <w:pPr>
        <w:ind w:right="320" w:firstLine="509"/>
        <w:spacing w:after="0" w:line="254" w:lineRule="auto"/>
        <w:rPr>
          <w:sz w:val="20"/>
          <w:szCs w:val="20"/>
          <w:color w:val="auto"/>
        </w:rPr>
      </w:pPr>
      <w:r>
        <w:rPr>
          <w:rFonts w:ascii="Times New Roman" w:cs="Times New Roman" w:eastAsia="Times New Roman" w:hAnsi="Times New Roman"/>
          <w:sz w:val="18"/>
          <w:szCs w:val="18"/>
          <w:color w:val="auto"/>
        </w:rPr>
        <w:t>Our systems infrastructure for Tripadvisor-branded websites is in a "hybrid-cloud" configuration in which parts of it are housed at a colocation facility and managed by our operations team, while the rest is hosted on Amazon Web Services. Our infrastructure installations have multiple communication links as well as continuous monitoring and engineering support. The co-location facility is protected with both network-level and application-level defenses, using well known commercial solutions specifically tailored for such purposes. We make use of Amazon Web Services availability zones to provide redundancy for the cloud portions of our infrastructure. Substantially all of our software components, data, and content are replicated in multiple data centers and development centers, as well as backed up at offsite locations. Our systems are monitored and protected through multiple layers of security. Several of our individual subsidiaries and businesses have their own technology teams to support business growth while leveraging common assets, tools and processes for scale across the group.</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360" w:firstLine="509"/>
        <w:spacing w:after="0" w:line="260" w:lineRule="auto"/>
        <w:rPr>
          <w:sz w:val="20"/>
          <w:szCs w:val="20"/>
          <w:color w:val="auto"/>
        </w:rPr>
      </w:pPr>
      <w:r>
        <w:rPr>
          <w:rFonts w:ascii="Times New Roman" w:cs="Times New Roman" w:eastAsia="Times New Roman" w:hAnsi="Times New Roman"/>
          <w:sz w:val="18"/>
          <w:szCs w:val="18"/>
          <w:color w:val="auto"/>
        </w:rPr>
        <w:t>Our intellectual property, including patents, trademarks, copyrights, domain names, trade dress, proprietary technology and trade secrets, is an important component of our business. We rely on our intellectual property rights in our content, proprietary technology, software code, ratings indexes, databases of reviews and forum content. We have acquired some of our intellectual property rights through licenses and content agreements with third parties and these arrangements may place restrictions on the use of our intellectual property.</w:t>
      </w:r>
    </w:p>
    <w:p>
      <w:pPr>
        <w:spacing w:after="0" w:line="18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protect our intellectual property by relying on our terms of use, confidentiality agreements and contractual provisions, as well as on international, national, federal, state and common law rights. We protect our brands by pursuing the trademark registration of our core brands, as appropriate, maintaining our trademark portfolio, securing contractual trademark rights protection when appropriate, and relying on common law trademark rights when appropriate. We also register copyrights and domain names as deemed appropriate. Additionally, we protect our trademarks, domain names and copyrights with the use of intellectual property licenses and an enforcement program.</w:t>
      </w:r>
    </w:p>
    <w:p>
      <w:pPr>
        <w:spacing w:after="0" w:line="182" w:lineRule="exact"/>
        <w:rPr>
          <w:sz w:val="20"/>
          <w:szCs w:val="20"/>
          <w:color w:val="auto"/>
        </w:rPr>
      </w:pPr>
    </w:p>
    <w:p>
      <w:pPr>
        <w:ind w:right="320" w:firstLine="509"/>
        <w:spacing w:after="0" w:line="265" w:lineRule="auto"/>
        <w:rPr>
          <w:sz w:val="20"/>
          <w:szCs w:val="20"/>
          <w:color w:val="auto"/>
        </w:rPr>
      </w:pPr>
      <w:r>
        <w:rPr>
          <w:rFonts w:ascii="Times New Roman" w:cs="Times New Roman" w:eastAsia="Times New Roman" w:hAnsi="Times New Roman"/>
          <w:sz w:val="18"/>
          <w:szCs w:val="18"/>
          <w:color w:val="auto"/>
        </w:rPr>
        <w:t>We have considered, and will continue to consider, the appropriateness of filing for patents to protect future inventions, as circumstances may warrant. However, many patents protect only specific inventions and there can be no assurance that others may not create new products or methods that achieve similar results without infringing upon patents owned by us.</w:t>
      </w:r>
    </w:p>
    <w:p>
      <w:pPr>
        <w:spacing w:after="0" w:line="177" w:lineRule="exact"/>
        <w:rPr>
          <w:sz w:val="20"/>
          <w:szCs w:val="20"/>
          <w:color w:val="auto"/>
        </w:rPr>
      </w:pPr>
    </w:p>
    <w:p>
      <w:pPr>
        <w:ind w:right="180" w:firstLine="509"/>
        <w:spacing w:after="0" w:line="260" w:lineRule="auto"/>
        <w:rPr>
          <w:sz w:val="20"/>
          <w:szCs w:val="20"/>
          <w:color w:val="auto"/>
        </w:rPr>
      </w:pPr>
      <w:r>
        <w:rPr>
          <w:rFonts w:ascii="Times New Roman" w:cs="Times New Roman" w:eastAsia="Times New Roman" w:hAnsi="Times New Roman"/>
          <w:sz w:val="18"/>
          <w:szCs w:val="18"/>
          <w:color w:val="auto"/>
        </w:rPr>
        <w:t>In connection with our copyrightable content, we post and institute procedures under the U.S. Digital Millennium Copyright Act and similar “host privilege” statutes worldwide to gain immunity from copyright liability for photographs, text and other content loaded on our platform by consumers. However, differences between statutes, limitations on immunity, political and regulatory efforts to amend relevant statutes, and moderation efforts in the many jurisdictions in which we operate may affect our ability to claim immunity.</w:t>
      </w:r>
    </w:p>
    <w:p>
      <w:pPr>
        <w:spacing w:after="0" w:line="182"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From time to time, we may be subject to legal proceedings and claims in the ordinary course of our business, including claims of alleged infringement by us of the trademarks, copyrights, patents, and other intellectual property rights of third parties. In addition, litigation may be necessary in the future to enforce our intellectual property rights, protect our trade secrets or determine the validity and scope of proprietary rights claimed by others. Any such litigation, regardless of outcome or merit, could result in substantial costs and diversion of management and technical resources, any of which could materially harm our business.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 w:name="page10"/>
    <w:bookmarkEnd w:id="9"/>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are subject to a number of laws and regulations that affect companies conducting business on the internet as well as some relating to the travel industry, the provision of travel services and the vacation rental industry. As we continue to expand the reach of our brands into additional international markets and expand our product offerings, we are increasingly subject to additional laws and regulations. This includes laws and regulations regarding privacy and data protection, libel and defamation, content, intellectual property, distribution, electronic contracts and other communications, consumer protection, taxation, online payment services and competition, among others. These laws and regulations are constantly evolving and can be subject to significant change. Many of these laws and regulations are being tested in courts, and could be interpreted by regulators and courts in ways that could harm our business. In addition, the application and interpretation of these laws and regulations is often uncertain, particularly in the new and rapidly-evolving industry in which we operate.</w:t>
      </w:r>
    </w:p>
    <w:p>
      <w:pPr>
        <w:spacing w:after="0" w:line="189" w:lineRule="exact"/>
        <w:rPr>
          <w:sz w:val="20"/>
          <w:szCs w:val="20"/>
          <w:color w:val="auto"/>
        </w:rPr>
      </w:pPr>
    </w:p>
    <w:p>
      <w:pPr>
        <w:ind w:right="80" w:firstLine="509"/>
        <w:spacing w:after="0" w:line="272" w:lineRule="auto"/>
        <w:rPr>
          <w:sz w:val="20"/>
          <w:szCs w:val="20"/>
          <w:color w:val="auto"/>
        </w:rPr>
      </w:pPr>
      <w:r>
        <w:rPr>
          <w:rFonts w:ascii="Times New Roman" w:cs="Times New Roman" w:eastAsia="Times New Roman" w:hAnsi="Times New Roman"/>
          <w:sz w:val="17"/>
          <w:szCs w:val="17"/>
          <w:color w:val="auto"/>
        </w:rPr>
        <w:t>In addition, we provide advertising data and information and conduct marketing activities that are subject to consumer protection laws that regulate unfair and deceptive practices, domestically and internationally, including, in some countries, pricing display requirements, licensing and registration requirements and industry specific value-added tax regimes. The U.S. (as well as individual states), the E.U. (as well as member states) and other countries have adopted legislation that regulates certain aspects of the internet, including online editorial and user-generated content, data privacy, behavioral targeting and online advertising, taxation, and liability for third-party activities. It is difficult to accurately predict how such legislation will be interpreted and applied or whether new taxes or regulations will be imposed on our services, and whether or how we might be affected. Increased regulation of the internet could increase the cost of doing business or otherwise materially adversely affect our business, financial condition or operating results.</w:t>
      </w:r>
    </w:p>
    <w:p>
      <w:pPr>
        <w:spacing w:after="0" w:line="175" w:lineRule="exact"/>
        <w:rPr>
          <w:sz w:val="20"/>
          <w:szCs w:val="20"/>
          <w:color w:val="auto"/>
        </w:rPr>
      </w:pPr>
    </w:p>
    <w:p>
      <w:pPr>
        <w:ind w:right="200" w:firstLine="509"/>
        <w:spacing w:after="0" w:line="274" w:lineRule="auto"/>
        <w:rPr>
          <w:sz w:val="20"/>
          <w:szCs w:val="20"/>
          <w:color w:val="auto"/>
        </w:rPr>
      </w:pPr>
      <w:r>
        <w:rPr>
          <w:rFonts w:ascii="Times New Roman" w:cs="Times New Roman" w:eastAsia="Times New Roman" w:hAnsi="Times New Roman"/>
          <w:sz w:val="17"/>
          <w:szCs w:val="17"/>
          <w:color w:val="auto"/>
        </w:rPr>
        <w:t>We are subject to laws that require protection of user privacy and user data. As our business has evolved, we have begun to receive and store a greater volume of personally identifiable data. This data is increasingly subject to laws and regulations in numerous jurisdictions around the world. For example, the E.U., in May 2018, adopted the General Data Protection Regulation, or GDPR, which requires companies, including ours, to meet enhanced requirements regarding the handling and storage of personal data. In January 2020, the State of California adopted the Consumer Privacy Protection Act which also enhances privacy rights and consumer protection for residents of California. In addition, several U.S. states have adopted similar laws or are currently evaluating their own laws and regulations. The enactment, interpretation and application of these laws is still in a state of flux.</w:t>
      </w:r>
    </w:p>
    <w:p>
      <w:pPr>
        <w:spacing w:after="0" w:line="17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Compliance with these laws, rules and regulations has not had, and is not expected to have, a material effect on our business, results of operations and financial condition. However, there are, and will likely continue to be, an increasing number of laws and regulations pertaining to the internet and online commerce and/or information retrieved from or transmitted over the internet, online editorial and user-generated content, user privacy, behavioral targeting and online advertising, liability for third-party activities. Likewise, the SEC, Department of Justice (“DOJ”) and Office of Foreign Assets Controls (“OFAC”), as well as foreign regulatory authorities, have continued to increase the enforcement of economic sanctions and trade regulations, anti-money laundering, and anti-corruption laws, across industries. As regulations continue to evolve and regulatory oversight continues to increase, we cannot guarantee that our programs and policies will be deemed compliant by all applicable regulatory authorities.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 Equity Ownership and Voting Control</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Tripadvisor was founded in February 2000. In April 2004, Tripadvisor was acquired by IAC/InterActiveCorp, or IAC. In August 2005, IAC spun-off its portfolio of travel brands, including Tripadvisor, into Expedia, at the time a separate newly-formed Delaware corporation. On December 20, 2011 Expedia completed a spin-off of Tripadvisor into a separate publicly-traded Delaware corporation. We refer to this second spin-off transaction as the “Spin-Off.” Following the Spin-Off, on December 21, 2011, Tripadvisor began trading on The Nasdaq Global Select Market, or Nasdaq, as an independent public company under the trading symbol “TRIP.”</w:t>
      </w:r>
    </w:p>
    <w:p>
      <w:pPr>
        <w:spacing w:after="0" w:line="182"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On December 11, 2012, Liberty Interactive Corporation, or Liberty, purchased an aggregate of approximately 4.8 million shares of common stock of Tripadvisor from Barry Diller, our former Chairman of the Board of Directors and Senior Executive, and certain of his affiliates. As a result, Liberty beneficially owned approximately 18.2 million shares of our common stock and 12.8 million shares of our Class B common stock.</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92"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On August 27, 2014, the entire beneficial ownership of our common stock and Class B common stock held by Liberty was acquired by Liberty TripAdvisor Holdings, Inc., or LTRIP. Simultaneously, Liberty, LTRIP’s former parent company, distributed, by means of a dividend, to the holders of its Liberty Ventures common stock, Liberty’s entire equity interest in LTRIP. We refer to this transaction as the “Liberty Spin-Off”. As a result of the Liberty Spin-Off, effective August 27, 2014, LTRIP became a separate, publicly traded company holding 100% of Liberty’s interest in Tripadvisor.</w:t>
      </w:r>
    </w:p>
    <w:p>
      <w:pPr>
        <w:spacing w:after="0" w:line="18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As a result of these transactions, and as of December 31, 2023, LTRIP beneficially owned approximately 16.4 million shares of our common stock and approximately 12.8 million shares of our Class B common stock, which constitute approximately 13% of the outstanding shares of common stock and 100% of the outstanding shares of Class B common stock. Assuming the conversion of all of LTRIP’s shares of Class B common stock into common stock, LTRIP would beneficially own approximately 21% of the outstanding common stock. However, because each share of Class B common stock is entitled to ten votes per share and each share of common stock is entitled to one vote per share, LTRIP may be deemed to beneficially own equity securities representing approximately 57% of our voting power.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Employees</w:t>
      </w:r>
    </w:p>
    <w:p>
      <w:pPr>
        <w:spacing w:after="0" w:line="227" w:lineRule="exact"/>
        <w:rPr>
          <w:sz w:val="20"/>
          <w:szCs w:val="20"/>
          <w:color w:val="auto"/>
        </w:rPr>
      </w:pPr>
    </w:p>
    <w:p>
      <w:pPr>
        <w:jc w:val="both"/>
        <w:ind w:right="60" w:firstLine="509"/>
        <w:spacing w:after="0" w:line="265" w:lineRule="auto"/>
        <w:rPr>
          <w:sz w:val="20"/>
          <w:szCs w:val="20"/>
          <w:color w:val="auto"/>
        </w:rPr>
      </w:pPr>
      <w:r>
        <w:rPr>
          <w:rFonts w:ascii="Times New Roman" w:cs="Times New Roman" w:eastAsia="Times New Roman" w:hAnsi="Times New Roman"/>
          <w:sz w:val="18"/>
          <w:szCs w:val="18"/>
          <w:color w:val="auto"/>
        </w:rPr>
        <w:t>As of December 31, 2023, the Company had approximately 2,845 employees. Approximately 58%, 34%, and 8% are based in Europe, the U.S., and the rest of world, respectively. Additionally, we use independent contractors to supplement our workforce. We believe we have good relationships with our employees and contractors, including relationships with employees represented by international works councils or other similar organizations.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Talent Acquisition and Development</w:t>
      </w:r>
    </w:p>
    <w:p>
      <w:pPr>
        <w:spacing w:after="0" w:line="227"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We believe our employees are essential to our success and that the Company’s success depends on our ability to attract, develop and retain key talent. The skills, experience and industry knowledge of key employees significantly benefit our operations and performance. Competition for qualified personnel is intense, particularly for software engineers, computer scientists, and other technical staff, and constrained labor markets have increased competition for personnel across other parts of our business. The Company's management and Board of Directors oversee various initiatives for talent acquisition, retention and development.</w:t>
      </w:r>
    </w:p>
    <w:p>
      <w:pPr>
        <w:spacing w:after="0" w:line="182" w:lineRule="exact"/>
        <w:rPr>
          <w:sz w:val="20"/>
          <w:szCs w:val="20"/>
          <w:color w:val="auto"/>
        </w:rPr>
      </w:pPr>
    </w:p>
    <w:p>
      <w:pPr>
        <w:ind w:firstLine="509"/>
        <w:spacing w:after="0" w:line="274" w:lineRule="auto"/>
        <w:rPr>
          <w:sz w:val="20"/>
          <w:szCs w:val="20"/>
          <w:color w:val="auto"/>
        </w:rPr>
      </w:pPr>
      <w:r>
        <w:rPr>
          <w:rFonts w:ascii="Times New Roman" w:cs="Times New Roman" w:eastAsia="Times New Roman" w:hAnsi="Times New Roman"/>
          <w:sz w:val="17"/>
          <w:szCs w:val="17"/>
          <w:color w:val="auto"/>
        </w:rPr>
        <w:t>Our talent philosophy is to both develop talent from within and to strategically recruit key external talent. This approach has yielded a deep understanding, among our employee base, of our business, our products, and our customers, while adding new employees and ideas in support of our continuous improvement mindset. Our overall talent acquisition and retention strategy is designed to attract and retain diverse and qualified candidates to enable the success of the Company and achievement of our performance goals. We recruit the best people for the job without regard to gender, ethnicity or other protected traits and it is our policy to comply fully with all domestic, foreign and local laws relating to discrimination in the workplace. Our talent acquisition team uses internal and external resources to recruit highly skilled and talented workers, and we encourage employee referrals for open positions.</w:t>
      </w:r>
    </w:p>
    <w:p>
      <w:pPr>
        <w:spacing w:after="0" w:line="171"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We support and develop our employees through global training and development programs that build and strengthen employees’ leadership and professional skills. Leadership development includes programs for new leaders as well as programs designed to support more experienced leaders. We also partner with external training organizations to help provide current and future workers with the knowledge and skills they need to succeed.</w:t>
      </w:r>
    </w:p>
    <w:p>
      <w:pPr>
        <w:spacing w:after="0" w:line="17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It is important that our employees represent a mix of experiences and backgrounds in order to make our company stronger, more innovative and more inclusive. Inclusion is one of our core values, and we have programs in place to promote diversity and inclusion. Our diversity and inclusion initiatives support our goal that everyone throughout the Company is engaged in creating an inclusive workplace. We support inclusion through training on topics including Unconscious Bias and Inclusive Leadership. We also support a network of active Employee Resource Groups reflecting many dimensions of diversity across the Company.</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 w:name="page12"/>
    <w:bookmarkEnd w:id="11"/>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Total Rewards</w:t>
      </w:r>
    </w:p>
    <w:p>
      <w:pPr>
        <w:spacing w:after="0" w:line="227"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8"/>
          <w:szCs w:val="18"/>
          <w:color w:val="auto"/>
        </w:rPr>
        <w:t>As part of our compensation philosophy, we believe that we must offer and maintain market competitive total rewards programs for our employees in order to attract, motivate and retain superior talent. These programs not only include base wages and incentives in support of our pay for performance culture, but also health, welfare, and retirement benefits.</w:t>
      </w:r>
    </w:p>
    <w:p>
      <w:pPr>
        <w:spacing w:after="0" w:line="177" w:lineRule="exact"/>
        <w:rPr>
          <w:sz w:val="20"/>
          <w:szCs w:val="20"/>
          <w:color w:val="auto"/>
        </w:rPr>
      </w:pPr>
    </w:p>
    <w:p>
      <w:pPr>
        <w:ind w:right="100" w:firstLine="509"/>
        <w:spacing w:after="0" w:line="260" w:lineRule="auto"/>
        <w:rPr>
          <w:sz w:val="20"/>
          <w:szCs w:val="20"/>
          <w:color w:val="auto"/>
        </w:rPr>
      </w:pPr>
      <w:r>
        <w:rPr>
          <w:rFonts w:ascii="Times New Roman" w:cs="Times New Roman" w:eastAsia="Times New Roman" w:hAnsi="Times New Roman"/>
          <w:sz w:val="18"/>
          <w:szCs w:val="18"/>
          <w:color w:val="auto"/>
        </w:rPr>
        <w:t>We design our benefit programs to meet the needs of our employees’ health while managing program costs for escalation rates at or below industry trend factors. Our programs include but are not limited to wellness, mental health services, telemedicine, and partnerships with service providers that support diverse family-care need solutions. We continuously refine, develop and implement proactive health care strategies and solutions that allow us to enhance employee health and well-being while curbing costs.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Health and Safety</w:t>
      </w:r>
    </w:p>
    <w:p>
      <w:pPr>
        <w:spacing w:after="0" w:line="227" w:lineRule="exact"/>
        <w:rPr>
          <w:sz w:val="20"/>
          <w:szCs w:val="20"/>
          <w:color w:val="auto"/>
        </w:rPr>
      </w:pPr>
    </w:p>
    <w:p>
      <w:pPr>
        <w:ind w:right="820" w:firstLine="509"/>
        <w:spacing w:after="0" w:line="281" w:lineRule="auto"/>
        <w:rPr>
          <w:sz w:val="20"/>
          <w:szCs w:val="20"/>
          <w:color w:val="auto"/>
        </w:rPr>
      </w:pPr>
      <w:r>
        <w:rPr>
          <w:rFonts w:ascii="Times New Roman" w:cs="Times New Roman" w:eastAsia="Times New Roman" w:hAnsi="Times New Roman"/>
          <w:sz w:val="18"/>
          <w:szCs w:val="18"/>
          <w:color w:val="222222"/>
        </w:rPr>
        <w:t>The health and safety of our employees is of utmost importance to us. We conduct regular self-assessments and audits designed to ensure compliance with our health and safety guidelines and regulatory requirements.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ind w:right="400" w:firstLine="509"/>
        <w:spacing w:after="0" w:line="265" w:lineRule="auto"/>
        <w:rPr>
          <w:sz w:val="20"/>
          <w:szCs w:val="20"/>
          <w:color w:val="auto"/>
        </w:rPr>
      </w:pPr>
      <w:r>
        <w:rPr>
          <w:rFonts w:ascii="Times New Roman" w:cs="Times New Roman" w:eastAsia="Times New Roman" w:hAnsi="Times New Roman"/>
          <w:sz w:val="18"/>
          <w:szCs w:val="18"/>
          <w:color w:val="auto"/>
        </w:rPr>
        <w:t>We maintain a corporate website at ir.tripadvisor.com. Except as explicitly noted, the information on our website, as well as the websites of our various brands, is not incorporated by reference in this Annual Report on Form 10-K, or in any other filings with, or in any information furnished or submitted to, the SEC.</w:t>
      </w:r>
    </w:p>
    <w:p>
      <w:pPr>
        <w:spacing w:after="0" w:line="17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our Investor Relations website (http://ir.tripadvisor.com), we provide our Annual Reports on Form 10-K, Quarterly Reports on Form 10-Q and Current Reports on Form 8-K, and amendments to these reports free of charge. These reports are available on our website as soon as reasonably practicable after we electronically file or furnish these reports to the SEC or publish through press releases, public conference calls and certain webcasts. All documents filed electronically with the SEC (including reports, proxy and information statements and other information) are also available at www.sec.gov. Investors and others should be aware that in addition to required filings with the SEC, we use our investor relations website (http://ir.tripadvisor.com) to announce material financial information to our investors as well as communicate with the public about our company, our results of operations and other information.</w:t>
      </w:r>
    </w:p>
    <w:p>
      <w:pPr>
        <w:spacing w:after="0" w:line="187" w:lineRule="exact"/>
        <w:rPr>
          <w:sz w:val="20"/>
          <w:szCs w:val="20"/>
          <w:color w:val="auto"/>
        </w:rPr>
      </w:pPr>
    </w:p>
    <w:p>
      <w:pPr>
        <w:jc w:val="both"/>
        <w:ind w:right="480" w:firstLine="509"/>
        <w:spacing w:after="0" w:line="265" w:lineRule="auto"/>
        <w:rPr>
          <w:sz w:val="20"/>
          <w:szCs w:val="20"/>
          <w:color w:val="auto"/>
        </w:rPr>
      </w:pPr>
      <w:r>
        <w:rPr>
          <w:rFonts w:ascii="Times New Roman" w:cs="Times New Roman" w:eastAsia="Times New Roman" w:hAnsi="Times New Roman"/>
          <w:sz w:val="18"/>
          <w:szCs w:val="18"/>
          <w:color w:val="auto"/>
        </w:rPr>
        <w:t>We post our code of business conduct and ethics, which applies to all employees, including all executive officers, senior financial officers and directors, on our corporate website at www.tripadvisor.com. We intend to disclose any waivers of the code of ethics for our executive officers, senior financial officers or directors, on our corporate website.</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 w:name="page13"/>
    <w:bookmarkEnd w:id="12"/>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7"/>
          <w:szCs w:val="17"/>
          <w:i w:val="1"/>
          <w:iCs w:val="1"/>
          <w:color w:val="auto"/>
        </w:rPr>
        <w:t>You should consider carefully the risks described below together with all of the other information included in this Annual Report as they may impact our business, results of operations and/or financial condition. The risks and uncertainties described below are not the only ones we face. Additional risks and uncertainties not presently known to us or that we currently believe are immaterial may also impair our business, results of operations or financial condition. If any of the following risks occur, our business, financial condition, operating results and cash flows could be materially and adversely affected.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 Summary</w:t>
      </w:r>
    </w:p>
    <w:p>
      <w:pPr>
        <w:spacing w:after="0" w:line="229" w:lineRule="exact"/>
        <w:rPr>
          <w:sz w:val="20"/>
          <w:szCs w:val="20"/>
          <w:color w:val="auto"/>
        </w:rPr>
      </w:pPr>
    </w:p>
    <w:p>
      <w:pPr>
        <w:ind w:right="440" w:firstLine="509"/>
        <w:spacing w:after="0" w:line="281" w:lineRule="auto"/>
        <w:rPr>
          <w:sz w:val="20"/>
          <w:szCs w:val="20"/>
          <w:color w:val="auto"/>
        </w:rPr>
      </w:pPr>
      <w:r>
        <w:rPr>
          <w:rFonts w:ascii="Times New Roman" w:cs="Times New Roman" w:eastAsia="Times New Roman" w:hAnsi="Times New Roman"/>
          <w:sz w:val="18"/>
          <w:szCs w:val="18"/>
          <w:color w:val="auto"/>
        </w:rPr>
        <w:t>The following is a summary list of the principal risks that make an investment in our securities speculative or risky. For additional information, please refer to the detailed descriptions following the summary.</w:t>
      </w:r>
    </w:p>
    <w:p>
      <w:pPr>
        <w:spacing w:after="0" w:line="55" w:lineRule="exact"/>
        <w:rPr>
          <w:sz w:val="20"/>
          <w:szCs w:val="20"/>
          <w:color w:val="auto"/>
        </w:rPr>
      </w:pPr>
    </w:p>
    <w:p>
      <w:pPr>
        <w:ind w:left="1020" w:right="100" w:hanging="504"/>
        <w:spacing w:after="0" w:line="260"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or disruptions in the worldwide travel industry, including health concerns, natural disasters, terrorist attacks, civil or political unrest or other events outside our control;</w:t>
      </w:r>
    </w:p>
    <w:p>
      <w:pPr>
        <w:spacing w:after="0" w:line="1"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performance marketing efficiency and the general effectiveness of our advertising and marketing efforts;</w:t>
      </w:r>
    </w:p>
    <w:p>
      <w:pPr>
        <w:spacing w:after="0" w:line="8" w:lineRule="exact"/>
        <w:rPr>
          <w:rFonts w:ascii="Times New Roman" w:cs="Times New Roman" w:eastAsia="Times New Roman" w:hAnsi="Times New Roman"/>
          <w:sz w:val="18"/>
          <w:szCs w:val="18"/>
          <w:color w:val="auto"/>
        </w:rPr>
      </w:pPr>
    </w:p>
    <w:p>
      <w:pPr>
        <w:ind w:left="1020" w:right="80" w:hanging="504"/>
        <w:spacing w:after="0" w:line="250"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by our search and metasearch partners in how they present travel search results or conduct their auctions for search placement in a manner that is competitively disadvantageous to us;</w:t>
      </w: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adjust to consumer adoption of mobile devices and/or new technologies and product offerings;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growth and expand our global business;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and keep up with the rapid pace of technological and market changes;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systems-related failures or security breaches and data privacy risks and obligations;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legal and regulatory risks;</w:t>
      </w:r>
    </w:p>
    <w:p>
      <w:pPr>
        <w:spacing w:after="0" w:line="8" w:lineRule="exact"/>
        <w:rPr>
          <w:rFonts w:ascii="Times New Roman" w:cs="Times New Roman" w:eastAsia="Times New Roman" w:hAnsi="Times New Roman"/>
          <w:sz w:val="18"/>
          <w:szCs w:val="18"/>
          <w:color w:val="auto"/>
        </w:rPr>
      </w:pPr>
    </w:p>
    <w:p>
      <w:pPr>
        <w:ind w:left="1020" w:right="180" w:hanging="504"/>
        <w:spacing w:after="0" w:line="250"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facilitation of payments from consumers, including fraud and compliance with evolving rules and regulations and reliance on third parties;</w:t>
      </w: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 and other risks associated with doing business in multiple currencies and jurisdictions;</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strategic initiatives, investments and acquisitions, including integration; and</w:t>
      </w:r>
    </w:p>
    <w:p>
      <w:pPr>
        <w:spacing w:after="0" w:line="8"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including increased debt levels and stock price volatility.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 and Industry</w:t>
      </w:r>
    </w:p>
    <w:p>
      <w:pPr>
        <w:spacing w:after="0" w:line="117"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If we are unable to continue to attract a significant number of visitors to our platform, to cost-effectively convert these visitors into revenue-generating customers and to continue to engage consumers, our business and financial performance could be harmed. </w:t>
      </w:r>
      <w:r>
        <w:rPr>
          <w:rFonts w:ascii="Times New Roman" w:cs="Times New Roman" w:eastAsia="Times New Roman" w:hAnsi="Times New Roman"/>
          <w:sz w:val="17"/>
          <w:szCs w:val="17"/>
          <w:color w:val="auto"/>
        </w:rPr>
        <w:t>Our traffic and user engagement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could be adversely affected by a number of factors including, but not limited to, inability to provide quality content, lack of inventory or supply in amounts or of sufficient quality to be attractive to our consumers, increasing use of metasearch engines which may impact the amount of traffic to our platform, declines or inefficiencies in traffic acquisition and reduced awareness of our brands. Certain of our competitors have advertising campaigns expressly designed to drive traffic directly to their websites, and these campaigns may negatively impact traffic to our platform. There can be no assurances that we will continue to provide content and products in a manner that meets rapidly changing demand. Any failure to obtain and manage content and products in a cost-effective manner that will engage consumers, or any failure to provide content and products that are perceived as useful, reliable and trustworthy, could adversely affect user experiences and their repeat behavior, reduce traffic to our platform and negatively impact our business and financial performance.</w:t>
      </w:r>
    </w:p>
    <w:p>
      <w:pPr>
        <w:spacing w:after="0" w:line="63"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rely on internet search engines, metasearch engines and application marketplaces to drive traffic to our platform, certain providers of which offer products and services that compete directly with ours. If we are unable to drive traffic cost-effectively, traffic to our platform could decline and our business would be negatively affected. </w:t>
      </w:r>
      <w:r>
        <w:rPr>
          <w:rFonts w:ascii="Times New Roman" w:cs="Times New Roman" w:eastAsia="Times New Roman" w:hAnsi="Times New Roman"/>
          <w:sz w:val="18"/>
          <w:szCs w:val="18"/>
          <w:color w:val="auto"/>
        </w:rPr>
        <w:t>The number of consumers we attract to our platform is due in large part to how and where information from,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links to, our platform are displayed on search engine results pages, or SERPs, and search aggregators, or metasearch engines. The display, including rankings, of search results can be affected by a number of factors, many of which are not in our control. Search engines (including travel metasearch engines) frequently change the logic</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that determines the placement and display of the results of a user’s search, such that the purchased or algorithmic placement of links to our platform can be negatively affected. A search engine could alter its search algorithms or results causing our websites to place lower in search query results. For example, Google, a significant source of traffic to our platform, frequently promotes its own competing products in its search results, which has negatively impacted placement of references to our company and our platform on the SERP. If a major search engine changes its algorithms in a manner that negatively affects the search engine ranking of our websites or those of our travel partners, or if competitive dynamics impact the cost or effectiveness of Search Engine Optimization (“SEO”) or Search Engine Marketing (“SEM”) in a negative manner, our business and financial performance would be adversely affected. Furthermore, our failure to successfully manage our SEO and SEM strategies and/or other traffic acquisition strategies could result in a substantial decrease in traffic to our platform, as well as increased costs to the extent we replace free traffic with paid traffic.</w:t>
      </w:r>
    </w:p>
    <w:p>
      <w:pPr>
        <w:spacing w:after="0" w:line="8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also rely on application marketplaces, or app stores such as Apple’s App Store and Google’s Play, to drive downloads of our apps. In the future, Apple, Google or other marketplace operators may make changes that make access to our products more difficult or may limit our access to information that would restrict our ability to provide the best user experience. For example, Google has entered various aspects of the online travel market, including by establishing a flight metasearch product and hotel metasearch product as well as reservation functionality. Our apps may receive unfavorable treatment compared to the promotion and placement of competing apps, such as the order in which they appear within marketplaces. In addition, Apple has announced new features that limit who has access to consumer data, including location information which may negatively impact the effectiveness of our consumer data and platform. Similarly, if problems arise in our relationships with providers of application marketplaces, traffic to our platform and our user growth could be harmed.</w:t>
      </w:r>
    </w:p>
    <w:p>
      <w:pPr>
        <w:spacing w:after="0" w:line="7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strategy may be unsuccessful and may expose us to additional risks. If our strategy does not achieve its expected benefits, there could be negative impacts to our business, financial condition and results of operations. </w:t>
      </w:r>
      <w:r>
        <w:rPr>
          <w:rFonts w:ascii="Times New Roman" w:cs="Times New Roman" w:eastAsia="Times New Roman" w:hAnsi="Times New Roman"/>
          <w:sz w:val="18"/>
          <w:szCs w:val="18"/>
          <w:color w:val="auto"/>
        </w:rPr>
        <w:t>We are implementing discrete strategies across each segment which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connected and reinforcing to a cohesive strategy across the Tripadvisor group as described in “Our Business Strategy” herein. There are no assurances that we will be successful in executing our strategies. Our efforts may prove more difficult than we currently anticipate. Further, we may not succeed in realizing the benefits of these efforts on our anticipated timeline or at all. In addition, as we implement our strategies, the macroeconomic environment, including but not limited to, inflationary pressures, higher labor costs, and changes in consumer and merchant behavior may make it more difficult to effectively execute our strategy. Even if fully implemented, our strategy may not result in growth or the other anticipated benefits to our business, financial condition and results of operations. If we are unable to effectively execute our strategy and realize its anticipated benefits, it could negatively impact our business, financial condition and results of operations.</w:t>
      </w:r>
    </w:p>
    <w:p>
      <w:pPr>
        <w:spacing w:after="0" w:line="78" w:lineRule="exact"/>
        <w:rPr>
          <w:sz w:val="20"/>
          <w:szCs w:val="20"/>
          <w:color w:val="auto"/>
        </w:rPr>
      </w:pPr>
    </w:p>
    <w:p>
      <w:pPr>
        <w:ind w:right="8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derive a substantial portion of our revenue from advertising and any significant reduction in spending by advertisers on our platform could harm our business. </w:t>
      </w:r>
      <w:r>
        <w:rPr>
          <w:rFonts w:ascii="Times New Roman" w:cs="Times New Roman" w:eastAsia="Times New Roman" w:hAnsi="Times New Roman"/>
          <w:sz w:val="18"/>
          <w:szCs w:val="18"/>
          <w:color w:val="auto"/>
        </w:rPr>
        <w:t>Our ability to grow advertising revenue with our existing or new travel partners is dependent in large part on our ability to provide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to them relative to other alternatives. Our ability to provide value to our travel partners depends on a number of factors, including, but not limited to, the following:</w:t>
      </w:r>
    </w:p>
    <w:p>
      <w:pPr>
        <w:spacing w:after="0" w:line="71" w:lineRule="exact"/>
        <w:rPr>
          <w:sz w:val="20"/>
          <w:szCs w:val="20"/>
          <w:color w:val="auto"/>
        </w:rPr>
      </w:pPr>
    </w:p>
    <w:p>
      <w:pPr>
        <w:ind w:left="1020" w:hanging="368"/>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or maintain user engagement;</w:t>
      </w:r>
    </w:p>
    <w:p>
      <w:pPr>
        <w:spacing w:after="0" w:line="2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or maintain the quantity and quality of ads shown to consumers;</w:t>
      </w:r>
    </w:p>
    <w:p>
      <w:pPr>
        <w:spacing w:after="0" w:line="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technologies that can block the display of our ads or our ad measurement tools;</w:t>
      </w:r>
    </w:p>
    <w:p>
      <w:pPr>
        <w:spacing w:after="0" w:line="8" w:lineRule="exact"/>
        <w:rPr>
          <w:rFonts w:ascii="Times New Roman" w:cs="Times New Roman" w:eastAsia="Times New Roman" w:hAnsi="Times New Roman"/>
          <w:sz w:val="18"/>
          <w:szCs w:val="18"/>
          <w:color w:val="auto"/>
        </w:rPr>
      </w:pPr>
    </w:p>
    <w:p>
      <w:pPr>
        <w:ind w:left="1020" w:right="500" w:hanging="368"/>
        <w:spacing w:after="0" w:line="250"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advertising and the extent to which it generates sales leads, customers, bookings or financial results on a cost-effective basis, including our mobile transaction conversion rate;</w:t>
      </w:r>
    </w:p>
    <w:p>
      <w:pPr>
        <w:ind w:left="1020" w:right="80" w:hanging="368"/>
        <w:spacing w:after="0" w:line="250"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competitiveness of our products, traffic quality, perception of our platform, including mobile applications, and availability and accuracy of analytics and measurement solutions to demonstrate our value; and</w:t>
      </w:r>
    </w:p>
    <w:p>
      <w:pPr>
        <w:ind w:left="1020" w:hanging="368"/>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government actions or legal developments relating to advertising, including limitations on our ability to deliver targeted advertising.</w:t>
      </w:r>
    </w:p>
    <w:p>
      <w:pPr>
        <w:spacing w:after="0" w:line="98" w:lineRule="exact"/>
        <w:rPr>
          <w:sz w:val="20"/>
          <w:szCs w:val="20"/>
          <w:color w:val="auto"/>
        </w:rPr>
      </w:pPr>
    </w:p>
    <w:p>
      <w:pPr>
        <w:ind w:right="600" w:firstLine="509"/>
        <w:spacing w:after="0" w:line="281" w:lineRule="auto"/>
        <w:rPr>
          <w:sz w:val="20"/>
          <w:szCs w:val="20"/>
          <w:color w:val="auto"/>
        </w:rPr>
      </w:pPr>
      <w:r>
        <w:rPr>
          <w:rFonts w:ascii="Times New Roman" w:cs="Times New Roman" w:eastAsia="Times New Roman" w:hAnsi="Times New Roman"/>
          <w:sz w:val="18"/>
          <w:szCs w:val="18"/>
          <w:color w:val="auto"/>
        </w:rPr>
        <w:t>Any of these or other factors could result in a reduction in demand for our ads, which may reduce the prices we receive for our ads, or cause marketers to stop advertising with us altogether, any of which would negatively affect our revenue and financial results.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 w:name="page15"/>
    <w:bookmarkEnd w:id="14"/>
    <w:p>
      <w:pPr>
        <w:spacing w:after="0" w:line="84" w:lineRule="exact"/>
        <w:rPr>
          <w:sz w:val="20"/>
          <w:szCs w:val="20"/>
          <w:color w:val="auto"/>
        </w:rPr>
      </w:pPr>
    </w:p>
    <w:p>
      <w:pPr>
        <w:jc w:val="both"/>
        <w:ind w:right="280" w:firstLine="509"/>
        <w:spacing w:after="0" w:line="260" w:lineRule="auto"/>
        <w:rPr>
          <w:sz w:val="20"/>
          <w:szCs w:val="20"/>
          <w:color w:val="auto"/>
        </w:rPr>
      </w:pPr>
      <w:r>
        <w:rPr>
          <w:rFonts w:ascii="Times New Roman" w:cs="Times New Roman" w:eastAsia="Times New Roman" w:hAnsi="Times New Roman"/>
          <w:sz w:val="18"/>
          <w:szCs w:val="18"/>
          <w:color w:val="auto"/>
        </w:rPr>
        <w:t>Click-based advertising revenue accounts for the majority of our advertising revenue. Our pricing for click-based advertising depends, in part, on competition between advertisers. If our large advertisers become less competitive with each other, merge with each other or with our competitors, focus more on cost-per-click, or CPC, profit than on traffic volume, or are able to reduce CPCs, this could have an adverse impact on our advertising revenue which would, in turn, have an adverse effect on our business and financial results.</w:t>
      </w:r>
    </w:p>
    <w:p>
      <w:pPr>
        <w:spacing w:after="0" w:line="70" w:lineRule="exact"/>
        <w:rPr>
          <w:sz w:val="20"/>
          <w:szCs w:val="20"/>
          <w:color w:val="auto"/>
        </w:rPr>
      </w:pPr>
    </w:p>
    <w:p>
      <w:pPr>
        <w:ind w:right="10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rely on a relatively small number of significant travel partners and any reduction in spending by or loss of these partners could seriously harm our business. </w:t>
      </w:r>
      <w:r>
        <w:rPr>
          <w:rFonts w:ascii="Times New Roman" w:cs="Times New Roman" w:eastAsia="Times New Roman" w:hAnsi="Times New Roman"/>
          <w:sz w:val="18"/>
          <w:szCs w:val="18"/>
          <w:color w:val="auto"/>
        </w:rPr>
        <w:t>For the year ended December 31, 2023, our two most significant travel partners, Expedia and Booking (and their subsidiaries),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accounted for a combined 25% of total revenue, with most of this revenue recorded within our Brand Tripadvisor segment. If any of our significant travel partners were to cease or significantly curtail advertising on our platform, we could experience a rapid decline in our revenue over a relatively short period of time which would have a material impact on our business.</w:t>
      </w:r>
    </w:p>
    <w:p>
      <w:pPr>
        <w:spacing w:after="0" w:line="7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business depends on strong brands and any failure to maintain, protect or enhance our brands could hurt our ability to retain and expand our base of consumers and partners, the frequency with which consumers utilize our products and services and our ability to attract partners.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ability to maintain and protect our brands depends, in part, on our ability to maintain consumer trust in our products and services and in the quality, integrity, reliability and usefulness of the content and other information found on our platform. If consumers do not view the content on our platform to be useful and reliable, they may seek other sources to obtain the information they are looking for and may not return to our platform as often or at all. We dedicate significant resources to protecting the quality of our content, primarily through our content guidelines, computer algorithms and human moderators that are focused on identifying and removing inappropriate, unreliable or deceptive content.</w:t>
      </w:r>
    </w:p>
    <w:p>
      <w:pPr>
        <w:spacing w:after="0" w:line="77" w:lineRule="exact"/>
        <w:rPr>
          <w:sz w:val="20"/>
          <w:szCs w:val="20"/>
          <w:color w:val="auto"/>
        </w:rPr>
      </w:pPr>
    </w:p>
    <w:p>
      <w:pPr>
        <w:ind w:right="80" w:firstLine="494"/>
        <w:spacing w:after="0" w:line="255" w:lineRule="auto"/>
        <w:rPr>
          <w:sz w:val="20"/>
          <w:szCs w:val="20"/>
          <w:color w:val="auto"/>
        </w:rPr>
      </w:pPr>
      <w:r>
        <w:rPr>
          <w:rFonts w:ascii="Times New Roman" w:cs="Times New Roman" w:eastAsia="Times New Roman" w:hAnsi="Times New Roman"/>
          <w:sz w:val="18"/>
          <w:szCs w:val="18"/>
          <w:color w:val="auto"/>
        </w:rPr>
        <w:t>Media, legal, or regulatory scrutiny of our user content, advertising practices, and other issues may adversely affect our reputation and brand. Negative publicity about our company, including our content, technology and business practices, could diminish our reputation and confidence in our brand, thereby negatively affecting the use of our products and our financial performance. For example, in the past, certain media outlets have alleged that we have improperly filtered or screened reviews, that we have not properly verified reviews, or that we manipulate reviews, ranking and ratings in favor of our advertisers. We expend significant resources to ensure the integrity of our reviews and to ensure that the most relevant reviews are available to our consumers; we do not establish rankings and ratings in favor of our advertisers. Regulatory inquiries or investigations require management time and attention and could result in further negative publicity, regardless of their merits or ultimate outcomes.</w:t>
      </w:r>
    </w:p>
    <w:p>
      <w:pPr>
        <w:spacing w:after="0" w:line="79"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In addition, unfavorable publicity regarding, for example, our practices relating to privacy and data protection could adversely affect our reputation with our consumers and our partners. Such negative publicity also could have an adverse effect on the size, engagement, and loyalty of our user base and result in decreased revenue.</w:t>
      </w:r>
    </w:p>
    <w:p>
      <w:pPr>
        <w:spacing w:after="0" w:line="6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Weak economic conditions, including those that cause declines or disruptions in the travel industry or reduce consumer discretionary spending have, in the past, had a material adverse impact on the Company’s business and financial performance and could have a material adverse impact on our businesses, financial performance and the market price of our common stock. </w:t>
      </w:r>
      <w:r>
        <w:rPr>
          <w:rFonts w:ascii="Times New Roman" w:cs="Times New Roman" w:eastAsia="Times New Roman" w:hAnsi="Times New Roman"/>
          <w:sz w:val="18"/>
          <w:szCs w:val="18"/>
          <w:color w:val="auto"/>
        </w:rPr>
        <w:t>Our business and financial performance are affected by the health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worldwide travel industry, including macroeconomic conditions and events beyond our control. Events beyond our control, such as macroeconomic factors (such as tightening of credit markets and declines in consumer confidence), health concerns (including epidemics or pandemics), unusual or extreme weather or natural disasters (whether caused by climate change or otherwise), travel-related health concerns, restrictions related to travel, trade or immigration policies, regional hostilities or instability, wars, terrorism, sources of political uncertainty, foreign policy changes, regional hostilities, natural disasters, imposition of taxes or surcharges by regulatory authorities, significant increases in energy costs, labor unrest or travel-related accidents, can disrupt travel globally or otherwise result in declines in travel demand. For example, recent conflicts between Ukraine and Russia and Israel and Hamas have impacted travel to those regions and the surrounding regions.</w:t>
      </w:r>
    </w:p>
    <w:p>
      <w:pPr>
        <w:spacing w:after="0" w:line="79" w:lineRule="exact"/>
        <w:rPr>
          <w:sz w:val="20"/>
          <w:szCs w:val="20"/>
          <w:color w:val="auto"/>
        </w:rPr>
      </w:pPr>
    </w:p>
    <w:p>
      <w:pPr>
        <w:ind w:right="40" w:firstLine="509"/>
        <w:spacing w:after="0" w:line="274" w:lineRule="auto"/>
        <w:rPr>
          <w:sz w:val="20"/>
          <w:szCs w:val="20"/>
          <w:color w:val="auto"/>
        </w:rPr>
      </w:pPr>
      <w:r>
        <w:rPr>
          <w:rFonts w:ascii="Times New Roman" w:cs="Times New Roman" w:eastAsia="Times New Roman" w:hAnsi="Times New Roman"/>
          <w:sz w:val="17"/>
          <w:szCs w:val="17"/>
          <w:color w:val="auto"/>
        </w:rPr>
        <w:t>Sales of travel and/or leisure products tend to decline or grow more slowly during economic downturns and times of inflation when consumers engage in less discretionary spending, are concerned about unemployment or economic weakness, have reduced access to credit or experience other concerns that reduce their ability or willingness to travel. In addition, the uncertainty of macroeconomic factors and their impact on consumer behavior makes it more difficult to forecast industry and consumer trends, which in turn has in the past and could in the future adversely affect our ability to effectively manage our business. Leisure travel, which accounts for a substantial majority of our current business, is particularly dependent on discretionary consumer spending levels. For example, the United States and other countries have recently experienced elevated inflation which has created economic</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84"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uncertainty and has impacted and may impact consumer demand in the travel industry. Economic downturn and adverse market conditions may also negatively impact our partners, our partners’ access to capital, cost of capital and ability to meet liquidity needs. These challenges faced in a prolonged economic downturn or deterioration in the travel industry could adversely impact our business, financial performance and share price. The extent and duration of such impacts remain largely uncertain and dependent on future developments that cannot be accurately predicted at this time.</w:t>
      </w:r>
    </w:p>
    <w:p>
      <w:pPr>
        <w:spacing w:after="0" w:line="70"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operate in a competitive global environment and our failure to compete effectively could reduce our market share and harm our financial performance. </w:t>
      </w:r>
      <w:r>
        <w:rPr>
          <w:rFonts w:ascii="Times New Roman" w:cs="Times New Roman" w:eastAsia="Times New Roman" w:hAnsi="Times New Roman"/>
          <w:sz w:val="18"/>
          <w:szCs w:val="18"/>
          <w:color w:val="auto"/>
        </w:rPr>
        <w:t>We compete with different types of companies in the various markets and geographies where we operate, including large and small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companies in the travel and leisure space as well as broader service providers. We face competition for content, consumers, advertisers, online travel search and price comparison services and online reservations. We compete globally with both online and offline, established and emerging, providers of travel, lodging, experiences and restaurant reservation and related services. Current and new competitors can launch new services at a relatively low cost. More specifically:</w:t>
      </w:r>
    </w:p>
    <w:p>
      <w:pPr>
        <w:spacing w:after="0" w:line="76" w:lineRule="exact"/>
        <w:rPr>
          <w:sz w:val="20"/>
          <w:szCs w:val="20"/>
          <w:color w:val="auto"/>
        </w:rPr>
      </w:pPr>
    </w:p>
    <w:p>
      <w:pPr>
        <w:ind w:left="1020" w:right="200" w:hanging="368"/>
        <w:spacing w:after="0" w:line="260"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OTAs, such as Expedia, Booking Holdings, Airbnb, traveloka, Despegar, Trip.com, and their respective subsidiaries and operating companies;</w:t>
      </w:r>
    </w:p>
    <w:p>
      <w:pPr>
        <w:spacing w:after="0" w:line="1"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Experiences OTAs, such as GetYourGuide, Klook, and TUI Musement;</w:t>
      </w:r>
    </w:p>
    <w:p>
      <w:pPr>
        <w:spacing w:after="0" w:line="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Hotel metasearch providers, such as trivago, Kayak and Skyscanner;</w:t>
      </w:r>
    </w:p>
    <w:p>
      <w:pPr>
        <w:spacing w:after="0" w:line="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search, social media, and marketplace platforms for advertising spend, such as Google, Facebook, Twitter, Pinterest, and Snap;</w:t>
      </w:r>
    </w:p>
    <w:p>
      <w:pPr>
        <w:spacing w:after="0" w:line="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and regional travel, experiences, and restaurant brands seeking to promote direct bookings;</w:t>
      </w:r>
    </w:p>
    <w:p>
      <w:pPr>
        <w:spacing w:after="0" w:line="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online advertising businesses, such as ad-supported retail and entertainment platforms like Amazon, Spotify, and Walmart;</w:t>
      </w:r>
    </w:p>
    <w:p>
      <w:pPr>
        <w:spacing w:after="0" w:line="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Artificial intelligence driven travel curators, such as Travel Plan AI, Aitinerary, Wonderplan, Roam Around and similar websites;</w:t>
      </w:r>
    </w:p>
    <w:p>
      <w:pPr>
        <w:spacing w:after="0" w:line="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offline travel agencies; and</w:t>
      </w:r>
    </w:p>
    <w:p>
      <w:pPr>
        <w:spacing w:after="0" w:line="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and regional restaurant technology providers for reservation management and related services, such as OpenTable, Resy, and Tock.</w:t>
      </w:r>
    </w:p>
    <w:p>
      <w:pPr>
        <w:spacing w:after="0" w:line="9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There has been a proliferation of new channels through which service providers can offer accommodations, experiences and restaurant reservations. Metasearch services may lower the cost for new companies to enter the market by providing a distribution channel without the cost of promoting the new entrant’s brand to drive consumers directly to its website. Some of our competitors offer a variety of online services and, in some cases, are willing to make little or no profit on a transaction, or offer travel services at a loss, in order to gain market share. Many of our competitors have significantly greater financial, technical, marketing and other resources and have more expertise in developing online commerce and facilitating internet traffic as well as larger client bases. They also have the ability to leverage other aspects of their business to enable them to compete more effectively.</w:t>
      </w:r>
    </w:p>
    <w:p>
      <w:pPr>
        <w:spacing w:after="0" w:line="78" w:lineRule="exact"/>
        <w:rPr>
          <w:sz w:val="20"/>
          <w:szCs w:val="20"/>
          <w:color w:val="auto"/>
        </w:rPr>
      </w:pPr>
    </w:p>
    <w:p>
      <w:pPr>
        <w:jc w:val="both"/>
        <w:ind w:right="280" w:firstLine="509"/>
        <w:spacing w:after="0" w:line="265" w:lineRule="auto"/>
        <w:rPr>
          <w:sz w:val="20"/>
          <w:szCs w:val="20"/>
          <w:color w:val="auto"/>
        </w:rPr>
      </w:pPr>
      <w:r>
        <w:rPr>
          <w:rFonts w:ascii="Times New Roman" w:cs="Times New Roman" w:eastAsia="Times New Roman" w:hAnsi="Times New Roman"/>
          <w:sz w:val="18"/>
          <w:szCs w:val="18"/>
          <w:color w:val="auto"/>
        </w:rPr>
        <w:t>In addition, Google and other large, established companies with substantial resources and expertise have launched travel or travel-related search, metasearch and/or reservation booking services and may create additional inroads into online travel. Many of our competitors continue to expand their voice and artificial intelligence capabilities, which may provide them with a competitive advantage in travel.</w:t>
      </w:r>
    </w:p>
    <w:p>
      <w:pPr>
        <w:spacing w:after="0" w:line="69"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We compete with certain companies that we also do business with, including certain of our travel partners and related parties. The consolidation of our competitors and travel partners may affect our relative competitiveness and our travel partner relationships. Competition and consolidation could result in higher traffic acquisition costs, reduced margins on our advertising services, loss of market share, pricing pressure, reduced customer traffic to our platform and reduced advertising by travel companies on our platform.</w:t>
      </w:r>
    </w:p>
    <w:p>
      <w:pPr>
        <w:spacing w:after="0" w:line="70"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rely on information technology to operate our business and remain competitive, and any failure to adapt to technological developments or industry trends could harm our businesses. </w:t>
      </w:r>
      <w:r>
        <w:rPr>
          <w:rFonts w:ascii="Times New Roman" w:cs="Times New Roman" w:eastAsia="Times New Roman" w:hAnsi="Times New Roman"/>
          <w:sz w:val="18"/>
          <w:szCs w:val="18"/>
          <w:color w:val="auto"/>
        </w:rPr>
        <w:t>Our future success depends on our ability to continuously improve and upgrade our systems and infrastructure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meet rapidly evolving consumer trends and demands while at the same time maintaining the reliability and integrity of our systems and infrastructure. We may not be able to maintain or replace our existing systems or introduce new technologies and systems as quickly as we would like or in a cost-effective manner. We may not be successful, or as successful as our competitors, in developing technologies and systems that operate effectively across multiple devices and platforms in a way that is appealing to our consumers.</w:t>
      </w: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6" w:name="page17"/>
    <w:bookmarkEnd w:id="16"/>
    <w:p>
      <w:pPr>
        <w:spacing w:after="0" w:line="8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markets in which we operate are characterized by rapidly changing technology, evolving industry standards, frequent new service announcements and enhancements, and changing consumer demands and preferences. Our future success will also depend on our ability to adapt to emerging technologies such as tokenization; chatbot, new authentication technologies, such as biometrics, distributed ledger and blockchain technologies; new and emerging payment methods, such as Alipay, Paytm and WeChat Pay; artificial intelligence; virtual and augmented reality; and cloud technologies. For example, we incorporate artificial intelligence in certain of our operations. In July 2023, we launched an AI-powered travel itinerary generator which creates personalized travel itineraries using OpenAI’s generative artificial intelligence technology. The use of artificial intelligence in our business presents risks and challenges, including that algorithms may be flawed, datasets may be insufficient, erroneous, stale, or contain biased information, or content chosen for display to consumers by artificial intelligence systems may be discriminatory, offensive, illegal, or otherwise harmful. These deficiencies and other failures of artificial intelligence systems could subject us to competitive harm, regulatory action, legal liability, and brand or reputational harm. In addition, there is no guarantee that our itinerary generator or other artificial intelligence focused initiatives will be competitive or attract more consumers to our platform.</w:t>
      </w:r>
    </w:p>
    <w:p>
      <w:pPr>
        <w:spacing w:after="0" w:line="8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emergence of alternative or new devices and the emergence of niche competitors who may be able to optimize products, services or strategies for such platforms will require additional investments in technology. New developments in other areas could also make it easier for competitors to enter our markets due to lower up-front technology costs. We may not be able to keep up with these rapid changes and our ability to integrate and develop new and evolving technologies will require increased financial and personnel investments that could have an adverse impact on our operations unless and until we achieve expected return on these investments. Our future success will depend on our ability to adapt to rapidly changing technologies, to adapt our services and platform to evolving industry standards and local preferences, and to continually innovate and improve the performance, features, and reliability of our services and online platforms in response to competitive service offerings and the evolving demands of the marketplace.</w:t>
      </w:r>
    </w:p>
    <w:p>
      <w:pPr>
        <w:spacing w:after="0" w:line="7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we are unable to adapt to the evolving demands of our customers, we may not remain competitive, and our business and financial performance could suffer. </w:t>
      </w:r>
      <w:r>
        <w:rPr>
          <w:rFonts w:ascii="Times New Roman" w:cs="Times New Roman" w:eastAsia="Times New Roman" w:hAnsi="Times New Roman"/>
          <w:sz w:val="18"/>
          <w:szCs w:val="18"/>
          <w:color w:val="auto"/>
        </w:rPr>
        <w:t>Our competitors are continually developing innovations in services and features. As a result, we are continually working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improve the user experience on our platform in order to engage our consumers and drive user traffic and conversion rates for our partners and provide our business partners with the tools they need to succeed. We have invested, and expect to continue to invest, significant resources in developing and marketing these innovations. We can give no assurances that the changes we make will yield the benefits we expect and will not have unintended or adverse impacts. If we are unable to continue offering innovative products and services and quality features that customers want to use, existing customers may become dissatisfied and use competitors’ offerings and we may be unable to attract additional customers, which could adversely affect our business and financial performance.</w:t>
      </w:r>
    </w:p>
    <w:p>
      <w:pPr>
        <w:spacing w:after="0" w:line="7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dedication to making the consumer experience our highest priority may cause us to prioritize rapid innovation and consumer experience over short-term financial results. </w:t>
      </w:r>
      <w:r>
        <w:rPr>
          <w:rFonts w:ascii="Times New Roman" w:cs="Times New Roman" w:eastAsia="Times New Roman" w:hAnsi="Times New Roman"/>
          <w:sz w:val="18"/>
          <w:szCs w:val="18"/>
          <w:color w:val="auto"/>
        </w:rPr>
        <w:t>We strive to create the best experience for our consumers. We believe that in doing so we will increase our traffic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conversion (i.e., visitors converting into clicks and/or bookings), revenue and financial performance. We have taken actions in the past, and may continue to take actions in the future, that have the effect of reducing our short-term financial results if we believe the actions benefit the overall consumer experience. These decisions may not produce the long-term benefits we expect, new or enhanced products may fail to engage consumers and/or we may be unsuccessful in our efforts to monetize these initiatives, in which case our relationships with consumers and partners, and our business and financial performance could be harmed.</w:t>
      </w:r>
    </w:p>
    <w:p>
      <w:pPr>
        <w:spacing w:after="0" w:line="73"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dependent upon the quality of traffic in our network to provide value to our partners, and any failure in our ability to deliver quality traffic and/or the metrics to demonstrate the value of the traffic could have a material and adverse impact on the value of our platform to our partners and adversely affect our revenue. </w:t>
      </w:r>
      <w:r>
        <w:rPr>
          <w:rFonts w:ascii="Times New Roman" w:cs="Times New Roman" w:eastAsia="Times New Roman" w:hAnsi="Times New Roman"/>
          <w:sz w:val="18"/>
          <w:szCs w:val="18"/>
          <w:color w:val="auto"/>
        </w:rPr>
        <w:t>We use technology and processes to monitor the quality of the internet traffic that we deliver to our partners and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identified metrics to demonstrate the quality of that traffic and identify low quality clicks such as non-human processes, including robots, spiders, the mechanical automation of clicking and other types of invalid clicks or click fraud. Even with such monitoring in place, there is a risk that a certain amount of low-quality traffic will be delivered to such online advertisers. Such low-quality or invalid traffic may be detrimental to our relationships with partners and could adversely affect our advertising pricing and revenue.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rely on assumptions and estimates and data to calculate certain of our key metrics, and real or perceived inaccuracies in such metrics may harm our reputation and negatively affect our business. </w:t>
      </w:r>
      <w:r>
        <w:rPr>
          <w:rFonts w:ascii="Times New Roman" w:cs="Times New Roman" w:eastAsia="Times New Roman" w:hAnsi="Times New Roman"/>
          <w:sz w:val="18"/>
          <w:szCs w:val="18"/>
          <w:color w:val="auto"/>
        </w:rPr>
        <w:t>Certain metrics are key to our business; as both the industry in which we operate and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businesses continue to evolve, so too might the metrics by which we evaluate our businesses. While the calculation of the metrics we use is based on what we believe to be reasonable estimates, our internal tools are not independently verified by a third-party and have a number of limitations; furthermore, our methodologies for tracking these metrics may change over time. For example, a single person may have multiple accounts or browse the internet on multiple browsers or devices, some consumers may restrict our ability to accurately identify them across visits, some mobile apps automatically contact our servers for regular updates with no user action, and we are not always able to capture user information on our platform. As such, the calculations of our unique users may not accurately reflect the number of people actually visiting our platform. If the internal tools we use to track these metrics under-count or over-count performance or contain algorithm or other technical errors, the data we report may not be accurate. We continue to improve upon our tools and methodologies to capture data; however, the improvement of our tools and methodologies could cause inconsistency between current data and previously reported data, which could confuse investors or lead to questions about the integrity of our data. Finally, we may, in the future, identify new or other metrics that enable us to more accurately evaluate our business. Accordingly, investors should not place undue reliance on these metrics.</w:t>
      </w:r>
    </w:p>
    <w:p>
      <w:pPr>
        <w:spacing w:after="0" w:line="78"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future success depends on the performance of our key employees and our ability to attract, retain and engage senior management and a highly skilled workforce. </w:t>
      </w:r>
      <w:r>
        <w:rPr>
          <w:rFonts w:ascii="Times New Roman" w:cs="Times New Roman" w:eastAsia="Times New Roman" w:hAnsi="Times New Roman"/>
          <w:sz w:val="18"/>
          <w:szCs w:val="18"/>
          <w:color w:val="auto"/>
        </w:rPr>
        <w:t>In particular, we are highly dependent on the services of our leadership team for the development of and our execution on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vision and strategy. Over the last few years, we have made several changes to our senior leadership group. Our future performance will depend, in part, on the successful integration of these new senior level executives into their roles. If we do not successfully manage these additions, it could be viewed negatively by our investors, employees, and partners, and could have an adverse impact on our business and results of operations. We also heavily rely on the continued service and performance of our senior management team, which provides leadership, contributes to the core areas of our business and helps us to efficiently execute on mission, vision and strategic initiatives. If we are unable to retain members of our senior management team, including our executive leadership, we may not be able to manage our business effectively and, as a result, our business and operating results could be harmed. If the senior management team fails to work together effectively and to execute our plans and strategies on a timely basis, then our business and future growth prospects could be harmed.</w:t>
      </w:r>
    </w:p>
    <w:p>
      <w:pPr>
        <w:spacing w:after="0" w:line="79"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The success of our operations and the quality of our services are also highly dependent on our ability to attract, retain and engage skilled personnel. For employees, we compete with companies that have far greater financial resources than we do as well as companies that promise short-term growth opportunities and/or other benefits. If we do not succeed in attracting a well-qualified workforce or retaining or motivating existing talent, our business would be adversely affected.</w:t>
      </w:r>
    </w:p>
    <w:p>
      <w:pPr>
        <w:spacing w:after="0" w:line="70"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The composition of our work force, in terms of geographic location, in person or remote and full-time employees or independent contractors, creates challenges and risks and failure to properly manage those risks could have a negative impact on our business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response to the COVID-19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pandemic, much of our work force began working remotely and continue to work remotely today. In addition, following the COVID-19 pandemic, our work force has increasingly shifted outside the U.S. and to independent contractors versus full-time employees. Managing a remote and independent work force can give rise to cybersecurity, legal and regulatory issues and training and compliance issues, as well as create operational or other challenges, any of which could harm our business. For example, our workers are classified as either employees or non-employees (including as independent contractors or agency workers). Our employees in the U.S. are classified as either exempt from overtime or non-exempt (and therefore overtime eligible) and if we are found to have misclassified employees including as independent contractors, agency workers or independent contractors, agency workers or non-exempt employees as exempt, we could face penalties and have additional exposure under U.S. federal and state tax, workers’ compensation, unemployment benefits, labor, employment and tort laws, as well as similar international laws, including for prior periods, as well as potential liability for employee overtime and benefits and tax withholdings.</w:t>
      </w:r>
    </w:p>
    <w:p>
      <w:pPr>
        <w:spacing w:after="0" w:line="81" w:lineRule="exact"/>
        <w:rPr>
          <w:sz w:val="20"/>
          <w:szCs w:val="20"/>
          <w:color w:val="auto"/>
        </w:rPr>
      </w:pPr>
    </w:p>
    <w:p>
      <w:pPr>
        <w:ind w:right="20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Acquisitions, investments, significant commercial arrangements and/or new business strategies could present new challenges and risks and disrupt our ongoing business. </w:t>
      </w:r>
      <w:r>
        <w:rPr>
          <w:rFonts w:ascii="Times New Roman" w:cs="Times New Roman" w:eastAsia="Times New Roman" w:hAnsi="Times New Roman"/>
          <w:sz w:val="18"/>
          <w:szCs w:val="18"/>
          <w:color w:val="auto"/>
        </w:rPr>
        <w:t>We have acquired, invested in and/or entered into significant commercial arrangements with a number of businesses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past and our future growth may depend, in part, on future acquisitions, investments, commercial arrangements and/or changes in business strategies.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endeavors have in the past and may in the future involve significant risks and uncertainties, including, but not limited to, the following:</w:t>
      </w:r>
    </w:p>
    <w:p>
      <w:pPr>
        <w:spacing w:after="0" w:line="117" w:lineRule="exact"/>
        <w:rPr>
          <w:sz w:val="20"/>
          <w:szCs w:val="20"/>
          <w:color w:val="auto"/>
        </w:rPr>
      </w:pPr>
    </w:p>
    <w:p>
      <w:pPr>
        <w:ind w:left="1020" w:hanging="368"/>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to identify, pursue and fund these endeavors that may or may not be successful and may limit other potential uses of cash;</w:t>
      </w:r>
    </w:p>
    <w:p>
      <w:pPr>
        <w:spacing w:after="0" w:line="2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or other resources from our existing business;</w:t>
      </w:r>
    </w:p>
    <w:p>
      <w:pPr>
        <w:spacing w:after="0" w:line="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expenses in integrating the operations, products, technology or personnel;</w:t>
      </w:r>
    </w:p>
    <w:p>
      <w:pPr>
        <w:spacing w:after="0" w:line="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implementing and retaining uniform standards, controls, procedures, policies and information systems;</w:t>
      </w:r>
    </w:p>
    <w:p>
      <w:pPr>
        <w:spacing w:after="0" w:line="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debt and liabilities, including costs associated with litigation, cybersecurity risks, and other claims;</w:t>
      </w:r>
    </w:p>
    <w:p>
      <w:pPr>
        <w:spacing w:after="0" w:line="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such strategy or target to achieve anticipated objectives, revenues or earnings;</w:t>
      </w:r>
    </w:p>
    <w:p>
      <w:pPr>
        <w:spacing w:after="0" w:line="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management or operational control and heightened reputational risk with respect to minority investments;</w:t>
      </w:r>
    </w:p>
    <w:p>
      <w:pPr>
        <w:spacing w:after="0" w:line="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Entrance into markets in which we have no prior experience;</w:t>
      </w:r>
    </w:p>
    <w:p>
      <w:pPr>
        <w:spacing w:after="0" w:line="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expenses related to acquired intangible assets and other adverse accounting consequences; and</w:t>
      </w:r>
    </w:p>
    <w:p>
      <w:pPr>
        <w:spacing w:after="0" w:line="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 to the transaction.</w:t>
      </w:r>
    </w:p>
    <w:p>
      <w:pPr>
        <w:spacing w:after="0" w:line="9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have in the past invested, and may in the future invest, in privately-held companies. Such investments are inherently risky and our ability to liquidate any such investments is typically difficult. Valuations of such privately-held companies are inherently complex and uncertain due to the lack of liquid market for the companies’ securities. We cannot assure you that these investments will be successful or that such endeavors will result in the realization of the synergies, cost savings and innovation that may be possible within a reasonable period of time, if at all. We could lose the full amount of our investments; any impairment of our investments could have a material adverse effect on our financial results.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Legal and Regulatory Matters</w:t>
      </w:r>
    </w:p>
    <w:p>
      <w:pPr>
        <w:spacing w:after="0" w:line="117" w:lineRule="exact"/>
        <w:rPr>
          <w:sz w:val="20"/>
          <w:szCs w:val="20"/>
          <w:color w:val="auto"/>
        </w:rPr>
      </w:pPr>
    </w:p>
    <w:p>
      <w:pPr>
        <w:ind w:right="10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a global company that operates in many different jurisdictions inside and outside the U.S. and these operations expose us to additional risks. </w:t>
      </w:r>
      <w:r>
        <w:rPr>
          <w:rFonts w:ascii="Times New Roman" w:cs="Times New Roman" w:eastAsia="Times New Roman" w:hAnsi="Times New Roman"/>
          <w:sz w:val="18"/>
          <w:szCs w:val="18"/>
          <w:color w:val="auto"/>
        </w:rPr>
        <w:t>Many regions have different economic conditions, languages, currencies, legislation, regulatory environments, levels of political stability,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consumer expectations. We are subject to risks typical of global businesses, including, but not limited to, the following:</w:t>
      </w:r>
    </w:p>
    <w:p>
      <w:pPr>
        <w:spacing w:after="0" w:line="66" w:lineRule="exact"/>
        <w:rPr>
          <w:sz w:val="20"/>
          <w:szCs w:val="20"/>
          <w:color w:val="auto"/>
        </w:rPr>
      </w:pPr>
    </w:p>
    <w:p>
      <w:pPr>
        <w:ind w:left="1020" w:right="620" w:hanging="368"/>
        <w:spacing w:after="0" w:line="26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additional laws and regulations, including but not limited to, those regarding data privacy, labor and employment, advertising, anti-competition and tax;</w:t>
      </w:r>
    </w:p>
    <w:p>
      <w:pPr>
        <w:spacing w:after="0" w:line="1" w:lineRule="exact"/>
        <w:rPr>
          <w:rFonts w:ascii="Times New Roman" w:cs="Times New Roman" w:eastAsia="Times New Roman" w:hAnsi="Times New Roman"/>
          <w:sz w:val="18"/>
          <w:szCs w:val="18"/>
          <w:color w:val="auto"/>
        </w:rPr>
      </w:pPr>
    </w:p>
    <w:p>
      <w:pPr>
        <w:ind w:left="1020" w:right="360" w:hanging="368"/>
        <w:spacing w:after="0" w:line="25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our human capital and operations due to distance, time zones, language, status as an independent contractor or agency worker versus employee and cultural differences;</w:t>
      </w:r>
    </w:p>
    <w:p>
      <w:pPr>
        <w:ind w:left="1020" w:hanging="368"/>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repatriation of cash and on investments in operations;</w:t>
      </w:r>
    </w:p>
    <w:p>
      <w:pPr>
        <w:spacing w:after="0" w:line="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regarding liability for services, content and intellectual property rights;</w:t>
      </w:r>
    </w:p>
    <w:p>
      <w:pPr>
        <w:spacing w:after="0" w:line="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and limits on enforceability of intellectual property rights;</w:t>
      </w:r>
    </w:p>
    <w:p>
      <w:pPr>
        <w:spacing w:after="0" w:line="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ability to legally enforce contractual rights;</w:t>
      </w:r>
    </w:p>
    <w:p>
      <w:pPr>
        <w:spacing w:after="0" w:line="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w:t>
      </w:r>
    </w:p>
    <w:p>
      <w:pPr>
        <w:spacing w:after="0" w:line="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or political instability or laws involving economic or trade prohibitions or sanctions; and</w:t>
      </w:r>
    </w:p>
    <w:p>
      <w:pPr>
        <w:spacing w:after="0" w:line="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acts of terrorism.</w:t>
      </w:r>
    </w:p>
    <w:p>
      <w:pPr>
        <w:spacing w:after="0" w:line="9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strategy includes continued expansion in existing markets and potentially new markets. In addition to the risks mentioned above, international markets have strong local competitors with established brands and travel service providers or relationships that may make expansion in certain markets difficult and costly and take more time than anticipated. In some markets, legal and other regulatory requirements may prohibit or limit participation by foreign businesses, such as by making foreign ownership or management of internet or travel-related businesses illegal or difficult or may make direct participation in those markets uneconomic, which could make our entry or expansion in those markets difficult or impossible, require that we work with a local partner or result in higher operating costs. If we are unsuccessful in expanding in existing and potentially new markets and effectively managing that expansion, our business and financial results could be adversely affected.</w:t>
      </w:r>
    </w:p>
    <w:p>
      <w:pPr>
        <w:spacing w:after="0" w:line="75" w:lineRule="exact"/>
        <w:rPr>
          <w:sz w:val="20"/>
          <w:szCs w:val="20"/>
          <w:color w:val="auto"/>
        </w:rPr>
      </w:pPr>
    </w:p>
    <w:p>
      <w:pPr>
        <w:ind w:right="4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regularly subject to claims, lawsuits, government investigations, and other proceedings which may result in adverse outcomes and, regardless of the outcome, result in legal costs, diversion of management</w:t>
      </w: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19" w:name="page20"/>
    <w:bookmarkEnd w:id="19"/>
    <w:p>
      <w:pPr>
        <w:spacing w:after="0" w:line="8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resources, injunctions or damage awards, and other negative results. </w:t>
      </w:r>
      <w:r>
        <w:rPr>
          <w:rFonts w:ascii="Times New Roman" w:cs="Times New Roman" w:eastAsia="Times New Roman" w:hAnsi="Times New Roman"/>
          <w:sz w:val="18"/>
          <w:szCs w:val="18"/>
          <w:color w:val="auto"/>
        </w:rPr>
        <w:t>It is possible that a resolution of one or more such proceedings could result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substantial damages, fines or penalties that could adversely affect our business, financial results or financial position. These proceedings could also result in reputational harm, criminal sanctions or consent decrees, the release of confidential information or orders preventing us from offering certain features, functionalities, products, or services, requiring a change in our business practices. Any of these consequences could adversely affect our business and financial results.</w:t>
      </w:r>
    </w:p>
    <w:p>
      <w:pPr>
        <w:spacing w:after="0" w:line="70"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 failure to comply with existing or new laws, rules and regulations or changes to such laws, rules and regulations and other legal uncertainties may adversely affect our business or financial results. </w:t>
      </w:r>
      <w:r>
        <w:rPr>
          <w:rFonts w:ascii="Times New Roman" w:cs="Times New Roman" w:eastAsia="Times New Roman" w:hAnsi="Times New Roman"/>
          <w:sz w:val="18"/>
          <w:szCs w:val="18"/>
          <w:color w:val="auto"/>
        </w:rPr>
        <w:t>Our business and financial results could be adversely affected by unfavorable changes in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interpretations of existing laws, rules and regulations or the promulgation of new laws, rules and regulations applicable to us and our business, including, but not limited to, those relating to internet and online commerce, internet advertising, consumer protection, intermediary liability, cybersecurity, data security and privacy. These laws continue to evolve. For example, there is, and will likely continue to be, an increasing number of laws and regulations pertaining to internet and online commerce, cybersecurity, and liability for information retrieved from or transmitted over the internet, online editorial and user-generated content, user privacy, behavioral targeting and online advertising and liability for third-party activities. Likewise, the SEC, DOJ and OFAC, as well as foreign regulatory authorities, have continued to increase the enforcement of economic sanctions and trade regulations, anti-money laundering, and anti-corruption laws, across industries. Operating in this dynamic regulatory environment requires significant management attention and financial resources. As regulations continue to evolve and regulatory oversight continues to increase, we cannot guarantee that our programs and policies will be deemed compliant by all applicable regulatory authorities. The failure of our businesses to comply with these laws and regulations could result in fines and/or proceedings against us by governmental agencies, regulatory authorities, courts and/or consumers, which, if material, could adversely affect our business and financial results.</w:t>
      </w:r>
    </w:p>
    <w:p>
      <w:pPr>
        <w:spacing w:after="0" w:line="80"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The promulgation of new laws, rules and regulations, or new interpretations of existing laws, rules and regulations, could require us to change certain aspects of our business, operations and relationships to ensure compliance, which could decrease demand for services, reduce revenues, increase costs and/or subject the Company to additional liabilities. For example, many jurisdictions have adopted, and many jurisdictions are considering adopting, privacy rights and consumer protections for their residents, which legislation will continue to change the landscape for the use and protection of data and could increase the cost and complexity of delivering our services. Unfavorable changes could limit our marketing methods and capabilities, decrease demand for our products and services, impede development of new products, require significant management time, increase costs and/or subject us to additional liabilities. Violations of these laws and regulations could result in penalties, criminal sanctions and/or negative publicity against us, our officers or our employees and/or restrictions on the conduct of our business.</w:t>
      </w:r>
    </w:p>
    <w:p>
      <w:pPr>
        <w:spacing w:after="0" w:line="77"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face risks related to our intellectual property. </w:t>
      </w:r>
      <w:r>
        <w:rPr>
          <w:rFonts w:ascii="Times New Roman" w:cs="Times New Roman" w:eastAsia="Times New Roman" w:hAnsi="Times New Roman"/>
          <w:sz w:val="18"/>
          <w:szCs w:val="18"/>
          <w:color w:val="auto"/>
        </w:rPr>
        <w:t>We rely on content, brands and technology, much of which is proprietary. We protect our content,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brands and technology by, among other things, a combination of maintenance and enforcement of registered and unregistered intellectual property rights (e.g. trademarks, copyrights and trade secrets), technological solutions and contractual protections. Even with these precautions, it may be possible for another party to copy or otherwise obtain and use our intellectual property, without authorization or to independently develop similar content, brands or technology. Any misappropriation or violation of our rights could have a material adverse effect on our business.</w:t>
      </w:r>
    </w:p>
    <w:p>
      <w:pPr>
        <w:spacing w:after="0" w:line="7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Effective intellectual property protection may not be available in every jurisdiction in which our platform or services are made available and policing unauthorized use of our intellectual property can be difficult and expensive. Therefore, in certain jurisdictions, we may be unable to adequately protect our intellectual property against unauthorized third-party copying or use. We cannot be sure that the steps we have taken will prevent misappropriation or infringement of our intellectual property. Furthermore, we may need to go to court or other tribunals in order to enforce our rights or the proprietary rights that we have lawfully obtained from others. These proceedings might result in substantial costs and diversion of resources and management attention, and we cannot accurately predict the likelihood of success in such proceedings. Our failure to protect our intellectual property in an effective manner could have a material adverse effect on our business.</w:t>
      </w:r>
    </w:p>
    <w:p>
      <w:pPr>
        <w:spacing w:after="0" w:line="79" w:lineRule="exact"/>
        <w:rPr>
          <w:sz w:val="20"/>
          <w:szCs w:val="20"/>
          <w:color w:val="auto"/>
        </w:rPr>
      </w:pPr>
    </w:p>
    <w:p>
      <w:pPr>
        <w:jc w:val="both"/>
        <w:ind w:right="260" w:firstLine="509"/>
        <w:spacing w:after="0" w:line="265" w:lineRule="auto"/>
        <w:rPr>
          <w:sz w:val="20"/>
          <w:szCs w:val="20"/>
          <w:color w:val="auto"/>
        </w:rPr>
      </w:pPr>
      <w:r>
        <w:rPr>
          <w:rFonts w:ascii="Times New Roman" w:cs="Times New Roman" w:eastAsia="Times New Roman" w:hAnsi="Times New Roman"/>
          <w:sz w:val="18"/>
          <w:szCs w:val="18"/>
          <w:color w:val="auto"/>
        </w:rPr>
        <w:t>We currently license some of the intellectual property displayed on our platform from third parties. As we continue to introduce new services that incorporate new intellectual property, we may be required or elect to license additional intellectual property. We cannot be sure that such licenses will be available on commercially reasonable terms, if at all.</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8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From time to time, in the ordinary course of our business, we have been subject to, and are currently subject to, legal proceedings and claims relating to third-party intellectual property rights, often related to user-generated content, and we expect that third parties will continue to assert intellectual property claims against us, particularly as we expand the complexity and scope of our platform and services. Successful intellectual property claims against us could result in significant monetary liability or prevent us from operating our business, or portions of our business, or require us to change business practices or develop non-infringing intellectual property, which could require significant effort and expense. In addition, resolution of claims may require us to obtain releases or licenses to use intellectual property assets belonging to third-parties, which may be expensive to procure, or possibly to cease using those assets altogether. Any of these events could have a material adverse effect on our business, results of operations and financial condition.</w:t>
      </w:r>
    </w:p>
    <w:p>
      <w:pPr>
        <w:spacing w:after="0" w:line="7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Greenhouse gas emissions are driving global climate change that is expected to have various impacts on travel, including the world’s transportation infrastructure and tourist destinations, and such impact could have a negative impact on our operations. </w:t>
      </w:r>
      <w:r>
        <w:rPr>
          <w:rFonts w:ascii="Times New Roman" w:cs="Times New Roman" w:eastAsia="Times New Roman" w:hAnsi="Times New Roman"/>
          <w:sz w:val="18"/>
          <w:szCs w:val="18"/>
          <w:color w:val="222222"/>
        </w:rPr>
        <w:t>The long-term effects of climate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222222"/>
        </w:rPr>
        <w:t>change on the global economy and the industry in which we operate and our business, in particular, are unclear; however, we recognize that there are inherent climate-related risks wherever business is conducted. For example, a</w:t>
      </w:r>
      <w:r>
        <w:rPr>
          <w:rFonts w:ascii="Times New Roman" w:cs="Times New Roman" w:eastAsia="Times New Roman" w:hAnsi="Times New Roman"/>
          <w:sz w:val="18"/>
          <w:szCs w:val="18"/>
          <w:color w:val="000000"/>
        </w:rPr>
        <w:t>s climate change continues to warm the planet and make weather more</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extreme, much of the world’s transportation infrastructure will become less safe and reliable. Some of today’s popular tourist destinations may become intolerable as heat waves make some places unbearable and increase the chance of forest fires. Some may disappear altogether as rising seas flood low-lying islands and coastal areas. Venice, a UNESCO World Heritage site, has always been vulnerable to flooding, but in the last 20 years, there have been almost as many “high water” floods as during the previous 100 years. In other major cities, such as Amsterdam, Tokyo, Cape Town, Rio de Janeiro and New York, extreme flooding could also become a regular occurrence.</w:t>
      </w:r>
    </w:p>
    <w:p>
      <w:pPr>
        <w:spacing w:after="0" w:line="82"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Cruise ship tourism has a larger carbon footprint than any other kind of travel and extreme weather such as intense hurricanes and storms is making cruising more dangerous. Rising sea levels can make it difficult for cruise ships to dock at coastal ports because they are vulnerable to changing sea levels, as well as extreme weather. Rising seas also degrade beaches and pose significant risks to the very viability of some low-lying cruise destinations, such as Key West, Fla., Fiji, Palau, Seychelles, and the Maldives. Coastal tourism, the largest component of the tourism industry, is threatened also by the acidification of oceans. Half of the world’s coral reefs, which contribute billions annually to global tourism income each year, have already been lost or seriously damaged. Australia’s Great Barrier Reef, which has sustained serious damage from ocean acidification caused by the ocean’s uptake of CO2, coral bleaching, pollution, overfishing—and too much tourism—has lost more than half of its corals since 1995.</w:t>
      </w:r>
    </w:p>
    <w:p>
      <w:pPr>
        <w:spacing w:after="0" w:line="79" w:lineRule="exact"/>
        <w:rPr>
          <w:sz w:val="20"/>
          <w:szCs w:val="20"/>
          <w:color w:val="auto"/>
        </w:rPr>
      </w:pPr>
    </w:p>
    <w:p>
      <w:pPr>
        <w:ind w:right="180" w:firstLine="509"/>
        <w:spacing w:after="0" w:line="265" w:lineRule="auto"/>
        <w:rPr>
          <w:sz w:val="20"/>
          <w:szCs w:val="20"/>
          <w:color w:val="auto"/>
        </w:rPr>
      </w:pPr>
      <w:r>
        <w:rPr>
          <w:rFonts w:ascii="Times New Roman" w:cs="Times New Roman" w:eastAsia="Times New Roman" w:hAnsi="Times New Roman"/>
          <w:sz w:val="18"/>
          <w:szCs w:val="18"/>
          <w:color w:val="auto"/>
        </w:rPr>
        <w:t>Shifts in consumer preferences and governmental policy developments have the potential individually or collectively to significantly disrupt travel and impact our business as well as negatively affect our suppliers, business partners and members. Experiencing or addressing the various physical, regulatory and adaptation/transition risks from climate change may impact our revenues and profitability.</w:t>
      </w:r>
    </w:p>
    <w:p>
      <w:pPr>
        <w:spacing w:after="0" w:line="65"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212529"/>
        </w:rPr>
        <w:t>Increased focus on our environmental, social, and governance ("ESG") responsibilities have and will likely continue to result in additional costs and risks, and may adversely impact our reputation, employee retention, and willingness of customers and partners to do business with us</w:t>
      </w:r>
      <w:r>
        <w:rPr>
          <w:rFonts w:ascii="Times New Roman" w:cs="Times New Roman" w:eastAsia="Times New Roman" w:hAnsi="Times New Roman"/>
          <w:sz w:val="18"/>
          <w:szCs w:val="18"/>
          <w:b w:val="1"/>
          <w:bCs w:val="1"/>
          <w:i w:val="1"/>
          <w:iCs w:val="1"/>
          <w:color w:val="000000"/>
        </w:rPr>
        <w:t>.</w:t>
      </w:r>
      <w:r>
        <w:rPr>
          <w:rFonts w:ascii="Times New Roman" w:cs="Times New Roman" w:eastAsia="Times New Roman" w:hAnsi="Times New Roman"/>
          <w:sz w:val="18"/>
          <w:szCs w:val="18"/>
          <w:b w:val="1"/>
          <w:bCs w:val="1"/>
          <w:i w:val="1"/>
          <w:iCs w:val="1"/>
          <w:color w:val="212529"/>
        </w:rPr>
        <w:t xml:space="preserve"> </w:t>
      </w:r>
      <w:r>
        <w:rPr>
          <w:rFonts w:ascii="Times New Roman" w:cs="Times New Roman" w:eastAsia="Times New Roman" w:hAnsi="Times New Roman"/>
          <w:sz w:val="18"/>
          <w:szCs w:val="18"/>
          <w:color w:val="000000"/>
        </w:rPr>
        <w:t>Institutional,</w:t>
      </w:r>
      <w:r>
        <w:rPr>
          <w:rFonts w:ascii="Times New Roman" w:cs="Times New Roman" w:eastAsia="Times New Roman" w:hAnsi="Times New Roman"/>
          <w:sz w:val="18"/>
          <w:szCs w:val="18"/>
          <w:b w:val="1"/>
          <w:bCs w:val="1"/>
          <w:i w:val="1"/>
          <w:iCs w:val="1"/>
          <w:color w:val="212529"/>
        </w:rPr>
        <w:t xml:space="preserve"> </w:t>
      </w:r>
      <w:r>
        <w:rPr>
          <w:rFonts w:ascii="Times New Roman" w:cs="Times New Roman" w:eastAsia="Times New Roman" w:hAnsi="Times New Roman"/>
          <w:sz w:val="18"/>
          <w:szCs w:val="18"/>
          <w:color w:val="000000"/>
        </w:rPr>
        <w:t>individual, and other investors, proxy advisory services, regulatory authorities, consumers and other stakeholders are increasingly focused on ESG practices of companies. Some investors may use these non-financial performance factors to guide their investment strategies and, in some cases, may choose not to invest in us if they believe our policies and actions relating to ESG are inadequate. Our disclosures on these matters, or a failure to meet evolving stakeholder expectations for ESG practices and reporting, may potentially harm our reputation and customer relationships.</w:t>
      </w:r>
    </w:p>
    <w:p>
      <w:pPr>
        <w:spacing w:after="0" w:line="7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As ESG best practices and reporting standards continue to develop, we may incur increasing costs relating to ESG monitoring and reporting and complying with ESG initiatives. The standards for tracking and reporting on ESG matters and disclosure frameworks are relatively new, have not been harmonized, and continue to evolve. Ensuring there are systems and processes in place to comply with the various ESG tracking and reporting obligations may require management time and expense. As we look to respond to evolving standards for identifying, measuring, and reporting ESG metrics, our efforts may result in a significant increase in costs and may nonetheless not meet investor or other stakeholder expectations and evolving standards or regulatory requirements, which may negatively impact our financial results, our reputation, our ability to attract or retain employees, our attractiveness as a service provider, investment, or business partner, or expose us to government enforcement actions, private litigation, and</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84"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actions by stockholders or stakeholders. In addition, if our competitors’ ESG performance is perceived to be better than ours, potential or current investors may elect to invest with our competitors.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Information Security, Cybersecurity and Data Privacy</w:t>
      </w:r>
    </w:p>
    <w:p>
      <w:pPr>
        <w:spacing w:after="0" w:line="117" w:lineRule="exact"/>
        <w:rPr>
          <w:sz w:val="20"/>
          <w:szCs w:val="20"/>
          <w:color w:val="auto"/>
        </w:rPr>
      </w:pPr>
    </w:p>
    <w:p>
      <w:pPr>
        <w:ind w:right="14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processing, storage and use of personal information and other data subjects us to risks and laws and regulations and could give rise to cyberattacks and other risks, including damage to our reputation and value of our brands. </w:t>
      </w:r>
      <w:r>
        <w:rPr>
          <w:rFonts w:ascii="Times New Roman" w:cs="Times New Roman" w:eastAsia="Times New Roman" w:hAnsi="Times New Roman"/>
          <w:sz w:val="18"/>
          <w:szCs w:val="18"/>
          <w:color w:val="auto"/>
        </w:rPr>
        <w:t>Information and data security is essential to maintaining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consumer and service provider confidence in our services and brands. We are subject to a variety of laws in the U.S. and abroad regarding privacy and the storing, sharing, use, processing, disclosure and protection of personal information, the scope of which are changing, subject to differing interpretations, and may be inconsistent between countries or conflict with other existing laws. In addition, practices regarding the collection, use, storage, transmission and security of personal information by companies operating over the internet have recently come under increased public scrutiny.</w:t>
      </w:r>
    </w:p>
    <w:p>
      <w:pPr>
        <w:spacing w:after="0" w:line="7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Implementing and complying with these laws and regulations may be more costly or take longer than we anticipate, or could otherwise affect our operations. Any failure or perceived failure by us to comply with our privacy and information security policies, privacy-related obligations to consumers or other third parties, or privacy-related legal obligations, may result in fines, litigation or governmental enforcement actions that could harm our reputation and cause our consumers and partners to lose trust in us, any of which could have an adverse effect on our business, brands, market share and financial results.</w:t>
      </w:r>
    </w:p>
    <w:p>
      <w:pPr>
        <w:spacing w:after="0" w:line="70"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System security issues, data protection breaches, cyberattacks and system outage issues could disrupt our operations or services provided to our consumers, and any such disruption could damage our reputation and adversely affect our business, financial results and share price. </w:t>
      </w:r>
      <w:r>
        <w:rPr>
          <w:rFonts w:ascii="Times New Roman" w:cs="Times New Roman" w:eastAsia="Times New Roman" w:hAnsi="Times New Roman"/>
          <w:sz w:val="18"/>
          <w:szCs w:val="18"/>
          <w:color w:val="auto"/>
        </w:rPr>
        <w:t>Our reputation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ability to attract, retain and service our consumers and partners is dependent upon the reliable performance and security of our computer systems and those of third parties we utilize in our operations. Significant security issues, data breaches, cyberattacks and outages, interruptions or delays, in our systems or third-party systems upon which we rely, could impair our ability to display content or process transactions and significantly harm our business. Breaches of our security measures and those of our partners or the accidental loss, inadvertent disclosure or unapproved dissemination of proprietary information or sensitive or confidential data about us, our consumers or our partners, could expose us, our consumers and partners to a risk of loss or misuse of this information, damage our brand and reputation or otherwise harm our business and financial performance and could result in government enforcement actions and litigation and potential liability for us. The costs of enhancing infrastructure to attain improved stability and redundancy may be time consuming and expensive and may require resources and expertise that are difficult to obtain. In addition, to the extent that we do experience a data breach, remediation may be costly and we may not have adequate insurance to cover such costs.</w:t>
      </w:r>
    </w:p>
    <w:p>
      <w:pPr>
        <w:spacing w:after="0" w:line="8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and our third party partners and vendors are at constant risk of cyber-attacks or cyber intrusions via viruses, worms, break-ins, malware, ransomware, phishing attacks, hacking, denial-of-service attacks or other attacks and similar disruptions from the unauthorized use of or access to computer systems (including from internal and external sources) that attack our products or otherwise exploit any vulnerabilities in our systems or those of our third party partners and vendors, or attempt to fraudulently induce our employees, consumers, third party partners and vendors or others to disclose passwords or other sensitive information or unwittingly provide access to our systems or data. These types of incidents continue to be prevalent and pervasive across industries, including in our industry, and such attacks on our systems have occurred in the past and are expected to occur in the future. In addition, we expect the amount and sophistication of the perpetrators of these attacks to continue to expand, which could include nation-state actors. Any such incident could lead to interruptions, delays or website outages, causing loss of critical data or the unauthorized disclosure or use of personally identifiable or other confidential information. In addition, sophisticated hardware and operating system software and applications that we produce or procure from third parties may contain defects in design or manufacture, including “bugs” and other problems that could unexpectedly interfere with the operation of the system. We have in the past and may in the future need to expend significant resources to protect against security breaches or to investigate and address problems caused by cyber or other security problems. There are no assurances that our programs and actions taken to protect against security breaches or to investigate and address problems related to cyber or other security problems will be sufficient to prevent or limit the impact of any cyber intrusion or related attack. Failure to adequately protect against attacks or intrusions, whether for our own systems or systems of vendors, could expose us to security breaches that could have an adverse impact on our financial performance.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 w:name="page23"/>
    <w:bookmarkEnd w:id="22"/>
    <w:p>
      <w:pPr>
        <w:spacing w:after="0" w:line="84"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Much of our business is conducted with third-party partners and vendors. A security breach at such third-party could be perceived by consumers as a security breach of our systems and could result in negative publicity or reputational damage, expose us to risk of loss or litigation and subject us to regulatory penalties and sanctions. In addition, such incidents may also result in a decline in our user base and client base or engagement levels.</w:t>
      </w:r>
    </w:p>
    <w:p>
      <w:pPr>
        <w:spacing w:after="0" w:line="69"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Media coverage of data breaches and public exposure of consumer data rights has increased, in part because of the rise of enforcement actions, investigations and lawsuits. Similarly, the increase in privacy activist groups is likely to give rise to further scrutiny, investigative actions and publicity. Security breaches or the perceived threat of a breach or perceived breach could result in interruptions in service, negative publicity, damage to reputation, cause our users, suppliers and/or partners to cease doing business with us or do business with us less frequently, exposure to risk of loss and possible liability due to lawsuits, enforcement actions, investigations, regulatory penalties and sanctions. As this focus and attention on privacy and data protection increases, we also risk exposure to potential liabilities and costs resulting from the compliance with, or any failure to comply with, applicable legal requirements, conflicts among these legal requirements or differences in approaches to privacy and security. Security breaches could also cause travelers and consumers to lose confidence in our data security, which would have a negative effect on the value of our brand.</w:t>
      </w:r>
    </w:p>
    <w:p>
      <w:pPr>
        <w:spacing w:after="0" w:line="7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Evolving regulations, guidance and practices on the use of "cookies" and similar tracking technologies could negatively impact the way we do business. </w:t>
      </w:r>
      <w:r>
        <w:rPr>
          <w:rFonts w:ascii="Times New Roman" w:cs="Times New Roman" w:eastAsia="Times New Roman" w:hAnsi="Times New Roman"/>
          <w:sz w:val="18"/>
          <w:szCs w:val="18"/>
          <w:color w:val="auto"/>
        </w:rPr>
        <w:t>Cookies and similar technologies are common tools used by websites and apps, including ours, to store or gather information, improve site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security, improve and personalize the customer experience, market to consumers and increase conversion. Companies such as Apple and Google have introduced new policies governing developers’ use of cookies and similar tracking technologies, including enhanced disclosure and opt in requirements. Similarly, many states and countries have adopted data protection laws and regulations governing the use of cookies and other similar tracking technologies by websites and app developers. Such regulations could limit our ability to serve certain customers in the manner we currently do, including with respect to retargeting or personalized advertising, impair our ability to improve and optimize performance on our platform, negatively affect a consumer's experience using our platform, which, in turn, could negatively impact our business.</w:t>
      </w:r>
    </w:p>
    <w:p>
      <w:pPr>
        <w:spacing w:after="0" w:line="78" w:lineRule="exact"/>
        <w:rPr>
          <w:sz w:val="20"/>
          <w:szCs w:val="20"/>
          <w:color w:val="auto"/>
        </w:rPr>
      </w:pPr>
    </w:p>
    <w:p>
      <w:pPr>
        <w:ind w:right="200" w:firstLine="509"/>
        <w:spacing w:after="0" w:line="281" w:lineRule="auto"/>
        <w:rPr>
          <w:sz w:val="20"/>
          <w:szCs w:val="20"/>
          <w:color w:val="auto"/>
        </w:rPr>
      </w:pPr>
      <w:r>
        <w:rPr>
          <w:rFonts w:ascii="Times New Roman" w:cs="Times New Roman" w:eastAsia="Times New Roman" w:hAnsi="Times New Roman"/>
          <w:sz w:val="18"/>
          <w:szCs w:val="18"/>
          <w:color w:val="auto"/>
        </w:rPr>
        <w:t>Equally, privacy has been the impetus behind a move towards a cookie-less online ecosystem which poses a potential risk to our online behavioral advertising strategy.</w:t>
      </w:r>
    </w:p>
    <w:p>
      <w:pPr>
        <w:spacing w:after="0" w:line="51" w:lineRule="exact"/>
        <w:rPr>
          <w:sz w:val="20"/>
          <w:szCs w:val="20"/>
          <w:color w:val="auto"/>
        </w:rPr>
      </w:pPr>
    </w:p>
    <w:p>
      <w:pPr>
        <w:ind w:right="40" w:firstLine="509"/>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are subject to risks associated with processing payment transactions and failure to manage those risks may subject us to fines, penalties and/or additional costs and could have a negative impact on our business. </w:t>
      </w:r>
      <w:r>
        <w:rPr>
          <w:rFonts w:ascii="Times New Roman" w:cs="Times New Roman" w:eastAsia="Times New Roman" w:hAnsi="Times New Roman"/>
          <w:sz w:val="17"/>
          <w:szCs w:val="17"/>
          <w:color w:val="auto"/>
        </w:rPr>
        <w:t>We accept payments from consumers and our business partners using a variety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methods, including credit, debit and invoicing. As we offer new payments options to customers, we may be subject to additional regulations, compliance requirements and fraud. We rely on third parties to provide certain payment methods and payment processing services and our business could be disrupted if these companies become unwilling or unable to provide these services to us. We are subject to laws, regulations and compliance requirements relating to payments, international money transfers, privacy and information security and money laundering, including obligations to implement enhanced authentication processes. We are also subject to payment card association operating rules, including data security rules, certification requirements, and rules governing electronic funds transfers, which could change or be reinterpreted to make it difficult or impossible for us to comply. These laws, regulations and/or requirements result in significant costs. If we fail to comply or if our data security systems are breached or compromised, we may be liable for card issuing banks’ costs, subject to fines, penalties and higher transaction fees, and/or lose our ability to accept credit and debit card payments, process electronic funds transfers, or facilitate other types of online payments. In addition, for certain payment methods, including credit and debit cards, we pay interchange and other fees and we are subject to receivable holdbacks, which may increase over time and raise our operating costs and lower profitability.</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Additionally, our marketplace activities in the U.K. and Europe require us to obtain or operate under a payment institution license under the Payment Services Directive Two (“PSD2”). PSD2 requires a license to perform certain defined “payment services” in a European Economic Area (“EEA”) member state. Conditions for obtaining and complying with the license include minimum capital requirements, establishment of procedures for safeguarding funds, and certain governance and reporting requirements. Certain obligations relating to internal controls and the conduct of business, in particular, consumer disclosure requirements and certain rules regarding the timing and settlement of payments, must be met. We have obtained a payment institution license in the U.K. As a result of Brexit, we are no longer able to passport our U.K. license to the EEA. Although our EU application has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been submitted during 2023 and currently under consideration by the EU, we may not receive the EU license on a timely basis if at all.</w:t>
      </w:r>
    </w:p>
    <w:p>
      <w:pPr>
        <w:spacing w:after="0" w:line="11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It is possible that we could become subject to regulatory enforcement or other proceedings in those states or other jurisdictions with money transmission, or other similar statutes or regulatory requirements, including an EEA member state, related to the handling or moving of money, which could in turn have a significant impact on our business, even if we were to ultimately prevail in such proceedings. If we are ultimately deemed to be in violation of one or more money transmitter or other similar statutes or regulatory requirements related to the handling or moving of money in the U.S., the EEA or other jurisdictions, we may be subject to the imposition of fines or restrictions on our business, our ability to offer some or all of our services in the relevant jurisdiction may be suspended, and we may be subject to civil or criminal liability and our business, results of operations and financial position could be materially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Financial Matters</w:t>
      </w:r>
    </w:p>
    <w:p>
      <w:pPr>
        <w:spacing w:after="0" w:line="117"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may fail to meet our publicly announced guidance or other expectations about our business and future operating results, which could cause our stock price to decline. </w:t>
      </w:r>
      <w:r>
        <w:rPr>
          <w:rFonts w:ascii="Times New Roman" w:cs="Times New Roman" w:eastAsia="Times New Roman" w:hAnsi="Times New Roman"/>
          <w:sz w:val="17"/>
          <w:szCs w:val="17"/>
          <w:color w:val="auto"/>
        </w:rPr>
        <w:t>From time to time, we release earnings guidance in our quarterly and annual earnings conference calls, quarterly and annual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earnings releases, or otherwise, regarding our future performance that represents our management’s estimates as of the date of release. This guidance includes forward-looking statements based on projections prepared by our management. Projections are based upon a number of assumptions and estimates that are based on information known when they are issued, and, while presented with numerical specificity, are inherently subject to significant business, economic and competitive uncertainties and contingencies relating to our business, many of which are beyond our control and are based upon specific assumptions with respect to future business decisions, some of which will change. Guidance is necessarily speculative in nature, and some or all of the assumptions underlying the guidance furnished by us may not materialize or may vary significantly from actual outcomes.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66" w:lineRule="exact"/>
        <w:rPr>
          <w:sz w:val="20"/>
          <w:szCs w:val="20"/>
          <w:color w:val="auto"/>
        </w:rPr>
      </w:pPr>
    </w:p>
    <w:p>
      <w:pPr>
        <w:ind w:right="2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financial results are difficult to forecast; they have fluctuated in the past and will likely fluctuate in the future. </w:t>
      </w:r>
      <w:r>
        <w:rPr>
          <w:rFonts w:ascii="Times New Roman" w:cs="Times New Roman" w:eastAsia="Times New Roman" w:hAnsi="Times New Roman"/>
          <w:sz w:val="18"/>
          <w:szCs w:val="18"/>
          <w:color w:val="auto"/>
        </w:rPr>
        <w:t>Our financial results in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given quarter can be influenced by numerous factors, many of which we are unable to predict or are outside of our control, including:</w:t>
      </w:r>
    </w:p>
    <w:p>
      <w:pPr>
        <w:spacing w:after="0" w:line="50" w:lineRule="exact"/>
        <w:rPr>
          <w:sz w:val="20"/>
          <w:szCs w:val="20"/>
          <w:color w:val="auto"/>
        </w:rPr>
      </w:pPr>
    </w:p>
    <w:p>
      <w:pPr>
        <w:ind w:left="1020" w:hanging="368"/>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our consumer base and to increase user engagement;</w:t>
      </w:r>
    </w:p>
    <w:p>
      <w:pPr>
        <w:spacing w:after="0" w:line="2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marketing, sales and other expenses that we will incur to grow and expand our operations and to remain competitive;</w:t>
      </w:r>
    </w:p>
    <w:p>
      <w:pPr>
        <w:spacing w:after="0" w:line="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marketing spend of our travel partners due to seasonality, global or regional events or other factors;</w:t>
      </w:r>
    </w:p>
    <w:p>
      <w:pPr>
        <w:spacing w:after="0" w:line="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 behavior or product changes that may reduce traffic to features or products that we successfully monetize;</w:t>
      </w:r>
    </w:p>
    <w:p>
      <w:pPr>
        <w:spacing w:after="0" w:line="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failure or outages, which would prevent us from serving ads for any period of time;</w:t>
      </w:r>
    </w:p>
    <w:p>
      <w:pPr>
        <w:spacing w:after="0" w:line="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of security or privacy and the costs associated with any such breaches and remediation;</w:t>
      </w:r>
    </w:p>
    <w:p>
      <w:pPr>
        <w:spacing w:after="0" w:line="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third parties for content or promotion of our products and services;</w:t>
      </w:r>
    </w:p>
    <w:p>
      <w:pPr>
        <w:spacing w:after="0" w:line="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litigation judgments, settlement or other litigation related costs;</w:t>
      </w:r>
    </w:p>
    <w:p>
      <w:pPr>
        <w:spacing w:after="0" w:line="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legislative or regulatory environment or engagement by regulators;</w:t>
      </w:r>
    </w:p>
    <w:p>
      <w:pPr>
        <w:spacing w:after="0" w:line="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which may significantly affect our tax rates and taxes due;</w:t>
      </w:r>
    </w:p>
    <w:p>
      <w:pPr>
        <w:spacing w:after="0" w:line="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obligations that may arise from resolutions of tax examinations that may materially differ from the amounts we have anticipated;</w:t>
      </w:r>
    </w:p>
    <w:p>
      <w:pPr>
        <w:spacing w:after="0" w:line="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and changes in the proportion of our revenue and expenses denominated in foreign currencies;</w:t>
      </w:r>
    </w:p>
    <w:p>
      <w:pPr>
        <w:spacing w:after="0" w:line="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GAAP; and</w:t>
      </w:r>
    </w:p>
    <w:p>
      <w:pPr>
        <w:spacing w:after="0" w:line="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business and macroeconomic conditions.</w:t>
      </w:r>
    </w:p>
    <w:p>
      <w:pPr>
        <w:spacing w:after="0" w:line="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result, you should not rely upon our quarterly financial results as indicators of future performance.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 w:name="page25"/>
    <w:bookmarkEnd w:id="24"/>
    <w:p>
      <w:pPr>
        <w:spacing w:after="0" w:line="80"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we are unable to successfully maintain effective internal control over financial reporting, investors may lose confidence in our reported financial information and our business and our share price may be adversely impacted. </w:t>
      </w:r>
      <w:r>
        <w:rPr>
          <w:rFonts w:ascii="Times New Roman" w:cs="Times New Roman" w:eastAsia="Times New Roman" w:hAnsi="Times New Roman"/>
          <w:sz w:val="18"/>
          <w:szCs w:val="18"/>
          <w:color w:val="auto"/>
        </w:rPr>
        <w:t>As a public company, we are required to maintain internal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 over financial reporting and our management is required to evaluate the effectiveness of our internal control over financial reporting as of the end of each fiscal year. If we are not successful in maintaining effective internal control over financial reporting, there could be inaccuracies or omissions in the financial information we file with the SEC. Additionally, even if there are no inaccuracies or omissions, we could be required to publicly disclose our management’s conclusion that our internal control over financial reporting or disclosure controls and procedures are not effective. These events could cause investors to lose confidence in our reported financial information, result in increased costs to remediate any deficiencies, attract regulatory scrutiny or lawsuits that could be costly to resolve and distract management’s attention, limit our ability to access the capital markets, adversely impact our stock price, or cause our stock to be delisted from The Nasdaq or any other securities exchange on which we are then listed.</w:t>
      </w:r>
    </w:p>
    <w:p>
      <w:pPr>
        <w:spacing w:after="0" w:line="78" w:lineRule="exact"/>
        <w:rPr>
          <w:sz w:val="20"/>
          <w:szCs w:val="20"/>
          <w:color w:val="auto"/>
        </w:rPr>
      </w:pPr>
    </w:p>
    <w:p>
      <w:pPr>
        <w:ind w:firstLine="644"/>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have indebtedness which could adversely affect our business and financial condition. </w:t>
      </w:r>
      <w:r>
        <w:rPr>
          <w:rFonts w:ascii="Times New Roman" w:cs="Times New Roman" w:eastAsia="Times New Roman" w:hAnsi="Times New Roman"/>
          <w:sz w:val="18"/>
          <w:szCs w:val="18"/>
          <w:color w:val="auto"/>
        </w:rPr>
        <w:t>With respect to the 2025 Senior Notes and 2026 Senior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Notes, we are subject to risks relating to our existing or potential indebtedness that include:</w:t>
      </w:r>
    </w:p>
    <w:p>
      <w:pPr>
        <w:ind w:left="1020" w:right="520" w:hanging="368"/>
        <w:spacing w:after="0" w:line="250"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to dedicate a portion of our cash flow to principal and interest payments, thereby reducing the availability of cash to fund working capital, capital expenditures, acquisitions and investments and other general corporate purposes;</w:t>
      </w:r>
    </w:p>
    <w:p>
      <w:pPr>
        <w:ind w:left="1020" w:hanging="368"/>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to optimally capitalize and manage the cash flow for our businesses;</w:t>
      </w:r>
    </w:p>
    <w:p>
      <w:pPr>
        <w:spacing w:after="0" w:line="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competitive disadvantage compared to our competitors that have less debt;</w:t>
      </w:r>
    </w:p>
    <w:p>
      <w:pPr>
        <w:spacing w:after="0" w:line="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borrow additional funds on acceptable terms or at all; and</w:t>
      </w:r>
    </w:p>
    <w:p>
      <w:pPr>
        <w:spacing w:after="0" w:line="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increased interest rates to the extent our outstanding debt is subject to variable rates of interest.</w:t>
      </w:r>
    </w:p>
    <w:p>
      <w:pPr>
        <w:spacing w:after="0" w:line="94" w:lineRule="exact"/>
        <w:rPr>
          <w:sz w:val="20"/>
          <w:szCs w:val="20"/>
          <w:color w:val="auto"/>
        </w:rPr>
      </w:pPr>
    </w:p>
    <w:p>
      <w:pPr>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Failure to comply with the various covenants contained in our Credit Agreement and the 2025 Indenture could have a material adverse effect on our business. </w:t>
      </w:r>
      <w:r>
        <w:rPr>
          <w:rFonts w:ascii="Times New Roman" w:cs="Times New Roman" w:eastAsia="Times New Roman" w:hAnsi="Times New Roman"/>
          <w:sz w:val="18"/>
          <w:szCs w:val="18"/>
          <w:color w:val="auto"/>
        </w:rPr>
        <w:t>The various covenants contained in the Credit Agreement and 2025 Indenture include those that limit our ability to, among other things:</w:t>
      </w:r>
    </w:p>
    <w:p>
      <w:pPr>
        <w:spacing w:after="0" w:line="50" w:lineRule="exact"/>
        <w:rPr>
          <w:sz w:val="20"/>
          <w:szCs w:val="20"/>
          <w:color w:val="auto"/>
        </w:rPr>
      </w:pPr>
    </w:p>
    <w:p>
      <w:pPr>
        <w:ind w:left="1020" w:hanging="368"/>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w:t>
      </w:r>
    </w:p>
    <w:p>
      <w:pPr>
        <w:spacing w:after="0" w:line="2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redeem or repurchase our capital stock;</w:t>
      </w:r>
    </w:p>
    <w:p>
      <w:pPr>
        <w:spacing w:after="0" w:line="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share repurchases;</w:t>
      </w:r>
    </w:p>
    <w:p>
      <w:pPr>
        <w:spacing w:after="0" w:line="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investments;</w:t>
      </w:r>
    </w:p>
    <w:p>
      <w:pPr>
        <w:spacing w:after="0" w:line="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secured financing arrangements;</w:t>
      </w:r>
    </w:p>
    <w:p>
      <w:pPr>
        <w:spacing w:after="0" w:line="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 and leaseback transactions; and</w:t>
      </w:r>
    </w:p>
    <w:p>
      <w:pPr>
        <w:spacing w:after="0" w:line="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unrelated businesses.</w:t>
      </w:r>
    </w:p>
    <w:p>
      <w:pPr>
        <w:spacing w:after="0" w:line="98"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These covenants may limit our ability to optimally operate our business. Any failure to comply with the restrictions of our Credit Facility or our 2025 Senior Notes and 2026 Senior Notes may result in an event of default under the agreements governing such debt instruments and such default may allow the creditors to accelerate the debt incurred thereunder. In addition, lenders under the Credit Facility may be able to terminate any commitments they had made to supply us with further funds.</w:t>
      </w:r>
    </w:p>
    <w:p>
      <w:pPr>
        <w:spacing w:after="0" w:line="70"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subject to risks relating to our 2026 Senior Notes. </w:t>
      </w:r>
      <w:r>
        <w:rPr>
          <w:rFonts w:ascii="Times New Roman" w:cs="Times New Roman" w:eastAsia="Times New Roman" w:hAnsi="Times New Roman"/>
          <w:sz w:val="18"/>
          <w:szCs w:val="18"/>
          <w:color w:val="auto"/>
        </w:rPr>
        <w:t>If any of the conditions to the conversion of the 2026 Senior Notes is satisfied, then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be required under applicable accounting standards to reclassify the liability carrying value of the 2026 Senior Notes as a current, rather than a long-term, liability, thereby materially reducing our reported working capital. This reclassification could be required even if no noteholders exchange their 2026 Senior Notes. Holders of our 2026 Senior Notes may convert the 2026 Senior Notes after the occurrence of certain dates or events. Settlement of the 2026 Senior Notes could adversely affect our liquidity.</w:t>
      </w:r>
    </w:p>
    <w:p>
      <w:pPr>
        <w:spacing w:after="0" w:line="70" w:lineRule="exact"/>
        <w:rPr>
          <w:sz w:val="20"/>
          <w:szCs w:val="20"/>
          <w:color w:val="auto"/>
        </w:rPr>
      </w:pPr>
    </w:p>
    <w:p>
      <w:pPr>
        <w:ind w:right="60" w:firstLine="50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are subject to risks relating to the Capped Calls. </w:t>
      </w:r>
      <w:r>
        <w:rPr>
          <w:rFonts w:ascii="Times New Roman" w:cs="Times New Roman" w:eastAsia="Times New Roman" w:hAnsi="Times New Roman"/>
          <w:sz w:val="17"/>
          <w:szCs w:val="17"/>
          <w:color w:val="auto"/>
        </w:rPr>
        <w:t>In connection with the issuance of the 2026 Senior Notes, we entered into privately negotiated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capped call transactions (the “Capped Calls”) to reduce potential dilution to our common stock and/or offset cash payments we must make in excess of the principal amount, in each case, upon any conversion of the 2026 Senior Notes, with such offset subject to a cap. We are subject to the risk that one or more of the hedge counterparties may default under the Capped Calls. If any of the hedge counterparties become subject to insolvency proceedings, we will become an unsecured creditor with a claim equal to our exposure at that time under our transactions with such counterparties. Our exposure will depend on many factors but, generally, the increase in our exposure will be correlated to the increase in the market price and in the volatility of our common</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84"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stock. In addition, upon a default by a hedge counterparty, we may suffer adverse tax consequences and more dilution than we currently anticipate with respect to our common stock.</w:t>
      </w:r>
    </w:p>
    <w:p>
      <w:pPr>
        <w:spacing w:after="0" w:line="51"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have future capital needs and may not be able to obtain additional financing on acceptable terms. </w:t>
      </w:r>
      <w:r>
        <w:rPr>
          <w:rFonts w:ascii="Times New Roman" w:cs="Times New Roman" w:eastAsia="Times New Roman" w:hAnsi="Times New Roman"/>
          <w:sz w:val="18"/>
          <w:szCs w:val="18"/>
          <w:color w:val="auto"/>
        </w:rPr>
        <w:t>Pursuant to the Credit Facility,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agreed to pledge substantially all of our assets, including the equity interests of our subsidiaries. This agreement also includes restrictive covenants that may limit our ability to secure additional financing in the future on favorable terms, if at all. Our ability to secure additional financing will also depend upon our future operating performance, which is subject to then prevailing general economic and credit market conditions, and financial, business and other factors, many of which are beyond our control.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Tax Matters</w:t>
      </w:r>
    </w:p>
    <w:p>
      <w:pPr>
        <w:spacing w:after="0" w:line="117"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effective income tax rate is impacted by a number of factors that could have a material impact on our financial results and could increase the volatility of those results. </w:t>
      </w:r>
      <w:r>
        <w:rPr>
          <w:rFonts w:ascii="Times New Roman" w:cs="Times New Roman" w:eastAsia="Times New Roman" w:hAnsi="Times New Roman"/>
          <w:sz w:val="18"/>
          <w:szCs w:val="18"/>
          <w:color w:val="auto"/>
        </w:rPr>
        <w:t>Due to the global nature of our business, we are subject to income taxes in the U.S. and other foreign jurisdictions.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event we incur taxable income in certain jurisdictions but incur losses in other jurisdictions, we generally cannot offset the income from one jurisdiction with the loss from another. This lack of flexibility could affect our effective income tax rate. Furthermore, significant judgment is required to calculate our worldwide provision for income taxes and depends on our ability to operate our business in a manner consistent with our corporate structure and intercompany arrangements. In the ordinary course of our business, there are many transactions and calculations where the ultimate tax determination is uncertain. Our future income tax rates could be affected by a number of matters outside of our control, including but not limited to changes in the mix of earnings in countries with differing statutory tax rates, changes in the valuation of deferred tax assets or accounting for share-based compensation. If our effective income tax rates were to increase, our financial results and cash flows would be adversely affected.</w:t>
      </w:r>
    </w:p>
    <w:p>
      <w:pPr>
        <w:spacing w:after="0" w:line="7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Application of U.S. state and local or international tax laws, changes in tax laws or tax rulings, or the examination of our tax positions, could materially affect our financial position and results of operations. </w:t>
      </w:r>
      <w:r>
        <w:rPr>
          <w:rFonts w:ascii="Times New Roman" w:cs="Times New Roman" w:eastAsia="Times New Roman" w:hAnsi="Times New Roman"/>
          <w:sz w:val="18"/>
          <w:szCs w:val="18"/>
          <w:color w:val="auto"/>
        </w:rPr>
        <w:t>As an international business, we are subject to income taxes and non-income-based taxes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U.S. and various other international jurisdictions. Tax laws are subject to change as new laws are passed and new interpretations of the laws are issued or applied. Due to economic and political conditions, tax rates and tax regimes may be subject to significant change and the tax benefits that we intend to eventually derive could be undermined due to changing tax laws. Governments are increasingly focused on ways to increase tax revenues, which has contributed to more aggressive positions taken by tax authorities and an increase in tax legislation. Any such additional taxes or other assessments may be in excess of our current tax provisions or may require us to modify our business practices in order to reduce our exposure to additional taxes going forward, any of which could have a material adverse effect on our business, results of operations and financial condition. Any changes to international tax laws or any additional reporting requirements may increase the complexity and costs associated with tax compliance and adversely affect our cash flows and results of operations.</w:t>
      </w:r>
    </w:p>
    <w:p>
      <w:pPr>
        <w:spacing w:after="0" w:line="7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For example, changes in the tax laws of foreign jurisdictions could arise as a result of the Organization for Economic Cooperation and Development (“OECD”)’s Base Erosion and Profit Shifting Project to address the tax challenges arising from digitalization. Over the last several years, the OECD has been developing its “two pillar” project to address the tax challenges arising from digitalization. The OECD project, if broadly implemented by participating countries, will result in significant changes to the international taxation system under which our current tax obligations are determined. Pillar Two of the project calls for a minimum tax rate on corporations of 15% and has begun to be implemented by a significant number of countries starting in 2024. The OECD and implementing countries are expected to continue to offer further guidance to the rules, however, the impact of Pillar Two is not expected to be material at this time. The Company will continue to monitor developments to determine any potential impact of Pillar Two in the countries in which we operate. Pillar One, which would reallocate profits from the largest and most profitable businesses to countries where the customers of those businesses are located, remains under discussion at the OECD, and its implementation remains uncertain. If implemented, Pillar One would potentially result in the removal of unilateral digital services tax initiatives, such as those enacted in France, Italy, Spain, and the U.K. In July 2023, more than 138 countries and jurisdictions agreed to refrain from imposing newly enacted digital service tax initiatives or similar measures before December 31, 2024, provided the Pillar One negotiations have made sufficient progress by the end of 2023. In December 2023, the OECD Inclusive Framework reaffirmed their commitment to achieve a consensus-based solution and to complete the multilateral agreement by June 2024, thereby extending the standstill on new digital service tax initiatives. Furthermore, certain U.S. states, such as Maryland, have deployed comparable digital services tax initiatives. We will continue to monitor these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84"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developments to determine the financial impact to the Company. During the years ended December 31, 2023, 2022 and 2021, we recorded $18 million, $9 million and $1 million, respectively, of digital service tax to general and administrative expense on our consolidated statements of operations.</w:t>
      </w:r>
    </w:p>
    <w:p>
      <w:pPr>
        <w:spacing w:after="0" w:line="5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are routinely under audit by federal, state and foreign taxing authorities. The ultimate outcome of these examinations (including the Internal Revenue Service (“IRS") audit described below) cannot be predicted with certainty but could be materially different from our income tax provisions and accruals and could have a material effect on our results of operations or cash flows in the period or periods for which that determination is made. Should the IRS or other taxing authorities assess additional taxes as a result of examinations, we may be required to record charges to our results of operations, which could harm our operating results and financial condition.</w:t>
      </w:r>
    </w:p>
    <w:p>
      <w:pPr>
        <w:spacing w:after="0" w:line="70" w:lineRule="exact"/>
        <w:rPr>
          <w:sz w:val="20"/>
          <w:szCs w:val="20"/>
          <w:color w:val="auto"/>
        </w:rPr>
      </w:pPr>
    </w:p>
    <w:p>
      <w:pPr>
        <w:ind w:right="40" w:firstLine="49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in the tax treatment of companies engaged in e-commerce may adversely affect the commercial use of our platform and our financial results. </w:t>
      </w:r>
      <w:r>
        <w:rPr>
          <w:rFonts w:ascii="Times New Roman" w:cs="Times New Roman" w:eastAsia="Times New Roman" w:hAnsi="Times New Roman"/>
          <w:sz w:val="18"/>
          <w:szCs w:val="18"/>
          <w:color w:val="auto"/>
        </w:rPr>
        <w:t>Tax authorities at the international, federal, state and local levels are currently reviewing the appropriate treatment of companies engaged in e-commerce and it is possible that various jurisdictions may attempt to levy additional or new sales, income or other taxes relating to our activities. For example, Congress is considering various approaches to legislation that would require companies engaged in e-commerce to collect sales tax on internet revenue and a growing number of U.S. states and certain foreign jurisdictions have adopted or are considering proposals to impose obligations on remote sellers and online marketplaces to collect taxes on their behalf. An increasing number of states have considered or adopted laws that attempt to impose tax collection obligations on out-of-state companies. Additionally, the U.S. Supreme Court ruled in South Dakota v. Wayfair Inc. that remote sellers are not required to collect state and local sales taxes. In response to Wayfair or otherwise, state or local governments have adopted and may continue to adopt, or begin to enforce, laws requiring us to calculate, collect and remit taxes on sales in their jurisdictions. Also, as described in more detail above, certain U.S. states and countries in which we do business have enacted or proposed digital services tax initiatives. In addition, we are subject to taxes in foreign jurisdictions, such as value-added tax and goods and services tax, in connection with certain foreign sales transactions. New or revised international, federal, state or local tax regulations or court decisions may subject us or our customers to additional sales, occupancy, income and other taxes. We cannot predict the effect of these and other attempts to impose sales, income or other taxes on e-commerce; however, new or revised taxes and, in particular, sales taxes, occupancy taxes, value added taxes (“VAT”), and similar taxes would likely increase the cost of doing business online and decrease the attractiveness of selling products and services over the internet. New taxes could also create significant increases in internal costs necessary to capture data and collect and remit taxes. A successful assertion by one or more tax authorities requiring us to collect taxes where we presently do not do so, or to collect more taxes in a jurisdiction in which we currently do collect some taxes, could result in substantial tax liabilities, including taxes on past sales, as well as penalties and interest that we otherwise would have not accounted for in our financial statements. Any of these events could have a material adverse effect on our business, financial results and financial condition.</w:t>
      </w:r>
    </w:p>
    <w:p>
      <w:pPr>
        <w:spacing w:after="0" w:line="78" w:lineRule="exact"/>
        <w:rPr>
          <w:sz w:val="20"/>
          <w:szCs w:val="20"/>
          <w:color w:val="auto"/>
        </w:rPr>
      </w:pPr>
    </w:p>
    <w:p>
      <w:pPr>
        <w:ind w:firstLine="49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Taxing authorities have in the past and may successfully in the future assert that we should have collected or in the future should collect sales and use, occupancy, VAT or similar taxes, and we could be subject to liability with respect to past or future sales, which could adversely affect our operating results. </w:t>
      </w:r>
      <w:r>
        <w:rPr>
          <w:rFonts w:ascii="Times New Roman" w:cs="Times New Roman" w:eastAsia="Times New Roman" w:hAnsi="Times New Roman"/>
          <w:sz w:val="18"/>
          <w:szCs w:val="18"/>
          <w:color w:val="auto"/>
        </w:rPr>
        <w:t>We do not collect and remit sales and use, occupancy, VAT or similar taxes in all jurisdictions in which we have sales, based on our belief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such taxes are not applicable or legally required. Several states and other taxing jurisdictions have presented or threatened us with assessments, alleging that we are required to collect and remit certain taxes there. While we do not believe that we are subject to such taxes and intend to vigorously defend our position in these cases, we cannot be sure of the outcome of our discussions and/or appeals with these states. In the event of an adverse outcome, we could face assessments, plus any additional interest and penalties. We also expect additional jurisdictions may make similar assessments or pass similar new laws in the future, and any of the jurisdictions where we have sales may apply more rigorous enforcement efforts or take more aggressive positions in the future that could result in greater tax liability allegations. Such tax assessments, penalties and interest or future requirements may materially adversely affect our business, financial condition and operating results.</w:t>
      </w:r>
    </w:p>
    <w:p>
      <w:pPr>
        <w:spacing w:after="0" w:line="75"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face risks associated with fluctuations in foreign currency exchange rates. </w:t>
      </w:r>
      <w:r>
        <w:rPr>
          <w:rFonts w:ascii="Times New Roman" w:cs="Times New Roman" w:eastAsia="Times New Roman" w:hAnsi="Times New Roman"/>
          <w:sz w:val="18"/>
          <w:szCs w:val="18"/>
          <w:color w:val="auto"/>
        </w:rPr>
        <w:t>As a result, we face exposure to movements in foreign currency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exchange rates including, but not limited to, re-measurement of gains and losses from changes in the value of foreign denominated assets and liabilities; translation gains and losses on foreign subsidiary financial results that are translated into U.S. dollars upon consolidation; and planning risk related to changes in exchange rates between the time we prepare our annual and quarterly forecasts and when actual results occur. For example, in the event that one or more European countries were to replace the Euro with another currency, our sales into such countries, or into Europe generally, would likely be adversely affected until stable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8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exchange rates are established. Accordingly, fluctuations in foreign currency exchange rates, such as the strengthening of the U.S. dollar against the Euro or the British pound, have in the past and could in the future adversely affect our revenue growth in future periods.</w:t>
      </w:r>
    </w:p>
    <w:p>
      <w:pPr>
        <w:spacing w:after="0" w:line="5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the event of severe volatility in exchange rates, the impact of these exposures can increase and the impact on results of operations can be more pronounced. In addition, the current environment and the increasingly global nature of our business have made hedging these exposures more complex. We hedge certain short-term foreign currency exposures with the purchase of forward exchange contracts. These forward exchange contracts only help mitigate the impact of changes in foreign currency rates that occur during the term of the related contract period and carry risks of counter-party failure. There can be no assurance that our forward exchange contracts will have their intended effects.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Ownership of our Common Stock</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Liberty TripAdvisor Holdings, Inc. currently is a controlling stockholder. </w:t>
      </w:r>
      <w:r>
        <w:rPr>
          <w:rFonts w:ascii="Times New Roman" w:cs="Times New Roman" w:eastAsia="Times New Roman" w:hAnsi="Times New Roman"/>
          <w:sz w:val="18"/>
          <w:szCs w:val="18"/>
          <w:color w:val="auto"/>
        </w:rPr>
        <w:t>Liberty TripAdvisor Holdings, Inc., or LTRIP, effectively controls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outcome of all matters submitted to a vote or for the consent of our stockholders (other than with respect to the election by the holders of our common stock of 25% of the members of our Board of Directors and matters as to which Delaware law requires separate class votes). Our Chairman, Gregory Maffei, and Director Albert Rosenthaler, also serve as officers and directors of LTRIP. LTRIP may have interests that differ from those of our other stockholders and may vote in a way with which our other stockholders may not agree or that may be adverse to other stockholders’ interests. LTRIP is not restricted from investing in other businesses related to our business. LTRIP’s control of us, as well as the provisions of our organizational documents and Delaware law, may discourage or prevent a change of control that might otherwise be beneficial, which may reduce the market price of our common stock.</w:t>
      </w:r>
    </w:p>
    <w:p>
      <w:pPr>
        <w:spacing w:after="0" w:line="73" w:lineRule="exact"/>
        <w:rPr>
          <w:sz w:val="20"/>
          <w:szCs w:val="20"/>
          <w:color w:val="auto"/>
        </w:rPr>
      </w:pPr>
    </w:p>
    <w:p>
      <w:pPr>
        <w:ind w:right="6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market price and trading volume of our common stock has experienced, and could continue to experience in the future, substantial volatility. </w:t>
      </w:r>
      <w:r>
        <w:rPr>
          <w:rFonts w:ascii="Times New Roman" w:cs="Times New Roman" w:eastAsia="Times New Roman" w:hAnsi="Times New Roman"/>
          <w:sz w:val="18"/>
          <w:szCs w:val="18"/>
          <w:color w:val="auto"/>
        </w:rPr>
        <w:t>The market price of our common stock is affected by a number of factors, including:</w:t>
      </w:r>
    </w:p>
    <w:p>
      <w:pPr>
        <w:spacing w:after="0" w:line="50" w:lineRule="exact"/>
        <w:rPr>
          <w:sz w:val="20"/>
          <w:szCs w:val="20"/>
          <w:color w:val="auto"/>
        </w:rPr>
      </w:pPr>
    </w:p>
    <w:p>
      <w:pPr>
        <w:ind w:left="1020" w:hanging="368"/>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or our competitors’ results of operations;</w:t>
      </w:r>
    </w:p>
    <w:p>
      <w:pPr>
        <w:spacing w:after="0" w:line="2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w:t>
      </w:r>
    </w:p>
    <w:p>
      <w:pPr>
        <w:spacing w:after="0" w:line="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market expectations;</w:t>
      </w:r>
    </w:p>
    <w:p>
      <w:pPr>
        <w:spacing w:after="0" w:line="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new products or product enhancements by us or our competitors;</w:t>
      </w:r>
    </w:p>
    <w:p>
      <w:pPr>
        <w:spacing w:after="0" w:line="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our common stock;</w:t>
      </w:r>
    </w:p>
    <w:p>
      <w:pPr>
        <w:spacing w:after="0" w:line="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industry, including changes in governmental regulations; and</w:t>
      </w:r>
    </w:p>
    <w:p>
      <w:pPr>
        <w:spacing w:after="0" w:line="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such as macroeconomic conditions and geopolitical events.</w:t>
      </w:r>
    </w:p>
    <w:p>
      <w:pPr>
        <w:spacing w:after="0" w:line="98" w:lineRule="exact"/>
        <w:rPr>
          <w:sz w:val="20"/>
          <w:szCs w:val="20"/>
          <w:color w:val="auto"/>
        </w:rPr>
      </w:pPr>
    </w:p>
    <w:p>
      <w:pPr>
        <w:ind w:right="100" w:firstLine="509"/>
        <w:spacing w:after="0" w:line="260" w:lineRule="auto"/>
        <w:rPr>
          <w:sz w:val="20"/>
          <w:szCs w:val="20"/>
          <w:color w:val="auto"/>
        </w:rPr>
      </w:pPr>
      <w:r>
        <w:rPr>
          <w:rFonts w:ascii="Times New Roman" w:cs="Times New Roman" w:eastAsia="Times New Roman" w:hAnsi="Times New Roman"/>
          <w:sz w:val="18"/>
          <w:szCs w:val="18"/>
          <w:color w:val="auto"/>
        </w:rPr>
        <w:t>In the past, the stock market has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and general economic, political and market conditions, such as recessions, interest rate changes or foreign currency exchange fluctuations, may negatively impact the market price of our common stock regardless of our actual operating performance.</w:t>
      </w:r>
    </w:p>
    <w:p>
      <w:pPr>
        <w:spacing w:after="0" w:line="7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currently relying on the “controlled company” exemption under Nasdaq Stock Market Listing Rules, pursuant to which “controlled companies” are exempt from certain corporate governance requirements otherwise applicable under Nasdaq listing rules. </w:t>
      </w:r>
      <w:r>
        <w:rPr>
          <w:rFonts w:ascii="Times New Roman" w:cs="Times New Roman" w:eastAsia="Times New Roman" w:hAnsi="Times New Roman"/>
          <w:sz w:val="18"/>
          <w:szCs w:val="18"/>
          <w:color w:val="auto"/>
        </w:rPr>
        <w:t>The Nasdaq Stock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Listing Rules exempt “controlled companies,” or companies of which more than 50% of the voting power is held by an individual, a group or another company, from certain corporate governance requirements. We currently rely on the controlled company exemption for certain of the above requirements, including the requirement that director nominees be selected or recommended to the Board of Directors by a majority of its independent directors or by a nominating committee that is composed entirely of independent directors. Accordingly, our stockholders will not be afforded the same protections generally as stockholders of other Nasdaq-listed companies with respect to corporate governance for so long as we rely on these exemptions from the corporate governance requirements.</w:t>
      </w:r>
    </w:p>
    <w:p>
      <w:pPr>
        <w:spacing w:after="0" w:line="74" w:lineRule="exact"/>
        <w:rPr>
          <w:sz w:val="20"/>
          <w:szCs w:val="20"/>
          <w:color w:val="auto"/>
        </w:rPr>
      </w:pPr>
    </w:p>
    <w:p>
      <w:pPr>
        <w:jc w:val="both"/>
        <w:ind w:right="2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do not pay regular quarterly or annual cash dividends on our stock. </w:t>
      </w:r>
      <w:r>
        <w:rPr>
          <w:rFonts w:ascii="Times New Roman" w:cs="Times New Roman" w:eastAsia="Times New Roman" w:hAnsi="Times New Roman"/>
          <w:sz w:val="18"/>
          <w:szCs w:val="18"/>
          <w:color w:val="auto"/>
        </w:rPr>
        <w:t>Any determination to pay dividends is at the discretion of our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and will depend on our results of operations, earnings, capital requirements, financial condition, future prospects, contractual restrictions and other factors deemed relevant by our</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line="84"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Board of Directors. Therefore, investors should not rely on regular quarterly or annual dividend income from shares of our common stock and investors should not rely on special dividends with any regularity or at all.</w:t>
      </w:r>
    </w:p>
    <w:p>
      <w:pPr>
        <w:spacing w:after="0" w:line="51" w:lineRule="exact"/>
        <w:rPr>
          <w:sz w:val="20"/>
          <w:szCs w:val="20"/>
          <w:color w:val="auto"/>
        </w:rPr>
      </w:pPr>
    </w:p>
    <w:p>
      <w:pPr>
        <w:ind w:firstLine="50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Future sales of shares of our common stock in the public market, or the perception that such sales may occur, may depress our stock price. </w:t>
      </w:r>
      <w:r>
        <w:rPr>
          <w:rFonts w:ascii="Times New Roman" w:cs="Times New Roman" w:eastAsia="Times New Roman" w:hAnsi="Times New Roman"/>
          <w:sz w:val="17"/>
          <w:szCs w:val="17"/>
          <w:color w:val="auto"/>
        </w:rPr>
        <w:t>Sales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substantial amounts of our common stock in the public market, particularly sales by our directors, officers, employees and significant stockholders, or the perception that these sales might occur, could depress the market price of our common stock and could impact our ability to raise capital through the sale of additional securities. In addition, certain stockholders have rights, subject to some conditions, to require us to file registration statements covering their shares or to include their shares in registration statements that we may file for ourselves or other stockholders. A decline in the price of shares of our common stock might impede our ability to raise capital through the issuance of additional shares of our common stock or other equity securities.</w:t>
      </w:r>
    </w:p>
    <w:p>
      <w:pPr>
        <w:spacing w:after="0" w:line="58" w:lineRule="exact"/>
        <w:rPr>
          <w:sz w:val="20"/>
          <w:szCs w:val="20"/>
          <w:color w:val="auto"/>
        </w:rPr>
      </w:pPr>
    </w:p>
    <w:p>
      <w:pPr>
        <w:ind w:right="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and Delaware law may discourage or prevent a change of control, even if an acquisition would be beneficial to our stockholders, which could affect our stock price adversely and prevent attempts by our stockholders to replace or remove our current management.</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provisions include:</w:t>
      </w:r>
    </w:p>
    <w:p>
      <w:pPr>
        <w:spacing w:after="0" w:line="117" w:lineRule="exact"/>
        <w:rPr>
          <w:sz w:val="20"/>
          <w:szCs w:val="20"/>
          <w:color w:val="auto"/>
        </w:rPr>
      </w:pPr>
    </w:p>
    <w:p>
      <w:pPr>
        <w:ind w:left="1020" w:hanging="368"/>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and issuance of Class B common stock that entitles holders to ten votes per share;</w:t>
      </w:r>
    </w:p>
    <w:p>
      <w:pPr>
        <w:spacing w:after="0" w:line="27" w:lineRule="exact"/>
        <w:rPr>
          <w:rFonts w:ascii="Times New Roman" w:cs="Times New Roman" w:eastAsia="Times New Roman" w:hAnsi="Times New Roman"/>
          <w:sz w:val="18"/>
          <w:szCs w:val="18"/>
          <w:color w:val="auto"/>
        </w:rPr>
      </w:pPr>
    </w:p>
    <w:p>
      <w:pPr>
        <w:ind w:left="1020" w:right="640" w:hanging="368"/>
        <w:spacing w:after="0" w:line="250"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of the issuance of preferred stock which can be created and issued by the Board of Directors without prior stockholder approval, with rights senior to those of our common stock;</w:t>
      </w:r>
    </w:p>
    <w:p>
      <w:pPr>
        <w:ind w:left="1020" w:hanging="368"/>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 of our stockholders to fill board vacancies or call special stockholder meetings; and</w:t>
      </w:r>
    </w:p>
    <w:p>
      <w:pPr>
        <w:spacing w:after="0" w:line="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who may call special meetings of stockholders.</w:t>
      </w:r>
    </w:p>
    <w:p>
      <w:pPr>
        <w:spacing w:after="0" w:line="98"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These and other provisions in our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70"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cannot guarantee that we will repurchase our common stock pursuant to our share repurchase programs or that our share repurchase programs will enhance long-term stockholder value. </w:t>
      </w:r>
      <w:r>
        <w:rPr>
          <w:rFonts w:ascii="Times New Roman" w:cs="Times New Roman" w:eastAsia="Times New Roman" w:hAnsi="Times New Roman"/>
          <w:sz w:val="18"/>
          <w:szCs w:val="18"/>
          <w:color w:val="auto"/>
        </w:rPr>
        <w:t>On September 7, 2023, our Board of Directors authorized the repurchase of $250 million in shares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common stock under a new share repurchase program. The share repurchase program has a term of two years and does not obligate the Company to acquire any particular number of shares and may be modified, suspended or discontinued at any time. The Executive Committee of our Board of Directors will determine the price, timing, amount and method of such repurchases based on its evaluation of market conditions and other factors, and at prices determined to be attractive and in the best interests of both the Company and its stockholders.</w:t>
      </w:r>
    </w:p>
    <w:p>
      <w:pPr>
        <w:spacing w:after="0" w:line="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Although our Board of Directors has authorized the share repurchase programs, the share repurchase programs do not obligate the Company to repurchase any specific dollar amount or to acquire any specific number of shares. The timing and amount of repurchases, if any, will depend upon several factors, including market and business conditions, the trading price of the Company’s common stock and the nature of other investment opportunities. In August 2022, Congress passed the Inflation Reduction Act, which imposes a one percent tax on stock repurchases, subject to certain adjustments, after December 31, 2022 by publicly traded U.S. companies, including us, which may also impact our decision to engage in share repurchases. The repurchase programs may be limited, suspended or discontinued at any time without prior notice. In addition, repurchases of our common stock pursuant to our share repurchase programs could affect our stock price and increase its volatility. The existence of a share repurchase program could cause our stock price to be higher than it would be in the absence of such a program. Additionally, our share repurchase programs could diminish our cash reserves, which may impact our ability to finance future growth, and to pursue possible future strategic opportunities and acquisitions. There can be no assurance that any share repurchases will enhance stockholder value because the market price of our common stock may decline below the levels at which we repurchased shares of stock. Although our share repurchase programs are intended to enhance long-term stockholder value, there is no assurance that they will do so and short-term stock price fluctuations could reduce the program’s effectiveness.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9" w:name="page30"/>
    <w:bookmarkEnd w:id="29"/>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an era marked by rapid technological evolution, the business landscape is increasingly data-driven. Companies, including ours, collect, store, and leverage data to glean valuable insights about our members and travel trends; deliver relevant content to our members, suppliers, and business partners and enhance operational efficiency. This collection and leverage of data exposes us to potential cybersecurity threats. As a result, we have implemented a cybersecurity risk management framework that is designed to identify, assess, and mitigate risks from cybersecurity threats related to this data and systems and our business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Oversight and Governance</w:t>
      </w:r>
    </w:p>
    <w:p>
      <w:pPr>
        <w:spacing w:after="0" w:line="121" w:lineRule="exact"/>
        <w:rPr>
          <w:sz w:val="20"/>
          <w:szCs w:val="20"/>
          <w:color w:val="auto"/>
        </w:rPr>
      </w:pPr>
    </w:p>
    <w:p>
      <w:pPr>
        <w:ind w:right="520" w:firstLine="509"/>
        <w:spacing w:after="0" w:line="265" w:lineRule="auto"/>
        <w:rPr>
          <w:sz w:val="20"/>
          <w:szCs w:val="20"/>
          <w:color w:val="auto"/>
        </w:rPr>
      </w:pPr>
      <w:r>
        <w:rPr>
          <w:rFonts w:ascii="Times New Roman" w:cs="Times New Roman" w:eastAsia="Times New Roman" w:hAnsi="Times New Roman"/>
          <w:sz w:val="18"/>
          <w:szCs w:val="18"/>
          <w:color w:val="auto"/>
        </w:rPr>
        <w:t>The Board of Directors is responsible for overseeing risks related to cybersecurity and has delegated to the Audit Committee oversight over cybersecurity risks. The Audit Committee is responsible for reviewing and discussing with management the processes to identify, assess and manage cybersecurity threats, as well as to identify, assess and, to the extent required, disclose material cybersecurity threats.</w:t>
      </w:r>
    </w:p>
    <w:p>
      <w:pPr>
        <w:spacing w:after="0" w:line="177" w:lineRule="exact"/>
        <w:rPr>
          <w:sz w:val="20"/>
          <w:szCs w:val="20"/>
          <w:color w:val="auto"/>
        </w:rPr>
      </w:pPr>
    </w:p>
    <w:p>
      <w:pPr>
        <w:ind w:right="360" w:firstLine="509"/>
        <w:spacing w:after="0" w:line="265" w:lineRule="auto"/>
        <w:rPr>
          <w:sz w:val="20"/>
          <w:szCs w:val="20"/>
          <w:color w:val="auto"/>
        </w:rPr>
      </w:pPr>
      <w:r>
        <w:rPr>
          <w:rFonts w:ascii="Times New Roman" w:cs="Times New Roman" w:eastAsia="Times New Roman" w:hAnsi="Times New Roman"/>
          <w:sz w:val="18"/>
          <w:szCs w:val="18"/>
          <w:color w:val="auto"/>
        </w:rPr>
        <w:t>Management is responsible for the day-to-day risk management process, including the identification of risks and implementation of policies and procedures designed to manage, mitigate or monitor cyber risks. In support of these responsibilities, management has designated a Chief Compliance Officer and formed a Compliance Committee to implement, manage and oversee a corporate compliance program.</w:t>
      </w:r>
    </w:p>
    <w:p>
      <w:pPr>
        <w:spacing w:after="0" w:line="17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Compliance Committee is responsible for understanding the global risk landscape of the company and for working to ensure that we have a compliance program in place designed to mitigate, manage and/or monitor risks. The Compliance Committee consists of, among others, our Chief Financial Officer (“CFO”), Chief Legal Officer (“CLO”) and Chief Compliance Officer (“CCO”). The CCO has established an Information Governance and Privacy Committee responsible for oversight of privacy and cybersecurity risks. The Information Governance and Privacy Committee consists of our Chief Information Security Officer (“CISO”) and CCO, as well as representatives from engineering, product development and data privacy. The Information Governance and Privacy Committee meets regularly to discuss and monitor information uses and governance and risks associated with our information assets, including prevention, detection, mitigation and remediation of risks from cybersecurity threats.</w:t>
      </w:r>
    </w:p>
    <w:p>
      <w:pPr>
        <w:spacing w:after="0" w:line="187" w:lineRule="exact"/>
        <w:rPr>
          <w:sz w:val="20"/>
          <w:szCs w:val="20"/>
          <w:color w:val="auto"/>
        </w:rPr>
      </w:pPr>
    </w:p>
    <w:p>
      <w:pPr>
        <w:ind w:right="160" w:firstLine="509"/>
        <w:spacing w:after="0" w:line="265" w:lineRule="auto"/>
        <w:rPr>
          <w:sz w:val="20"/>
          <w:szCs w:val="20"/>
          <w:color w:val="auto"/>
        </w:rPr>
      </w:pPr>
      <w:r>
        <w:rPr>
          <w:rFonts w:ascii="Times New Roman" w:cs="Times New Roman" w:eastAsia="Times New Roman" w:hAnsi="Times New Roman"/>
          <w:sz w:val="18"/>
          <w:szCs w:val="18"/>
          <w:color w:val="auto"/>
        </w:rPr>
        <w:t>Our CISO reports to our CCO. The CCO reports to the Compliance Committee and the CLO. The CFO and CLO report directly to the company’s Chief Executive Officer. Each of the CFO, CLO, CCO and CISO report regularly to our Board of Directors on, among other matters, our global risk landscape and risk management efforts, including those related to cybersecurity risks.</w:t>
      </w:r>
    </w:p>
    <w:p>
      <w:pPr>
        <w:spacing w:after="0" w:line="177"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Our CISO has primary responsibility for managing our cybersecurity threat management program. The CISO is a Certified Information Security Systems Professional (CISSP), with more than 15 years of experience in building and leading information security teams and has worked at a variety of companies to implement and manage cybersecurity programs. Those entities have included large, publicly-traded companies. His experience includes developing and maintaining tools and processes to protect internal networks, customer payment systems and telecommunications networks used by customers to transmit data.</w:t>
      </w:r>
    </w:p>
    <w:p>
      <w:pPr>
        <w:spacing w:after="0" w:line="182" w:lineRule="exact"/>
        <w:rPr>
          <w:sz w:val="20"/>
          <w:szCs w:val="20"/>
          <w:color w:val="auto"/>
        </w:rPr>
      </w:pPr>
    </w:p>
    <w:p>
      <w:pPr>
        <w:ind w:right="940" w:firstLine="509"/>
        <w:spacing w:after="0" w:line="281" w:lineRule="auto"/>
        <w:rPr>
          <w:sz w:val="20"/>
          <w:szCs w:val="20"/>
          <w:color w:val="auto"/>
        </w:rPr>
      </w:pPr>
      <w:r>
        <w:rPr>
          <w:rFonts w:ascii="Times New Roman" w:cs="Times New Roman" w:eastAsia="Times New Roman" w:hAnsi="Times New Roman"/>
          <w:sz w:val="18"/>
          <w:szCs w:val="18"/>
          <w:color w:val="auto"/>
        </w:rPr>
        <w:t>Our CISO leads an Information Security team that meets regularly. The CISO updates the executive management team on cybersecurity developments.</w:t>
      </w:r>
    </w:p>
    <w:p>
      <w:pPr>
        <w:spacing w:after="0" w:line="163"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CISO meets at least annually with each of the Compliance Committee and the Audit Committee to discuss cybersecurity threats and the risk management programs. The CISO provides information, as appropriate, about the sources and nature of risks the Company faces and how management assesses such risks. Our CISO also provides a quarterly report to the Audit Committee on trends and observations concerning cyber threats and actions being taken to mitigate those risks. The Chair of the Audit Committee reports quarterly to the full Board of Directors and that report includes a summary of the CISO’s report.</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Processes for the Identification of Risks from Cybersecurity Threats</w:t>
      </w:r>
    </w:p>
    <w:p>
      <w:pPr>
        <w:spacing w:after="0" w:line="121"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The Compliance Committee, working with the CISO and the Information Security team, has developed a cybersecurity risk management program that aims to address the following key areas:</w:t>
      </w:r>
    </w:p>
    <w:p>
      <w:pPr>
        <w:spacing w:after="0" w:line="55" w:lineRule="exact"/>
        <w:rPr>
          <w:sz w:val="20"/>
          <w:szCs w:val="20"/>
          <w:color w:val="auto"/>
        </w:rPr>
      </w:pPr>
    </w:p>
    <w:p>
      <w:pPr>
        <w:ind w:left="1780" w:hanging="515"/>
        <w:spacing w:after="0"/>
        <w:tabs>
          <w:tab w:leader="none" w:pos="1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assets at risk from cybersecurity threats;</w:t>
      </w:r>
    </w:p>
    <w:p>
      <w:pPr>
        <w:spacing w:after="0" w:line="27" w:lineRule="exact"/>
        <w:rPr>
          <w:rFonts w:ascii="Times New Roman" w:cs="Times New Roman" w:eastAsia="Times New Roman" w:hAnsi="Times New Roman"/>
          <w:sz w:val="18"/>
          <w:szCs w:val="18"/>
          <w:color w:val="auto"/>
        </w:rPr>
      </w:pPr>
    </w:p>
    <w:p>
      <w:pPr>
        <w:ind w:left="1780" w:hanging="515"/>
        <w:spacing w:after="0"/>
        <w:tabs>
          <w:tab w:leader="none" w:pos="1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potential sources of cybersecurity threats;</w:t>
      </w:r>
    </w:p>
    <w:p>
      <w:pPr>
        <w:spacing w:after="0" w:line="8" w:lineRule="exact"/>
        <w:rPr>
          <w:rFonts w:ascii="Times New Roman" w:cs="Times New Roman" w:eastAsia="Times New Roman" w:hAnsi="Times New Roman"/>
          <w:sz w:val="18"/>
          <w:szCs w:val="18"/>
          <w:color w:val="auto"/>
        </w:rPr>
      </w:pPr>
    </w:p>
    <w:p>
      <w:pPr>
        <w:ind w:left="1780" w:hanging="515"/>
        <w:spacing w:after="0"/>
        <w:tabs>
          <w:tab w:leader="none" w:pos="1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the status of protections in place to prevent or mitigate cybersecurity threats;</w:t>
      </w:r>
    </w:p>
    <w:p>
      <w:pPr>
        <w:spacing w:after="0" w:line="8" w:lineRule="exact"/>
        <w:rPr>
          <w:rFonts w:ascii="Times New Roman" w:cs="Times New Roman" w:eastAsia="Times New Roman" w:hAnsi="Times New Roman"/>
          <w:sz w:val="18"/>
          <w:szCs w:val="18"/>
          <w:color w:val="auto"/>
        </w:rPr>
      </w:pPr>
    </w:p>
    <w:p>
      <w:pPr>
        <w:ind w:left="1780" w:hanging="515"/>
        <w:spacing w:after="0"/>
        <w:tabs>
          <w:tab w:leader="none" w:pos="1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Approaches to mitigating and managing the material cybersecurity risks; and</w:t>
      </w:r>
    </w:p>
    <w:p>
      <w:pPr>
        <w:spacing w:after="0" w:line="8" w:lineRule="exact"/>
        <w:rPr>
          <w:rFonts w:ascii="Times New Roman" w:cs="Times New Roman" w:eastAsia="Times New Roman" w:hAnsi="Times New Roman"/>
          <w:sz w:val="18"/>
          <w:szCs w:val="18"/>
          <w:color w:val="auto"/>
        </w:rPr>
      </w:pPr>
    </w:p>
    <w:p>
      <w:pPr>
        <w:ind w:left="1780" w:hanging="515"/>
        <w:spacing w:after="0"/>
        <w:tabs>
          <w:tab w:leader="none" w:pos="1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process for regular reporting to the Compliance Committee and Board of Directors (directly and through the Audit Committee).</w:t>
      </w:r>
    </w:p>
    <w:p>
      <w:pPr>
        <w:spacing w:after="0" w:line="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risk assessment and mitigation program is centered on the following components:</w:t>
      </w:r>
    </w:p>
    <w:p>
      <w:pPr>
        <w:spacing w:after="0" w:line="117" w:lineRule="exact"/>
        <w:rPr>
          <w:sz w:val="20"/>
          <w:szCs w:val="20"/>
          <w:color w:val="auto"/>
        </w:rPr>
      </w:pPr>
    </w:p>
    <w:p>
      <w:pPr>
        <w:ind w:left="1780" w:hanging="515"/>
        <w:spacing w:after="0"/>
        <w:tabs>
          <w:tab w:leader="none" w:pos="1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material risks (primarily through enterprise risk assessments);</w:t>
      </w:r>
    </w:p>
    <w:p>
      <w:pPr>
        <w:spacing w:after="0" w:line="27" w:lineRule="exact"/>
        <w:rPr>
          <w:rFonts w:ascii="Times New Roman" w:cs="Times New Roman" w:eastAsia="Times New Roman" w:hAnsi="Times New Roman"/>
          <w:sz w:val="18"/>
          <w:szCs w:val="18"/>
          <w:color w:val="auto"/>
        </w:rPr>
      </w:pPr>
    </w:p>
    <w:p>
      <w:pPr>
        <w:ind w:left="1780" w:right="980" w:hanging="515"/>
        <w:spacing w:after="0" w:line="250" w:lineRule="auto"/>
        <w:tabs>
          <w:tab w:leader="none" w:pos="1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evaluation of the likelihood of such risk occurring, the potential impact and the control strength, consideration for compensating controls to mitigate the risk;</w:t>
      </w:r>
    </w:p>
    <w:p>
      <w:pPr>
        <w:ind w:left="1780" w:hanging="515"/>
        <w:spacing w:after="0"/>
        <w:tabs>
          <w:tab w:leader="none" w:pos="1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Prioritization of different material risk items based on, among other things, the results of our evaluation; and</w:t>
      </w:r>
    </w:p>
    <w:p>
      <w:pPr>
        <w:spacing w:after="0" w:line="8" w:lineRule="exact"/>
        <w:rPr>
          <w:rFonts w:ascii="Times New Roman" w:cs="Times New Roman" w:eastAsia="Times New Roman" w:hAnsi="Times New Roman"/>
          <w:sz w:val="18"/>
          <w:szCs w:val="18"/>
          <w:color w:val="auto"/>
        </w:rPr>
      </w:pPr>
    </w:p>
    <w:p>
      <w:pPr>
        <w:ind w:left="1780" w:hanging="515"/>
        <w:spacing w:after="0"/>
        <w:tabs>
          <w:tab w:leader="none" w:pos="1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 process for addressing those risks.</w:t>
      </w:r>
    </w:p>
    <w:p>
      <w:pPr>
        <w:spacing w:after="0" w:line="206"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Our Internal Audit team reviews, monitors and audits various aspects of the Company’s enterprise risk management program to evaluate whether risks, including cybersecurity risks, are appropriately identified and managed. Internal Audit periodically reports to the Audit Committee on the Company’s cybersecurity risk mitigation efforts. The Audit Committee Chair, in turn, reports to the full Board of Directors.</w:t>
      </w:r>
    </w:p>
    <w:p>
      <w:pPr>
        <w:spacing w:after="0" w:line="177"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We have several employee training and development programs that are designed to, among others, raise awareness of cybersecurity risks impacting the business to encourage consideration and facilitate managing those risks. To assess the effectiveness of our program, we periodically conduct penetration testing and other vulnerability analyses. As part of the assessment of the protections we have in place to mitigate risks, we engage third parties to conduct risk assessments on our systems.</w:t>
      </w:r>
    </w:p>
    <w:p>
      <w:pPr>
        <w:spacing w:after="0" w:line="182" w:lineRule="exact"/>
        <w:rPr>
          <w:sz w:val="20"/>
          <w:szCs w:val="20"/>
          <w:color w:val="auto"/>
        </w:rPr>
      </w:pPr>
    </w:p>
    <w:p>
      <w:pPr>
        <w:ind w:right="740" w:firstLine="509"/>
        <w:spacing w:after="0" w:line="312" w:lineRule="auto"/>
        <w:rPr>
          <w:sz w:val="20"/>
          <w:szCs w:val="20"/>
          <w:color w:val="auto"/>
        </w:rPr>
      </w:pPr>
      <w:r>
        <w:rPr>
          <w:rFonts w:ascii="Times New Roman" w:cs="Times New Roman" w:eastAsia="Times New Roman" w:hAnsi="Times New Roman"/>
          <w:sz w:val="17"/>
          <w:szCs w:val="17"/>
          <w:color w:val="auto"/>
        </w:rPr>
        <w:t>Before purchasing third-party technology or other solutions and partnerships that involve exposure to the Company’s assets and electronic information, our Information Security and Privacy team undertake due diligence to assess any key data privacy or information security risks.</w:t>
      </w:r>
    </w:p>
    <w:p>
      <w:pPr>
        <w:spacing w:after="0" w:line="139" w:lineRule="exact"/>
        <w:rPr>
          <w:sz w:val="20"/>
          <w:szCs w:val="20"/>
          <w:color w:val="auto"/>
        </w:rPr>
      </w:pPr>
    </w:p>
    <w:p>
      <w:pPr>
        <w:ind w:right="500" w:firstLine="509"/>
        <w:spacing w:after="0" w:line="281" w:lineRule="auto"/>
        <w:rPr>
          <w:sz w:val="20"/>
          <w:szCs w:val="20"/>
          <w:color w:val="auto"/>
        </w:rPr>
      </w:pPr>
      <w:r>
        <w:rPr>
          <w:rFonts w:ascii="Times New Roman" w:cs="Times New Roman" w:eastAsia="Times New Roman" w:hAnsi="Times New Roman"/>
          <w:sz w:val="18"/>
          <w:szCs w:val="18"/>
          <w:color w:val="auto"/>
        </w:rPr>
        <w:t>For additional information about the cybersecurity risks, see “Risk Factors” under the section entitled "Risks Related to Information Security, Cybersecurity and Data Privacy" in Part I, Item 1A of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2023, we do not own any real estate. We lease approximately 280,000 square feet of office space for our corporate headquarters in Needham, Massachusetts, which has an expiration date of December 2030 and an option to extend the lease term for two consecutive terms of five years each. We also lease an aggregate of approximately 340,000 square feet of office space at nearly 30 locations across North America, Europe and Asia Pacific, in cities such as New York, London, Sydney, Barcelona and Paris, primarily used as sales offices, subsidiary headquarters, and for international operations, pursuant to leases with various expiration dates. We believe that our current facilities are adequate for our current operations and that additional leased space can be obtained on reasonable terms if needed.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19" w:lineRule="exact"/>
        <w:rPr>
          <w:sz w:val="20"/>
          <w:szCs w:val="20"/>
          <w:color w:val="auto"/>
        </w:rPr>
      </w:pPr>
    </w:p>
    <w:p>
      <w:pPr>
        <w:ind w:right="40" w:firstLine="509"/>
        <w:spacing w:after="0" w:line="267" w:lineRule="auto"/>
        <w:rPr>
          <w:sz w:val="20"/>
          <w:szCs w:val="20"/>
          <w:color w:val="auto"/>
        </w:rPr>
      </w:pPr>
      <w:r>
        <w:rPr>
          <w:rFonts w:ascii="Times New Roman" w:cs="Times New Roman" w:eastAsia="Times New Roman" w:hAnsi="Times New Roman"/>
          <w:sz w:val="18"/>
          <w:szCs w:val="18"/>
          <w:color w:val="auto"/>
        </w:rPr>
        <w:t xml:space="preserve">Refer to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notes to the consolidated financial statements in Part II, Item 8 of this Annual Report on Form 10-K, for further information regarding any legal proceedings. For an additional discussion of certain risks associated with legal proceedings, see “Risk Factors” in Part I, Item 1A of this Annual Report on Form 10-K.</w:t>
      </w: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1" w:name="page32"/>
    <w:bookmarkEnd w:id="31"/>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0"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960"/>
        <w:spacing w:after="0" w:line="377"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340" w:firstLine="509"/>
        <w:spacing w:after="0" w:line="281" w:lineRule="auto"/>
        <w:rPr>
          <w:sz w:val="20"/>
          <w:szCs w:val="20"/>
          <w:color w:val="auto"/>
        </w:rPr>
      </w:pPr>
      <w:r>
        <w:rPr>
          <w:rFonts w:ascii="Times New Roman" w:cs="Times New Roman" w:eastAsia="Times New Roman" w:hAnsi="Times New Roman"/>
          <w:sz w:val="18"/>
          <w:szCs w:val="18"/>
          <w:color w:val="auto"/>
        </w:rPr>
        <w:t>Our common stock is quoted on The Nasdaq Global Select Market under the ticker symbol “TRIP.” Our Class B common stock is not listed and there is no established public trading market for that security. As of February 9, 2024, all of our Class B common stock was held by LTRIP.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Comparison Graph</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following graph provides a comparison of the total stockholder return from December 31, 2018 to December 31, 2023, of an investment of $100 in cash on December 31, 2018 for Tripadvisor, Inc. common stock and an investment of $100 in cash on December 31, 2018 for (i) the Standard and Poor’s 500 Index (the “S&amp;P 500 Index”), (ii) The Nasdaq Composite Index; and (iii) the Research Data Group (“RDG”) Internet Composite Index. The RDG Internet Composite Index is an index of stocks representing the internet industry, including internet software and service companies, and e-commerce companies. The stock price performance shown on the graph below is not necessarily indicative of future price performance. Data for the S&amp;P 500 Index, The Nasdaq Composite Index, and the RDG Internet Composite Index assume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60960</wp:posOffset>
            </wp:positionV>
            <wp:extent cx="5342890" cy="44354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42890" cy="443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2" w:right="359" w:bottom="1440" w:gutter="0" w:footer="0" w:header="0"/>
        </w:sectPr>
      </w:pPr>
    </w:p>
    <w:bookmarkStart w:id="33" w:name="page34"/>
    <w:bookmarkEnd w:id="33"/>
    <w:p>
      <w:pPr>
        <w:ind w:right="700" w:firstLine="509"/>
        <w:spacing w:after="0" w:line="283" w:lineRule="auto"/>
        <w:rPr>
          <w:sz w:val="20"/>
          <w:szCs w:val="20"/>
          <w:color w:val="auto"/>
        </w:rPr>
      </w:pPr>
      <w:r>
        <w:rPr>
          <w:rFonts w:ascii="Times New Roman" w:cs="Times New Roman" w:eastAsia="Times New Roman" w:hAnsi="Times New Roman"/>
          <w:sz w:val="18"/>
          <w:szCs w:val="18"/>
          <w:i w:val="1"/>
          <w:iCs w:val="1"/>
          <w:color w:val="auto"/>
        </w:rPr>
        <w:t>This performance comparison graph is not “soliciting material,” is not deemed filed with the SEC and is not deemed to be incorporated by reference into any filing of Tripadvisor, Inc. under the Securities Act or any filing under the Exchange Act.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ind w:right="420" w:firstLine="509"/>
        <w:spacing w:after="0" w:line="281" w:lineRule="auto"/>
        <w:rPr>
          <w:sz w:val="20"/>
          <w:szCs w:val="20"/>
          <w:color w:val="auto"/>
        </w:rPr>
      </w:pPr>
      <w:r>
        <w:rPr>
          <w:rFonts w:ascii="Times New Roman" w:cs="Times New Roman" w:eastAsia="Times New Roman" w:hAnsi="Times New Roman"/>
          <w:sz w:val="18"/>
          <w:szCs w:val="18"/>
          <w:color w:val="auto"/>
        </w:rPr>
        <w:t>As of February 9, 2024, there were 125,099,694 outstanding shares of our common stock held by 1,732 stockholders of record, and 12,799,999 outstanding shares of our Class B common stock held by one stockholder of record: LTRIP.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We did not declare or pay any dividends during the years ended December 31, 2023, 2022, or 2021. Any determination to pay dividends in the future will be at the discretion of our Board of Directors and will depend on our results of operations, earnings, capital requirements, financial condition, future prospects, contractual restrictions and other factors deemed relevant by our Board of Directors. In addition, our ability to pay dividends is limited by the terms of our Credit Agreement and our 2025 Indenture. Refer to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our consolidated financial statements in Item 8 of this Annual Report on Form 10-K for further information regarding our debt agreements. Therefore, investors should not rely on regular quarterly or annual dividend income from shares of our common stock and investors should not rely on special dividends with any regularity, or at all. Investors should rely on sales of their common stock after price appreciation, which may never occur, as the only way to realize future gains on their investments.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our 2024 Proxy Statement, which proxy statement will be filed with the SEC not later than 120 days after the close of our fiscal year ended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ind w:right="500" w:firstLine="509"/>
        <w:spacing w:after="0" w:line="281" w:lineRule="auto"/>
        <w:rPr>
          <w:sz w:val="20"/>
          <w:szCs w:val="20"/>
          <w:color w:val="auto"/>
        </w:rPr>
      </w:pPr>
      <w:r>
        <w:rPr>
          <w:rFonts w:ascii="Times New Roman" w:cs="Times New Roman" w:eastAsia="Times New Roman" w:hAnsi="Times New Roman"/>
          <w:sz w:val="18"/>
          <w:szCs w:val="18"/>
          <w:color w:val="auto"/>
        </w:rPr>
        <w:t>During the quarter ended December 31, 2023, we did not issue or sell any shares of our common stock, Class B common stock or other equity securities pursuant to unregistered transactions in reliance upon an exemption from the registration requirements of the Securities Act.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On September 7, 2023, our Board of Directors authorized the repurchase of $250 million in shares of our common stock under a new share repurchase program. Our Board of Directors authorized and directed management, working with the Executive Committee of our Board of Directors, to affect the share repurchase program in compliance with applicable legal requirements. The Executive Committee of our Board of Directors will determine the price, timing, amount and method of such repurchases based on its evaluation of market conditions and other factors, and at prices determined to be attractive and in the best interests of both the Company and its stockholders. This share repurchase program, which has a term of two years, does not obligate the Company to acquire any particular number of shares and may be modified, suspended or discontinued at any time.</w:t>
      </w:r>
    </w:p>
    <w:p>
      <w:pPr>
        <w:spacing w:after="0" w:line="186" w:lineRule="exact"/>
        <w:rPr>
          <w:sz w:val="20"/>
          <w:szCs w:val="20"/>
          <w:color w:val="auto"/>
        </w:rPr>
      </w:pPr>
    </w:p>
    <w:p>
      <w:pPr>
        <w:ind w:right="260" w:firstLine="509"/>
        <w:spacing w:after="0" w:line="312" w:lineRule="auto"/>
        <w:rPr>
          <w:sz w:val="20"/>
          <w:szCs w:val="20"/>
          <w:color w:val="auto"/>
        </w:rPr>
      </w:pPr>
      <w:r>
        <w:rPr>
          <w:rFonts w:ascii="Times New Roman" w:cs="Times New Roman" w:eastAsia="Times New Roman" w:hAnsi="Times New Roman"/>
          <w:sz w:val="17"/>
          <w:szCs w:val="17"/>
          <w:color w:val="auto"/>
        </w:rPr>
        <w:t>In light of the recent disclosure by Liberty Tripadvisor Holdings, Inc. (“LTRIP”) of its intent to evaluate potential alternatives and the Company’s formation of a Special Committee to evaluate any proposals that may be brought forward, the Company has suspended its share repurchase program.</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information regarding our common stock repurchases during the fourth quarter of 2023 is set forth in the table below:</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34" w:name="page35"/>
    <w:bookmarkEnd w:id="34"/>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24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Maximum Number (or</w:t>
            </w:r>
          </w:p>
        </w:tc>
      </w:tr>
      <w:tr>
        <w:trPr>
          <w:trHeight w:val="216"/>
        </w:trPr>
        <w:tc>
          <w:tcPr>
            <w:tcW w:w="3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520" w:type="dxa"/>
            <w:vAlign w:val="bottom"/>
          </w:tcPr>
          <w:p>
            <w:pPr>
              <w:spacing w:after="0"/>
              <w:rPr>
                <w:sz w:val="18"/>
                <w:szCs w:val="18"/>
                <w:color w:val="auto"/>
              </w:rPr>
            </w:pPr>
          </w:p>
        </w:tc>
        <w:tc>
          <w:tcPr>
            <w:tcW w:w="19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Approximate U.S.</w:t>
            </w:r>
          </w:p>
        </w:tc>
      </w:tr>
      <w:tr>
        <w:trPr>
          <w:trHeight w:val="216"/>
        </w:trPr>
        <w:tc>
          <w:tcPr>
            <w:tcW w:w="3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 as</w:t>
            </w:r>
          </w:p>
        </w:tc>
        <w:tc>
          <w:tcPr>
            <w:tcW w:w="24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dollar Value) of Shares</w:t>
            </w:r>
          </w:p>
        </w:tc>
      </w:tr>
      <w:tr>
        <w:trPr>
          <w:trHeight w:val="216"/>
        </w:trPr>
        <w:tc>
          <w:tcPr>
            <w:tcW w:w="38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7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520" w:type="dxa"/>
            <w:vAlign w:val="bottom"/>
          </w:tcPr>
          <w:p>
            <w:pPr>
              <w:spacing w:after="0"/>
              <w:rPr>
                <w:sz w:val="18"/>
                <w:szCs w:val="18"/>
                <w:color w:val="auto"/>
              </w:rPr>
            </w:pPr>
          </w:p>
        </w:tc>
        <w:tc>
          <w:tcPr>
            <w:tcW w:w="19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that May Yet Be</w:t>
            </w:r>
          </w:p>
        </w:tc>
      </w:tr>
      <w:tr>
        <w:trPr>
          <w:trHeight w:val="216"/>
        </w:trPr>
        <w:tc>
          <w:tcPr>
            <w:tcW w:w="38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24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Average Price Paid per</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520" w:type="dxa"/>
            <w:vAlign w:val="bottom"/>
          </w:tcPr>
          <w:p>
            <w:pPr>
              <w:spacing w:after="0"/>
              <w:rPr>
                <w:sz w:val="18"/>
                <w:szCs w:val="18"/>
                <w:color w:val="auto"/>
              </w:rPr>
            </w:pPr>
          </w:p>
        </w:tc>
        <w:tc>
          <w:tcPr>
            <w:tcW w:w="19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Purchased Under the</w:t>
            </w:r>
          </w:p>
        </w:tc>
      </w:tr>
      <w:tr>
        <w:trPr>
          <w:trHeight w:val="245"/>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780" w:type="dxa"/>
            <w:vAlign w:val="bottom"/>
          </w:tcPr>
          <w:p>
            <w:pPr>
              <w:spacing w:after="0"/>
              <w:rPr>
                <w:sz w:val="21"/>
                <w:szCs w:val="21"/>
                <w:color w:val="auto"/>
              </w:rPr>
            </w:pPr>
          </w:p>
        </w:tc>
        <w:tc>
          <w:tcPr>
            <w:tcW w:w="17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 xml:space="preserve">Share </w:t>
            </w:r>
            <w:r>
              <w:rPr>
                <w:rFonts w:ascii="Times New Roman" w:cs="Times New Roman" w:eastAsia="Times New Roman" w:hAnsi="Times New Roman"/>
                <w:sz w:val="14"/>
                <w:szCs w:val="14"/>
                <w:b w:val="1"/>
                <w:bCs w:val="1"/>
                <w:color w:val="auto"/>
              </w:rPr>
              <w:t>(1)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520" w:type="dxa"/>
            <w:vAlign w:val="bottom"/>
          </w:tcPr>
          <w:p>
            <w:pPr>
              <w:spacing w:after="0"/>
              <w:rPr>
                <w:sz w:val="21"/>
                <w:szCs w:val="21"/>
                <w:color w:val="auto"/>
              </w:rPr>
            </w:pPr>
          </w:p>
        </w:tc>
        <w:tc>
          <w:tcPr>
            <w:tcW w:w="19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Plans or Programs</w:t>
            </w:r>
          </w:p>
        </w:tc>
      </w:tr>
      <w:tr>
        <w:trPr>
          <w:trHeight w:val="249"/>
        </w:trPr>
        <w:tc>
          <w:tcPr>
            <w:tcW w:w="3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October 1 to October 31</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250,000,000</w:t>
            </w:r>
          </w:p>
        </w:tc>
      </w:tr>
      <w:tr>
        <w:trPr>
          <w:trHeight w:val="238"/>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November 1 to November 30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1,324,524</w:t>
            </w:r>
          </w:p>
        </w:tc>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18.85</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1,324,524</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225,000,000</w:t>
            </w:r>
          </w:p>
        </w:tc>
      </w:tr>
      <w:tr>
        <w:trPr>
          <w:trHeight w:val="243"/>
        </w:trPr>
        <w:tc>
          <w:tcPr>
            <w:tcW w:w="38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December 1 to December 31</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225,000,000</w:t>
            </w:r>
          </w:p>
        </w:tc>
      </w:tr>
      <w:tr>
        <w:trPr>
          <w:trHeight w:val="240"/>
        </w:trPr>
        <w:tc>
          <w:tcPr>
            <w:tcW w:w="3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1,324,524</w:t>
            </w:r>
          </w:p>
        </w:tc>
        <w:tc>
          <w:tcPr>
            <w:tcW w:w="7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1,324,524</w:t>
            </w:r>
          </w:p>
        </w:tc>
        <w:tc>
          <w:tcPr>
            <w:tcW w:w="52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0"/>
        </w:trPr>
        <w:tc>
          <w:tcPr>
            <w:tcW w:w="3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3155950</wp:posOffset>
            </wp:positionH>
            <wp:positionV relativeFrom="paragraph">
              <wp:posOffset>-187960</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-187960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(1) Exclusive of fees, commissions and excise taxes.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336"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following discussion and analysis provides information concerning our results of operations and financial condition. This discussion should be read in conjunction with our accompanying consolidated financial statements including the notes in Item 8 of this Annual Report on Form 10-K, and the Section entitled “Cautionary Note Regarding Forward-Looking Statements,” included elsewhere in this Annual Report on Form 10-K. Our actual results may differ from the results discussed in any forward looking statements, which may be due to factors discussed in “Risk Factors” and elsewhere in this Annual Report on Form 10-K.</w:t>
      </w:r>
    </w:p>
    <w:p>
      <w:pPr>
        <w:spacing w:after="0" w:line="290" w:lineRule="exact"/>
        <w:rPr>
          <w:sz w:val="20"/>
          <w:szCs w:val="20"/>
          <w:color w:val="auto"/>
        </w:rPr>
      </w:pPr>
    </w:p>
    <w:p>
      <w:pPr>
        <w:ind w:right="220" w:firstLine="509"/>
        <w:spacing w:after="0" w:line="265" w:lineRule="auto"/>
        <w:rPr>
          <w:sz w:val="20"/>
          <w:szCs w:val="20"/>
          <w:color w:val="auto"/>
        </w:rPr>
      </w:pPr>
      <w:r>
        <w:rPr>
          <w:rFonts w:ascii="Times New Roman" w:cs="Times New Roman" w:eastAsia="Times New Roman" w:hAnsi="Times New Roman"/>
          <w:sz w:val="18"/>
          <w:szCs w:val="18"/>
          <w:color w:val="auto"/>
        </w:rPr>
        <w:t>The Company renamed our Tripadvisor Core segment to “Brand Tripadvisor”, and its “Tripadvisor-branded display and platform” revenue stream within the Brand Tripadvisor segment, as “Media and advertising” revenue. These nomenclature changes had no impact on the composition of our segments, revenue streams, or on any current or historic financial information.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20" w:firstLine="509"/>
        <w:spacing w:after="0" w:line="280" w:lineRule="auto"/>
        <w:rPr>
          <w:sz w:val="20"/>
          <w:szCs w:val="20"/>
          <w:color w:val="auto"/>
        </w:rPr>
      </w:pPr>
      <w:r>
        <w:rPr>
          <w:rFonts w:ascii="Times New Roman" w:cs="Times New Roman" w:eastAsia="Times New Roman" w:hAnsi="Times New Roman"/>
          <w:sz w:val="17"/>
          <w:szCs w:val="17"/>
          <w:color w:val="auto"/>
        </w:rPr>
        <w:t>The Tripadvisor group operates as a family of brands with a purpose of connecting people to experiences worth sharing. Our vision is to be the world’s most trusted source for travel and experiences. The Company operates across three business segments: Brand Tripadvisor (formerly Tripadvisor Core), Viator, and TheFork. We leverage our brands, technology platforms, and capabilities to connect our large, global audience with partners by offering rich content, travel guidance products and services, and two-sided marketplaces for experiences, accommodations, restaurants, and other travel categories.</w:t>
      </w:r>
    </w:p>
    <w:p>
      <w:pPr>
        <w:spacing w:after="0" w:line="166"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Brand Tripadvisor’s purpose is to empower everyone to be a better traveler by serving as the world’s most trusted and essential travel guidance platform. Since Tripadvisor’s founding in 2000, the Tripadvisor brand has developed a relationship of trust and community with travelers and experience seekers by providing an online global platform for travelers to discover, generate, and share authentic user-generated content (“UGC”) in the form of ratings and reviews for destinations, points-of-interest (“POIs”), experiences, accommodations, restaurants, and cruises in over 40 countries and in more than 20 languages across the world. Tripadvisor offers more than 1 billion user-generated ratings and reviews on over 8 million experiences, accommodations, restaurants, airlines, and cruises. Tripadvisor’s online platform attracts one of the world’s largest travel audiences, with hundreds of millions of visitors annually.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9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Viator’s purpose is to bring extraordinary, unexpected, and forever memorable experiences to more people, more often, wherever they are traveling. In doing so, Viator elevates tens of thousands of businesses, large and small. Viator delivers on its purpose by enabling travelers to discover and book iconic, unique and memorable experiences from experience operators around the globe. Our online marketplace is comprehensive and easy-to-use, connecting millions of travelers to the world’s largest supply of bookable tours, activities and attractions—over 350,000 experiences from more than 55,000 operators. Viator is a pure-play experiences OTA singularly focused on the needs of both travelers and operators with the largest supply of bookable experiences available to travelers.</w:t>
      </w:r>
    </w:p>
    <w:p>
      <w:pPr>
        <w:spacing w:after="0" w:line="186"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TheFork’s purpose is to deliver happiness through amazing dining experiences. TheFork delivers on its purpose by providing an online marketplace that enables diners to discover and book online reservations at approximately 55,000 restaurants in 11 countries across the U.K., western and central Europe. TheFork has become an urban, gastronomic guide with a strong community that offers approximately 20 million restaurant reviews.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w:t>
      </w:r>
    </w:p>
    <w:p>
      <w:pPr>
        <w:spacing w:after="0" w:line="2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online travel industry in which we operate is large, highly dynamic and competitive. We describe below current trends affecting our overall business and segments, including uncertainties that may impact our ability to execute on our objectives and strategies. Public health-related events, such as a pandemic, political instability, geopolitical conflicts, including the evolving events in the Middle East, acts of terrorism, fluctuations in currency values, and changes in global economic conditions, are examples of other events that could have a negative impact on the travel industry, and as a result, our financial results in the future.</w:t>
      </w:r>
    </w:p>
    <w:p>
      <w:pPr>
        <w:spacing w:after="0" w:line="18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COVID-19 pandemic had a significant negative impact on the travel and hospitality industries, and consequently, adversely and materially affected our business, results of operations, liquidity and financial condition during the year ended December 31, 2021. In 2022, we generally experienced a travel demand recovery fueled by the continued easing of government restrictions globally and increasing consumer travel demand, however, during the first quarter of 2022, we experienced a negative impact from the Omicron variant across all segments which helped contribute to the year-over-year revenue growth rate during 2023. During 2023, we continued to experience strong consumer demand, particularly for our experiences offerings, across our Viator and Brand Tripadvisor segments. Asia-Pacific, which represents a small portion of our overall business, has been slower to recover due to longer and sustained travel restrictions as a result of the COVID-19 pandemic. However, starting in the first quarter of 2023, travel restrictions across Asia began to ease relative to 2022, contributing to increased year-over-year revenue growth within this region.</w:t>
      </w:r>
    </w:p>
    <w:p>
      <w:pPr>
        <w:spacing w:after="0" w:line="189"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Prior to Google introducing changes to its SERP (search engine results page), we generated a significant amount of direct traffic from search engines, such as Google, through strong SEO (search engine optimization) performance across all segments. We believe our SEO traffic acquisition performance has been negatively impacted in the past, and may be impacted in the future, by metasearch and search engines (primarily Google) changing their search result placement and underlying algorithms, including to increase the prominence of their own products in search results across our business, most notably within our hotel meta offering within our Brand Tripadvisor segment.</w:t>
      </w:r>
    </w:p>
    <w:p>
      <w:pPr>
        <w:spacing w:after="0" w:line="18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response to strong consumer demand for our experiences offerings across our Viator and Brand Tripadvisor segments, we continued to increase investment in performance marketing and brand spend during 2023 to drive awareness and grow market share in this large underpenetrated market. Over the long-term, we are focused on driving a greater percentage of our bookings from direct channels. We are doing this by continuing to focus on increasing our brand recognition and improving the user experience across products on our website and mobile app, providing high quality customer service, and offering leading customer choice for online bookable experiences supply.</w:t>
      </w:r>
    </w:p>
    <w:p>
      <w:pPr>
        <w:spacing w:after="0" w:line="18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global experiences market is large, growing, and highly fragmented, with the vast majority of bookings still occurring through traditional offline sources. We are observing a secular shift, however, as this market continues to grow and accelerate the pace of online adoption. Likewise, the global restaurants category is also benefiting from increased online adoption by both consumers and restaurant partners, particularly in Europe. Given the competitive positioning of our businesses relative to the attractive growth prospects in these categories, we expect to continue to invest in these categories across the Tripadvisor group, and in particular, within the Viator and</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TheFork segments, to continue accelerating revenue growth, operating scale, and market share gains for the long-term.</w:t>
      </w:r>
    </w:p>
    <w:p>
      <w:pPr>
        <w:spacing w:after="0" w:line="225" w:lineRule="exact"/>
        <w:rPr>
          <w:sz w:val="20"/>
          <w:szCs w:val="20"/>
          <w:color w:val="auto"/>
        </w:rPr>
      </w:pPr>
    </w:p>
    <w:p>
      <w:pPr>
        <w:ind w:right="300" w:firstLine="509"/>
        <w:spacing w:after="0" w:line="281" w:lineRule="auto"/>
        <w:rPr>
          <w:sz w:val="20"/>
          <w:szCs w:val="20"/>
          <w:color w:val="auto"/>
        </w:rPr>
      </w:pPr>
      <w:r>
        <w:rPr>
          <w:rFonts w:ascii="Times New Roman" w:cs="Times New Roman" w:eastAsia="Times New Roman" w:hAnsi="Times New Roman"/>
          <w:sz w:val="18"/>
          <w:szCs w:val="18"/>
          <w:color w:val="auto"/>
        </w:rPr>
        <w:t>For information regarding our business strategy and business models, see the discussion set forth in Part I, Item 1. “Business,” of this Form 10-K under the captions “Our Business Strategy”, and “Our Business Models.”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Restructuring and Related Reorganization Actions</w:t>
      </w:r>
    </w:p>
    <w:p>
      <w:pPr>
        <w:spacing w:after="0" w:line="22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 xml:space="preserve">During the third quarter of 2023, the Company approved and subsequently initiated a set of actions across its businesses in order to reduce its cost structure, improve operational efficiencies, and realign its workforce with its strategic initiatives. These actions taken by the Company resulted in reduced global headcount. Additional cost reduction measures taken included discretionary spend and real estate. As a result, the Company incurred estimated pre-tax restructuring and other related reorganization costs of $22 million during the year ended December 31, 2023, consisting primarily of employee severance and related benefits. Potential job position eliminations in each country remain subject to local law and consultation requirements, which have extended beyond 2023 in certain countries. Therefore, actual costs incurred may differ from estimated costs recorded as of December 31, 2023. As of December 31, 2023, the Company paid $9 million of these costs, and expect the majority of remaining unpaid costs as of December 31, 2023, to be disbursed during the first quarter of 2024. Refer to “Note 7: </w:t>
      </w:r>
      <w:r>
        <w:rPr>
          <w:rFonts w:ascii="Times New Roman" w:cs="Times New Roman" w:eastAsia="Times New Roman" w:hAnsi="Times New Roman"/>
          <w:sz w:val="18"/>
          <w:szCs w:val="18"/>
          <w:i w:val="1"/>
          <w:iCs w:val="1"/>
          <w:color w:val="auto"/>
        </w:rPr>
        <w:t>Accrued Expenses and Other Current Liabilities</w:t>
      </w:r>
      <w:r>
        <w:rPr>
          <w:rFonts w:ascii="Times New Roman" w:cs="Times New Roman" w:eastAsia="Times New Roman" w:hAnsi="Times New Roman"/>
          <w:sz w:val="18"/>
          <w:szCs w:val="18"/>
          <w:color w:val="auto"/>
        </w:rPr>
        <w:t xml:space="preserve">” and “Note 18: </w:t>
      </w:r>
      <w:r>
        <w:rPr>
          <w:rFonts w:ascii="Times New Roman" w:cs="Times New Roman" w:eastAsia="Times New Roman" w:hAnsi="Times New Roman"/>
          <w:sz w:val="18"/>
          <w:szCs w:val="18"/>
          <w:i w:val="1"/>
          <w:iCs w:val="1"/>
          <w:color w:val="auto"/>
        </w:rPr>
        <w:t>Segment and Geographic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in the notes to our consolidated financial statements in Item 8 of this Annual Report on Form 10-K for further information regarding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restructuring and other related reorganization costs incurred for each reportable segment.</w:t>
      </w:r>
    </w:p>
    <w:p>
      <w:pPr>
        <w:spacing w:after="0" w:line="19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These cost reduction actions undertaken by the Company are anticipated to result in an estimated $35 million in annualized cost savings in the Brand Tripadvisor segment, which includes corporate general and administrative expenses, and in addition, we estimate $10 million in annualized cost savings in TheFork segment, primarily related to global workforce reduction measures. Although we expect the aforementioned, annualized cost savings in Brand Tripadvisor and TheFork during 2024, these cost reduction measures did not materially impact our actual expenses during 2023 due to the timing of when these actions occurred during the year.</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Stock Buyback Program</w:t>
      </w:r>
    </w:p>
    <w:p>
      <w:pPr>
        <w:spacing w:after="0" w:line="22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On September 7, 2023, our Board of Directors authorized the repurchase of $250 million in shares of our common stock under a new share repurchase program. This share repurchase program, which has a term of two years, does not obligate the Company to acquire any particular number of shares and may be modified, suspended or discontinued at any time. During the three months ended December 31, 2023, we repurchased 1,324,524 shares of our outstanding common stock at an average share price of $18.85 per share, exclusive of fees, commissions, and excise taxes, or $25 million in the aggregate.</w:t>
      </w:r>
    </w:p>
    <w:p>
      <w:pPr>
        <w:spacing w:after="0" w:line="182" w:lineRule="exact"/>
        <w:rPr>
          <w:sz w:val="20"/>
          <w:szCs w:val="20"/>
          <w:color w:val="auto"/>
        </w:rPr>
      </w:pPr>
    </w:p>
    <w:p>
      <w:pPr>
        <w:ind w:right="260" w:firstLine="509"/>
        <w:spacing w:after="0" w:line="312" w:lineRule="auto"/>
        <w:rPr>
          <w:sz w:val="20"/>
          <w:szCs w:val="20"/>
          <w:color w:val="auto"/>
        </w:rPr>
      </w:pPr>
      <w:r>
        <w:rPr>
          <w:rFonts w:ascii="Times New Roman" w:cs="Times New Roman" w:eastAsia="Times New Roman" w:hAnsi="Times New Roman"/>
          <w:sz w:val="17"/>
          <w:szCs w:val="17"/>
          <w:color w:val="auto"/>
        </w:rPr>
        <w:t>In light of the recent disclosure by Liberty Tripadvisor Holdings, Inc. (“LTRIP”) of its intent to evaluate potential alternatives and the Company’s formation of a Special Committee to evaluate any proposals that may be brought forward, the Company has suspended its share repurchase program.</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firstLine="509"/>
        <w:spacing w:after="0" w:line="274" w:lineRule="auto"/>
        <w:rPr>
          <w:sz w:val="20"/>
          <w:szCs w:val="20"/>
          <w:color w:val="auto"/>
        </w:rPr>
      </w:pPr>
      <w:r>
        <w:rPr>
          <w:rFonts w:ascii="Times New Roman" w:cs="Times New Roman" w:eastAsia="Times New Roman" w:hAnsi="Times New Roman"/>
          <w:sz w:val="17"/>
          <w:szCs w:val="17"/>
          <w:color w:val="auto"/>
        </w:rPr>
        <w:t>As disclosed in our Annual Report on Form 10-K for the year ended December 31, 2022, the Company had received Notices of Proposed Adjustments (“NOPA”) in January 2017 and April 2019 from the IRS with respect to income tax returns for the years 2009, 2010 and 2011 filed by Expedia when Tripadvisor was part of Expedia Group Inc’s consolidated income tax return. This assessment was related to certain transfer pricing arrangements with its foreign subsidiaries, and we requested competent authority assistance under the Mutual Agreement Procedure (“MAP”) for those years. In January 2023, the Company received a final notice from the IRS regarding a MAP settlement for the 2009 through 2011 tax years, which the Company accepted in February 2023. During the second quarter of 2023, the Company made a U.S. federal tax payment of $113 million to Expedia related to this IRS audit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92"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settlement pursuant to the Tax Sharing Agreement with Expedia. During the third quarter of 2023, we received a competent authority refund of $49 million associated with this IRS audit settlement.</w:t>
      </w:r>
    </w:p>
    <w:p>
      <w:pPr>
        <w:spacing w:after="0" w:line="16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previously disclosed, during August 2020 we received a NOPA issued by the IRS for the 2014, 2015, and 2016 tax years. These proposed adjustments are related to certain transfer pricing arrangements with our foreign subsidiaries. We have previously requested competent authority assistance under MAP for these tax years. In January 2024, we received notification of a MAP resolution agreement for the 2014 through 2016 tax years, which we accepted in February 2024. We anticipate this MAP resolution will result in an estimated net operating cash outflow of $80 million to $130 million, net of anticipated competent authority relief and inclusive of related interest expense, expected during 2024, and an increase to our worldwide income tax expense in an estimated range of $30 million to $60 million in the first quarter of 2024.</w:t>
      </w:r>
    </w:p>
    <w:p>
      <w:pPr>
        <w:spacing w:after="0" w:line="184" w:lineRule="exact"/>
        <w:rPr>
          <w:sz w:val="20"/>
          <w:szCs w:val="20"/>
          <w:color w:val="auto"/>
        </w:rPr>
      </w:pPr>
    </w:p>
    <w:p>
      <w:pPr>
        <w:ind w:right="420" w:firstLine="509"/>
        <w:spacing w:after="0" w:line="314" w:lineRule="auto"/>
        <w:rPr>
          <w:sz w:val="20"/>
          <w:szCs w:val="20"/>
          <w:color w:val="auto"/>
        </w:rPr>
      </w:pPr>
      <w:r>
        <w:rPr>
          <w:rFonts w:ascii="Times New Roman" w:cs="Times New Roman" w:eastAsia="Times New Roman" w:hAnsi="Times New Roman"/>
          <w:sz w:val="17"/>
          <w:szCs w:val="17"/>
          <w:color w:val="auto"/>
        </w:rPr>
        <w:t xml:space="preserve">Refer to “Note 10: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in the notes to our consolidated financial statements in Item 8 of this Annual Report on Form 10-K and the “Contingencies” discussion below for further information regarding potential material contingencies related to ongoing audits regarding income taxes.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prepare our consolidated financial statements and accompanying notes in accordance with GAAP. Preparation of the consolidated financial statements and accompanying notes requires that management make estimates and assumptions that affect the reported amounts of assets and liabilities and the disclosure of contingent assets and liabilities as of the date of the consolidated financial statements as well as revenue and expenses during the periods reported. Management bases its estimates on historical experience, when applicable and other assumptions that it believes are reasonable under the circumstances. Actual results may differ from estimates under different assumptions or conditions.</w:t>
      </w:r>
    </w:p>
    <w:p>
      <w:pPr>
        <w:spacing w:after="0" w:line="182"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8"/>
          <w:szCs w:val="18"/>
          <w:color w:val="auto"/>
        </w:rPr>
        <w:t>There are certain critical estimates that we believe require that management use significant judgment and estimates in applying those policies in the preparation of our consolidated financial statements. We consider an accounting estimate to be critical if:</w:t>
      </w:r>
    </w:p>
    <w:p>
      <w:pPr>
        <w:spacing w:after="0" w:line="55" w:lineRule="exact"/>
        <w:rPr>
          <w:sz w:val="20"/>
          <w:szCs w:val="20"/>
          <w:color w:val="auto"/>
        </w:rPr>
      </w:pPr>
    </w:p>
    <w:p>
      <w:pPr>
        <w:ind w:left="760" w:right="300" w:hanging="378"/>
        <w:spacing w:after="0" w:line="260"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requires us to make an assumption because information was not available at the time or it included matters that were highly uncertain at the time we were making the estimate; and/or</w:t>
      </w:r>
    </w:p>
    <w:p>
      <w:pPr>
        <w:spacing w:after="0" w:line="1" w:lineRule="exact"/>
        <w:rPr>
          <w:rFonts w:ascii="Times New Roman" w:cs="Times New Roman" w:eastAsia="Times New Roman" w:hAnsi="Times New Roman"/>
          <w:sz w:val="18"/>
          <w:szCs w:val="18"/>
          <w:color w:val="auto"/>
        </w:rPr>
      </w:pPr>
    </w:p>
    <w:p>
      <w:pPr>
        <w:ind w:left="760" w:right="40" w:hanging="378"/>
        <w:spacing w:after="0" w:line="260"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estimate or different estimates that we could have selected may have had a material impact on our financial condition or results of operations.</w:t>
      </w:r>
    </w:p>
    <w:p>
      <w:pPr>
        <w:spacing w:after="0" w:line="178" w:lineRule="exact"/>
        <w:rPr>
          <w:sz w:val="20"/>
          <w:szCs w:val="20"/>
          <w:color w:val="auto"/>
        </w:rPr>
      </w:pPr>
    </w:p>
    <w:p>
      <w:pPr>
        <w:ind w:right="80" w:firstLine="509"/>
        <w:spacing w:after="0" w:line="267" w:lineRule="auto"/>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in the notes to our consolidated financial statements in Item 8 of this Annual Report on Form 10-K for an overview of our significant accounting policies and any new accounting pronouncements that we have adopted or that we plan to adopt that have had or may have an impact on our financial statements.</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discussion of information about the nature and rationale for our critical accounting estimates is below:</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record income taxes under the asset and liability method. Deferred tax assets and liabilities reflect our estimation of the future tax consequences of temporary differences between the carrying amounts of assets and liabilities for book and tax purposes. We determine deferred income taxes based on the differences in accounting methods and timing between financial statement and income tax reporting. Accordingly, we determine the deferred tax asset or liability for each temporary difference based on the enacted income tax rates expected to be in effect when we realize the underlying items of income and expense. We consider all relevant factors when assessing the likelihood of future realization of our deferred tax assets, including our recent earnings experience by jurisdiction, expectations of future taxable income and the carryforward periods available to us for tax reporting purposes, as well as assessing available tax planning strategies. We may establish a valuation allowance to reduce deferred tax assets to the amount we believe is more likely than not to be realized. As of December 31, 2023, we had a valuation allowance of approximately $106 million related to certain NOL carryforwards and other foreign deferred tax assets for which it is more likely than not, the tax benefit will not be realized. We classify deferred tax assets and liabilities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84"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as noncurrent on our consolidated balance sheet. Due to inherent complexities arising from the nature of our businesses, future changes in income tax law, tax sharing agreements or variances between our actual and anticipated operating results, we make certain judgments and estimates. Therefore, actual income taxes could materially vary from these estimates.</w:t>
      </w:r>
    </w:p>
    <w:p>
      <w:pPr>
        <w:spacing w:after="0" w:line="17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record liabilities to address uncertain tax positions we have taken in previously filed tax returns or that we expect to take in a future tax return. The determination for required liabilities is based upon an analysis of each individual tax position, taking into consideration whether it is more likely than not that our tax position, based on technical merits, will be sustained upon examination. For those positions for which we conclude it is more likely than not it will be sustained, we recognize the largest amount of tax benefit that is greater than 50% likely of being realized upon ultimate settlement with the taxing authority. The difference between the amount recognized and the total tax position is recorded as a liability. The ultimate resolution of these tax positions may be greater or less than the liabilities recorded.</w:t>
      </w:r>
    </w:p>
    <w:p>
      <w:pPr>
        <w:spacing w:after="0" w:line="184" w:lineRule="exact"/>
        <w:rPr>
          <w:sz w:val="20"/>
          <w:szCs w:val="20"/>
          <w:color w:val="auto"/>
        </w:rPr>
      </w:pPr>
    </w:p>
    <w:p>
      <w:pPr>
        <w:ind w:right="80" w:firstLine="509"/>
        <w:spacing w:after="0" w:line="267" w:lineRule="auto"/>
        <w:rPr>
          <w:sz w:val="20"/>
          <w:szCs w:val="20"/>
          <w:color w:val="auto"/>
        </w:rPr>
      </w:pPr>
      <w:r>
        <w:rPr>
          <w:rFonts w:ascii="Times New Roman" w:cs="Times New Roman" w:eastAsia="Times New Roman" w:hAnsi="Times New Roman"/>
          <w:sz w:val="18"/>
          <w:szCs w:val="18"/>
          <w:color w:val="auto"/>
        </w:rPr>
        <w:t xml:space="preserve">Refer to “Note 10: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the notes to our consolidated financial statements in Item 8 of this Annual Report on Form 10-K and the “Contingencies” discussion below for further information, including certain uncertainties, critical estimates, and potential contingencies related to ongoing audits regarding income taxes.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19" w:lineRule="exact"/>
        <w:rPr>
          <w:sz w:val="20"/>
          <w:szCs w:val="20"/>
          <w:color w:val="auto"/>
        </w:rPr>
      </w:pPr>
    </w:p>
    <w:p>
      <w:pPr>
        <w:ind w:right="780" w:firstLine="509"/>
        <w:spacing w:after="0" w:line="283" w:lineRule="auto"/>
        <w:rPr>
          <w:sz w:val="20"/>
          <w:szCs w:val="20"/>
          <w:color w:val="auto"/>
        </w:rPr>
      </w:pPr>
      <w:r>
        <w:rPr>
          <w:rFonts w:ascii="Times New Roman" w:cs="Times New Roman" w:eastAsia="Times New Roman" w:hAnsi="Times New Roman"/>
          <w:sz w:val="18"/>
          <w:szCs w:val="18"/>
          <w:color w:val="auto"/>
        </w:rPr>
        <w:t xml:space="preserve">For information on our related party transactions, refer to “Note 17: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in the notes to our consolidated financial statements in Item 8 of this Annual Report on Form 10-K.</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9" w:lineRule="exact"/>
        <w:rPr>
          <w:sz w:val="20"/>
          <w:szCs w:val="20"/>
          <w:color w:val="auto"/>
        </w:rPr>
      </w:pPr>
    </w:p>
    <w:p>
      <w:pPr>
        <w:ind w:right="380" w:firstLine="509"/>
        <w:spacing w:after="0" w:line="260" w:lineRule="auto"/>
        <w:rPr>
          <w:sz w:val="20"/>
          <w:szCs w:val="20"/>
          <w:color w:val="auto"/>
        </w:rPr>
      </w:pPr>
      <w:r>
        <w:rPr>
          <w:rFonts w:ascii="Times New Roman" w:cs="Times New Roman" w:eastAsia="Times New Roman" w:hAnsi="Times New Roman"/>
          <w:sz w:val="18"/>
          <w:szCs w:val="18"/>
          <w:color w:val="auto"/>
        </w:rPr>
        <w:t>A discussion regarding our financial condition and results of operations for fiscal year 2023 compared to fiscal year 2022 is presented below. A discussion regarding our financial condition and results of operations for fiscal year 2022 compared to fiscal year 2021 can be found in Part II, Item 7. "Management’s Discussion and Analysis of Financial Condition and Results of Operations" of our Annual Report on Form 10-K for the year ended December 31, 2022, filed with the SEC on February 17, 2023.</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(in millions, except percentages)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6"/>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51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220" w:type="dxa"/>
            <w:vAlign w:val="bottom"/>
            <w:tcBorders>
              <w:top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2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2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22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tcPr>
          <w:p>
            <w:pPr>
              <w:spacing w:after="0"/>
              <w:rPr>
                <w:sz w:val="19"/>
                <w:szCs w:val="19"/>
                <w:color w:val="auto"/>
              </w:rPr>
            </w:pP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51"/>
        </w:trPr>
        <w:tc>
          <w:tcPr>
            <w:tcW w:w="5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28 %</w:t>
            </w:r>
          </w:p>
        </w:tc>
        <w:tc>
          <w:tcPr>
            <w:tcW w:w="80" w:type="dxa"/>
            <w:vAlign w:val="bottom"/>
          </w:tcPr>
          <w:p>
            <w:pPr>
              <w:spacing w:after="0"/>
              <w:rPr>
                <w:sz w:val="20"/>
                <w:szCs w:val="20"/>
                <w:color w:val="auto"/>
              </w:rPr>
            </w:pP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38"/>
        </w:trPr>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and marketing</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2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tcPr>
          <w:p>
            <w:pPr>
              <w:spacing w:after="0"/>
              <w:rPr>
                <w:sz w:val="20"/>
                <w:szCs w:val="20"/>
                <w:color w:val="auto"/>
              </w:rPr>
            </w:pP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43"/>
        </w:trPr>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Technology and content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tcPr>
          <w:p>
            <w:pPr>
              <w:spacing w:after="0"/>
              <w:rPr>
                <w:sz w:val="21"/>
                <w:szCs w:val="21"/>
                <w:color w:val="auto"/>
              </w:rPr>
            </w:pP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43"/>
        </w:trPr>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Pr>
          <w:p>
            <w:pPr>
              <w:spacing w:after="0"/>
              <w:rPr>
                <w:sz w:val="21"/>
                <w:szCs w:val="21"/>
                <w:color w:val="auto"/>
              </w:rPr>
            </w:pP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49"/>
        </w:trPr>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Pr>
          <w:p>
            <w:pPr>
              <w:spacing w:after="0"/>
              <w:rPr>
                <w:sz w:val="21"/>
                <w:szCs w:val="21"/>
                <w:color w:val="auto"/>
              </w:rPr>
            </w:pP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(10 )%</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49"/>
        </w:trPr>
        <w:tc>
          <w:tcPr>
            <w:tcW w:w="51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and other related reorganization costs</w:t>
            </w:r>
          </w:p>
        </w:tc>
        <w:tc>
          <w:tcPr>
            <w:tcW w:w="2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n.m.</w:t>
            </w:r>
          </w:p>
        </w:tc>
        <w:tc>
          <w:tcPr>
            <w:tcW w:w="1120" w:type="dxa"/>
            <w:vAlign w:val="bottom"/>
            <w:tcBorders>
              <w:bottom w:val="single" w:sz="8" w:color="CFF0FC"/>
            </w:tcBorders>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22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tcPr>
          <w:p>
            <w:pPr>
              <w:spacing w:after="0"/>
              <w:rPr>
                <w:sz w:val="20"/>
                <w:szCs w:val="20"/>
                <w:color w:val="auto"/>
              </w:rPr>
            </w:pP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36"/>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(131 )</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25 %</w:t>
            </w:r>
          </w:p>
        </w:tc>
        <w:tc>
          <w:tcPr>
            <w:tcW w:w="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23"/>
                <w:szCs w:val="23"/>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(44 )</w:t>
            </w:r>
          </w:p>
        </w:tc>
        <w:tc>
          <w:tcPr>
            <w:tcW w:w="22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(44 )</w:t>
            </w:r>
          </w:p>
        </w:tc>
        <w:tc>
          <w:tcPr>
            <w:tcW w:w="200" w:type="dxa"/>
            <w:vAlign w:val="bottom"/>
          </w:tcPr>
          <w:p>
            <w:pPr>
              <w:spacing w:after="0"/>
              <w:rPr>
                <w:sz w:val="23"/>
                <w:szCs w:val="2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(45 )</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Pr>
          <w:p>
            <w:pPr>
              <w:spacing w:after="0"/>
              <w:rPr>
                <w:sz w:val="23"/>
                <w:szCs w:val="23"/>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43"/>
        </w:trPr>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213 %</w:t>
            </w:r>
          </w:p>
        </w:tc>
        <w:tc>
          <w:tcPr>
            <w:tcW w:w="80" w:type="dxa"/>
            <w:vAlign w:val="bottom"/>
          </w:tcPr>
          <w:p>
            <w:pPr>
              <w:spacing w:after="0"/>
              <w:rPr>
                <w:sz w:val="21"/>
                <w:szCs w:val="21"/>
                <w:color w:val="auto"/>
              </w:rPr>
            </w:pP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1,400 %</w:t>
            </w:r>
          </w:p>
        </w:tc>
        <w:tc>
          <w:tcPr>
            <w:tcW w:w="0" w:type="dxa"/>
            <w:vAlign w:val="bottom"/>
          </w:tcPr>
          <w:p>
            <w:pPr>
              <w:spacing w:after="0"/>
              <w:rPr>
                <w:sz w:val="1"/>
                <w:szCs w:val="1"/>
                <w:color w:val="auto"/>
              </w:rPr>
            </w:pPr>
          </w:p>
        </w:tc>
      </w:tr>
      <w:tr>
        <w:trPr>
          <w:trHeight w:val="256"/>
        </w:trPr>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22"/>
                <w:szCs w:val="22"/>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(4 )</w:t>
            </w:r>
          </w:p>
        </w:tc>
        <w:tc>
          <w:tcPr>
            <w:tcW w:w="22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(5 )</w:t>
            </w:r>
          </w:p>
        </w:tc>
        <w:tc>
          <w:tcPr>
            <w:tcW w:w="20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(10 )</w:t>
            </w: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(20 )%</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2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2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(34 )</w:t>
            </w:r>
          </w:p>
        </w:tc>
        <w:tc>
          <w:tcPr>
            <w:tcW w:w="2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(54 )</w:t>
            </w: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(97 )%</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(185 )</w:t>
            </w: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87 %</w:t>
            </w:r>
          </w:p>
        </w:tc>
        <w:tc>
          <w:tcPr>
            <w:tcW w:w="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2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(115 )</w:t>
            </w:r>
          </w:p>
        </w:tc>
        <w:tc>
          <w:tcPr>
            <w:tcW w:w="2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(47 )</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145 %</w:t>
            </w:r>
          </w:p>
        </w:tc>
        <w:tc>
          <w:tcPr>
            <w:tcW w:w="80" w:type="dxa"/>
            <w:vAlign w:val="bottom"/>
          </w:tcPr>
          <w:p>
            <w:pPr>
              <w:spacing w:after="0"/>
              <w:rPr>
                <w:sz w:val="21"/>
                <w:szCs w:val="21"/>
                <w:color w:val="auto"/>
              </w:rPr>
            </w:pPr>
          </w:p>
        </w:tc>
        <w:tc>
          <w:tcPr>
            <w:tcW w:w="124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FF0FC"/>
          </w:tcPr>
          <w:p>
            <w:pPr>
              <w:spacing w:after="0"/>
              <w:rPr>
                <w:sz w:val="24"/>
                <w:szCs w:val="24"/>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(148 )</w:t>
            </w:r>
          </w:p>
        </w:tc>
        <w:tc>
          <w:tcPr>
            <w:tcW w:w="13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(50 )%</w:t>
            </w:r>
          </w:p>
        </w:tc>
        <w:tc>
          <w:tcPr>
            <w:tcW w:w="112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0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04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102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financial data:</w:t>
            </w:r>
          </w:p>
        </w:tc>
        <w:tc>
          <w:tcPr>
            <w:tcW w:w="2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tcPr>
          <w:p>
            <w:pPr>
              <w:spacing w:after="0"/>
              <w:rPr>
                <w:sz w:val="20"/>
                <w:szCs w:val="20"/>
                <w:color w:val="auto"/>
              </w:rPr>
            </w:pP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195 %</w:t>
            </w:r>
          </w:p>
        </w:tc>
        <w:tc>
          <w:tcPr>
            <w:tcW w:w="0" w:type="dxa"/>
            <w:vAlign w:val="bottom"/>
          </w:tcPr>
          <w:p>
            <w:pPr>
              <w:spacing w:after="0"/>
              <w:rPr>
                <w:sz w:val="1"/>
                <w:szCs w:val="1"/>
                <w:color w:val="auto"/>
              </w:rPr>
            </w:pPr>
          </w:p>
        </w:tc>
      </w:tr>
      <w:tr>
        <w:trPr>
          <w:trHeight w:val="247"/>
        </w:trPr>
        <w:tc>
          <w:tcPr>
            <w:tcW w:w="5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-3663950</wp:posOffset>
            </wp:positionV>
            <wp:extent cx="7055485"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5548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-3030220</wp:posOffset>
            </wp:positionV>
            <wp:extent cx="7055485"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5548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-2722245</wp:posOffset>
            </wp:positionV>
            <wp:extent cx="7055485"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5548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-1763395</wp:posOffset>
            </wp:positionV>
            <wp:extent cx="7055485"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55485" cy="15430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-2259965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-2259965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-2259965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-1454785</wp:posOffset>
            </wp:positionV>
            <wp:extent cx="7055485" cy="162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55485" cy="162560"/>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-658495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-641350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-658495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-641350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-658495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-641350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 xml:space="preserve">n.m. = </w:t>
      </w:r>
      <w:r>
        <w:rPr>
          <w:rFonts w:ascii="Times New Roman" w:cs="Times New Roman" w:eastAsia="Times New Roman" w:hAnsi="Times New Roman"/>
          <w:sz w:val="14"/>
          <w:szCs w:val="14"/>
          <w:i w:val="1"/>
          <w:iCs w:val="1"/>
          <w:color w:val="auto"/>
        </w:rPr>
        <w:t>not meaningful</w:t>
      </w:r>
    </w:p>
    <w:p>
      <w:pPr>
        <w:spacing w:after="0" w:line="167" w:lineRule="exact"/>
        <w:rPr>
          <w:sz w:val="20"/>
          <w:szCs w:val="20"/>
          <w:color w:val="auto"/>
        </w:rPr>
      </w:pPr>
    </w:p>
    <w:p>
      <w:pPr>
        <w:ind w:left="1020" w:right="380" w:hanging="504"/>
        <w:spacing w:after="0" w:line="258" w:lineRule="auto"/>
        <w:tabs>
          <w:tab w:leader="none" w:pos="10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Adjusted EBITDA is considered a non-GAAP measure as defined by the SEC. Please refer to the “Adjusted EBITDA” discussion below for more information, including tabular reconciliations to the most directly comparable GAAP financial measure.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and Segment Information</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520" w:type="dxa"/>
            <w:vAlign w:val="bottom"/>
            <w:gridSpan w:val="6"/>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51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200" w:type="dxa"/>
            <w:vAlign w:val="bottom"/>
            <w:tcBorders>
              <w:top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2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by Segment:</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Brand Tripadvisor </w:t>
            </w:r>
            <w:r>
              <w:rPr>
                <w:rFonts w:ascii="Times New Roman" w:cs="Times New Roman" w:eastAsia="Times New Roman" w:hAnsi="Times New Roman"/>
                <w:sz w:val="14"/>
                <w:szCs w:val="14"/>
                <w:color w:val="auto"/>
              </w:rPr>
              <w:t>(1)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24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c>
          <w:tcPr>
            <w:tcW w:w="80" w:type="dxa"/>
            <w:vAlign w:val="bottom"/>
          </w:tcPr>
          <w:p>
            <w:pPr>
              <w:spacing w:after="0"/>
              <w:rPr>
                <w:sz w:val="20"/>
                <w:szCs w:val="20"/>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Viator</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49 %</w:t>
            </w:r>
          </w:p>
        </w:tc>
        <w:tc>
          <w:tcPr>
            <w:tcW w:w="80" w:type="dxa"/>
            <w:vAlign w:val="bottom"/>
          </w:tcPr>
          <w:p>
            <w:pPr>
              <w:spacing w:after="0"/>
              <w:rPr>
                <w:sz w:val="20"/>
                <w:szCs w:val="20"/>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168 %</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TheFork</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22 %</w:t>
            </w:r>
          </w:p>
        </w:tc>
        <w:tc>
          <w:tcPr>
            <w:tcW w:w="80" w:type="dxa"/>
            <w:vAlign w:val="bottom"/>
          </w:tcPr>
          <w:p>
            <w:pPr>
              <w:spacing w:after="0"/>
              <w:rPr>
                <w:sz w:val="21"/>
                <w:szCs w:val="21"/>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5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Intersegment Eliminations </w:t>
            </w:r>
            <w:r>
              <w:rPr>
                <w:rFonts w:ascii="Times New Roman" w:cs="Times New Roman" w:eastAsia="Times New Roman" w:hAnsi="Times New Roman"/>
                <w:sz w:val="14"/>
                <w:szCs w:val="14"/>
                <w:color w:val="auto"/>
              </w:rPr>
              <w:t>(1)</w:t>
            </w:r>
          </w:p>
        </w:tc>
        <w:tc>
          <w:tcPr>
            <w:tcW w:w="24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(134 )</w:t>
            </w:r>
          </w:p>
        </w:tc>
        <w:tc>
          <w:tcPr>
            <w:tcW w:w="220" w:type="dxa"/>
            <w:vAlign w:val="bottom"/>
          </w:tcPr>
          <w:p>
            <w:pPr>
              <w:spacing w:after="0"/>
              <w:rPr>
                <w:sz w:val="22"/>
                <w:szCs w:val="22"/>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(93 )</w:t>
            </w:r>
          </w:p>
        </w:tc>
        <w:tc>
          <w:tcPr>
            <w:tcW w:w="20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(32 )</w:t>
            </w:r>
          </w:p>
        </w:tc>
        <w:tc>
          <w:tcPr>
            <w:tcW w:w="60" w:type="dxa"/>
            <w:vAlign w:val="bottom"/>
          </w:tcPr>
          <w:p>
            <w:pPr>
              <w:spacing w:after="0"/>
              <w:rPr>
                <w:sz w:val="22"/>
                <w:szCs w:val="22"/>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44 %</w:t>
            </w:r>
          </w:p>
        </w:tc>
        <w:tc>
          <w:tcPr>
            <w:tcW w:w="80" w:type="dxa"/>
            <w:vAlign w:val="bottom"/>
          </w:tcPr>
          <w:p>
            <w:pPr>
              <w:spacing w:after="0"/>
              <w:rPr>
                <w:sz w:val="22"/>
                <w:szCs w:val="22"/>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191 %</w:t>
            </w:r>
          </w:p>
        </w:tc>
        <w:tc>
          <w:tcPr>
            <w:tcW w:w="0" w:type="dxa"/>
            <w:vAlign w:val="bottom"/>
          </w:tcPr>
          <w:p>
            <w:pPr>
              <w:spacing w:after="0"/>
              <w:rPr>
                <w:sz w:val="1"/>
                <w:szCs w:val="1"/>
                <w:color w:val="auto"/>
              </w:rPr>
            </w:pPr>
          </w:p>
        </w:tc>
      </w:tr>
      <w:tr>
        <w:trPr>
          <w:trHeight w:val="23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24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tcPr>
          <w:p>
            <w:pPr>
              <w:spacing w:after="0"/>
              <w:rPr>
                <w:sz w:val="20"/>
                <w:szCs w:val="20"/>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Adjusted EBITDA by Segment:</w:t>
            </w: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Brand Tripadvisor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40" w:type="dxa"/>
            <w:vAlign w:val="bottom"/>
          </w:tcPr>
          <w:p>
            <w:pPr>
              <w:spacing w:after="0"/>
              <w:rPr>
                <w:sz w:val="21"/>
                <w:szCs w:val="21"/>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Pr>
          <w:p>
            <w:pPr>
              <w:spacing w:after="0"/>
              <w:rPr>
                <w:sz w:val="21"/>
                <w:szCs w:val="21"/>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Viator</w:t>
            </w:r>
          </w:p>
        </w:tc>
        <w:tc>
          <w:tcPr>
            <w:tcW w:w="24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(11 )</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(31 )</w:t>
            </w:r>
          </w:p>
        </w:tc>
        <w:tc>
          <w:tcPr>
            <w:tcW w:w="60" w:type="dxa"/>
            <w:vAlign w:val="bottom"/>
          </w:tcPr>
          <w:p>
            <w:pPr>
              <w:spacing w:after="0"/>
              <w:rPr>
                <w:sz w:val="21"/>
                <w:szCs w:val="21"/>
                <w:color w:val="auto"/>
              </w:rPr>
            </w:pPr>
          </w:p>
        </w:tc>
        <w:tc>
          <w:tcPr>
            <w:tcW w:w="12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n.m.</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5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TheFork</w:t>
            </w:r>
          </w:p>
        </w:tc>
        <w:tc>
          <w:tcPr>
            <w:tcW w:w="24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(14 )</w:t>
            </w:r>
          </w:p>
        </w:tc>
        <w:tc>
          <w:tcPr>
            <w:tcW w:w="220" w:type="dxa"/>
            <w:vAlign w:val="bottom"/>
          </w:tcPr>
          <w:p>
            <w:pPr>
              <w:spacing w:after="0"/>
              <w:rPr>
                <w:sz w:val="22"/>
                <w:szCs w:val="22"/>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(39 )</w:t>
            </w:r>
          </w:p>
        </w:tc>
        <w:tc>
          <w:tcPr>
            <w:tcW w:w="20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(46 )</w:t>
            </w:r>
          </w:p>
        </w:tc>
        <w:tc>
          <w:tcPr>
            <w:tcW w:w="60" w:type="dxa"/>
            <w:vAlign w:val="bottom"/>
          </w:tcPr>
          <w:p>
            <w:pPr>
              <w:spacing w:after="0"/>
              <w:rPr>
                <w:sz w:val="22"/>
                <w:szCs w:val="22"/>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(64 )%</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36"/>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Adjusted EBITDA</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4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tcPr>
          <w:p>
            <w:pPr>
              <w:spacing w:after="0"/>
              <w:rPr>
                <w:sz w:val="20"/>
                <w:szCs w:val="20"/>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195 %</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Adjusted EBITDA Margin by Segment </w:t>
            </w:r>
            <w:r>
              <w:rPr>
                <w:rFonts w:ascii="Times New Roman" w:cs="Times New Roman" w:eastAsia="Times New Roman" w:hAnsi="Times New Roman"/>
                <w:sz w:val="14"/>
                <w:szCs w:val="14"/>
                <w:color w:val="auto"/>
              </w:rPr>
              <w:t>(2)</w:t>
            </w: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Brand Tripadvisor</w:t>
            </w:r>
          </w:p>
        </w:tc>
        <w:tc>
          <w:tcPr>
            <w:tcW w:w="2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34 %</w:t>
            </w:r>
          </w:p>
        </w:tc>
        <w:tc>
          <w:tcPr>
            <w:tcW w:w="2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36 %</w:t>
            </w:r>
          </w:p>
        </w:tc>
        <w:tc>
          <w:tcPr>
            <w:tcW w:w="2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27 %</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Viator</w:t>
            </w: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0 %</w:t>
            </w:r>
          </w:p>
        </w:tc>
        <w:tc>
          <w:tcPr>
            <w:tcW w:w="2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00" w:type="dxa"/>
            <w:vAlign w:val="bottom"/>
            <w:shd w:val="clear" w:color="auto" w:fill="CFF0FC"/>
          </w:tcPr>
          <w:p>
            <w:pPr>
              <w:spacing w:after="0"/>
              <w:rPr>
                <w:sz w:val="21"/>
                <w:szCs w:val="21"/>
                <w:color w:val="auto"/>
              </w:rPr>
            </w:pPr>
          </w:p>
        </w:tc>
        <w:tc>
          <w:tcPr>
            <w:tcW w:w="10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(17 %)</w:t>
            </w:r>
          </w:p>
        </w:tc>
        <w:tc>
          <w:tcPr>
            <w:tcW w:w="10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TheFork</w:t>
            </w:r>
          </w:p>
        </w:tc>
        <w:tc>
          <w:tcPr>
            <w:tcW w:w="2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(9 )%</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200" w:type="dxa"/>
            <w:vAlign w:val="bottom"/>
          </w:tcPr>
          <w:p>
            <w:pPr>
              <w:spacing w:after="0"/>
              <w:rPr>
                <w:sz w:val="20"/>
                <w:szCs w:val="20"/>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(54 )%</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2"/>
        </w:trPr>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5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-3270250</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-2961640</wp:posOffset>
            </wp:positionV>
            <wp:extent cx="713232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-2311400</wp:posOffset>
            </wp:positionV>
            <wp:extent cx="713232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-2645410</wp:posOffset>
            </wp:positionV>
            <wp:extent cx="7132320" cy="179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-2002790</wp:posOffset>
            </wp:positionV>
            <wp:extent cx="7132320" cy="162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412" w:right="239" w:bottom="870" w:gutter="0" w:footer="0" w:header="0"/>
        </w:sectPr>
      </w:pPr>
    </w:p>
    <w:bookmarkStart w:id="40" w:name="page41"/>
    <w:bookmarkEnd w:id="40"/>
    <w:p>
      <w:pPr>
        <w:spacing w:after="0" w:line="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 xml:space="preserve">n.m. = </w:t>
      </w:r>
      <w:r>
        <w:rPr>
          <w:rFonts w:ascii="Times New Roman" w:cs="Times New Roman" w:eastAsia="Times New Roman" w:hAnsi="Times New Roman"/>
          <w:sz w:val="14"/>
          <w:szCs w:val="14"/>
          <w:i w:val="1"/>
          <w:iCs w:val="1"/>
          <w:color w:val="auto"/>
        </w:rPr>
        <w:t>not meaningful</w:t>
      </w:r>
    </w:p>
    <w:p>
      <w:pPr>
        <w:spacing w:after="0" w:line="136" w:lineRule="exact"/>
        <w:rPr>
          <w:sz w:val="20"/>
          <w:szCs w:val="20"/>
          <w:color w:val="auto"/>
        </w:rPr>
      </w:pPr>
    </w:p>
    <w:p>
      <w:pPr>
        <w:ind w:left="760" w:right="160" w:hanging="378"/>
        <w:spacing w:after="0" w:line="230" w:lineRule="auto"/>
        <w:tabs>
          <w:tab w:leader="none" w:pos="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Brand Tripadvisor segment revenue figures are shown gross of intersegment (intercompany) revenue, which is eliminated on a consolidated basis. Refer to “Note 18: </w:t>
      </w:r>
      <w:r>
        <w:rPr>
          <w:rFonts w:ascii="Times New Roman" w:cs="Times New Roman" w:eastAsia="Times New Roman" w:hAnsi="Times New Roman"/>
          <w:sz w:val="14"/>
          <w:szCs w:val="14"/>
          <w:i w:val="1"/>
          <w:iCs w:val="1"/>
          <w:color w:val="auto"/>
        </w:rPr>
        <w:t>Segment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Geographic Information</w:t>
      </w:r>
      <w:r>
        <w:rPr>
          <w:rFonts w:ascii="Times New Roman" w:cs="Times New Roman" w:eastAsia="Times New Roman" w:hAnsi="Times New Roman"/>
          <w:sz w:val="14"/>
          <w:szCs w:val="14"/>
          <w:color w:val="auto"/>
        </w:rPr>
        <w:t>” in the notes to our consolidated financial statements in Item 8 of this Annual Report on Form 10-K for a discussion of intersegment revenue for all periods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presented.</w:t>
      </w:r>
    </w:p>
    <w:p>
      <w:pPr>
        <w:ind w:left="760" w:hanging="378"/>
        <w:spacing w:after="0"/>
        <w:tabs>
          <w:tab w:leader="none" w:pos="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Margin by Segment” is defined as Adjusted EBITDA by segment divided by revenue by segment.</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Brand Tripadvisor Segment (formerly Tripadvisor Core Segment)</w:t>
      </w:r>
    </w:p>
    <w:p>
      <w:pPr>
        <w:spacing w:after="0" w:line="22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Brand Tripadvisor revenue increased by $65 million during the year ended December 31, 2023 when compared to the same period in 2022, primarily due to an increase in Tripadvisor experiences revenue, and to a lesser extent, an increase in hotel B2B revenue, media and advertising revenue, and improved hotel meta revenue in the rest of world geographic markets, all of which were primarily driven by strong consumer demand, which was partially offset primarily by a decrease in our European hotel meta revenue during the last three quarters of 2023. In addition, this segment’s revenue was negatively impacted by the Omicron variant in the first quarter of 2022, which helped contribute to the year-over-year revenue growth rate during 2023.</w:t>
      </w:r>
    </w:p>
    <w:p>
      <w:pPr>
        <w:spacing w:after="0" w:line="74"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Adjusted EBITDA in our Brand Tripadvisor segment increased $3 million during the year ended December 31, 2023 when compared to the same period in 2022, while adjusted EBITDA margin decreased by 2 percentage points during the year ended December 31, 2023 when compared to the same period in 2022. The increase in our Brand Tripadvisor segment revenue of $65 million, as noted above, substantially offset increases in personnel and overhead costs to support business growth, despite the impact of our cost reduction measures which did not materially impact our segment expenses during 2023, as discussed above. In addition, Brand Tripadvisor experienced an increase in direct selling and marketing expenses related to paid online traffic acquisition costs, direct revenue generation costs related to data center and other direct revenue related costs, and software licensing costs. The slight decline in adjusted EBITDA margin during the year ended December 31, 2023 when compared to the same period in 2022, was largely impacted due to increased cost of revenue and technology and content personnel and overhead costs as a percent of revenue.</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detailed discussion of the revenue sources within our Brand Tripadvisor segment: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69"/>
        </w:trPr>
        <w:tc>
          <w:tcPr>
            <w:tcW w:w="52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0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220" w:type="dxa"/>
            <w:vAlign w:val="bottom"/>
            <w:tcBorders>
              <w:top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60" w:type="dxa"/>
            <w:vAlign w:val="bottom"/>
          </w:tcPr>
          <w:p>
            <w:pPr>
              <w:spacing w:after="0"/>
              <w:rPr>
                <w:sz w:val="14"/>
                <w:szCs w:val="14"/>
                <w:color w:val="auto"/>
              </w:rPr>
            </w:pPr>
          </w:p>
        </w:tc>
      </w:tr>
      <w:tr>
        <w:trPr>
          <w:trHeight w:val="236"/>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Brand Tripadvisor:</w:t>
            </w:r>
          </w:p>
        </w:tc>
        <w:tc>
          <w:tcPr>
            <w:tcW w:w="220" w:type="dxa"/>
            <w:vAlign w:val="bottom"/>
          </w:tcPr>
          <w:p>
            <w:pPr>
              <w:spacing w:after="0"/>
              <w:rPr>
                <w:sz w:val="20"/>
                <w:szCs w:val="20"/>
                <w:color w:val="auto"/>
              </w:rPr>
            </w:pPr>
          </w:p>
        </w:tc>
        <w:tc>
          <w:tcPr>
            <w:tcW w:w="254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4"/>
        </w:trPr>
        <w:tc>
          <w:tcPr>
            <w:tcW w:w="5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Tripadvisor-branded hotels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1 %</w:t>
            </w:r>
          </w:p>
        </w:tc>
        <w:tc>
          <w:tcPr>
            <w:tcW w:w="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38"/>
        </w:trPr>
        <w:tc>
          <w:tcPr>
            <w:tcW w:w="522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 of Brand Tripadvisor revenue*</w:t>
            </w:r>
          </w:p>
        </w:tc>
        <w:tc>
          <w:tcPr>
            <w:tcW w:w="2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64 %</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67 %</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68 %</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5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Media and advertising</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12 %</w:t>
            </w:r>
          </w:p>
        </w:tc>
        <w:tc>
          <w:tcPr>
            <w:tcW w:w="6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43"/>
        </w:trPr>
        <w:tc>
          <w:tcPr>
            <w:tcW w:w="522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 of Brand Tripadvisor revenue*</w:t>
            </w:r>
          </w:p>
        </w:tc>
        <w:tc>
          <w:tcPr>
            <w:tcW w:w="22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14 %</w:t>
            </w:r>
          </w:p>
        </w:tc>
        <w:tc>
          <w:tcPr>
            <w:tcW w:w="24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13 %</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15 %</w:t>
            </w: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5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Tripadvisor experiences and dining </w:t>
            </w:r>
            <w:r>
              <w:rPr>
                <w:rFonts w:ascii="Times New Roman" w:cs="Times New Roman" w:eastAsia="Times New Roman" w:hAnsi="Times New Roman"/>
                <w:sz w:val="14"/>
                <w:szCs w:val="14"/>
                <w:color w:val="auto"/>
              </w:rPr>
              <w:t>(1)</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31 %</w:t>
            </w:r>
          </w:p>
        </w:tc>
        <w:tc>
          <w:tcPr>
            <w:tcW w:w="6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91 %</w:t>
            </w:r>
          </w:p>
        </w:tc>
      </w:tr>
      <w:tr>
        <w:trPr>
          <w:trHeight w:val="243"/>
        </w:trPr>
        <w:tc>
          <w:tcPr>
            <w:tcW w:w="522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 of Brand Tripadvisor revenue*</w:t>
            </w:r>
          </w:p>
        </w:tc>
        <w:tc>
          <w:tcPr>
            <w:tcW w:w="22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17 %</w:t>
            </w:r>
          </w:p>
        </w:tc>
        <w:tc>
          <w:tcPr>
            <w:tcW w:w="24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14 %</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11 %</w:t>
            </w: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5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21"/>
                <w:szCs w:val="21"/>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50"/>
        </w:trPr>
        <w:tc>
          <w:tcPr>
            <w:tcW w:w="522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 of Brand Tripadvisor revenue*</w:t>
            </w:r>
          </w:p>
        </w:tc>
        <w:tc>
          <w:tcPr>
            <w:tcW w:w="22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5 %</w:t>
            </w:r>
          </w:p>
        </w:tc>
        <w:tc>
          <w:tcPr>
            <w:tcW w:w="24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5 %</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7 %</w:t>
            </w: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5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Brand Tripadvisor Revenue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24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0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20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7 %</w:t>
            </w:r>
          </w:p>
        </w:tc>
        <w:tc>
          <w:tcPr>
            <w:tcW w:w="6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0"/>
        </w:trPr>
        <w:tc>
          <w:tcPr>
            <w:tcW w:w="5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-1420495</wp:posOffset>
            </wp:positionV>
            <wp:extent cx="713232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-1112520</wp:posOffset>
            </wp:positionV>
            <wp:extent cx="713232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-804545</wp:posOffset>
            </wp:positionV>
            <wp:extent cx="713232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*Percentages may not total to 100% due to rounding</w:t>
      </w:r>
    </w:p>
    <w:p>
      <w:pPr>
        <w:spacing w:after="0" w:line="91" w:lineRule="exact"/>
        <w:rPr>
          <w:sz w:val="20"/>
          <w:szCs w:val="20"/>
          <w:color w:val="auto"/>
        </w:rPr>
      </w:pPr>
    </w:p>
    <w:p>
      <w:pPr>
        <w:ind w:left="660" w:right="80" w:hanging="503"/>
        <w:spacing w:after="0" w:line="239" w:lineRule="auto"/>
        <w:tabs>
          <w:tab w:leader="none" w:pos="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Tripadvisor experiences and dining revenue within the Brand Tripadvisor segment is shown gross of intersegment (intercompany) revenue, which is eliminated on a consolidated basis. Refer to “Note 18: </w:t>
      </w:r>
      <w:r>
        <w:rPr>
          <w:rFonts w:ascii="Times New Roman" w:cs="Times New Roman" w:eastAsia="Times New Roman" w:hAnsi="Times New Roman"/>
          <w:sz w:val="14"/>
          <w:szCs w:val="14"/>
          <w:i w:val="1"/>
          <w:iCs w:val="1"/>
          <w:color w:val="auto"/>
        </w:rPr>
        <w:t>Segment and Geographic Information</w:t>
      </w:r>
      <w:r>
        <w:rPr>
          <w:rFonts w:ascii="Times New Roman" w:cs="Times New Roman" w:eastAsia="Times New Roman" w:hAnsi="Times New Roman"/>
          <w:sz w:val="14"/>
          <w:szCs w:val="14"/>
          <w:color w:val="auto"/>
        </w:rPr>
        <w:t>” in the notes to our consolidated financial statements in Item 8 of this Annual Report on Form 10-K for a discussion of intersegment revenue for all periods presented.</w:t>
      </w:r>
    </w:p>
    <w:p>
      <w:pPr>
        <w:spacing w:after="0" w:line="2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Tripadvisor-branded Hotels Revenue</w:t>
      </w:r>
    </w:p>
    <w:p>
      <w:pPr>
        <w:spacing w:after="0" w:line="119" w:lineRule="exact"/>
        <w:rPr>
          <w:sz w:val="20"/>
          <w:szCs w:val="20"/>
          <w:color w:val="auto"/>
        </w:rPr>
      </w:pPr>
    </w:p>
    <w:p>
      <w:pPr>
        <w:ind w:right="100" w:firstLine="509"/>
        <w:spacing w:after="0" w:line="260" w:lineRule="auto"/>
        <w:rPr>
          <w:sz w:val="20"/>
          <w:szCs w:val="20"/>
          <w:color w:val="auto"/>
        </w:rPr>
      </w:pPr>
      <w:r>
        <w:rPr>
          <w:rFonts w:ascii="Times New Roman" w:cs="Times New Roman" w:eastAsia="Times New Roman" w:hAnsi="Times New Roman"/>
          <w:sz w:val="18"/>
          <w:szCs w:val="18"/>
          <w:color w:val="auto"/>
        </w:rPr>
        <w:t>Tripadvisor-branded hotels revenue increased $9 million during the year ended December 31, 2023 when compared to the same period in 2022. This increase was primarily driven by improved hotel B2B revenue, as well as to a lesser extent, improved hotel meta revenue in the rest of world geographic markets, primarily driven by strong consumer travel demand when compared to the same period in 2022. In addition, our 2022 results were negatively impacted by the Omicron variant during the first quarter of 2022, which contributed to year-over-year growth. The</w:t>
      </w:r>
    </w:p>
    <w:p>
      <w:pPr>
        <w:spacing w:after="0" w:line="3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40" w:right="279" w:bottom="1440" w:gutter="0" w:footer="0" w:header="0"/>
        </w:sectPr>
      </w:pPr>
    </w:p>
    <w:bookmarkStart w:id="41" w:name="page42"/>
    <w:bookmarkEnd w:id="41"/>
    <w:p>
      <w:pPr>
        <w:spacing w:after="0" w:line="84"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Company saw sustained pricing strength in both free and paid traffic channels, including, continued strength in hotel meta monetization in the U.S., where CPC rates remained robust when compared to 2022. This performance during 2023 was partially offset primarily by a decrease in our European hotel meta revenue during the last three quarters of 2023, as described above, as well as an increased competitive environment in paid online marketing channels and product decisions we have implemented to provide more qualified referrals to our partners, leading to a decrease in click volumes.</w:t>
      </w:r>
    </w:p>
    <w:p>
      <w:pPr>
        <w:spacing w:after="0" w:line="2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Media and Advertising Revenue</w:t>
      </w:r>
    </w:p>
    <w:p>
      <w:pPr>
        <w:spacing w:after="0" w:line="119" w:lineRule="exact"/>
        <w:rPr>
          <w:sz w:val="20"/>
          <w:szCs w:val="20"/>
          <w:color w:val="auto"/>
        </w:rPr>
      </w:pPr>
    </w:p>
    <w:p>
      <w:pPr>
        <w:ind w:right="220" w:firstLine="509"/>
        <w:spacing w:after="0" w:line="265" w:lineRule="auto"/>
        <w:rPr>
          <w:sz w:val="20"/>
          <w:szCs w:val="20"/>
          <w:color w:val="auto"/>
        </w:rPr>
      </w:pPr>
      <w:r>
        <w:rPr>
          <w:rFonts w:ascii="Times New Roman" w:cs="Times New Roman" w:eastAsia="Times New Roman" w:hAnsi="Times New Roman"/>
          <w:sz w:val="18"/>
          <w:szCs w:val="18"/>
          <w:color w:val="auto"/>
        </w:rPr>
        <w:t>Media and advertising revenue consists of revenue from display-based advertising (or “media advertising”) across our platform and increased $15 million during the year ended December 31, 2023 when compared to the same period in 2022, primarily driven by an increase in marketing spend from advertisers, in correlation with growth in consumer travel demand.</w:t>
      </w:r>
    </w:p>
    <w:p>
      <w:pPr>
        <w:spacing w:after="0" w:line="2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Tripadvisor Experiences and Dining Revenue</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Tripadvisor experiences and dining revenue, which includes intercompany (intersegment) revenue consisting of affiliate marketing commissions earned primarily from experience bookings, and to a lesser extent, restaurant reservation bookings on Tripadvisor-branded websites and mobile apps, fulfilled by Viator and TheFork, respectively, and are eliminated on a consolidated basis, in addition to revenue earned from Brand Tripadvisor’s restaurant offerings. Tripadvisor experiences and dining revenue increased $42 million during the year ended December 31, 2023 when compared to the same period in 2022, primarily driven by strong consumer demand for experiences, combined with enhancements to our websites and mobile apps.</w:t>
      </w:r>
    </w:p>
    <w:p>
      <w:pPr>
        <w:spacing w:after="0" w:line="2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19" w:lineRule="exact"/>
        <w:rPr>
          <w:sz w:val="20"/>
          <w:szCs w:val="20"/>
          <w:color w:val="auto"/>
        </w:rPr>
      </w:pPr>
    </w:p>
    <w:p>
      <w:pPr>
        <w:ind w:right="360" w:firstLine="509"/>
        <w:spacing w:after="0" w:line="265" w:lineRule="auto"/>
        <w:rPr>
          <w:sz w:val="20"/>
          <w:szCs w:val="20"/>
          <w:color w:val="auto"/>
        </w:rPr>
      </w:pPr>
      <w:r>
        <w:rPr>
          <w:rFonts w:ascii="Times New Roman" w:cs="Times New Roman" w:eastAsia="Times New Roman" w:hAnsi="Times New Roman"/>
          <w:sz w:val="18"/>
          <w:szCs w:val="18"/>
          <w:color w:val="auto"/>
        </w:rPr>
        <w:t>Other revenue, which includes alternative accommodation rentals revenue, in addition to primarily click-based advertising and display-based advertising revenue from our cruise, flights, and rental cars offerings on Tripadvisor websites and mobile apps, decreased by $1 million during the year ended December 31, 2023 when compared to the same period in 2022.</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Viator Segment</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Viator segment revenue increased by $244 million during the year ended December 31, 2023 when compared to the same period in 2022, primarily driven by strong consumer demand for experiences across all geographies, including growth in both bookings and pricing of experiences, as well as, enhancements to our websites and mobile apps. In addition, this segment’s revenue was negatively impacted by the Omicron variant in the first quarter of 2022, which helped contribute to the year-over-year revenue growth rate during 2023. Viator is also benefiting from a larger macro trend, or secular shift, as the large global market in which it operates continues to grow and migrate online from traditional offline sources.</w:t>
      </w:r>
    </w:p>
    <w:p>
      <w:pPr>
        <w:spacing w:after="0" w:line="18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Adjusted EBITDA loss in our Viator segment improved by $11 million during the year ended December 31, 2023 when compared to the same period in 2022, and adjusted EBITDA margin improved by 2 percentage points during the year ended December 31, 2023 when compared to the same period in 2022. The improvement in adjusted EBITDA was primarily due to an increase in revenue as noted above, partially offset by an increase in selling and marketing expenses related to SEM, other online paid traffic acquisition costs, and other marketing costs, including brand spend, in response to strong consumer demand for experiences and increased investment to grow market share, acquire new customers, and drive brand awareness, and to a lesser extent, an increase in revenue generation costs resulting from credit card payments and other revenue-related transaction costs in direct correlation with the increase in revenue. In addition, Viator segment revenue growth was partially offset by increases in personnel and overhead costs to support business growth related to strong consumer demand. The improvement in adjusted EBITDA margin during the year ended December 31, 2023 when compared to the same period in 2022, was primarily due to decreased selling and marketing costs and cost of revenue as a percent of revenue.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TheFork Segment</w:t>
      </w:r>
    </w:p>
    <w:p>
      <w:pPr>
        <w:spacing w:after="0" w:line="121" w:lineRule="exact"/>
        <w:rPr>
          <w:sz w:val="20"/>
          <w:szCs w:val="20"/>
          <w:color w:val="auto"/>
        </w:rPr>
      </w:pPr>
    </w:p>
    <w:p>
      <w:pPr>
        <w:ind w:right="380" w:firstLine="509"/>
        <w:spacing w:after="0" w:line="258" w:lineRule="auto"/>
        <w:rPr>
          <w:sz w:val="20"/>
          <w:szCs w:val="20"/>
          <w:color w:val="auto"/>
        </w:rPr>
      </w:pPr>
      <w:r>
        <w:rPr>
          <w:rFonts w:ascii="Times New Roman" w:cs="Times New Roman" w:eastAsia="Times New Roman" w:hAnsi="Times New Roman"/>
          <w:sz w:val="18"/>
          <w:szCs w:val="18"/>
          <w:color w:val="auto"/>
        </w:rPr>
        <w:t>TheFork segment revenue increased by $28 million during the year ended December 31, 2023 when compared to the same period in 2022. This improvement was driven by increased consumer demand for dining, including increased bookings and pricing, during 2023 when compared to the same period in 2022, as well as the negative impact of the Omicron variant that occurred during the first quarter of 2022, which helped contribute to the year-over-year revenue growth rate during 2023. In addition, we estimate this segment's revenue growth rate was positively impacted by foreign currency fluctuations of approximately 3% during the year ended December 31, 2023 when compared to the same period in 2022.</w:t>
      </w:r>
    </w:p>
    <w:p>
      <w:pPr>
        <w:spacing w:after="0" w:line="182"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Adjusted EBITDA loss in TheFork segment improved by $25 million during the year ended December 31, 2023 when compared to the same period in 2022, and adjusted EBITDA margin improved by 22 percentage points during the year ended December 31, 2023 when compared to the same period in 2022. The improvement in adjusted EBITDA was primarily due to an increase in revenue as noted above, and a decrease in selling and marketing expenses related to SEM, other online paid traffic acquisition costs, and television advertising costs. These improvements were partially offset by $11 million of non-income tax government assistance benefits related to COVID-19 relief received during the second quarter of 2022 recorded as a benefit to general and administrative expenses, which did not reoccur in 2023, and an increase in personnel and overhead costs to support business growth related to the travel demand recovery that began during 2022, despite the impact of our cost reduction measures which did not materially impact our segment expenses during 2023, as discussed above. The improvement in adjusted EBITDA margin during the year ended December 31, 2023 when compared to the same period in 2022, was primarily due to decreased selling and marketing costs as a percent of revenue, which more than offset the aforementioned $11 million of non-income tax government assistance benefits related to COVID-19 relief received during the second quarter of 2022.</w:t>
      </w:r>
    </w:p>
    <w:p>
      <w:pPr>
        <w:spacing w:after="0" w:line="187" w:lineRule="exact"/>
        <w:rPr>
          <w:sz w:val="20"/>
          <w:szCs w:val="20"/>
          <w:color w:val="auto"/>
        </w:rPr>
      </w:pPr>
    </w:p>
    <w:p>
      <w:pPr>
        <w:jc w:val="right"/>
        <w:ind w:right="9520"/>
        <w:spacing w:after="0"/>
        <w:rPr>
          <w:sz w:val="20"/>
          <w:szCs w:val="20"/>
          <w:color w:val="auto"/>
        </w:rPr>
      </w:pPr>
      <w:r>
        <w:rPr>
          <w:rFonts w:ascii="Times New Roman" w:cs="Times New Roman" w:eastAsia="Times New Roman" w:hAnsi="Times New Roman"/>
          <w:sz w:val="18"/>
          <w:szCs w:val="18"/>
          <w:b w:val="1"/>
          <w:bCs w:val="1"/>
          <w:color w:val="auto"/>
        </w:rPr>
        <w:t>Consolidated Expenses</w:t>
      </w:r>
    </w:p>
    <w:p>
      <w:pPr>
        <w:spacing w:after="0" w:line="117" w:lineRule="exact"/>
        <w:rPr>
          <w:sz w:val="20"/>
          <w:szCs w:val="20"/>
          <w:color w:val="auto"/>
        </w:rPr>
      </w:pPr>
    </w:p>
    <w:p>
      <w:pPr>
        <w:jc w:val="right"/>
        <w:ind w:right="958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ind w:right="280" w:firstLine="509"/>
        <w:spacing w:after="0" w:line="260" w:lineRule="auto"/>
        <w:rPr>
          <w:sz w:val="20"/>
          <w:szCs w:val="20"/>
          <w:color w:val="auto"/>
        </w:rPr>
      </w:pPr>
      <w:r>
        <w:rPr>
          <w:rFonts w:ascii="Times New Roman" w:cs="Times New Roman" w:eastAsia="Times New Roman" w:hAnsi="Times New Roman"/>
          <w:sz w:val="18"/>
          <w:szCs w:val="18"/>
          <w:color w:val="auto"/>
        </w:rPr>
        <w:t>Cost of revenue consists of expenses that are directly related or closely correlated to revenue generation, including direct costs, such as credit card and other booking transaction payment fees, data center costs, ad serving fees, and other revenue generating costs. In addition, cost of revenue includes personnel and overhead expenses, including salaries, benefits, stock-based compensation and bonuses for certain customer support personnel who are directly involved in revenue generation.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2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40" w:type="dxa"/>
            <w:vAlign w:val="bottom"/>
            <w:gridSpan w:val="4"/>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22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10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Borders>
              <w:top w:val="single" w:sz="8" w:color="auto"/>
            </w:tcBorders>
            <w:gridSpan w:val="2"/>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70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tcPr>
          <w:p>
            <w:pPr>
              <w:spacing w:after="0"/>
              <w:rPr>
                <w:sz w:val="20"/>
                <w:szCs w:val="20"/>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51"/>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 and overhead</w:t>
            </w:r>
          </w:p>
        </w:tc>
        <w:tc>
          <w:tcPr>
            <w:tcW w:w="7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6"/>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cost of revenue</w:t>
            </w:r>
          </w:p>
        </w:tc>
        <w:tc>
          <w:tcPr>
            <w:tcW w:w="7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tcPr>
          <w:p>
            <w:pPr>
              <w:spacing w:after="0"/>
              <w:rPr>
                <w:sz w:val="20"/>
                <w:szCs w:val="20"/>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0"/>
        </w:trPr>
        <w:tc>
          <w:tcPr>
            <w:tcW w:w="51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 of revenue</w:t>
            </w: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18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8.3 %</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7.8 %</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8.2 %</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-644525</wp:posOffset>
            </wp:positionV>
            <wp:extent cx="713232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1797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8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Cost of revenue increased $33 million during the year ended December 31, 2023 when compared to the same period in 2022, primarily due to increased direct costs from credit card payment processing fees and other revenue-related transaction costs of $23 million in our Viator segment in direct correlation with the increase in revenue, as Viator serves as the merchant of record for the significant majority of its experience booking transactions, and to a lesser extent, increased direct revenue generation costs related to data center costs and other revenue-related transaction costs in our Brand Tripadvisor segment.</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229"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Selling and marketing expenses consist of direct costs, including traffic generation costs from paid online traffic acquisition costs (including SEM and other online traffic acquisition costs), syndication costs and affiliate marketing commissions, social media costs, brand advertising (including television and other offline advertising),</w:t>
      </w:r>
    </w:p>
    <w:p>
      <w:pPr>
        <w:spacing w:after="0" w:line="3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40" w:right="279" w:bottom="1440" w:gutter="0" w:footer="0" w:header="0"/>
        </w:sectPr>
      </w:pPr>
    </w:p>
    <w:bookmarkStart w:id="43" w:name="page44"/>
    <w:bookmarkEnd w:id="43"/>
    <w:p>
      <w:pPr>
        <w:ind w:right="440"/>
        <w:spacing w:after="0" w:line="312" w:lineRule="auto"/>
        <w:rPr>
          <w:sz w:val="20"/>
          <w:szCs w:val="20"/>
          <w:color w:val="auto"/>
        </w:rPr>
      </w:pPr>
      <w:r>
        <w:rPr>
          <w:rFonts w:ascii="Times New Roman" w:cs="Times New Roman" w:eastAsia="Times New Roman" w:hAnsi="Times New Roman"/>
          <w:sz w:val="17"/>
          <w:szCs w:val="17"/>
          <w:color w:val="auto"/>
        </w:rPr>
        <w:t>promotions and public relations. In addition, our selling and marketing expenses consist of indirect costs such as personnel and overhead expenses, including salaries, commissions, benefits, stock-based compensation, and bonuses for sales, sales support, customer support and marketing employees.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4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40" w:type="dxa"/>
            <w:vAlign w:val="bottom"/>
            <w:gridSpan w:val="4"/>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22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10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Borders>
              <w:top w:val="single" w:sz="8" w:color="auto"/>
            </w:tcBorders>
            <w:gridSpan w:val="2"/>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680" w:type="dxa"/>
            <w:vAlign w:val="bottom"/>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40" w:type="dxa"/>
            <w:vAlign w:val="bottom"/>
          </w:tcPr>
          <w:p>
            <w:pPr>
              <w:spacing w:after="0"/>
              <w:rPr>
                <w:sz w:val="20"/>
                <w:szCs w:val="20"/>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2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51"/>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 and overhead</w:t>
            </w:r>
          </w:p>
        </w:tc>
        <w:tc>
          <w:tcPr>
            <w:tcW w:w="6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2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selling and marketing</w:t>
            </w:r>
          </w:p>
        </w:tc>
        <w:tc>
          <w:tcPr>
            <w:tcW w:w="6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240" w:type="dxa"/>
            <w:vAlign w:val="bottom"/>
          </w:tcPr>
          <w:p>
            <w:pPr>
              <w:spacing w:after="0"/>
              <w:rPr>
                <w:sz w:val="20"/>
                <w:szCs w:val="20"/>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2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0"/>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of revenue</w:t>
            </w: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18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52.6 %</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52.5 %</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52.0 %</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-644525</wp:posOffset>
            </wp:positionV>
            <wp:extent cx="713232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1797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86"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Direct selling and marketing costs increased $138 million during the year ended December 31, 2023 when compared to the same period in 2022. In addition, direct selling and marketing costs as a percentage of total consolidated revenue was 41% during the year ended December 31, 2023, an increase from 39% when compared to the same period in 2022. This incremental expense was primarily driven by an increase of $137 million in paid online traffic acquisition costs, including SEM and other paid online traffic acquisition spend, and other marketing costs, including brand spend, the substantial majority of which was incurred within our Viator segment and to a lesser extent, our Brand Tripadvisor segment, in order to capture consumer demand, including increased investment within these segments in order to grow market share, slightly offset by a decrease in SEM and other paid online traffic acquisition spend in TheFork segment.</w:t>
      </w:r>
    </w:p>
    <w:p>
      <w:pPr>
        <w:spacing w:after="0" w:line="187" w:lineRule="exact"/>
        <w:rPr>
          <w:sz w:val="20"/>
          <w:szCs w:val="20"/>
          <w:color w:val="auto"/>
        </w:rPr>
      </w:pPr>
    </w:p>
    <w:p>
      <w:pPr>
        <w:jc w:val="both"/>
        <w:ind w:right="100" w:firstLine="509"/>
        <w:spacing w:after="0" w:line="265" w:lineRule="auto"/>
        <w:rPr>
          <w:sz w:val="20"/>
          <w:szCs w:val="20"/>
          <w:color w:val="auto"/>
        </w:rPr>
      </w:pPr>
      <w:r>
        <w:rPr>
          <w:rFonts w:ascii="Times New Roman" w:cs="Times New Roman" w:eastAsia="Times New Roman" w:hAnsi="Times New Roman"/>
          <w:sz w:val="18"/>
          <w:szCs w:val="18"/>
          <w:color w:val="auto"/>
        </w:rPr>
        <w:t>Personnel and overhead costs increased $18 million during the year ended December 31, 2023 when compared to the same period in 2022, primarily due to an increase in headcount and contingent staff to support business growth during the first half of 2023. The impact of our cost reduction measures, as discussed above, did not materially impact our personnel and overhead costs during 2023.</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Technology and Content</w:t>
      </w:r>
    </w:p>
    <w:p>
      <w:pPr>
        <w:spacing w:after="0" w:line="229" w:lineRule="exact"/>
        <w:rPr>
          <w:sz w:val="20"/>
          <w:szCs w:val="20"/>
          <w:color w:val="auto"/>
        </w:rPr>
      </w:pPr>
    </w:p>
    <w:p>
      <w:pPr>
        <w:ind w:right="180" w:firstLine="539"/>
        <w:spacing w:after="0" w:line="288" w:lineRule="auto"/>
        <w:rPr>
          <w:sz w:val="20"/>
          <w:szCs w:val="20"/>
          <w:color w:val="auto"/>
        </w:rPr>
      </w:pPr>
      <w:r>
        <w:rPr>
          <w:rFonts w:ascii="Times New Roman" w:cs="Times New Roman" w:eastAsia="Times New Roman" w:hAnsi="Times New Roman"/>
          <w:sz w:val="17"/>
          <w:szCs w:val="17"/>
          <w:color w:val="auto"/>
        </w:rPr>
        <w:t>Technology and content expenses consist primarily of personnel and overhead expenses, including salaries and benefits, stock-based compensation expense, and bonuses for salaried employees and contractors engaged in the design, development, testing, content support, and maintenance of our platform. Other costs include licensing, maintenance, computer supplies, telecom, content translation and localization, and consulting costs.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4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40" w:type="dxa"/>
            <w:vAlign w:val="bottom"/>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2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10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Borders>
              <w:top w:val="single" w:sz="8" w:color="auto"/>
            </w:tcBorders>
            <w:gridSpan w:val="2"/>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 and overhead</w:t>
            </w:r>
          </w:p>
        </w:tc>
        <w:tc>
          <w:tcPr>
            <w:tcW w:w="680" w:type="dxa"/>
            <w:vAlign w:val="bottom"/>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40" w:type="dxa"/>
            <w:vAlign w:val="bottom"/>
          </w:tcPr>
          <w:p>
            <w:pPr>
              <w:spacing w:after="0"/>
              <w:rPr>
                <w:sz w:val="20"/>
                <w:szCs w:val="20"/>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20" w:type="dxa"/>
            <w:vAlign w:val="bottom"/>
          </w:tcPr>
          <w:p>
            <w:pPr>
              <w:spacing w:after="0"/>
              <w:rPr>
                <w:sz w:val="20"/>
                <w:szCs w:val="20"/>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23 %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51"/>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21 %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technology and content</w:t>
            </w:r>
          </w:p>
        </w:tc>
        <w:tc>
          <w:tcPr>
            <w:tcW w:w="6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40" w:type="dxa"/>
            <w:vAlign w:val="bottom"/>
          </w:tcPr>
          <w:p>
            <w:pPr>
              <w:spacing w:after="0"/>
              <w:rPr>
                <w:sz w:val="20"/>
                <w:szCs w:val="20"/>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tcPr>
          <w:p>
            <w:pPr>
              <w:spacing w:after="0"/>
              <w:rPr>
                <w:sz w:val="20"/>
                <w:szCs w:val="20"/>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23 %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0"/>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of revenue</w:t>
            </w: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18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15.3 %</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14.9 %</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23.5 %</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-644525</wp:posOffset>
            </wp:positionV>
            <wp:extent cx="713232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1797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94"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Technology and content costs increased $51 million during the year ended December 31, 2023 when compared to the same period in 2022, primarily due to increased personnel and overhead costs resulting from additional headcount and contingent staff to support business growth, primarily in the Brand Tripadvisor and Viator segments. Other costs increased by $6 million during the year ended December 31, 2023, when compared to the same period in 2022, primarily due to increased software licensing costs in our Brand Tripadvisor segment.</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ind w:right="220" w:firstLine="509"/>
        <w:spacing w:after="0" w:line="265"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and related overhead costs, including personnel engaged in leadership, finance, legal, and human resources, as well as stock-based compensation expense for those same personnel. General and administrative costs also include professional service fees and other fees</w:t>
      </w:r>
    </w:p>
    <w:p>
      <w:pPr>
        <w:spacing w:after="0" w:line="3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16" w:right="279" w:bottom="1440" w:gutter="0" w:footer="0" w:header="0"/>
        </w:sectPr>
      </w:pPr>
    </w:p>
    <w:bookmarkStart w:id="44" w:name="page45"/>
    <w:bookmarkEnd w:id="44"/>
    <w:p>
      <w:pPr>
        <w:spacing w:after="0" w:line="192"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including audit, legal, tax and accounting, and other operating costs including bad debt expense, non-income taxes, such as sales, use, digital services, and other non-income related taxes.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4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gridSpan w:val="4"/>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22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10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Borders>
              <w:top w:val="single" w:sz="8" w:color="auto"/>
            </w:tcBorders>
            <w:gridSpan w:val="2"/>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 and overhead</w:t>
            </w:r>
          </w:p>
        </w:tc>
        <w:tc>
          <w:tcPr>
            <w:tcW w:w="680" w:type="dxa"/>
            <w:vAlign w:val="bottom"/>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tcPr>
          <w:p>
            <w:pPr>
              <w:spacing w:after="0"/>
              <w:rPr>
                <w:sz w:val="20"/>
                <w:szCs w:val="20"/>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51"/>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 fees and other</w:t>
            </w:r>
          </w:p>
        </w:tc>
        <w:tc>
          <w:tcPr>
            <w:tcW w:w="6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41 %</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3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6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40" w:type="dxa"/>
            <w:vAlign w:val="bottom"/>
          </w:tcPr>
          <w:p>
            <w:pPr>
              <w:spacing w:after="0"/>
              <w:rPr>
                <w:sz w:val="20"/>
                <w:szCs w:val="20"/>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11 %</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of revenue</w:t>
            </w: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18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10.7 %</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11.5 %</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18.5 %</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-644525</wp:posOffset>
            </wp:positionV>
            <wp:extent cx="713232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1797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2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General and administrative costs increased $19 million during the year ended December 31, 2023 when compared to the same period in 2022. Personnel and overhead costs did not materially change during the year ended December 31, 2023 when compared to the same period in 2022. Professional service fees and other costs increased $18 million during the year ended December 31, 2023 when compared to the same period in 2022, primarily due to non-income tax related government assistance benefits related to COVID-19 relief of $11 million received by the Company during 2022 in TheFork segment, which did not reoccur in 2023, incremental digital service tax costs of $9 million for the year ended December 31, 2023, as well as, and to a lesser extent, a non-recurring cost of $3 million related to previously capitalized transaction costs during 2023. These increases were partially offset by an approximate $8 million loss incurred during the fourth quarter of 2022 as the result of a fraud scheme resulting in payments to an external party, as previously disclosed, which did not reoccur in 2023.</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ind w:right="380" w:firstLine="509"/>
        <w:spacing w:after="0" w:line="265" w:lineRule="auto"/>
        <w:rPr>
          <w:sz w:val="20"/>
          <w:szCs w:val="20"/>
          <w:color w:val="auto"/>
        </w:rPr>
      </w:pPr>
      <w:r>
        <w:rPr>
          <w:rFonts w:ascii="Times New Roman" w:cs="Times New Roman" w:eastAsia="Times New Roman" w:hAnsi="Times New Roman"/>
          <w:sz w:val="18"/>
          <w:szCs w:val="18"/>
          <w:color w:val="auto"/>
        </w:rPr>
        <w:t>Depreciation expense consists of depreciation on computer equipment, leasehold improvements, furniture, office equipment and other assets, and amortization of capitalized website development costs and right-of-use (“ROU”) assets related to our finance lease. Amortization consists of the amortization of definite-lived intangibles purchased in business acquisitions.</w:t>
      </w: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3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5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740" w:type="dxa"/>
            <w:vAlign w:val="bottom"/>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8"/>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7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76"/>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740" w:type="dxa"/>
            <w:vAlign w:val="bottom"/>
            <w:tcBorders>
              <w:bottom w:val="single" w:sz="8" w:color="auto"/>
            </w:tcBorders>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Borders>
              <w:bottom w:val="single" w:sz="8" w:color="CFF0FC"/>
            </w:tcBorders>
            <w:shd w:val="clear" w:color="auto" w:fill="CFF0FC"/>
          </w:tcPr>
          <w:p>
            <w:pPr>
              <w:spacing w:after="0"/>
              <w:rPr>
                <w:sz w:val="24"/>
                <w:szCs w:val="24"/>
                <w:color w:val="auto"/>
              </w:rPr>
            </w:pPr>
          </w:p>
        </w:tc>
        <w:tc>
          <w:tcPr>
            <w:tcW w:w="80" w:type="dxa"/>
            <w:vAlign w:val="bottom"/>
          </w:tcPr>
          <w:p>
            <w:pPr>
              <w:spacing w:after="0"/>
              <w:rPr>
                <w:sz w:val="24"/>
                <w:szCs w:val="24"/>
                <w:color w:val="auto"/>
              </w:rPr>
            </w:pPr>
          </w:p>
        </w:tc>
      </w:tr>
      <w:tr>
        <w:trPr>
          <w:trHeight w:val="21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 of revenue</w:t>
            </w:r>
          </w:p>
        </w:tc>
        <w:tc>
          <w:tcPr>
            <w:tcW w:w="74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6.5 %</w:t>
            </w:r>
          </w:p>
        </w:tc>
        <w:tc>
          <w:tcPr>
            <w:tcW w:w="24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4765675</wp:posOffset>
            </wp:positionH>
            <wp:positionV relativeFrom="paragraph">
              <wp:posOffset>-173990</wp:posOffset>
            </wp:positionV>
            <wp:extent cx="596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-156845</wp:posOffset>
            </wp:positionV>
            <wp:extent cx="596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-173990</wp:posOffset>
            </wp:positionV>
            <wp:extent cx="514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-156845</wp:posOffset>
            </wp:positionV>
            <wp:extent cx="514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-173990</wp:posOffset>
            </wp:positionV>
            <wp:extent cx="514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-156845</wp:posOffset>
            </wp:positionV>
            <wp:extent cx="514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3" w:lineRule="exact"/>
        <w:rPr>
          <w:sz w:val="20"/>
          <w:szCs w:val="20"/>
          <w:color w:val="auto"/>
        </w:rPr>
      </w:pPr>
    </w:p>
    <w:p>
      <w:pPr>
        <w:jc w:val="both"/>
        <w:ind w:right="720" w:firstLine="509"/>
        <w:spacing w:after="0" w:line="265" w:lineRule="auto"/>
        <w:rPr>
          <w:sz w:val="20"/>
          <w:szCs w:val="20"/>
          <w:color w:val="auto"/>
        </w:rPr>
      </w:pPr>
      <w:r>
        <w:rPr>
          <w:rFonts w:ascii="Times New Roman" w:cs="Times New Roman" w:eastAsia="Times New Roman" w:hAnsi="Times New Roman"/>
          <w:sz w:val="18"/>
          <w:szCs w:val="18"/>
          <w:color w:val="auto"/>
        </w:rPr>
        <w:t>Depreciation and amortization decreased $10 million during the year ended December 31, 2023 when compared to the same period in 2022, primarily due to the completion of amortization related to certain capitalized website development costs and intangible assets purchased in business acquisitions from previous years.</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other related reorganization costs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Restructuring and other related reorganization costs consist primarily of employee severance and related benefits.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c>
          <w:tcPr>
            <w:tcW w:w="1200" w:type="dxa"/>
            <w:vAlign w:val="bottom"/>
          </w:tcPr>
          <w:p>
            <w:pPr>
              <w:spacing w:after="0"/>
              <w:rPr>
                <w:sz w:val="16"/>
                <w:szCs w:val="16"/>
                <w:color w:val="auto"/>
              </w:rPr>
            </w:pPr>
          </w:p>
        </w:tc>
      </w:tr>
      <w:tr>
        <w:trPr>
          <w:trHeight w:val="169"/>
        </w:trPr>
        <w:tc>
          <w:tcPr>
            <w:tcW w:w="5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0" w:type="dxa"/>
            <w:vAlign w:val="bottom"/>
          </w:tcPr>
          <w:p>
            <w:pPr>
              <w:spacing w:after="0"/>
              <w:rPr>
                <w:sz w:val="14"/>
                <w:szCs w:val="14"/>
                <w:color w:val="auto"/>
              </w:rPr>
            </w:pPr>
          </w:p>
        </w:tc>
      </w:tr>
      <w:tr>
        <w:trPr>
          <w:trHeight w:val="164"/>
        </w:trPr>
        <w:tc>
          <w:tcPr>
            <w:tcW w:w="5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34"/>
        </w:trPr>
        <w:tc>
          <w:tcPr>
            <w:tcW w:w="52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Restructuring and other related reorganization costs</w:t>
            </w:r>
          </w:p>
        </w:tc>
        <w:tc>
          <w:tcPr>
            <w:tcW w:w="2020" w:type="dxa"/>
            <w:vAlign w:val="bottom"/>
            <w:gridSpan w:val="2"/>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 of revenue</w:t>
            </w:r>
          </w:p>
        </w:tc>
        <w:tc>
          <w:tcPr>
            <w:tcW w:w="1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c>
          <w:tcPr>
            <w:tcW w:w="240" w:type="dxa"/>
            <w:vAlign w:val="bottom"/>
          </w:tcPr>
          <w:p>
            <w:pPr>
              <w:spacing w:after="0"/>
              <w:rPr>
                <w:sz w:val="21"/>
                <w:szCs w:val="21"/>
                <w:color w:val="auto"/>
              </w:rPr>
            </w:pPr>
          </w:p>
        </w:tc>
        <w:tc>
          <w:tcPr>
            <w:tcW w:w="200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0.0 %</w:t>
            </w:r>
          </w:p>
        </w:tc>
      </w:tr>
      <w:tr>
        <w:trPr>
          <w:trHeight w:val="876"/>
        </w:trPr>
        <w:tc>
          <w:tcPr>
            <w:tcW w:w="5200" w:type="dxa"/>
            <w:vAlign w:val="bottom"/>
          </w:tcPr>
          <w:p>
            <w:pPr>
              <w:spacing w:after="0"/>
              <w:rPr>
                <w:sz w:val="24"/>
                <w:szCs w:val="24"/>
                <w:color w:val="auto"/>
              </w:rPr>
            </w:pPr>
          </w:p>
        </w:tc>
        <w:tc>
          <w:tcPr>
            <w:tcW w:w="12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43</w:t>
            </w: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762"/>
        </w:trPr>
        <w:tc>
          <w:tcPr>
            <w:tcW w:w="52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-1198245</wp:posOffset>
            </wp:positionV>
            <wp:extent cx="5702300"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02300" cy="1543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45" w:name="page46"/>
    <w:bookmarkEnd w:id="45"/>
    <w:p>
      <w:pPr>
        <w:spacing w:after="0" w:line="192" w:lineRule="exact"/>
        <w:rPr>
          <w:sz w:val="20"/>
          <w:szCs w:val="20"/>
          <w:color w:val="auto"/>
        </w:rPr>
      </w:pPr>
    </w:p>
    <w:p>
      <w:pPr>
        <w:ind w:right="420" w:firstLine="509"/>
        <w:spacing w:after="0" w:line="281" w:lineRule="auto"/>
        <w:rPr>
          <w:sz w:val="20"/>
          <w:szCs w:val="20"/>
          <w:color w:val="auto"/>
        </w:rPr>
      </w:pPr>
      <w:r>
        <w:rPr>
          <w:rFonts w:ascii="Times New Roman" w:cs="Times New Roman" w:eastAsia="Times New Roman" w:hAnsi="Times New Roman"/>
          <w:sz w:val="18"/>
          <w:szCs w:val="18"/>
          <w:color w:val="auto"/>
        </w:rPr>
        <w:t>The Company incurred pre-tax restructuring and other related reorganization costs of $22 million during the year ended December 31, 2023, as discussed above. These costs consist primarily of employee severance and related benefits.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8"/>
          <w:szCs w:val="18"/>
          <w:color w:val="auto"/>
        </w:rPr>
        <w:t>Interest expense primarily consists of interest incurred, commitment fees, and debt issuance cost amortization related to the Credit Facility, the 2025 Senior Notes, the 2026 Senior Notes, as well as imputed interest on finance leases.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3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169"/>
        </w:trPr>
        <w:tc>
          <w:tcPr>
            <w:tcW w:w="5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4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(44 )  $</w:t>
            </w:r>
          </w:p>
        </w:tc>
        <w:tc>
          <w:tcPr>
            <w:tcW w:w="14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(44 )  $</w:t>
            </w: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(45 )</w:t>
            </w:r>
          </w:p>
        </w:tc>
      </w:tr>
    </w:tbl>
    <w:p>
      <w:pPr>
        <w:spacing w:after="0" w:line="265"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 xml:space="preserve">Interest expense did not change materially during the year ended December 31, 2023 when compared to the same period in 2022, as our capital structure did not change significantly. The significant majority of interest expense incurred during the years ended December 31, 2023, 2022, and 2021, was related to the 2025 Senior Notes. Refer to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our consolidated financial statements in Item 8 of this Annual Report on Form 10-K for further information.</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8"/>
          <w:szCs w:val="18"/>
          <w:color w:val="auto"/>
        </w:rPr>
        <w:t>Interest income primarily consists of interest earned from available on demand bank deposits, term deposits, money market funds, and marketable securities, including amortization of discounts and premiums on our marketable securities.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300" w:type="dxa"/>
            <w:vAlign w:val="bottom"/>
          </w:tcPr>
          <w:p>
            <w:pPr>
              <w:spacing w:after="0"/>
              <w:rPr>
                <w:sz w:val="14"/>
                <w:szCs w:val="14"/>
                <w:color w:val="auto"/>
              </w:rPr>
            </w:pPr>
          </w:p>
        </w:tc>
        <w:tc>
          <w:tcPr>
            <w:tcW w:w="7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169"/>
        </w:trPr>
        <w:tc>
          <w:tcPr>
            <w:tcW w:w="5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76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21"/>
                <w:szCs w:val="21"/>
                <w:color w:val="auto"/>
              </w:rPr>
            </w:pPr>
          </w:p>
        </w:tc>
      </w:tr>
    </w:tbl>
    <w:p>
      <w:pPr>
        <w:spacing w:after="0" w:line="305"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Interest income increased $32 million during the year ended December 31, 2023 when compared to the same period in 2022, primarily due to an increase in the average amount of cash invested and increased interest rates received on bank and term deposits, as well as an increase in interest earned on money market funds during 2023.</w:t>
      </w:r>
    </w:p>
    <w:p>
      <w:pPr>
        <w:spacing w:after="0" w:line="2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Other income (expense), net generally consists of net foreign exchange gains and losses, forward contract gains and losses, earnings/(losses) from equity method investments, gain/(loss) and impairments on non-marketable investments, gain/(loss) on sale/disposal of businesses, and other non-operating income (expenses).</w:t>
      </w:r>
    </w:p>
    <w:p>
      <w:pPr>
        <w:spacing w:after="0" w:line="346"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300" w:type="dxa"/>
            <w:vAlign w:val="bottom"/>
          </w:tcPr>
          <w:p>
            <w:pPr>
              <w:spacing w:after="0"/>
              <w:rPr>
                <w:sz w:val="14"/>
                <w:szCs w:val="14"/>
                <w:color w:val="auto"/>
              </w:rPr>
            </w:pP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169"/>
        </w:trPr>
        <w:tc>
          <w:tcPr>
            <w:tcW w:w="5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78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  $</w:t>
            </w:r>
          </w:p>
        </w:tc>
        <w:tc>
          <w:tcPr>
            <w:tcW w:w="14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(5 )  $</w:t>
            </w: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r>
    </w:tbl>
    <w:p>
      <w:pPr>
        <w:spacing w:after="0" w:line="238" w:lineRule="exact"/>
        <w:rPr>
          <w:sz w:val="20"/>
          <w:szCs w:val="20"/>
          <w:color w:val="auto"/>
        </w:rPr>
      </w:pPr>
    </w:p>
    <w:p>
      <w:pPr>
        <w:ind w:right="280" w:firstLine="554"/>
        <w:spacing w:after="0" w:line="265" w:lineRule="auto"/>
        <w:rPr>
          <w:sz w:val="20"/>
          <w:szCs w:val="20"/>
          <w:color w:val="auto"/>
        </w:rPr>
      </w:pPr>
      <w:r>
        <w:rPr>
          <w:rFonts w:ascii="Times New Roman" w:cs="Times New Roman" w:eastAsia="Times New Roman" w:hAnsi="Times New Roman"/>
          <w:sz w:val="18"/>
          <w:szCs w:val="18"/>
          <w:color w:val="auto"/>
        </w:rPr>
        <w:t xml:space="preserve">Other expense, net primarily consists of the net result of foreign exchange gains and losses incurred as a result of foreign currency movements. Refer to “Note 16: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in the notes to our consolidated financial statements in Item 8 of this Annual Report on Form 10-K for additional information.</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343"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3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532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4"/>
                <w:szCs w:val="14"/>
                <w:color w:val="auto"/>
              </w:rPr>
            </w:pPr>
          </w:p>
        </w:tc>
      </w:tr>
      <w:tr>
        <w:trPr>
          <w:trHeight w:val="164"/>
        </w:trPr>
        <w:tc>
          <w:tcPr>
            <w:tcW w:w="5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700" w:type="dxa"/>
            <w:vAlign w:val="bottom"/>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(115 )  $</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(47 )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20"/>
                <w:szCs w:val="20"/>
                <w:color w:val="auto"/>
              </w:rPr>
            </w:pPr>
          </w:p>
        </w:tc>
      </w:tr>
      <w:tr>
        <w:trPr>
          <w:trHeight w:val="243"/>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700" w:type="dxa"/>
            <w:vAlign w:val="bottom"/>
          </w:tcPr>
          <w:p>
            <w:pPr>
              <w:spacing w:after="0"/>
              <w:rPr>
                <w:sz w:val="21"/>
                <w:szCs w:val="2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92.0 %</w:t>
            </w:r>
          </w:p>
        </w:tc>
        <w:tc>
          <w:tcPr>
            <w:tcW w:w="12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70.1 %</w:t>
            </w:r>
          </w:p>
        </w:tc>
        <w:tc>
          <w:tcPr>
            <w:tcW w:w="2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-144780</wp:posOffset>
            </wp:positionV>
            <wp:extent cx="570230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02300" cy="154305"/>
                    </a:xfrm>
                    <a:prstGeom prst="rect">
                      <a:avLst/>
                    </a:prstGeom>
                    <a:noFill/>
                  </pic:spPr>
                </pic:pic>
              </a:graphicData>
            </a:graphic>
          </wp:anchor>
        </w:drawing>
      </w:r>
    </w:p>
    <w:p>
      <w:pPr>
        <w:spacing w:after="0" w:line="231"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8"/>
          <w:szCs w:val="18"/>
          <w:color w:val="auto"/>
        </w:rPr>
        <w:t>Our effective tax rate differed from the U.S. federal statutory rate of 21% during the year ended December 31, 2023, primarily as a result of the IRS audit settlement, as described below, during the first quarter of 2023.</w:t>
      </w:r>
    </w:p>
    <w:p>
      <w:pPr>
        <w:spacing w:after="0" w:line="16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recorded a total income tax provision of $115 million for the year ended December 31, 2023. The change in our income taxes and our effective tax rate during the year ended December 31, 2023, when compared to the same period in 2022, was primarily the result of an IRS audit settlement and related adjustment to our existing transfer pricing income tax reserves for subsequent tax years, totaling $55 million, which was recognized during the three months ended March 31, 2023. Refer to “Note 10: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the notes to our consolidated financial statements in Item 8 of this Annual Report on Form 10-K for further information.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w:t>
      </w:r>
    </w:p>
    <w:p>
      <w:pPr>
        <w:spacing w:after="0" w:line="343"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53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r>
      <w:tr>
        <w:trPr>
          <w:trHeight w:val="164"/>
        </w:trPr>
        <w:tc>
          <w:tcPr>
            <w:tcW w:w="5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40" w:type="dxa"/>
            <w:vAlign w:val="bottom"/>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(148 )</w:t>
            </w:r>
          </w:p>
        </w:tc>
      </w:tr>
      <w:tr>
        <w:trPr>
          <w:trHeight w:val="243"/>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margin</w:t>
            </w:r>
          </w:p>
        </w:tc>
        <w:tc>
          <w:tcPr>
            <w:tcW w:w="740" w:type="dxa"/>
            <w:vAlign w:val="bottom"/>
          </w:tcPr>
          <w:p>
            <w:pPr>
              <w:spacing w:after="0"/>
              <w:rPr>
                <w:sz w:val="21"/>
                <w:szCs w:val="21"/>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c>
          <w:tcPr>
            <w:tcW w:w="24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-144780</wp:posOffset>
            </wp:positionV>
            <wp:extent cx="570230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02300" cy="154305"/>
                    </a:xfrm>
                    <a:prstGeom prst="rect">
                      <a:avLst/>
                    </a:prstGeom>
                    <a:noFill/>
                  </pic:spPr>
                </pic:pic>
              </a:graphicData>
            </a:graphic>
          </wp:anchor>
        </w:drawing>
      </w:r>
    </w:p>
    <w:p>
      <w:pPr>
        <w:spacing w:after="0" w:line="191"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7"/>
          <w:szCs w:val="17"/>
          <w:color w:val="auto"/>
        </w:rPr>
        <w:t>Net income decreased $10 million during the year ended December 31, 2023 when compared to the same period in 2022. The decrease in net income was largely driven by increased direct selling and marketing costs in response to strong consumer travel demand and investment to grow market share in our experiences offerings, increased personnel and overhead costs to help support business growth and consumer demand, as well as an incremental income tax expense of $55 million recognized during the first quarter of 2023 as a result of an IRS audit settlement and related adjustment to our existing transfer pricing income tax reserves for subsequent tax years and to a lesser extent, restructuring and other related reorganization costs, primarily consisting of employee severance and related benefits, increased direct costs from credit card payment and other revenue-related transaction costs in direct correlation with the increase in experiences revenue during the year ended December 31, 2023, all of which are described in more detail above under “</w:t>
      </w:r>
      <w:r>
        <w:rPr>
          <w:rFonts w:ascii="Times New Roman" w:cs="Times New Roman" w:eastAsia="Times New Roman" w:hAnsi="Times New Roman"/>
          <w:sz w:val="17"/>
          <w:szCs w:val="17"/>
          <w:i w:val="1"/>
          <w:iCs w:val="1"/>
          <w:color w:val="auto"/>
        </w:rPr>
        <w:t>Consolidated Expenses</w:t>
      </w:r>
      <w:r>
        <w:rPr>
          <w:rFonts w:ascii="Times New Roman" w:cs="Times New Roman" w:eastAsia="Times New Roman" w:hAnsi="Times New Roman"/>
          <w:sz w:val="17"/>
          <w:szCs w:val="17"/>
          <w:color w:val="auto"/>
        </w:rPr>
        <w:t>”, largely offset by an increase in revenue, as described in more detail above under “</w:t>
      </w:r>
      <w:r>
        <w:rPr>
          <w:rFonts w:ascii="Times New Roman" w:cs="Times New Roman" w:eastAsia="Times New Roman" w:hAnsi="Times New Roman"/>
          <w:sz w:val="17"/>
          <w:szCs w:val="17"/>
          <w:i w:val="1"/>
          <w:iCs w:val="1"/>
          <w:color w:val="auto"/>
        </w:rPr>
        <w:t>Revenue and Segment Information.</w:t>
      </w:r>
      <w:r>
        <w:rPr>
          <w:rFonts w:ascii="Times New Roman" w:cs="Times New Roman" w:eastAsia="Times New Roman" w:hAnsi="Times New Roman"/>
          <w:sz w:val="17"/>
          <w:szCs w:val="17"/>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21" w:lineRule="exact"/>
        <w:rPr>
          <w:sz w:val="20"/>
          <w:szCs w:val="20"/>
          <w:color w:val="auto"/>
        </w:rPr>
      </w:pPr>
    </w:p>
    <w:p>
      <w:pPr>
        <w:ind w:right="180" w:firstLine="509"/>
        <w:spacing w:after="0" w:line="260"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also disclose consolidated Adjusted EBITDA, which is a non-GAAP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p>
    <w:p>
      <w:pPr>
        <w:spacing w:after="0" w:line="18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Adjusted EBITDA is also our segment profit measure and a key measure used by our management and board of directors to understand and evaluate the financial performance of our business and on which internal budgets and forecasts are based and approved. In particular, the exclusion of certain expenses in calculating Adjusted EBITDA can provide a useful measure for period-to-period comparisons and better enables management and investors to compare financial results between periods as these costs may vary independent of ongoing core business performance. Accordingly, we believe that Adjusted EBITDA provides useful information to investors and others in understanding and evaluating our operating results in the same manner as our management and board of directors. We define Adjusted EBITDA as net income (loss) plus: (1) (provision) benefit for income taxes; (2) other income (expense), net; (3) depreciation and amortization; (4) stock-based compensation and other stock-settled obligations;</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7" w:name="page48"/>
    <w:bookmarkEnd w:id="47"/>
    <w:p>
      <w:pPr>
        <w:spacing w:after="0" w:line="192" w:lineRule="exact"/>
        <w:rPr>
          <w:sz w:val="20"/>
          <w:szCs w:val="20"/>
          <w:color w:val="auto"/>
        </w:rPr>
      </w:pPr>
    </w:p>
    <w:p>
      <w:pPr>
        <w:ind w:right="100" w:firstLine="8"/>
        <w:spacing w:after="0" w:line="281"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long-lived asset, and intangible asset impairments; (6) legal reserves and settlements; (7) restructuring and other related reorganization costs; and (8) other non-recurring expenses and income.</w:t>
      </w:r>
    </w:p>
    <w:p>
      <w:pPr>
        <w:spacing w:after="0" w:line="163" w:lineRule="exact"/>
        <w:rPr>
          <w:sz w:val="20"/>
          <w:szCs w:val="20"/>
          <w:color w:val="auto"/>
        </w:rPr>
      </w:pPr>
    </w:p>
    <w:p>
      <w:pPr>
        <w:ind w:right="260" w:firstLine="509"/>
        <w:spacing w:after="0" w:line="265" w:lineRule="auto"/>
        <w:rPr>
          <w:sz w:val="20"/>
          <w:szCs w:val="20"/>
          <w:color w:val="auto"/>
        </w:rPr>
      </w:pPr>
      <w:r>
        <w:rPr>
          <w:rFonts w:ascii="Times New Roman" w:cs="Times New Roman" w:eastAsia="Times New Roman" w:hAnsi="Times New Roman"/>
          <w:sz w:val="18"/>
          <w:szCs w:val="18"/>
          <w:color w:val="auto"/>
        </w:rPr>
        <w:t>Our use of Adjusted EBITDA has limitations as an analytical tool, and you should not consider it in isolation or as a substitute for analysis of our results reported in accordance with GAAP. Because of these limitations, you should consider Adjusted EBITDA alongside other financial performance measures, including net income (loss) and our other GAAP results.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these limitations are:</w:t>
      </w:r>
    </w:p>
    <w:p>
      <w:pPr>
        <w:spacing w:after="0" w:line="117" w:lineRule="exact"/>
        <w:rPr>
          <w:sz w:val="20"/>
          <w:szCs w:val="20"/>
          <w:color w:val="auto"/>
        </w:rPr>
      </w:pPr>
    </w:p>
    <w:p>
      <w:pPr>
        <w:ind w:left="1020" w:hanging="368"/>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cash expenditures or future requirements for capital expenditures or contractual commitments;</w:t>
      </w:r>
    </w:p>
    <w:p>
      <w:pPr>
        <w:spacing w:after="0" w:line="116"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116"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or cash requirements necessary to service interest or principal payments on our debt;</w:t>
      </w:r>
    </w:p>
    <w:p>
      <w:pPr>
        <w:spacing w:after="0" w:line="116"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consider the potentially dilutive impact of stock-based compensation or other stock-settled obligations;</w:t>
      </w:r>
    </w:p>
    <w:p>
      <w:pPr>
        <w:spacing w:after="0" w:line="116" w:lineRule="exact"/>
        <w:rPr>
          <w:rFonts w:ascii="Times New Roman" w:cs="Times New Roman" w:eastAsia="Times New Roman" w:hAnsi="Times New Roman"/>
          <w:sz w:val="18"/>
          <w:szCs w:val="18"/>
          <w:color w:val="auto"/>
        </w:rPr>
      </w:pPr>
    </w:p>
    <w:p>
      <w:pPr>
        <w:ind w:left="1020" w:right="260" w:hanging="368"/>
        <w:spacing w:after="0" w:line="265"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69" w:lineRule="exact"/>
        <w:rPr>
          <w:rFonts w:ascii="Times New Roman" w:cs="Times New Roman" w:eastAsia="Times New Roman" w:hAnsi="Times New Roman"/>
          <w:sz w:val="18"/>
          <w:szCs w:val="18"/>
          <w:color w:val="auto"/>
        </w:rPr>
      </w:pPr>
    </w:p>
    <w:p>
      <w:pPr>
        <w:ind w:left="1020" w:right="20" w:hanging="368"/>
        <w:spacing w:after="0" w:line="28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certain income and expenses not directly tied to the ongoing core operations of our business, such as legal reserves and settlements, restructuring and other related reorganization costs;</w:t>
      </w:r>
    </w:p>
    <w:p>
      <w:pPr>
        <w:spacing w:after="0" w:line="54"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tax payments that may represent a reduction in cash available to us;</w:t>
      </w:r>
    </w:p>
    <w:p>
      <w:pPr>
        <w:spacing w:after="0" w:line="116" w:lineRule="exact"/>
        <w:rPr>
          <w:rFonts w:ascii="Times New Roman" w:cs="Times New Roman" w:eastAsia="Times New Roman" w:hAnsi="Times New Roman"/>
          <w:sz w:val="18"/>
          <w:szCs w:val="18"/>
          <w:color w:val="auto"/>
        </w:rPr>
      </w:pPr>
    </w:p>
    <w:p>
      <w:pPr>
        <w:ind w:left="1020" w:right="100" w:hanging="368"/>
        <w:spacing w:after="0" w:line="28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unaudited and does not conform to SEC Regulation S-X, and as a result such information may be presented differently in our future filings with the SEC; and</w:t>
      </w:r>
    </w:p>
    <w:p>
      <w:pPr>
        <w:spacing w:after="0" w:line="54" w:lineRule="exact"/>
        <w:rPr>
          <w:rFonts w:ascii="Times New Roman" w:cs="Times New Roman" w:eastAsia="Times New Roman" w:hAnsi="Times New Roman"/>
          <w:sz w:val="18"/>
          <w:szCs w:val="18"/>
          <w:color w:val="auto"/>
        </w:rPr>
      </w:pPr>
    </w:p>
    <w:p>
      <w:pPr>
        <w:ind w:left="1020" w:hanging="368"/>
        <w:spacing w:after="0" w:line="28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own industry, may calculate Adjusted EBITDA differently than we do, limiting its usefulness as a comparative measure.</w:t>
      </w:r>
    </w:p>
    <w:p>
      <w:pPr>
        <w:spacing w:after="0" w:line="163"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presents a reconciliation of Adjusted EBITDA to Net Income (Loss), the most directly comparable financial measure calculated and presented in accordance with GAAP, for the periods presented:</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9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980" w:type="dxa"/>
            <w:vAlign w:val="bottom"/>
          </w:tcPr>
          <w:p>
            <w:pPr>
              <w:spacing w:after="0"/>
              <w:rPr>
                <w:sz w:val="14"/>
                <w:szCs w:val="14"/>
                <w:color w:val="auto"/>
              </w:rPr>
            </w:pPr>
          </w:p>
        </w:tc>
        <w:tc>
          <w:tcPr>
            <w:tcW w:w="8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0"/>
        </w:trPr>
        <w:tc>
          <w:tcPr>
            <w:tcW w:w="5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ind w:right="173"/>
              <w:spacing w:after="0" w:line="160"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45"/>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(148 )</w:t>
            </w:r>
          </w:p>
        </w:tc>
      </w:tr>
      <w:tr>
        <w:trPr>
          <w:trHeight w:val="249"/>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Provision (benefit) for income taxes</w:t>
            </w:r>
          </w:p>
        </w:tc>
        <w:tc>
          <w:tcPr>
            <w:tcW w:w="84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(37 )</w:t>
            </w:r>
          </w:p>
        </w:tc>
      </w:t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Add: Other expense (income), net</w:t>
            </w:r>
          </w:p>
        </w:tc>
        <w:tc>
          <w:tcPr>
            <w:tcW w:w="8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0"/>
                <w:szCs w:val="20"/>
                <w:color w:val="auto"/>
              </w:rPr>
            </w:pPr>
          </w:p>
        </w:tc>
      </w:tr>
      <w:tr>
        <w:trPr>
          <w:trHeight w:val="247"/>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Restructuring and other related reorganization costs</w:t>
            </w:r>
          </w:p>
        </w:tc>
        <w:tc>
          <w:tcPr>
            <w:tcW w:w="84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Add: Legal reserves and settlements</w:t>
            </w:r>
          </w:p>
        </w:tc>
        <w:tc>
          <w:tcPr>
            <w:tcW w:w="8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Add: Other non-recurring expenses (income) </w:t>
            </w:r>
            <w:r>
              <w:rPr>
                <w:rFonts w:ascii="Times New Roman" w:cs="Times New Roman" w:eastAsia="Times New Roman" w:hAnsi="Times New Roman"/>
                <w:sz w:val="14"/>
                <w:szCs w:val="14"/>
                <w:color w:val="auto"/>
              </w:rPr>
              <w:t>(1)(2)</w:t>
            </w:r>
          </w:p>
        </w:tc>
        <w:tc>
          <w:tcPr>
            <w:tcW w:w="84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Add: Stock-based compensation</w:t>
            </w:r>
          </w:p>
        </w:tc>
        <w:tc>
          <w:tcPr>
            <w:tcW w:w="8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0"/>
                <w:szCs w:val="20"/>
                <w:color w:val="auto"/>
              </w:rPr>
            </w:pPr>
          </w:p>
        </w:tc>
      </w:tr>
      <w:tr>
        <w:trPr>
          <w:trHeight w:val="243"/>
        </w:trPr>
        <w:tc>
          <w:tcPr>
            <w:tcW w:w="5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Depreciation and amortization</w:t>
            </w:r>
          </w:p>
        </w:tc>
        <w:tc>
          <w:tcPr>
            <w:tcW w:w="84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r>
      <w:tr>
        <w:trPr>
          <w:trHeight w:val="20"/>
        </w:trPr>
        <w:tc>
          <w:tcPr>
            <w:tcW w:w="59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4928235</wp:posOffset>
            </wp:positionH>
            <wp:positionV relativeFrom="paragraph">
              <wp:posOffset>-187960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-187960</wp:posOffset>
            </wp:positionV>
            <wp:extent cx="596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-187960</wp:posOffset>
            </wp:positionV>
            <wp:extent cx="596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65" w:lineRule="exact"/>
        <w:rPr>
          <w:sz w:val="20"/>
          <w:szCs w:val="20"/>
          <w:color w:val="auto"/>
        </w:rPr>
      </w:pPr>
    </w:p>
    <w:p>
      <w:pPr>
        <w:ind w:left="960" w:right="200" w:hanging="503"/>
        <w:spacing w:after="0" w:line="233" w:lineRule="auto"/>
        <w:tabs>
          <w:tab w:leader="none" w:pos="9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expensed $3 million of previously capitalized transaction costs during 2023 to general and administrative expenses on our consolidated statement of operations. The Company considers such costs to be non-recurring in nature.</w:t>
      </w:r>
    </w:p>
    <w:p>
      <w:pPr>
        <w:ind w:left="960" w:right="20" w:hanging="503"/>
        <w:spacing w:after="0" w:line="231" w:lineRule="auto"/>
        <w:tabs>
          <w:tab w:leader="none" w:pos="9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incurred a loss of approximately $8 million during the fourth quarter of 2022, as the result of a targeted payment fraud scheme by an external party, as previously disclosed. The Company considers such costs to be non-recurring in nature. To the extent the Company recovers any losses in future periods related to this incident, the Company plans to reduce Adjusted EBITDA by the recovery amount in that same period.</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 w:name="page49"/>
    <w:bookmarkEnd w:id="48"/>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principal source of liquidity is cash flow generated from operations and our existing cash and cash equivalents balance. Our liquidity needs can also be met through drawdowns under the Credit Facility. As of December 31, 2023 and 2022, we had approximately $1.1 billion and $1.0 billion, respectively, of cash and cash equivalents, and $496 million of available borrowing capacity under our Credit Facility as of December 31, 2023. As of December 31, 2023, approximately $247 million of our cash and cash equivalents were held by our international subsidiaries outside of the U.S., of which approximately 50% was held in the U.K. As of December 31, 2023, the significant majority of our cash was denominated in U.S. dollars.</w:t>
      </w:r>
    </w:p>
    <w:p>
      <w:pPr>
        <w:spacing w:after="0" w:line="182" w:lineRule="exact"/>
        <w:rPr>
          <w:sz w:val="20"/>
          <w:szCs w:val="20"/>
          <w:color w:val="auto"/>
        </w:rPr>
      </w:pPr>
    </w:p>
    <w:p>
      <w:pPr>
        <w:jc w:val="both"/>
        <w:ind w:right="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As of December 31, 2023, we had $483 million of cumulative undistributed earnings in foreign subsidiaries which were no longer considered to be indefinitely reinvested. As of December 31, 2023, we maintained a deferred income tax liability on our consolidated balance sheet, which was not material, for the U.S. federal and state income tax and foreign withholding tax liabilities on the cumulative undistributed foreign earnings that we no longer consider indefinitely reinvested. Refer to “Note 10: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the notes to our consolidated financial statements in Item 8 of this Annual Report on Form 10-K for further information.</w:t>
      </w:r>
    </w:p>
    <w:p>
      <w:pPr>
        <w:spacing w:after="0" w:line="18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As of December 31, 2023, we are party to a credit agreement, which, among other things, provides for a $500 million revolving credit facility (the “Credit Facility”) with a maturity date of June 29, 2028 (unless, on any date that is 91 days prior to the final scheduled maturity date in respect of any indebtedness outstanding under certain “specified debt,” the aggregate outstanding principal amount of such specified debt is $200 million or more, then the maturity date will be such business day). As of December 31, 2023 and 2022, we had no outstanding borrowings under the Credit Facility. The Company may borrow from the Credit Facility in U.S dollars, Euros and Sterling. For information regarding interest rates on potential borrowings under the Credit Facility refer to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our consolidated financial statements in Item 8 of this Annual Report on Form 10-K. We are required to pay a quarterly commitment fee, at an applicable rate ranging from 0.25% to 0.40%, on the daily unused portion of the Credit Facility for each fiscal quarter and in connection with the issuance of letters of credit. As of December 31, 2023, our unused revolver capacity was subject to a commitment fee of 0.25%, given the Company’s total net leverage ratio. The Credit Facility, among other things, requires us to maintain a maximum total net leverage ratio and contains certain customary affirmative and negative covenants and events of default, including for a change of control. As of December 31, 2023 and 2022, we were in compliance with our covenant requirements in effect under the Credit Facility. While there can be no assurance that we will be able to meet the total net leverage ratio covenant in the future, based on our current projections, we do not believe there is a material risk that we will not remain in compliance throughout the next twelve months.</w:t>
      </w:r>
    </w:p>
    <w:p>
      <w:pPr>
        <w:spacing w:after="0" w:line="195" w:lineRule="exact"/>
        <w:rPr>
          <w:sz w:val="20"/>
          <w:szCs w:val="20"/>
          <w:color w:val="auto"/>
        </w:rPr>
      </w:pPr>
    </w:p>
    <w:p>
      <w:pPr>
        <w:ind w:right="260" w:firstLine="509"/>
        <w:spacing w:after="0" w:line="281" w:lineRule="auto"/>
        <w:rPr>
          <w:sz w:val="20"/>
          <w:szCs w:val="20"/>
          <w:color w:val="auto"/>
        </w:rPr>
      </w:pPr>
      <w:r>
        <w:rPr>
          <w:rFonts w:ascii="Times New Roman" w:cs="Times New Roman" w:eastAsia="Times New Roman" w:hAnsi="Times New Roman"/>
          <w:sz w:val="18"/>
          <w:szCs w:val="18"/>
          <w:color w:val="auto"/>
        </w:rPr>
        <w:t>As of December 31, 2023, the Company had an aggregate outstanding principal amount of $845 million in long-term debt, as a result of the 2025 Senior Notes and 2026 Senior Notes, as discussed below.</w:t>
      </w:r>
    </w:p>
    <w:p>
      <w:pPr>
        <w:spacing w:after="0" w:line="16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July 2020, the Company completed the sale of $500 million in 2025 Senior Notes. The 2025 Senior Notes provide, among other things, that interest, at an interest rate of 7.0% per annum, is payable on January 15 and July 15 of each year, until their maturity on July 15, 2025. The 2025 Senior Notes are senior unsecured obligations of the Company, although unconditionally guaranteed on a joint and several basis by certain of the Company’s domestic subsidiaries. In March 2021, the Company completed the sale of $345 million of the 2026 Senior Notes. The 2026 Senior Notes provide, among other things, that interest, at an interest rate of 0.25% per annum, is payable on April 1 and October 1 of each year, until their maturity on April 1, 2026. The 2026 Senior Notes are senior unsecured obligations of the Company, although unconditionally guaranteed on a joint and several basis, by certain of the Company’s domestic subsidiaries.</w:t>
      </w:r>
    </w:p>
    <w:p>
      <w:pPr>
        <w:spacing w:after="0" w:line="187"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The 2025 Senior Notes and 2026 Senior Notes are not registered securities and there are currently no plans to register these notes as securities in the future. We may from time to time repurchase the 2025 Senior Notes or 2026 Senior Notes through tender offers, open market purchases, privately negotiated transactions or otherwise. Such repurchases, if any, will depend on prevailing market conditions, liquidity requirements, contractual restrictions and other factors.</w:t>
      </w:r>
    </w:p>
    <w:p>
      <w:pPr>
        <w:spacing w:after="0" w:line="180" w:lineRule="exact"/>
        <w:rPr>
          <w:sz w:val="20"/>
          <w:szCs w:val="20"/>
          <w:color w:val="auto"/>
        </w:rPr>
      </w:pPr>
    </w:p>
    <w:p>
      <w:pPr>
        <w:ind w:right="260" w:firstLine="509"/>
        <w:spacing w:after="0" w:line="283" w:lineRule="auto"/>
        <w:rPr>
          <w:sz w:val="20"/>
          <w:szCs w:val="20"/>
          <w:color w:val="auto"/>
        </w:rPr>
      </w:pPr>
      <w:r>
        <w:rPr>
          <w:rFonts w:ascii="Times New Roman" w:cs="Times New Roman" w:eastAsia="Times New Roman" w:hAnsi="Times New Roman"/>
          <w:sz w:val="18"/>
          <w:szCs w:val="18"/>
          <w:color w:val="auto"/>
        </w:rPr>
        <w:t xml:space="preserve">For further information on the Credit Facility, 2025 Senior Notes, and 2026 Senior Notes, refer to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our consolidated financial statements in Item 8 of this Annual Report on Form 10-K.</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Significant uses of capital and other liquidity matters</w:t>
      </w:r>
    </w:p>
    <w:p>
      <w:pPr>
        <w:spacing w:after="0" w:line="227"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On November 1, 2019, our Board of Directors authorized the repurchase of an additional $100 million in shares of our common stock under our existing share repurchase program, which increased the amount available to the Company under this share repurchase program to $250 million. During the three months ended June 30, 2023, we repurchased 4,724,729 shares of our outstanding common stock at an average price of $15.85 per share, exclusive of fees, commissions, and excise taxes, or $75 million in the aggregate, which completed this share repurchase program.</w:t>
      </w:r>
    </w:p>
    <w:p>
      <w:pPr>
        <w:spacing w:after="0" w:line="18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On September 7, 2023, our Board of Directors authorized the repurchase of $250 million in shares of our common stock under a new share repurchase program. This share repurchase program, which has a term of two years, does not obligate the Company to acquire any particular number of shares and may be modified, suspended or discontinued at any time. During the three months ended December 31, 2023, we repurchased 1,324,524 shares of our outstanding common stock at an average price of $18.85 per share, exclusive of fees, commissions, and excise taxes, or $25 million, under our share repurchase program. As of December 31, 2023, we had $225 million remaining available to repurchase shares of our common stock under this share repurchase program.</w:t>
      </w:r>
    </w:p>
    <w:p>
      <w:pPr>
        <w:spacing w:after="0" w:line="18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Our business typically experiences seasonal fluctuations that affect the timing of our annual cash flows during the year related to working capital. As a result of our experience bookings, we generally receive cash from travelers at the time of booking or prior to the occurrence of an experience, and we record these amounts, net of commissions, on our consolidated balance sheet as deferred merchant payables. We pay the experience operator, or the supplier, after the travelers’ use. Therefore, we generally receive cash from the traveler prior to paying the experience operator and this operating cycle represents a source or use of cash to us. During the first half of the year, experiences bookings typically exceed the amount of completed experiences, resulting in higher cash flow related to working capital, while during the second half of the year, particularly in the third quarter, this pattern reverses and cash flows from these transactions are typically negative. </w:t>
      </w:r>
      <w:r>
        <w:rPr>
          <w:rFonts w:ascii="Times New Roman" w:cs="Times New Roman" w:eastAsia="Times New Roman" w:hAnsi="Times New Roman"/>
          <w:sz w:val="18"/>
          <w:szCs w:val="18"/>
          <w:color w:val="231F20"/>
        </w:rPr>
        <w:t>Other factors may also impact typical seasonal fluctuations, such as significant shifts in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business mix, adverse economic conditions, public health-related events, as well as other factors, </w:t>
      </w:r>
      <w:r>
        <w:rPr>
          <w:rFonts w:ascii="Times New Roman" w:cs="Times New Roman" w:eastAsia="Times New Roman" w:hAnsi="Times New Roman"/>
          <w:sz w:val="18"/>
          <w:szCs w:val="18"/>
          <w:color w:val="000000"/>
        </w:rPr>
        <w:t>that could result in future seasonal patterns that are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different from historical trends. In addition, new or different payment options offered to our customers could impact the timing of cash flows. For example, our “Reserve Now, Pay Later” payment option, which allows our travelers the option to reserve certain experiences and defer payment until a date no later than two days before the experience date. Usage of this payment option may continue to increase, though it is still not used in a majority of bookings to date, and affect the timing of our future cash flows and working capital.</w:t>
      </w:r>
    </w:p>
    <w:p>
      <w:pPr>
        <w:spacing w:after="0" w:line="18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As discussed in “Note 10: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the notes to our consolidated financial statements in Item 8 of this Annual Report on Form 10-K, we received a final notice regarding a MAP settlement with the IRS for the 2009 through 2011 tax years in January 2023, which the Company subsequently accepted in February 2023. During the three months ended June 30, 2023, we made a U.S. federal tax payment of $113 million, inclusive of interest, to Expedia related to this IRS audit settlement, pursuant to the Tax Sharing Agreement with Expedia. During the three months ended September 30, 2023, we received a competent authority refund of $49 million, inclusive of interest income, related to the IRS audit settlement. We anticipate the federal tax benefits, net of remaining state tax payments due, associated with this IRS audit settlement will be substantially settled during 2024, resulting in an estimated net cash inflow of $5 million to $10 million.</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Additionally, during August 2020 we received a NOPA issued by the IRS for the 2014, 2015, and 2016 tax years. These proposed adjustments are related to certain transfer pricing arrangements with our foreign subsidiaries. In January 2024, we received notification of a MAP resolution agreement for the 2014 through 2016 tax years, which we accepted in February 2024. We anticipate this MAP resolution will result in an estimated net operating cash outflow of $80 million to $130 million, net of anticipated competent authority relief and inclusive of related interest expense, during 2024, and an increase to our worldwide income tax expense in an estimated range of $30 million to $60 million in the first quarter of 2024. These estimated ranges take into consideration competent authority relief, existing income tax reserves, transition tax regulations and estimated interest expense. This MAP resolution supersedes the NOPA previously received for 2014 through 2016 from the IRS, described above. We will review the impact of this resolution to our transfer pricing income tax reserves for the subsequent open tax years during the first quarter of 2024. Based on this new information received subsequent to year end, adjustments for</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 tax years subsequent to 2016 may also occur, which could be material and negatively impact our future operating cash flows.</w:t>
      </w:r>
    </w:p>
    <w:p>
      <w:pPr>
        <w:spacing w:after="0" w:line="22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we received an issue closure notice from HM Revenue &amp; Customs (“HMRC”) relating to adjustments for the 2012 through 2016 tax years in January 2021. These proposed adjustments are related to certain transfer pricing arrangements with our foreign subsidiaries and would result in an increase to income tax expense in an estimated range of $25 million to $35 million, exclusive of interest expense, at the close of the audit if HMRC prevails. Although the ultimate timing for resolution of these matters is uncertain, any future payments required would negatively impact our operating cash flows.</w:t>
      </w:r>
    </w:p>
    <w:p>
      <w:pPr>
        <w:spacing w:after="0" w:line="18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CARES Act, enacted in March 2020, made tax law changes to provide financial relief to companies as a result of the impact to businesses related to COVID-19. Key income tax provisions of the CARES Act include changes in NOL carryback and carryforward rules, increase of the net interest expense deduction limit, and immediate write-off of qualified improvement property. The CARES Act allowed the Company to carryback our U.S. federal NOLs incurred in 2020, generating an expected U.S. federal tax benefit of $76 million, of which $64 million was refunded during the year ended December 31, 2022 ($15 million of this refund is recorded in other long-term liabilities on our consolidated balance sheet as of December 31, 2023, reflecting future transition tax payments to be made by the Company related to the 2017 Tax Act). The remaining refund of $12 million is expected to be received during the year ending December 31, 2024.</w:t>
      </w:r>
    </w:p>
    <w:p>
      <w:pPr>
        <w:spacing w:after="0" w:line="187"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We believe that our available cash and cash equivalents will be sufficient to fund our foreseeable working capital requirements, capital expenditures, existing business growth initiatives, debt and interest obligations, lease commitments, and other financial commitments through at least the next twelve months. Our future capital requirements may also include capital needs for acquisitions and/or other expenditures in support of our business strategy, which may potentially reduce our cash balance and/or require us to borrow under the Credit Facility or to seek other financing alternatives.</w:t>
      </w:r>
    </w:p>
    <w:p>
      <w:pPr>
        <w:spacing w:after="0" w:line="182"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8"/>
          <w:szCs w:val="18"/>
          <w:color w:val="auto"/>
        </w:rPr>
        <w:t>Our cash flows from operating, investing and financing activities, as reflected in our consolidated statements of cash flows, are summarized in the following table:</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9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9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5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8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80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0"/>
                <w:szCs w:val="20"/>
                <w:color w:val="auto"/>
              </w:rPr>
            </w:pPr>
          </w:p>
        </w:tc>
      </w:tr>
      <w:tr>
        <w:trPr>
          <w:trHeight w:val="247"/>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80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(63 )</w:t>
            </w:r>
          </w:p>
        </w:tc>
        <w:tc>
          <w:tcPr>
            <w:tcW w:w="1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(52 )</w:t>
            </w:r>
          </w:p>
        </w:tc>
        <w:tc>
          <w:tcPr>
            <w:tcW w:w="2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(54 )</w:t>
            </w:r>
          </w:p>
        </w:tc>
      </w:t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800" w:type="dxa"/>
            <w:vAlign w:val="bottom"/>
          </w:tcPr>
          <w:p>
            <w:pPr>
              <w:spacing w:after="0"/>
              <w:rPr>
                <w:sz w:val="20"/>
                <w:szCs w:val="20"/>
                <w:color w:val="auto"/>
              </w:rPr>
            </w:pPr>
          </w:p>
        </w:tc>
        <w:tc>
          <w:tcPr>
            <w:tcW w:w="6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(127 )</w:t>
            </w:r>
          </w:p>
        </w:tc>
        <w:tc>
          <w:tcPr>
            <w:tcW w:w="16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(27 )</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During the year ended December 31, 2023, our primary use of cash was used in operations, and from financing activities (including repurchases of our outstanding common stock at an aggregate cost of $100 million under our share repurchase programs at the time and payment of withholding taxes on net share settlements of our equity awards of $17 million) and investing activities (including capital expenditures of $63 million incurred during the year ended December 31, 2023). This use of cash was funded with cash and cash equivalents, and operating cash flows during the period.</w:t>
      </w:r>
    </w:p>
    <w:p>
      <w:pPr>
        <w:spacing w:after="0" w:line="18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2023, decreased by $165 million when compared to the same period in 2022, primarily due to a decrease in working capital of $149 million, as well as, and to a lesser extent, a decrease in net income of $10 million. The decrease in working capital was largely driven by a U.S. federal tax payment of $113 million during the second quarter of 2023 related to the IRS audit settlement, discussed above, a $64 million U.S. federal tax refund related to the CARES Act received in 2022, which did not reoccur in 2023, and increased cash outflows from accounts payable due to timing of vendor payments. These changes were partially offset by the timing of and improvement in collection from customers, resulting in increased operating cash flows from accounts receivable during the period, and a competent authority refund received of $49 million during the third quarter of 2023 related to the IRS audit settlement, discussed above.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92" w:lineRule="exact"/>
        <w:rPr>
          <w:sz w:val="20"/>
          <w:szCs w:val="20"/>
          <w:color w:val="auto"/>
        </w:rPr>
      </w:pPr>
    </w:p>
    <w:p>
      <w:pPr>
        <w:ind w:right="300" w:firstLine="509"/>
        <w:spacing w:after="0" w:line="281"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2023 increased by $11 million when compared to the same period in 2022, largely due to an increase in capital expenditures across the business.</w:t>
      </w:r>
    </w:p>
    <w:p>
      <w:pPr>
        <w:spacing w:after="0" w:line="163" w:lineRule="exact"/>
        <w:rPr>
          <w:sz w:val="20"/>
          <w:szCs w:val="20"/>
          <w:color w:val="auto"/>
        </w:rPr>
      </w:pPr>
    </w:p>
    <w:p>
      <w:pPr>
        <w:ind w:right="200" w:firstLine="509"/>
        <w:spacing w:after="0" w:line="281"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2023 increased by $100 million when compared to the same period in 2022, primarily due to the repurchase of shares of our common stock during 2023.</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current and long-term material cash requirements, both accrued and off-balance sheet,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13" w:lineRule="exact"/>
        <w:rPr>
          <w:sz w:val="20"/>
          <w:szCs w:val="20"/>
          <w:color w:val="auto"/>
        </w:rPr>
      </w:pPr>
    </w:p>
    <w:tbl>
      <w:tblPr>
        <w:tblLayout w:type="fixed"/>
        <w:tblInd w:w="340" w:type="dxa"/>
        <w:tblCellMar>
          <w:top w:w="0" w:type="dxa"/>
          <w:left w:w="0" w:type="dxa"/>
          <w:bottom w:w="0" w:type="dxa"/>
          <w:right w:w="0" w:type="dxa"/>
        </w:tblCellMar>
      </w:tblPr>
      <w:tr>
        <w:trPr>
          <w:trHeight w:val="187"/>
        </w:trPr>
        <w:tc>
          <w:tcPr>
            <w:tcW w:w="4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By Period</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1"/>
                <w:szCs w:val="11"/>
                <w:color w:val="auto"/>
              </w:rPr>
            </w:pPr>
          </w:p>
        </w:tc>
        <w:tc>
          <w:tcPr>
            <w:tcW w:w="800" w:type="dxa"/>
            <w:vAlign w:val="bottom"/>
          </w:tcPr>
          <w:p>
            <w:pPr>
              <w:jc w:val="right"/>
              <w:ind w:right="93"/>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1 to 3 years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9"/>
              </w:rPr>
              <w:t>3 to 5 years</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64"/>
        </w:trPr>
        <w:tc>
          <w:tcPr>
            <w:tcW w:w="48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Borders>
              <w:top w:val="single" w:sz="8" w:color="auto"/>
            </w:tcBorders>
            <w:gridSpan w:val="2"/>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 Senior Notes (1)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interest payments on 2025 Senior Notes (2)</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Senior Notes (3)</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interest payments on 2026 Senior Notes (4)</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 (5)</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obligations (6)</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commitment fee payments on Credit Facility (7)</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obligations and other (8)</w:t>
            </w:r>
          </w:p>
        </w:tc>
        <w:tc>
          <w:tcPr>
            <w:tcW w:w="2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(9)(10)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3909695</wp:posOffset>
            </wp:positionH>
            <wp:positionV relativeFrom="paragraph">
              <wp:posOffset>-187960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-187960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-187960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-187960</wp:posOffset>
            </wp:positionV>
            <wp:extent cx="596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-187960</wp:posOffset>
            </wp:positionV>
            <wp:extent cx="596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3"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outstanding principal on our 2025 Senior Notes due July 2025 and assumes that our existing debt is repaid at maturity.</w:t>
      </w:r>
    </w:p>
    <w:p>
      <w:pPr>
        <w:spacing w:after="0" w:line="3" w:lineRule="exact"/>
        <w:rPr>
          <w:rFonts w:ascii="Times New Roman" w:cs="Times New Roman" w:eastAsia="Times New Roman" w:hAnsi="Times New Roman"/>
          <w:sz w:val="14"/>
          <w:szCs w:val="14"/>
          <w:color w:val="auto"/>
        </w:rPr>
      </w:pPr>
    </w:p>
    <w:p>
      <w:pPr>
        <w:ind w:left="1020" w:hanging="503"/>
        <w:spacing w:after="0" w:line="221" w:lineRule="auto"/>
        <w:tabs>
          <w:tab w:leader="none" w:pos="10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interest payments on our 2025 Senior Notes are based on a fixed interest rate of 7.0%, as of December 31, 2023 and assumes that our existing debt is repaid at maturity.</w:t>
      </w:r>
    </w:p>
    <w:p>
      <w:pPr>
        <w:ind w:left="1020" w:hanging="503"/>
        <w:spacing w:after="0" w:line="221" w:lineRule="auto"/>
        <w:tabs>
          <w:tab w:leader="none" w:pos="10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outstanding principal on our 2026 Senior Notes due April 2026 and assumes that our existing debt is repaid at maturity.</w:t>
      </w:r>
    </w:p>
    <w:p>
      <w:pPr>
        <w:ind w:left="1020" w:right="460" w:hanging="503"/>
        <w:spacing w:after="0" w:line="221" w:lineRule="auto"/>
        <w:tabs>
          <w:tab w:leader="none" w:pos="10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interest payments on our 2026 Senior Notes are based on a fixed interest rate of 0.25%, as of December 31, 2023 and assumes that our existing debt is repaid at maturity.</w:t>
      </w:r>
    </w:p>
    <w:p>
      <w:pPr>
        <w:ind w:left="1020" w:hanging="503"/>
        <w:spacing w:after="0" w:line="221" w:lineRule="auto"/>
        <w:tabs>
          <w:tab w:leader="none" w:pos="10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future lease payments for our corporate headquarters in Needham, Massachusetts. These amounts exclude expected rental income under non-cancelable subleases.</w:t>
      </w:r>
    </w:p>
    <w:p>
      <w:pPr>
        <w:ind w:left="1020" w:right="60" w:hanging="503"/>
        <w:spacing w:after="0" w:line="221" w:lineRule="auto"/>
        <w:tabs>
          <w:tab w:leader="none" w:pos="10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future lease payments for our operating leases, primarily for office space, with non-cancelable lease terms. These amounts exclude expected rental income under non-cancelable subleases.</w:t>
      </w:r>
    </w:p>
    <w:p>
      <w:pPr>
        <w:ind w:left="1020" w:right="180" w:hanging="503"/>
        <w:spacing w:after="0" w:line="221" w:lineRule="auto"/>
        <w:tabs>
          <w:tab w:leader="none" w:pos="10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commitment fee payments are based on the daily unused portion of the Credit Facility, issued letters of credit, and the effective commitment fee rate as of December 31, 2023; however, these variables could change significantly in the future.</w:t>
      </w:r>
    </w:p>
    <w:p>
      <w:pPr>
        <w:ind w:left="1020" w:right="160" w:hanging="503"/>
        <w:spacing w:after="0" w:line="221" w:lineRule="auto"/>
        <w:tabs>
          <w:tab w:leader="none" w:pos="10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purchase obligations that are fixed and determinable, primarily related to telecommunication and licensing contracts, with various expiration dates through approximately June 2029. These contracts have non-cancelable terms or are cancelable only upon payment of significant penalty. Timing of payments and actual amounts paid may be different depending on the time of receipt of goods or services or changes to agreed-upon amounts for some obligations.</w:t>
      </w:r>
    </w:p>
    <w:p>
      <w:pPr>
        <w:ind w:left="1020" w:right="20" w:hanging="503"/>
        <w:spacing w:after="0" w:line="221" w:lineRule="auto"/>
        <w:tabs>
          <w:tab w:leader="none" w:pos="10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Excluded from the table was $153 million of unrecognized tax benefits, including interest, which is included in other long-term liabilities on our consolidated balance sheet as of December 31, 2023, for which we cannot make a reasonably reliable estimate of the amount and period of payment.</w:t>
      </w:r>
    </w:p>
    <w:p>
      <w:pPr>
        <w:ind w:left="1020" w:hanging="503"/>
        <w:spacing w:after="0"/>
        <w:tabs>
          <w:tab w:leader="none" w:pos="10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Excluded from the table was $4 million of undrawn standby letters of credit, primarily as security deposits for certain property leases as of December 31, 2023.</w:t>
      </w:r>
    </w:p>
    <w:p>
      <w:pPr>
        <w:spacing w:after="0" w:line="191"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As of December 31, 2023, other than the items discussed above, we did not have any off-balance sheet arrangements, that have, or are reasonably likely to have, a current or future effect on our financial condition, results of operations, liquidity, capital expenditures or capital resources.</w:t>
      </w:r>
    </w:p>
    <w:p>
      <w:pPr>
        <w:spacing w:after="0" w:line="1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Office Lease Commitments</w:t>
      </w:r>
    </w:p>
    <w:p>
      <w:pPr>
        <w:spacing w:after="0" w:line="334"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As of December 31, 2023, we leased approximately 280,000 square feet of office space for our corporate headquarters in Needham, Massachusetts, which has an expiration date of December 2030 and an option to extend the lease term for two consecutive terms of five years each. We account for this lease as a finance lease as of December 31, 2023.</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In addition to our corporate headquarters lease, we have contractual obligations in the form of operating leases for office space, in which we lease an aggregate of approximately 340,000 square feet, at nearly 30 other locations across North America, Europe and Asia Pacific, in cities such as New York, London, Sydney, Barcelona and Paris, primarily used for sales offices, subsidiary headquarters, and international management teams, pursuant to leases with various expiration dates, with the latest expiring in October 2034.</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we are party to legal, regulatory and administrative matters, including threats thereof, arising out of or in connection with our operations. These matters may involve claims involving patent and other intellectual property rights (including privacy, alleged infringement of third-party intellectual property rights), tax matters (including value-added, excise, transient occupancy and accommodation taxes), regulatory compliance (including competition, consumer matters and data privacy), defamation and reputational claims. Periodically, we review the status of all significant outstanding matters to assess any potential financial exposure. When (i) it is probable that an asset has been impaired or a liability has been incurred; and (ii) the amount of the loss can be reasonably estimated and is material, we record the estimated loss in our consolidated statements of operations.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except for certain known income tax matters discussed below.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p>
    <w:p>
      <w:pPr>
        <w:spacing w:after="0" w:line="18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are under audit by the IRS and various other domestic and foreign tax authorities with regards to income tax and non-income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spacing w:after="0" w:line="18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are currently under examination by the IRS for the 2014 through 2016 and 2018 tax years, and have various ongoing audits for foreign and state income tax returns. These audits include questioning of the timing and the amount of income and deductions and the allocation of income among various tax jurisdictions. These examinations may lead to proposed or ordinary course adjustments to our taxes. We are no longer subject to tax examinations by tax authorities for years prior to 2014. As of December 31, 2023, no material assessments have resulted, except as noted below regarding our 2014 through 2016 standalone IRS audit, and our 2012 through 2016 HMRC audit.</w:t>
      </w:r>
    </w:p>
    <w:p>
      <w:pPr>
        <w:spacing w:after="0" w:line="18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During August 2020, we received a NOPA from the IRS for the 2014, 2015, and 2016 tax years. These proposed adjustments pertain to certain transfer pricing arrangements with our foreign subsidiaries. We disagree with the proposed adjustments, and we intend to defend our position through applicable administrative and, if necessary, judicial remedies. In addition to the risk of additional tax for the years discussed above, if the IRS were to seek transfer pricing adjustments of a similar nature for transactions in subsequent years, we may be subject to significant additional tax liabilities. We have previously requested competent authority assistance under MAP for the tax years of 2014 through 2016. We have reviewed our transfer pricing reserves as of December 31, 2023, based on the facts and circumstances that existed as of the reporting date, and consider them to be the Company’s best estimate as of December 31, 2023. In January 2024, we received notification regarding a MAP resolution agreement for the 2014 through 2016 tax years, which we accepted in February 2024. We anticipate this will result in an increase to our worldwide income tax expense in an estimated range of $30 million to $60 million in the first quarter of 2024. This estimated range takes into consideration competent authority relief, existing income tax reserves, transition tax regulations and estimated interest expense. This MAP resolution supersedes the NOPA for 2014 through 2016 previously received from the IRS, described above. We will review the impact of this resolution to our transfer pricing income tax reserves for the subsequent open tax years during the first quarter of 2024. Based on this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53" w:name="page54"/>
    <w:bookmarkEnd w:id="53"/>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information received subsequent to year end, adjustments for the open tax years subsequent to 2016 may also occur, which could be material.</w:t>
      </w:r>
    </w:p>
    <w:p>
      <w:pPr>
        <w:spacing w:after="0" w:line="22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January 2021, we received an issue closure notice from HMRC relating to adjustments for the 2012 through 2016 tax years. These proposed adjustments are related to certain transfer pricing arrangements with our foreign subsidiaries and would result in an increase to income tax expense in an estimated range of $25 million to $35 million, exclusive of interest expense, at the close of the audit if HMRC prevails. We disagree with the proposed adjustments and we intend to defend our position through applicable administrative and, if necessary, judicial remedies. Our policy is to review and update tax reserves as facts and circumstances change.</w:t>
      </w:r>
    </w:p>
    <w:p>
      <w:pPr>
        <w:spacing w:after="0" w:line="18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Over the last several years, the Organization for Economic Cooperation and Development (“OECD”) has been developing its “two pillar” project to address the tax challenges arising from digitalization. The OECD project, if broadly implemented by participating countries, will result in significant changes to the international taxation system under which our current tax obligations are determined. Pillar Two of the project calls for a minimum tax rate on corporations of 15% and has begun to be implemented by a significant number of countries starting in 2024. The OECD and implementing countries are expected to continue to offer further guidance to the rules, however, the impact of Pillar Two is not expected to be material at this time. The Company will continue to monitor developments to determine any potential impact of Pillar Two in the countries in which we operate.</w:t>
      </w:r>
    </w:p>
    <w:p>
      <w:pPr>
        <w:spacing w:after="0" w:line="186"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7"/>
          <w:szCs w:val="17"/>
          <w:color w:val="auto"/>
        </w:rPr>
        <w:t>Pillar One, which would reallocate profits from the largest and most profitable businesses to countries where the customers of those businesses are located, remains under discussion at the OECD, and its implementation remains uncertain. If implemented, Pillar One would potentially result in the removal of unilateral digital services tax initiatives, such as those enacted in France, Italy, Spain, and the U.K. In July 2023, more than 138 countries and jurisdictions agreed to refrain from imposing newly enacted digital service tax initiatives or similar measures before December 31, 2024, provided the Pillar One negotiations have made sufficient progress by the end of 2023. In December 2023, the OECD Inclusive Framework reaffirmed their commitment to achieve a consensus-based solution and to complete the multilateral agreement by June 2024, thereby extending the standstill on new digital service tax initiatives. Furthermore, certain U.S. states, such as Maryland, have deployed comparable digital services tax initiatives. We will continue to monitor these developments to determine the financial impact to the Company. During the years ended December 31, 2023, 2022 and 2021, we recorded $18 million, $9 million and $1 million, respectively, of digital service tax to general and administrative expense on our consolidated statement of operations.</w:t>
      </w:r>
    </w:p>
    <w:p>
      <w:pPr>
        <w:spacing w:after="0" w:line="178"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Due to the one-time transition tax on the deemed repatriation of undistributed foreign subsidiary earnings and profits in 2017, as a result of the 2017 Tax Act, the majority of previously unremitted earnings have been subjected to U.S. federal income tax. To the extent future distributions from these subsidiaries will be taxable, a deferred income tax liability has been accrued on our consolidated balance sheet, which was not material as of December 31, 2023. As of December 31, 2023, $483 million of our cumulative undistributed foreign earnings were no longer considered to be indefinitely reinvested.</w:t>
      </w:r>
    </w:p>
    <w:p>
      <w:pPr>
        <w:spacing w:after="0" w:line="180" w:lineRule="exact"/>
        <w:rPr>
          <w:sz w:val="20"/>
          <w:szCs w:val="20"/>
          <w:color w:val="auto"/>
        </w:rPr>
      </w:pPr>
    </w:p>
    <w:p>
      <w:pPr>
        <w:ind w:right="60" w:firstLine="509"/>
        <w:spacing w:after="0" w:line="267" w:lineRule="auto"/>
        <w:rPr>
          <w:sz w:val="20"/>
          <w:szCs w:val="20"/>
          <w:color w:val="auto"/>
        </w:rPr>
      </w:pPr>
      <w:r>
        <w:rPr>
          <w:rFonts w:ascii="Times New Roman" w:cs="Times New Roman" w:eastAsia="Times New Roman" w:hAnsi="Times New Roman"/>
          <w:sz w:val="18"/>
          <w:szCs w:val="18"/>
          <w:color w:val="auto"/>
        </w:rPr>
        <w:t xml:space="preserve">Refer to “Note 10: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the notes to our consolidated financial statements in Item 8 of this Annual Report on Form 10-K for further information on potential tax contingencies, including current audits by the IRS and various other domestic and foreign tax authorities, and other income tax and non-income tax matters.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Management</w:t>
      </w:r>
    </w:p>
    <w:p>
      <w:pPr>
        <w:spacing w:after="0" w:line="229" w:lineRule="exact"/>
        <w:rPr>
          <w:sz w:val="20"/>
          <w:szCs w:val="20"/>
          <w:color w:val="auto"/>
        </w:rPr>
      </w:pPr>
    </w:p>
    <w:p>
      <w:pPr>
        <w:jc w:val="both"/>
        <w:ind w:right="40" w:firstLine="509"/>
        <w:spacing w:after="0" w:line="274" w:lineRule="auto"/>
        <w:rPr>
          <w:sz w:val="20"/>
          <w:szCs w:val="20"/>
          <w:color w:val="auto"/>
        </w:rPr>
      </w:pPr>
      <w:r>
        <w:rPr>
          <w:rFonts w:ascii="Times New Roman" w:cs="Times New Roman" w:eastAsia="Times New Roman" w:hAnsi="Times New Roman"/>
          <w:sz w:val="17"/>
          <w:szCs w:val="17"/>
          <w:color w:val="auto"/>
        </w:rPr>
        <w:t>Market risk refers to the risk of loss arising from adverse changes in stock prices, interest rates and foreign currency exchange rates. We are exposed to market risks primarily due to our international operations, our ongoing investment and financial activities, as well as changes in economic conditions in all significant markets in which we operate. The risk of loss can be assessed from the perspective of adverse changes in our future earnings, cash flows, fair values of our assets, and financial condition. Our exposure to market risk, at any point in time, may include risks related to any borrowings under the Credit Facility, or outstanding debt related to the 2025 Senior Notes and 2026 Senior Notes, derivative instruments, capped calls, cash and cash equivalents, short-term and long-term marketable securities, if any, accounts receivable, intercompany receivables/payables, accounts payable, deferred merchant</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92"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payables and other balances and transactions denominated in foreign currencies. We have established policies, procedures and internal processes governing our management of market risks and the use of financial instruments to manage and attempt to mitigate our exposure to such risks.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Rates</w:t>
      </w:r>
    </w:p>
    <w:p>
      <w:pPr>
        <w:spacing w:after="0" w:line="121"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Our primary exposure to changes in interest rates relates primarily to our cash, cash equivalents, investment portfolio at any point in time, 2025 and 2026 Senior Notes, and borrowings, if any, under our existing Credit Facility.</w:t>
      </w:r>
    </w:p>
    <w:p>
      <w:pPr>
        <w:spacing w:after="0" w:line="16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Changes in interest rates affect the amount of interest earned on our cash, cash equivalents, and marketable securities, if any, and the fair value of those securities. Our interest income and expense are most sensitive to fluctuations in U.S. interest rates. We generally invest our excess cash in available on demand bank deposits and term deposits at major global financial institutions, money market funds, and marketable securities. Our investment policy and strategy is focused on capital preservation and supporting our liquidity requirements. We invest in highly-rated securities, and our investment policy limits the amount of credit exposure to any one issuer. Our investment policy requires our investments to be investment grade, with the primary objective of minimizing the potential risk of principal loss.</w:t>
      </w:r>
    </w:p>
    <w:p>
      <w:pPr>
        <w:spacing w:after="0" w:line="18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of December 31, 2023 and 2022, respectively, we had no outstanding marketable securities in our investment portfolio, and no outstanding borrowings under our Credit Facility. In July 2020, we issued 2025 Senior Notes with a principal balance of $500 million at a fixed rate of 7.0% and in March 2021, we issued 2026 Senior Notes with a principal balance of $345 million at a fixed rate of 0.25%. As of December 31, 2023, the fair value of our 2025 Senior Notes and 2026 Senior Notes were approximately $502 million and $304 million, respectively, based on recently reported market transactions and prices for identical or similar financial instruments obtained from a third-party pricing source. Since our 2025 Senior Notes and 2026 Senior Notes bear interest at a fixed rate, we are more sensitive to the capital market conditions of our shares than changes in interest rates. The fair value of the 2025 Senior Notes and 2026 Senior Notes will likely change based on the capital market conditions.</w:t>
      </w:r>
    </w:p>
    <w:p>
      <w:pPr>
        <w:spacing w:after="0" w:line="185" w:lineRule="exact"/>
        <w:rPr>
          <w:sz w:val="20"/>
          <w:szCs w:val="20"/>
          <w:color w:val="auto"/>
        </w:rPr>
      </w:pPr>
    </w:p>
    <w:p>
      <w:pPr>
        <w:ind w:right="140" w:firstLine="509"/>
        <w:spacing w:after="0" w:line="267" w:lineRule="auto"/>
        <w:rPr>
          <w:sz w:val="20"/>
          <w:szCs w:val="20"/>
          <w:color w:val="auto"/>
        </w:rPr>
      </w:pPr>
      <w:r>
        <w:rPr>
          <w:rFonts w:ascii="Times New Roman" w:cs="Times New Roman" w:eastAsia="Times New Roman" w:hAnsi="Times New Roman"/>
          <w:sz w:val="18"/>
          <w:szCs w:val="18"/>
          <w:color w:val="auto"/>
        </w:rPr>
        <w:t xml:space="preserve">Refer to “Note 3: </w:t>
      </w:r>
      <w:r>
        <w:rPr>
          <w:rFonts w:ascii="Times New Roman" w:cs="Times New Roman" w:eastAsia="Times New Roman" w:hAnsi="Times New Roman"/>
          <w:sz w:val="18"/>
          <w:szCs w:val="18"/>
          <w:i w:val="1"/>
          <w:iCs w:val="1"/>
          <w:color w:val="auto"/>
        </w:rPr>
        <w:t>Financial Instruments and Fair Value Measurements</w:t>
      </w:r>
      <w:r>
        <w:rPr>
          <w:rFonts w:ascii="Times New Roman" w:cs="Times New Roman" w:eastAsia="Times New Roman" w:hAnsi="Times New Roman"/>
          <w:sz w:val="18"/>
          <w:szCs w:val="18"/>
          <w:color w:val="auto"/>
        </w:rPr>
        <w:t xml:space="preserve">” and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our consolidated financial statements in Item 8 of this Annual Report on Form 10-K for further information on our cash and cash equivalents, investments and other financial instruments, 2026 Senior Notes, 2025 Senior Notes and our Credit Facility.</w:t>
      </w:r>
    </w:p>
    <w:p>
      <w:pPr>
        <w:spacing w:after="0" w:line="174"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We currently do not hedge our interest rate risk; however, we are continually evaluating the interest rate market, and if we become increasingly exposed to potentially volatile movements in interest rates, and if these movements are material, this could cause us to adjust our financing strategy. We did not experience material changes in interest rate exposures or any material financial impact from adverse changes in interest rates for the years ended December 31, 2023, 2022 or 2021.</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Rates</w:t>
      </w:r>
    </w:p>
    <w:p>
      <w:pPr>
        <w:spacing w:after="0" w:line="121"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We conduct business in certain international markets, largely in the Europe, including the U.K., and also in countries such as Singapore and Australia. Because we operate in international markets, we have exposure to different economic climates, political arenas, tax systems and regulations that could affect foreign currency exchange rates.</w:t>
      </w:r>
    </w:p>
    <w:p>
      <w:pPr>
        <w:spacing w:after="0" w:line="177"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Some of our subsidiaries maintain their accounting records in their respective local currencies other than the U.S. dollar. Consequently, changes in foreign currency exchange rates may impact the translation of those subsidiary’s financial statements into U.S. dollars. As a result, we face exposure to adverse movements in foreign currency exchange rates as the financial results of our non-U.S. dollar operations are translated from local currency, or functional currency, into U.S. dollars upon consolidation. If the U.S. dollar weakens against the functional currency, the translation of these foreign currency denominated balances will result in increased net assets, revenue, operating expenses, operating income and net income upon consolidation. Similarly, our net assets, revenue, operating expenses, operating income and net income will decrease upon consolidation if the U.S. dollar strengthens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5" w:name="page56"/>
    <w:bookmarkEnd w:id="55"/>
    <w:p>
      <w:pPr>
        <w:spacing w:after="0" w:line="19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against the functional currency. The effect of foreign currency exchange on our business historically has varied from quarter to quarter and may continue to do so, potentially materially. In order to provide a meaningful assessment of the foreign currency exchange rate risk associated with our consolidated financial statements, we performed a sensitivity analysis. A hypothetical 10% decrease of the foreign currency exchange rates in our significant international markets relative to the U.S. dollar, or strengthening of the U.S. dollar, would generate an estimated unrealized loss of approximately $34 million related to a decrease in our net assets as of December 31, 2023, which would initially be recorded to accumulated other comprehensive income (loss) on our consolidated balance sheet.</w:t>
      </w:r>
    </w:p>
    <w:p>
      <w:pPr>
        <w:spacing w:after="0" w:line="186"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addition, foreign currency exchange rate fluctuations on transactions denominated in currencies other than the functional currency result in transactional gains and losses. We recognize these transactional gains and losses (primarily Euro and British pound currency transactions) in our consolidated statement of operations and have recorded net foreign currency exchange losses of $5 million, $9 million and $6 million for the years ended December 31, 2023, 2022 and 2021, respectively, in “other income (expense), net” on our consolidated statements of operations. Future transactional gains and losses are inherently difficult to predict as they are reliant on how the multiple currencies in which we transact fluctuate in relation to the U.S. dollar and other functional currencies, and the relative composition and denomination of monetary assets and liabilities each period.</w:t>
      </w:r>
    </w:p>
    <w:p>
      <w:pPr>
        <w:spacing w:after="0" w:line="186"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manage our exposure to foreign currency risk through internally established policies and procedures. To the extent practicable, we minimize our foreign currency exposures by maintaining natural hedges between our current assets and current liabilities in similarly denominated foreign currencies, as well as, using derivative financial instruments. We use foreign currency forward exchange contracts (“forward contracts”) to manage certain short-term foreign currency risk to attempt to reduce the effects of fluctuating foreign currency exchange rates on our cash flows denominated in foreign currencies. We do not use financial instruments for trading purposes and are not a party to any leveraged derivatives. Our objective is to hedge only those foreign currency exposures that can be confidently identified and quantified and that may result in significant impacts to our cash or the consolidated statement of operations. Our policy does not allow speculation in derivative instruments for profit or execution of derivative instrument contracts for which there are no underlying exposures.</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forward contracts which we have entered into to date, have principally addressed foreign currency exchange fluctuation risk between the Euro and the U.S. dollar. We account for these forward contacts, which have not been designated as hedges under GAAP to date, as either assets or liabilities and carry them at fair value. We had outstanding forward contracts as of December 31, 2023 and 2022, with a total notional value of $9 million and $18 million, respectively. These forward contracts were not designated as hedges and had maturities of less than 90 days. We recognize gains and losses from forward contracts in other income (expense), net on our consolidated statement of operations upon settlement or a change in fair value, which was not material for the year ended December 31, 2023. We recorded a net gain of $4 million and $2 million for the years ended December 31, 2022 and 2021, respectively, related to our forward contracts. Refer to “Note 3: </w:t>
      </w:r>
      <w:r>
        <w:rPr>
          <w:rFonts w:ascii="Times New Roman" w:cs="Times New Roman" w:eastAsia="Times New Roman" w:hAnsi="Times New Roman"/>
          <w:sz w:val="18"/>
          <w:szCs w:val="18"/>
          <w:i w:val="1"/>
          <w:iCs w:val="1"/>
          <w:color w:val="auto"/>
        </w:rPr>
        <w:t>Financial Instruments and Fair Value Measurements</w:t>
      </w:r>
      <w:r>
        <w:rPr>
          <w:rFonts w:ascii="Times New Roman" w:cs="Times New Roman" w:eastAsia="Times New Roman" w:hAnsi="Times New Roman"/>
          <w:sz w:val="18"/>
          <w:szCs w:val="18"/>
          <w:color w:val="auto"/>
        </w:rPr>
        <w:t>” in the notes to the consolidated financial statements in Item 8 of this Annual Report on Form 10-K for further detail on our derivative instruments.</w:t>
      </w:r>
    </w:p>
    <w:p>
      <w:pPr>
        <w:spacing w:after="0" w:line="189" w:lineRule="exact"/>
        <w:rPr>
          <w:sz w:val="20"/>
          <w:szCs w:val="20"/>
          <w:color w:val="auto"/>
        </w:rPr>
      </w:pPr>
    </w:p>
    <w:p>
      <w:pPr>
        <w:ind w:right="300" w:firstLine="509"/>
        <w:spacing w:after="0" w:line="255" w:lineRule="auto"/>
        <w:rPr>
          <w:sz w:val="20"/>
          <w:szCs w:val="20"/>
          <w:color w:val="auto"/>
        </w:rPr>
      </w:pPr>
      <w:r>
        <w:rPr>
          <w:rFonts w:ascii="Times New Roman" w:cs="Times New Roman" w:eastAsia="Times New Roman" w:hAnsi="Times New Roman"/>
          <w:sz w:val="18"/>
          <w:szCs w:val="18"/>
          <w:color w:val="auto"/>
        </w:rPr>
        <w:t>Our exposure to potentially volatile movements in foreign currency exchange rates will increase as we increase our operations in international markets. Foreign currency exchange rate movement is linked to variability in the macroeconomic environment such as inflation and interest rates, governmental actions, and geopolitical events such as regional conflicts. We regularly monitor the macroeconomic environment, which has seen some volatility from the conflict between Russia and Ukraine, sanctions and increased cyberattacks, and, more recently, the conflict in the Middle East. Developments in the macroeconomic environment could cause us to adjust our foreign currency risk strategies. Continued uncertainty regarding our international operations and U.K. and E.U. relations may result in future currency exchange rate volatility which may impact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8"/>
        </w:trPr>
        <w:tc>
          <w:tcPr>
            <w:tcW w:w="98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380" w:type="dxa"/>
            <w:vAlign w:val="bottom"/>
          </w:tcPr>
          <w:p>
            <w:pPr>
              <w:spacing w:after="0"/>
              <w:rPr>
                <w:sz w:val="20"/>
                <w:szCs w:val="20"/>
                <w:color w:val="auto"/>
              </w:rPr>
            </w:pPr>
          </w:p>
        </w:tc>
      </w:tr>
      <w:tr>
        <w:trPr>
          <w:trHeight w:val="472"/>
        </w:trPr>
        <w:tc>
          <w:tcPr>
            <w:tcW w:w="20" w:type="dxa"/>
            <w:vAlign w:val="bottom"/>
          </w:tcPr>
          <w:p>
            <w:pPr>
              <w:spacing w:after="0"/>
              <w:rPr>
                <w:sz w:val="24"/>
                <w:szCs w:val="24"/>
                <w:color w:val="auto"/>
              </w:rPr>
            </w:pPr>
          </w:p>
        </w:tc>
        <w:tc>
          <w:tcPr>
            <w:tcW w:w="98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Index to Financial Statements and Supplementary Data:</w:t>
            </w:r>
          </w:p>
        </w:tc>
        <w:tc>
          <w:tcPr>
            <w:tcW w:w="138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8620" w:type="dxa"/>
            <w:vAlign w:val="bottom"/>
            <w:tcBorders>
              <w:bottom w:val="single" w:sz="8" w:color="0000FF"/>
            </w:tcBorders>
            <w:gridSpan w:val="7"/>
          </w:tcPr>
          <w:p>
            <w:pPr>
              <w:spacing w:after="0" w:line="202"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 (KPMG LLP, Boston, Massachusetts, Auditor Firm ID: 185)</w:t>
            </w:r>
          </w:p>
        </w:tc>
        <w:tc>
          <w:tcPr>
            <w:tcW w:w="12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56</w:t>
            </w:r>
          </w:p>
        </w:tc>
      </w:tr>
      <w:tr>
        <w:trPr>
          <w:trHeight w:val="223"/>
        </w:trPr>
        <w:tc>
          <w:tcPr>
            <w:tcW w:w="20" w:type="dxa"/>
            <w:vAlign w:val="bottom"/>
          </w:tcPr>
          <w:p>
            <w:pPr>
              <w:spacing w:after="0"/>
              <w:rPr>
                <w:sz w:val="19"/>
                <w:szCs w:val="19"/>
                <w:color w:val="auto"/>
              </w:rPr>
            </w:pPr>
          </w:p>
        </w:tc>
        <w:tc>
          <w:tcPr>
            <w:tcW w:w="98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2023, 2022 and 2021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20" w:type="dxa"/>
            <w:vAlign w:val="bottom"/>
          </w:tcPr>
          <w:p>
            <w:pPr>
              <w:spacing w:after="0" w:line="20" w:lineRule="exact"/>
              <w:rPr>
                <w:sz w:val="1"/>
                <w:szCs w:val="1"/>
                <w:color w:val="auto"/>
              </w:rPr>
            </w:pPr>
          </w:p>
        </w:tc>
        <w:tc>
          <w:tcPr>
            <w:tcW w:w="316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2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(Loss) for the years ended December 31, 2023, 2022 and 2021</w:t>
            </w:r>
          </w:p>
        </w:tc>
        <w:tc>
          <w:tcPr>
            <w:tcW w:w="1540" w:type="dxa"/>
            <w:vAlign w:val="bottom"/>
            <w:gridSpan w:val="3"/>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20" w:type="dxa"/>
            <w:vAlign w:val="bottom"/>
          </w:tcPr>
          <w:p>
            <w:pPr>
              <w:spacing w:after="0"/>
              <w:rPr>
                <w:sz w:val="19"/>
                <w:szCs w:val="19"/>
                <w:color w:val="auto"/>
              </w:rPr>
            </w:pPr>
          </w:p>
        </w:tc>
        <w:tc>
          <w:tcPr>
            <w:tcW w:w="98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2023 and 2022</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20" w:type="dxa"/>
            <w:vAlign w:val="bottom"/>
          </w:tcPr>
          <w:p>
            <w:pPr>
              <w:spacing w:after="0" w:line="20" w:lineRule="exact"/>
              <w:rPr>
                <w:sz w:val="1"/>
                <w:szCs w:val="1"/>
                <w:color w:val="auto"/>
              </w:rPr>
            </w:pPr>
          </w:p>
        </w:tc>
        <w:tc>
          <w:tcPr>
            <w:tcW w:w="316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8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 for the years ended December 31, 2023, 2022 and 2021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20" w:type="dxa"/>
            <w:vAlign w:val="bottom"/>
          </w:tcPr>
          <w:p>
            <w:pPr>
              <w:spacing w:after="0"/>
              <w:rPr>
                <w:sz w:val="19"/>
                <w:szCs w:val="19"/>
                <w:color w:val="auto"/>
              </w:rPr>
            </w:pPr>
          </w:p>
        </w:tc>
        <w:tc>
          <w:tcPr>
            <w:tcW w:w="69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2023, 2022 and 2021</w:t>
            </w:r>
          </w:p>
        </w:tc>
        <w:tc>
          <w:tcPr>
            <w:tcW w:w="1520" w:type="dxa"/>
            <w:vAlign w:val="bottom"/>
            <w:tcBorders>
              <w:top w:val="single" w:sz="8" w:color="0000FF"/>
            </w:tcBorders>
            <w:gridSpan w:val="2"/>
          </w:tcPr>
          <w:p>
            <w:pPr>
              <w:spacing w:after="0"/>
              <w:rPr>
                <w:sz w:val="19"/>
                <w:szCs w:val="19"/>
                <w:color w:val="auto"/>
              </w:rPr>
            </w:pPr>
          </w:p>
        </w:tc>
        <w:tc>
          <w:tcPr>
            <w:tcW w:w="1400" w:type="dxa"/>
            <w:vAlign w:val="bottom"/>
            <w:gridSpan w:val="2"/>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20" w:type="dxa"/>
            <w:vAlign w:val="bottom"/>
          </w:tcPr>
          <w:p>
            <w:pPr>
              <w:spacing w:after="0"/>
              <w:rPr>
                <w:sz w:val="19"/>
                <w:szCs w:val="19"/>
                <w:color w:val="auto"/>
              </w:rPr>
            </w:pPr>
          </w:p>
        </w:tc>
        <w:tc>
          <w:tcPr>
            <w:tcW w:w="98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20" w:type="dxa"/>
            <w:vAlign w:val="bottom"/>
          </w:tcPr>
          <w:p>
            <w:pPr>
              <w:spacing w:after="0" w:line="20" w:lineRule="exact"/>
              <w:rPr>
                <w:sz w:val="1"/>
                <w:szCs w:val="1"/>
                <w:color w:val="auto"/>
              </w:rPr>
            </w:pPr>
          </w:p>
        </w:tc>
        <w:tc>
          <w:tcPr>
            <w:tcW w:w="3160" w:type="dxa"/>
            <w:vAlign w:val="bottom"/>
            <w:tcBorders>
              <w:right w:val="single" w:sz="8" w:color="0000EE"/>
            </w:tcBorders>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2" w:right="35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Tripadvisor, Inc.:</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Tripadvisor, Inc. and subsidiaries (the Company) as of December 31, 2023 and 2022, the related consolidated statements of operations, comprehensive income (loss), changes in stockholders’ equity, and cash flows for each of the years in the three-year period ended December 31, 2023, and the related notes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w:t>
      </w:r>
    </w:p>
    <w:p>
      <w:pPr>
        <w:spacing w:after="0" w:line="186"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16, 2024 expressed an unqualified opinion on the effectiveness of the Company’s internal control over financial reporting.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2"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Matters</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Evaluation of unrecognized tax benefits related to transfer pricing</w:t>
      </w:r>
    </w:p>
    <w:p>
      <w:pPr>
        <w:spacing w:after="0" w:line="119" w:lineRule="exact"/>
        <w:rPr>
          <w:sz w:val="20"/>
          <w:szCs w:val="20"/>
          <w:color w:val="auto"/>
        </w:rPr>
      </w:pPr>
    </w:p>
    <w:p>
      <w:pPr>
        <w:ind w:left="760" w:right="40"/>
        <w:spacing w:after="0" w:line="265" w:lineRule="auto"/>
        <w:rPr>
          <w:sz w:val="20"/>
          <w:szCs w:val="20"/>
          <w:color w:val="auto"/>
        </w:rPr>
      </w:pPr>
      <w:r>
        <w:rPr>
          <w:rFonts w:ascii="Times New Roman" w:cs="Times New Roman" w:eastAsia="Times New Roman" w:hAnsi="Times New Roman"/>
          <w:sz w:val="18"/>
          <w:szCs w:val="18"/>
          <w:color w:val="auto"/>
        </w:rPr>
        <w:t>As discussed in Notes 2 and 10 to the consolidated financial statements, during the year ended December 31, 2023, the Company recorded additional income tax expense and transfer pricing income tax reserves, inclusive of estimated interest, of $24 million for open tax periods based on a review of the impact of a settlement for certain transfer pricing arrangements between its U.S. subsidiaries and foreign subsidiaries</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2" w:right="379" w:bottom="1440" w:gutter="0" w:footer="0" w:header="0"/>
        </w:sectPr>
      </w:pPr>
    </w:p>
    <w:bookmarkStart w:id="58" w:name="page59"/>
    <w:bookmarkEnd w:id="58"/>
    <w:p>
      <w:pPr>
        <w:spacing w:after="0" w:line="84"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for the 2009 through 2011 tax years. The Company records a liability to address uncertain tax positions taken in previously filed tax returns or that the Company expects to take in a future tax return. The determination to record a liability is based upon an analysis of each individual tax position, taking into consideration whether it is more likely than not that the tax position, based on technical merits, will be sustained upon examination.</w:t>
      </w:r>
    </w:p>
    <w:p>
      <w:pPr>
        <w:spacing w:after="0" w:line="182"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We identified the evaluation of certain inputs to the estimate of unrecognized tax benefits related to transfer pricing as a critical audit matter. Complex auditor judgment, including specialized skills and knowledge, was required in assessing estimated unrecognized tax benefits related to transfer pricing based on interpretation of tax laws and regulations and settlements.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w:t>
      </w:r>
    </w:p>
    <w:p>
      <w:pPr>
        <w:spacing w:after="0" w:line="117" w:lineRule="exact"/>
        <w:rPr>
          <w:sz w:val="20"/>
          <w:szCs w:val="20"/>
          <w:color w:val="auto"/>
        </w:rPr>
      </w:pPr>
    </w:p>
    <w:p>
      <w:pPr>
        <w:ind w:left="740" w:right="560" w:hanging="369"/>
        <w:spacing w:after="0" w:line="281" w:lineRule="auto"/>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design and tested the operating effectiveness of an internal control over the Company's process for estimating unrecognized tax benefits related to transfer pricing, including a control related to certain inputs to the estimate.</w:t>
      </w:r>
    </w:p>
    <w:p>
      <w:pPr>
        <w:spacing w:after="0" w:line="54" w:lineRule="exact"/>
        <w:rPr>
          <w:rFonts w:ascii="Times New Roman" w:cs="Times New Roman" w:eastAsia="Times New Roman" w:hAnsi="Times New Roman"/>
          <w:sz w:val="18"/>
          <w:szCs w:val="18"/>
          <w:color w:val="auto"/>
        </w:rPr>
      </w:pPr>
    </w:p>
    <w:p>
      <w:pPr>
        <w:ind w:left="740" w:right="520" w:hanging="369"/>
        <w:spacing w:after="0" w:line="265" w:lineRule="auto"/>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involved tax professionals with specialized skills and knowledge, who assisted in analyzing certain inputs to the Company’s determination of unrecognized tax benefits related to transfer pricing based on interpretation of tax laws and regulations and settlements.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Sufficiency of audit evidence over revenue</w:t>
      </w:r>
    </w:p>
    <w:p>
      <w:pPr>
        <w:spacing w:after="0" w:line="119"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7"/>
          <w:szCs w:val="17"/>
          <w:color w:val="auto"/>
        </w:rPr>
        <w:t>As discussed in Notes 2 and 18 to the consolidated financial statements, and disclosed in the consolidated statements of operations, the Company had $1,788 million in revenue, net of intersegment revenue of $134 million, for the year ended December 31, 2023, of which $1,031 million was Brand Tripadvisor related, $737 million was Viator related and $154 million was TheFork related. Each of these categories of revenue has multiple revenue streams and the Company's processes and information technology (IT) systems differ between each revenue stream.</w:t>
      </w:r>
    </w:p>
    <w:p>
      <w:pPr>
        <w:spacing w:after="0" w:line="16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identified the evaluation of sufficiency of audit evidence over revenue as a critical audit matter. This matter required especially subjective auditor judgment due to the number of revenue streams and the related IT applications utilized throughout the revenue recognition processes. Subjective auditor judgment was required to evaluate that relevant revenue data was captured and aggregated throughout these various IT applications. This matter also included determining the revenue streams over which procedures would be performed and evaluating the nature and extent of evidence obtained over each revenue stream, both of which included the involvement of IT professionals with specialized skills and knowledge.</w:t>
      </w:r>
    </w:p>
    <w:p>
      <w:pPr>
        <w:spacing w:after="0" w:line="186"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applied auditor judgment to determine the nature and extent of procedures to be performed over revenue. For each revenue stream where procedures were performed:</w:t>
      </w:r>
    </w:p>
    <w:p>
      <w:pPr>
        <w:spacing w:after="0" w:line="55" w:lineRule="exact"/>
        <w:rPr>
          <w:sz w:val="20"/>
          <w:szCs w:val="20"/>
          <w:color w:val="auto"/>
        </w:rPr>
      </w:pPr>
    </w:p>
    <w:p>
      <w:pPr>
        <w:ind w:left="740" w:right="460" w:hanging="369"/>
        <w:spacing w:after="0" w:line="281" w:lineRule="auto"/>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design and tested the operating effectiveness of certain internal controls related to the critical audit matter. This included controls related to accurate recording of amounts.</w:t>
      </w:r>
    </w:p>
    <w:p>
      <w:pPr>
        <w:spacing w:after="0" w:line="54" w:lineRule="exact"/>
        <w:rPr>
          <w:rFonts w:ascii="Times New Roman" w:cs="Times New Roman" w:eastAsia="Times New Roman" w:hAnsi="Times New Roman"/>
          <w:sz w:val="18"/>
          <w:szCs w:val="18"/>
          <w:color w:val="auto"/>
        </w:rPr>
      </w:pPr>
    </w:p>
    <w:p>
      <w:pPr>
        <w:ind w:left="740" w:right="560" w:hanging="369"/>
        <w:spacing w:after="0" w:line="281" w:lineRule="auto"/>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certain revenue streams, we assessed the recorded revenue by selecting a sample of transactions and compared the amounts recognized for consistency with underlying documentation, including evidence of contracts with customers.</w:t>
      </w:r>
    </w:p>
    <w:p>
      <w:pPr>
        <w:spacing w:after="0" w:line="54" w:lineRule="exact"/>
        <w:rPr>
          <w:rFonts w:ascii="Times New Roman" w:cs="Times New Roman" w:eastAsia="Times New Roman" w:hAnsi="Times New Roman"/>
          <w:sz w:val="18"/>
          <w:szCs w:val="18"/>
          <w:color w:val="auto"/>
        </w:rPr>
      </w:pPr>
    </w:p>
    <w:p>
      <w:pPr>
        <w:ind w:left="740" w:right="340" w:hanging="369"/>
        <w:spacing w:after="0" w:line="281" w:lineRule="auto"/>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certain revenue streams, we assessed the recorded revenue by comparing the total cash received during the year to the revenue recognized, including evaluating the relevance and reliability of the inputs to the assessment.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involved IT professionals with specialized skills and knowledge, who assisted in:</w:t>
      </w:r>
    </w:p>
    <w:p>
      <w:pPr>
        <w:spacing w:after="0" w:line="117" w:lineRule="exact"/>
        <w:rPr>
          <w:sz w:val="20"/>
          <w:szCs w:val="20"/>
          <w:color w:val="auto"/>
        </w:rPr>
      </w:pPr>
    </w:p>
    <w:p>
      <w:pPr>
        <w:ind w:left="4780" w:right="3260" w:hanging="4409"/>
        <w:spacing w:after="0" w:line="781" w:lineRule="auto"/>
        <w:tabs>
          <w:tab w:leader="none" w:pos="75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certain IT applications used by the Company in its revenue recognition processes.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170815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440" w:right="359" w:bottom="1440" w:gutter="0" w:footer="0" w:header="0"/>
        </w:sectPr>
      </w:pPr>
    </w:p>
    <w:bookmarkStart w:id="59" w:name="page60"/>
    <w:bookmarkEnd w:id="59"/>
    <w:p>
      <w:pPr>
        <w:spacing w:after="0" w:line="84" w:lineRule="exact"/>
        <w:rPr>
          <w:sz w:val="20"/>
          <w:szCs w:val="20"/>
          <w:color w:val="auto"/>
        </w:rPr>
      </w:pPr>
    </w:p>
    <w:p>
      <w:pPr>
        <w:ind w:left="760" w:right="599" w:firstLine="371"/>
        <w:spacing w:after="0" w:line="531" w:lineRule="auto"/>
        <w:tabs>
          <w:tab w:leader="none" w:pos="150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transfer of relevant revenue data between certain systems used in the revenue recognition processes. We evaluated the sufficiency of audit evidence obtained by assessing the results of procedures performed.</w:t>
      </w:r>
    </w:p>
    <w:p>
      <w:pPr>
        <w:spacing w:after="0" w:line="95"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16, 2024</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0" w:name="page61"/>
    <w:bookmarkEnd w:id="6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8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(Note 2, Note 18)</w:t>
            </w:r>
          </w:p>
        </w:tc>
        <w:tc>
          <w:tcPr>
            <w:tcW w:w="860" w:type="dxa"/>
            <w:vAlign w:val="bottom"/>
            <w:shd w:val="clear" w:color="auto" w:fill="CFF0FC"/>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8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shd w:val="clear" w:color="auto" w:fill="CFF0FC"/>
          </w:tcPr>
          <w:p>
            <w:pPr>
              <w:spacing w:after="0"/>
              <w:rPr>
                <w:sz w:val="20"/>
                <w:szCs w:val="20"/>
                <w:color w:val="auto"/>
              </w:rPr>
            </w:pPr>
          </w:p>
        </w:tc>
      </w:tr>
      <w:tr>
        <w:trPr>
          <w:trHeight w:val="243"/>
        </w:trPr>
        <w:tc>
          <w:tcPr>
            <w:tcW w:w="66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8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revenue (1) (exclusive of depreciation and amortization as shown separately</w:t>
            </w: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below)</w:t>
            </w:r>
          </w:p>
        </w:tc>
        <w:tc>
          <w:tcPr>
            <w:tcW w:w="8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0"/>
                <w:szCs w:val="20"/>
                <w:color w:val="auto"/>
              </w:rPr>
            </w:pPr>
          </w:p>
        </w:tc>
      </w:tr>
      <w:tr>
        <w:trPr>
          <w:trHeight w:val="249"/>
        </w:trPr>
        <w:tc>
          <w:tcPr>
            <w:tcW w:w="6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and marketing (1)</w:t>
            </w:r>
          </w:p>
        </w:tc>
        <w:tc>
          <w:tcPr>
            <w:tcW w:w="86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shd w:val="clear" w:color="auto" w:fill="CFF0FC"/>
          </w:tcPr>
          <w:p>
            <w:pPr>
              <w:spacing w:after="0"/>
              <w:rPr>
                <w:sz w:val="21"/>
                <w:szCs w:val="21"/>
                <w:color w:val="auto"/>
              </w:rPr>
            </w:pPr>
          </w:p>
        </w:tc>
      </w:tr>
      <w:tr>
        <w:trPr>
          <w:trHeight w:val="238"/>
        </w:trPr>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Technology and content (1)</w:t>
            </w:r>
          </w:p>
        </w:tc>
        <w:tc>
          <w:tcPr>
            <w:tcW w:w="8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20"/>
                <w:szCs w:val="20"/>
                <w:color w:val="auto"/>
              </w:rPr>
            </w:pPr>
          </w:p>
        </w:tc>
      </w:tr>
      <w:tr>
        <w:trPr>
          <w:trHeight w:val="247"/>
        </w:trPr>
        <w:tc>
          <w:tcPr>
            <w:tcW w:w="6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 (1)</w:t>
            </w:r>
          </w:p>
        </w:tc>
        <w:tc>
          <w:tcPr>
            <w:tcW w:w="86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FF0FC"/>
          </w:tcPr>
          <w:p>
            <w:pPr>
              <w:spacing w:after="0"/>
              <w:rPr>
                <w:sz w:val="21"/>
                <w:szCs w:val="21"/>
                <w:color w:val="auto"/>
              </w:rPr>
            </w:pPr>
          </w:p>
        </w:tc>
      </w:tr>
      <w:tr>
        <w:trPr>
          <w:trHeight w:val="238"/>
        </w:trPr>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0"/>
                <w:szCs w:val="20"/>
                <w:color w:val="auto"/>
              </w:rPr>
            </w:pPr>
          </w:p>
        </w:tc>
      </w:tr>
      <w:tr>
        <w:trPr>
          <w:trHeight w:val="247"/>
        </w:trPr>
        <w:tc>
          <w:tcPr>
            <w:tcW w:w="6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and other related reorganization costs (Note 7)</w:t>
            </w:r>
          </w:p>
        </w:tc>
        <w:tc>
          <w:tcPr>
            <w:tcW w:w="86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86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8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24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Borders>
              <w:top w:val="single" w:sz="8" w:color="CFF0FC"/>
            </w:tcBorders>
          </w:tcPr>
          <w:p>
            <w:pPr>
              <w:spacing w:after="0"/>
              <w:rPr>
                <w:sz w:val="20"/>
                <w:szCs w:val="20"/>
                <w:color w:val="auto"/>
              </w:rPr>
            </w:pPr>
          </w:p>
        </w:tc>
      </w:tr>
      <w:tr>
        <w:trPr>
          <w:trHeight w:val="236"/>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86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(131 )</w:t>
            </w:r>
          </w:p>
        </w:tc>
      </w:tr>
      <w:tr>
        <w:trPr>
          <w:trHeight w:val="238"/>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(44 )</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(45 )</w:t>
            </w:r>
          </w:p>
        </w:tc>
      </w:tr>
      <w:tr>
        <w:trPr>
          <w:trHeight w:val="238"/>
        </w:trPr>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8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47"/>
        </w:trPr>
        <w:tc>
          <w:tcPr>
            <w:tcW w:w="6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(expense), net (Note 16)</w:t>
            </w:r>
          </w:p>
        </w:tc>
        <w:tc>
          <w:tcPr>
            <w:tcW w:w="86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(5 )</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r>
      <w:tr>
        <w:trPr>
          <w:trHeight w:val="20"/>
        </w:trPr>
        <w:tc>
          <w:tcPr>
            <w:tcW w:w="668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86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(34 )</w:t>
            </w: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(54 )</w:t>
            </w:r>
          </w:p>
        </w:tc>
      </w:tr>
      <w:tr>
        <w:trPr>
          <w:trHeight w:val="20"/>
        </w:trPr>
        <w:tc>
          <w:tcPr>
            <w:tcW w:w="66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6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(185 )</w:t>
            </w:r>
          </w:p>
        </w:tc>
      </w:tr>
      <w:tr>
        <w:trPr>
          <w:trHeight w:val="243"/>
        </w:trPr>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benefit for income taxes (Note 10)</w:t>
            </w:r>
          </w:p>
        </w:tc>
        <w:tc>
          <w:tcPr>
            <w:tcW w:w="86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(47 )</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r>
      <w:tr>
        <w:trPr>
          <w:trHeight w:val="20"/>
        </w:trPr>
        <w:tc>
          <w:tcPr>
            <w:tcW w:w="66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6"/>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60" w:type="dxa"/>
            <w:vAlign w:val="bottom"/>
            <w:shd w:val="clear" w:color="auto" w:fill="CFF0FC"/>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FF0FC"/>
          </w:tcPr>
          <w:p>
            <w:pPr>
              <w:spacing w:after="0"/>
              <w:rPr>
                <w:sz w:val="24"/>
                <w:szCs w:val="24"/>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(148 )</w:t>
            </w:r>
          </w:p>
        </w:tc>
      </w:tr>
      <w:tr>
        <w:trPr>
          <w:trHeight w:val="223"/>
        </w:trPr>
        <w:tc>
          <w:tcPr>
            <w:tcW w:w="6680" w:type="dxa"/>
            <w:vAlign w:val="bottom"/>
            <w:tcBorders>
              <w:top w:val="single" w:sz="8" w:color="CFF0FC"/>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3"/>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(loss) per share attributable to common stockholders (Note 15):</w:t>
            </w:r>
          </w:p>
        </w:tc>
        <w:tc>
          <w:tcPr>
            <w:tcW w:w="8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86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tcPr>
          <w:p>
            <w:pPr>
              <w:spacing w:after="0"/>
              <w:rPr>
                <w:sz w:val="20"/>
                <w:szCs w:val="20"/>
                <w:color w:val="auto"/>
              </w:rPr>
            </w:pP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(1.08 )</w:t>
            </w:r>
          </w:p>
        </w:tc>
      </w:tr>
      <w:tr>
        <w:trPr>
          <w:trHeight w:val="247"/>
        </w:trPr>
        <w:tc>
          <w:tcPr>
            <w:tcW w:w="6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860" w:type="dxa"/>
            <w:vAlign w:val="bottom"/>
            <w:shd w:val="clear" w:color="auto" w:fill="CFF0FC"/>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(1.08 )</w:t>
            </w:r>
          </w:p>
        </w:tc>
      </w:tr>
      <w:tr>
        <w:trPr>
          <w:trHeight w:val="243"/>
        </w:trPr>
        <w:tc>
          <w:tcPr>
            <w:tcW w:w="66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1"/>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 used to compute net income (loss) per share attributable to common</w:t>
            </w: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(Note 15):</w:t>
            </w:r>
          </w:p>
        </w:tc>
        <w:tc>
          <w:tcPr>
            <w:tcW w:w="8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86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0"/>
                <w:szCs w:val="20"/>
                <w:color w:val="auto"/>
              </w:rPr>
            </w:pP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(148 )</w:t>
            </w:r>
          </w:p>
        </w:tc>
      </w:tr>
      <w:tr>
        <w:trPr>
          <w:trHeight w:val="247"/>
        </w:trPr>
        <w:tc>
          <w:tcPr>
            <w:tcW w:w="6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860" w:type="dxa"/>
            <w:vAlign w:val="bottom"/>
            <w:shd w:val="clear" w:color="auto" w:fill="CFF0FC"/>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(148 )</w:t>
            </w:r>
          </w:p>
        </w:tc>
      </w:tr>
      <w:tr>
        <w:trPr>
          <w:trHeight w:val="243"/>
        </w:trPr>
        <w:tc>
          <w:tcPr>
            <w:tcW w:w="66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(Note 15):</w:t>
            </w:r>
          </w:p>
        </w:tc>
        <w:tc>
          <w:tcPr>
            <w:tcW w:w="8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8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0"/>
                <w:szCs w:val="20"/>
                <w:color w:val="auto"/>
              </w:rPr>
            </w:pPr>
          </w:p>
        </w:tc>
      </w:tr>
      <w:tr>
        <w:trPr>
          <w:trHeight w:val="247"/>
        </w:trPr>
        <w:tc>
          <w:tcPr>
            <w:tcW w:w="6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86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FF0FC"/>
          </w:tcPr>
          <w:p>
            <w:pPr>
              <w:spacing w:after="0"/>
              <w:rPr>
                <w:sz w:val="21"/>
                <w:szCs w:val="21"/>
                <w:color w:val="auto"/>
              </w:rPr>
            </w:pPr>
          </w:p>
        </w:tc>
      </w:tr>
      <w:tr>
        <w:trPr>
          <w:trHeight w:val="243"/>
        </w:trPr>
        <w:tc>
          <w:tcPr>
            <w:tcW w:w="66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 Includes stock-based compensation expense as follows (Note 13):</w:t>
            </w:r>
          </w:p>
        </w:tc>
        <w:tc>
          <w:tcPr>
            <w:tcW w:w="860" w:type="dxa"/>
            <w:vAlign w:val="bottom"/>
            <w:shd w:val="clear" w:color="auto" w:fill="CFF0FC"/>
          </w:tcPr>
          <w:p>
            <w:pPr>
              <w:spacing w:after="0"/>
              <w:rPr>
                <w:sz w:val="23"/>
                <w:szCs w:val="23"/>
                <w:color w:val="auto"/>
              </w:rPr>
            </w:pPr>
          </w:p>
        </w:tc>
        <w:tc>
          <w:tcPr>
            <w:tcW w:w="48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100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10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r>
      <w:tr>
        <w:trPr>
          <w:trHeight w:val="238"/>
        </w:trPr>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revenue</w:t>
            </w:r>
          </w:p>
        </w:tc>
        <w:tc>
          <w:tcPr>
            <w:tcW w:w="86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47"/>
        </w:trPr>
        <w:tc>
          <w:tcPr>
            <w:tcW w:w="6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and marketing</w:t>
            </w:r>
          </w:p>
        </w:tc>
        <w:tc>
          <w:tcPr>
            <w:tcW w:w="860" w:type="dxa"/>
            <w:vAlign w:val="bottom"/>
            <w:shd w:val="clear" w:color="auto" w:fill="CFF0FC"/>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21"/>
                <w:szCs w:val="21"/>
                <w:color w:val="auto"/>
              </w:rPr>
            </w:pPr>
          </w:p>
        </w:tc>
      </w:tr>
      <w:tr>
        <w:trPr>
          <w:trHeight w:val="238"/>
        </w:trPr>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Technology and content</w:t>
            </w:r>
          </w:p>
        </w:tc>
        <w:tc>
          <w:tcPr>
            <w:tcW w:w="86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0"/>
                <w:szCs w:val="20"/>
                <w:color w:val="auto"/>
              </w:rPr>
            </w:pP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p>
        </w:tc>
      </w:tr>
      <w:tr>
        <w:trPr>
          <w:trHeight w:val="247"/>
        </w:trPr>
        <w:tc>
          <w:tcPr>
            <w:tcW w:w="6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shd w:val="clear" w:color="auto" w:fill="CFF0FC"/>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-4537710</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-4537710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-4537710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-3595370</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-3595370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-3595370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-2953385</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-2936240</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-2953385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-2936240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-2953385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-2936240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61" w:name="page62"/>
    <w:bookmarkEnd w:id="6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2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6660" w:type="dxa"/>
            <w:vAlign w:val="bottom"/>
          </w:tcPr>
          <w:p>
            <w:pPr>
              <w:spacing w:after="0"/>
              <w:rPr>
                <w:sz w:val="16"/>
                <w:szCs w:val="16"/>
                <w:color w:val="auto"/>
              </w:rPr>
            </w:pPr>
          </w:p>
        </w:tc>
        <w:tc>
          <w:tcPr>
            <w:tcW w:w="9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(148 )</w:t>
            </w:r>
          </w:p>
        </w:tc>
      </w:tr>
      <w:tr>
        <w:trPr>
          <w:trHeight w:val="23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 net of tax (1)</w:t>
            </w:r>
          </w:p>
        </w:tc>
        <w:tc>
          <w:tcPr>
            <w:tcW w:w="98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(27 )</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(24 )</w:t>
            </w:r>
          </w:p>
        </w:tc>
      </w:tr>
      <w:tr>
        <w:trPr>
          <w:trHeight w:val="243"/>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Reclassification adjustments included in net income (loss), net of tax</w:t>
            </w:r>
          </w:p>
        </w:tc>
        <w:tc>
          <w:tcPr>
            <w:tcW w:w="9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r>
      <w:tr>
        <w:trPr>
          <w:trHeight w:val="23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98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(26 )</w:t>
            </w:r>
          </w:p>
        </w:tc>
        <w:tc>
          <w:tcPr>
            <w:tcW w:w="3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(22 )</w:t>
            </w:r>
          </w:p>
        </w:tc>
      </w:tr>
      <w:tr>
        <w:trPr>
          <w:trHeight w:val="20"/>
        </w:trPr>
        <w:tc>
          <w:tcPr>
            <w:tcW w:w="66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98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(170 )</w:t>
            </w:r>
          </w:p>
        </w:tc>
      </w:tr>
      <w:tr>
        <w:trPr>
          <w:trHeight w:val="20"/>
        </w:trPr>
        <w:tc>
          <w:tcPr>
            <w:tcW w:w="66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5082540</wp:posOffset>
            </wp:positionH>
            <wp:positionV relativeFrom="paragraph">
              <wp:posOffset>-187960</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-187960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2"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Deferred income tax liabilities related to these amounts are not material. Refer to “Note 10: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for further information.</w:t>
      </w:r>
    </w:p>
    <w:p>
      <w:pPr>
        <w:spacing w:after="0" w:line="231" w:lineRule="exact"/>
        <w:rPr>
          <w:rFonts w:ascii="Times New Roman" w:cs="Times New Roman" w:eastAsia="Times New Roman" w:hAnsi="Times New Roman"/>
          <w:sz w:val="16"/>
          <w:szCs w:val="16"/>
          <w:color w:val="auto"/>
        </w:rPr>
      </w:pPr>
    </w:p>
    <w:p>
      <w:pPr>
        <w:ind w:left="2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62" w:name="page63"/>
    <w:bookmarkEnd w:id="6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 except number of shares and per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5"/>
                <w:szCs w:val="15"/>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 (Note 3)</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 net (allowance for expected credit losses of $21 and $28, respectively) (Note 2, Note 3)</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Pr>
          <w:p>
            <w:pPr>
              <w:spacing w:after="0"/>
              <w:rPr>
                <w:sz w:val="19"/>
                <w:szCs w:val="19"/>
                <w:color w:val="auto"/>
              </w:rPr>
            </w:pPr>
          </w:p>
        </w:tc>
      </w:tr>
      <w:tr>
        <w:trPr>
          <w:trHeight w:val="236"/>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100" w:type="dxa"/>
            <w:vAlign w:val="bottom"/>
          </w:tcPr>
          <w:p>
            <w:pPr>
              <w:spacing w:after="0"/>
              <w:rPr>
                <w:sz w:val="18"/>
                <w:szCs w:val="18"/>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Property and equipment, net (Note 4, Note 5)</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right-of-use assets (Note 5)</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Intangible assets, net (Note 6)</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Goodwill (Note 6)</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Non-marketable investments (Note 3)</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income taxes, net (Note 10)</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9"/>
                <w:szCs w:val="19"/>
                <w:color w:val="auto"/>
              </w:rPr>
            </w:pPr>
          </w:p>
        </w:tc>
      </w:tr>
      <w:tr>
        <w:trPr>
          <w:trHeight w:val="236"/>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long-term assets, net of allowance for credit losses of $10 and $10, respectively</w:t>
            </w:r>
          </w:p>
        </w:tc>
        <w:tc>
          <w:tcPr>
            <w:tcW w:w="2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2,537</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2,569</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merchant payables (Note 2)</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revenue (Note 2)</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FF0FC"/>
          </w:tcPr>
          <w:p>
            <w:pPr>
              <w:spacing w:after="0"/>
              <w:rPr>
                <w:sz w:val="20"/>
                <w:szCs w:val="20"/>
                <w:color w:val="auto"/>
              </w:rPr>
            </w:pPr>
          </w:p>
        </w:tc>
      </w:tr>
      <w:tr>
        <w:trPr>
          <w:trHeight w:val="226"/>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expenses and other current liabilities (Note 7)</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Pr>
          <w:p>
            <w:pPr>
              <w:spacing w:after="0"/>
              <w:rPr>
                <w:sz w:val="19"/>
                <w:szCs w:val="19"/>
                <w:color w:val="auto"/>
              </w:rPr>
            </w:pPr>
          </w:p>
        </w:tc>
      </w:tr>
      <w:tr>
        <w:trPr>
          <w:trHeight w:val="22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100" w:type="dxa"/>
            <w:vAlign w:val="bottom"/>
            <w:shd w:val="clear" w:color="auto" w:fill="CFF0FC"/>
          </w:tcPr>
          <w:p>
            <w:pPr>
              <w:spacing w:after="0"/>
              <w:rPr>
                <w:sz w:val="19"/>
                <w:szCs w:val="19"/>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Long-term debt (Note 8)</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Finance lease obligation, net of current portion (Note 5)</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liabilities, net of current portion (Note 5)</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income taxes, net (Note 10)</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20"/>
                <w:szCs w:val="20"/>
                <w:color w:val="auto"/>
              </w:rPr>
            </w:pPr>
          </w:p>
        </w:tc>
      </w:tr>
      <w:tr>
        <w:trPr>
          <w:trHeight w:val="226"/>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long-term liabilities (Note 9)</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Pr>
          <w:p>
            <w:pPr>
              <w:spacing w:after="0"/>
              <w:rPr>
                <w:sz w:val="19"/>
                <w:szCs w:val="19"/>
                <w:color w:val="auto"/>
              </w:rPr>
            </w:pPr>
          </w:p>
        </w:tc>
      </w:tr>
      <w:tr>
        <w:trPr>
          <w:trHeight w:val="22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1,666</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Stockholders’ equity: (Note 14)</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Preferred stock, $0.001 par value</w:t>
            </w:r>
          </w:p>
        </w:tc>
        <w:tc>
          <w:tcPr>
            <w:tcW w:w="24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Authorized shares: 100,000,000</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Shares issued and outstanding: 0 and 0, respectively</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24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Authorized shares: 1,600,000,000</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Shares issued: 149,775,361 and 146,891,538, respectively</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Shares outstanding: 124,881,494 and 128,046,924, respectively</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Class B common stock, $0.001 par value</w:t>
            </w:r>
          </w:p>
        </w:tc>
        <w:tc>
          <w:tcPr>
            <w:tcW w:w="24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Authorized shares: 400,000,000</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Shares issued and outstanding: 12,799,999 and 12,799,999, respectively</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4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(71 )</w:t>
            </w:r>
          </w:p>
        </w:tc>
        <w:tc>
          <w:tcPr>
            <w:tcW w:w="22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(82 )</w:t>
            </w:r>
          </w:p>
        </w:tc>
      </w:tr>
      <w:tr>
        <w:trPr>
          <w:trHeight w:val="232"/>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Treasury stock-common stock, at cost, 24,893,867 and 18,844,614 shares, respectively</w:t>
            </w:r>
          </w:p>
        </w:tc>
        <w:tc>
          <w:tcPr>
            <w:tcW w:w="24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(822 )</w:t>
            </w: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(722 )</w:t>
            </w:r>
          </w:p>
        </w:tc>
      </w:tr>
      <w:tr>
        <w:trPr>
          <w:trHeight w:val="226"/>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260" w:type="dxa"/>
            <w:vAlign w:val="bottom"/>
            <w:tcBorders>
              <w:top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00" w:type="dxa"/>
            <w:vAlign w:val="bottom"/>
            <w:tcBorders>
              <w:top w:val="single" w:sz="8" w:color="CFF0FC"/>
            </w:tcBorders>
          </w:tcPr>
          <w:p>
            <w:pPr>
              <w:spacing w:after="0"/>
              <w:rPr>
                <w:sz w:val="19"/>
                <w:szCs w:val="19"/>
                <w:color w:val="auto"/>
              </w:rPr>
            </w:pPr>
          </w:p>
        </w:tc>
      </w:tr>
      <w:tr>
        <w:trPr>
          <w:trHeight w:val="26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2,537</w:t>
            </w:r>
          </w:p>
        </w:tc>
        <w:tc>
          <w:tcPr>
            <w:tcW w:w="26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2,569</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-5932805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-5932805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-4759960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-4759960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-2670810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-2670810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-333375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63" w:name="page64"/>
    <w:bookmarkEnd w:id="6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 except number of shares)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2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ind w:left="560"/>
              <w:spacing w:after="0"/>
              <w:rPr>
                <w:sz w:val="20"/>
                <w:szCs w:val="20"/>
                <w:color w:val="auto"/>
              </w:rPr>
            </w:pPr>
            <w:r>
              <w:rPr>
                <w:rFonts w:ascii="Times New Roman" w:cs="Times New Roman" w:eastAsia="Times New Roman" w:hAnsi="Times New Roman"/>
                <w:sz w:val="12"/>
                <w:szCs w:val="12"/>
                <w:b w:val="1"/>
                <w:bCs w:val="1"/>
                <w:color w:val="auto"/>
              </w:rPr>
              <w:t>Class B</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8"/>
              </w:rPr>
              <w:t>Additional</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2680" w:type="dxa"/>
            <w:vAlign w:val="bottom"/>
          </w:tcPr>
          <w:p>
            <w:pPr>
              <w:spacing w:after="0"/>
              <w:rPr>
                <w:sz w:val="14"/>
                <w:szCs w:val="14"/>
                <w:color w:val="auto"/>
              </w:rPr>
            </w:pPr>
          </w:p>
        </w:tc>
        <w:tc>
          <w:tcPr>
            <w:tcW w:w="120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7"/>
              </w:rPr>
              <w:t>paid-in</w:t>
            </w:r>
          </w:p>
        </w:tc>
        <w:tc>
          <w:tcPr>
            <w:tcW w:w="80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112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2"/>
                <w:szCs w:val="12"/>
                <w:b w:val="1"/>
                <w:bCs w:val="1"/>
                <w:color w:val="auto"/>
                <w:w w:val="98"/>
              </w:rPr>
              <w:t>Treasury stock</w:t>
            </w:r>
          </w:p>
        </w:tc>
        <w:tc>
          <w:tcPr>
            <w:tcW w:w="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2"/>
        </w:trPr>
        <w:tc>
          <w:tcPr>
            <w:tcW w:w="2680" w:type="dxa"/>
            <w:vAlign w:val="bottom"/>
          </w:tcPr>
          <w:p>
            <w:pPr>
              <w:spacing w:after="0"/>
              <w:rPr>
                <w:sz w:val="13"/>
                <w:szCs w:val="13"/>
                <w:color w:val="auto"/>
              </w:rPr>
            </w:pPr>
          </w:p>
        </w:tc>
        <w:tc>
          <w:tcPr>
            <w:tcW w:w="760" w:type="dxa"/>
            <w:vAlign w:val="bottom"/>
          </w:tcPr>
          <w:p>
            <w:pPr>
              <w:jc w:val="right"/>
              <w:ind w:right="154"/>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40" w:type="dxa"/>
            <w:vAlign w:val="bottom"/>
          </w:tcPr>
          <w:p>
            <w:pPr>
              <w:spacing w:after="0"/>
              <w:rPr>
                <w:sz w:val="13"/>
                <w:szCs w:val="13"/>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240" w:type="dxa"/>
            <w:vAlign w:val="bottom"/>
          </w:tcPr>
          <w:p>
            <w:pPr>
              <w:spacing w:after="0"/>
              <w:rPr>
                <w:sz w:val="13"/>
                <w:szCs w:val="13"/>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7"/>
              </w:rPr>
              <w:t>capital</w:t>
            </w:r>
          </w:p>
        </w:tc>
        <w:tc>
          <w:tcPr>
            <w:tcW w:w="80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80" w:type="dxa"/>
            <w:vAlign w:val="bottom"/>
          </w:tcPr>
          <w:p>
            <w:pPr>
              <w:spacing w:after="0"/>
              <w:rPr>
                <w:sz w:val="13"/>
                <w:szCs w:val="13"/>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6"/>
              </w:rPr>
              <w:t>income (loss)</w:t>
            </w: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3"/>
                <w:szCs w:val="13"/>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4"/>
              </w:rPr>
              <w:t>Total</w:t>
            </w:r>
          </w:p>
        </w:tc>
      </w:tr>
      <w:tr>
        <w:trPr>
          <w:trHeight w:val="142"/>
        </w:trPr>
        <w:tc>
          <w:tcPr>
            <w:tcW w:w="2680" w:type="dxa"/>
            <w:vAlign w:val="bottom"/>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140,775,22</w:t>
            </w:r>
          </w:p>
        </w:tc>
        <w:tc>
          <w:tcPr>
            <w:tcW w:w="240" w:type="dxa"/>
            <w:vAlign w:val="bottom"/>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(18,844,61</w:t>
            </w:r>
          </w:p>
        </w:tc>
        <w:tc>
          <w:tcPr>
            <w:tcW w:w="22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79"/>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2020</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4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12,799,999</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1,253</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389</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(34 )</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4 )</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(722 )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886</w:t>
            </w:r>
          </w:p>
        </w:tc>
        <w:tc>
          <w:tcPr>
            <w:tcW w:w="100" w:type="dxa"/>
            <w:vAlign w:val="bottom"/>
            <w:shd w:val="clear" w:color="auto" w:fill="CFF0FC"/>
          </w:tcPr>
          <w:p>
            <w:pPr>
              <w:spacing w:after="0"/>
              <w:rPr>
                <w:sz w:val="15"/>
                <w:szCs w:val="15"/>
                <w:color w:val="auto"/>
              </w:rPr>
            </w:pPr>
          </w:p>
        </w:tc>
      </w:tr>
      <w:tr>
        <w:trPr>
          <w:trHeight w:val="175"/>
        </w:trPr>
        <w:tc>
          <w:tcPr>
            <w:tcW w:w="2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(148 )</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(148 )</w:t>
            </w:r>
          </w:p>
        </w:tc>
      </w:tr>
      <w:tr>
        <w:trPr>
          <w:trHeight w:val="176"/>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 net of tax</w:t>
            </w: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(22 )</w:t>
            </w: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(22 )</w:t>
            </w:r>
          </w:p>
        </w:tc>
      </w:tr>
      <w:tr>
        <w:trPr>
          <w:trHeight w:val="149"/>
        </w:trPr>
        <w:tc>
          <w:tcPr>
            <w:tcW w:w="2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related to exercise</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4"/>
        </w:trPr>
        <w:tc>
          <w:tcPr>
            <w:tcW w:w="2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of options and vesting of RSUs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3,881,428</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5"/>
                <w:szCs w:val="15"/>
                <w:color w:val="auto"/>
              </w:rPr>
            </w:pPr>
          </w:p>
        </w:tc>
      </w:tr>
      <w:tr>
        <w:trPr>
          <w:trHeight w:val="149"/>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Purchase of capped calls, net of tax of</w:t>
            </w: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75"/>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$9 million (Note 8)</w:t>
            </w: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(26 )</w:t>
            </w:r>
          </w:p>
        </w:tc>
        <w:tc>
          <w:tcPr>
            <w:tcW w:w="2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(26 )</w:t>
            </w:r>
          </w:p>
        </w:tc>
      </w:tr>
      <w:tr>
        <w:trPr>
          <w:trHeight w:val="149"/>
        </w:trPr>
        <w:tc>
          <w:tcPr>
            <w:tcW w:w="2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Withholding taxes on net share settlements of</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4"/>
        </w:trPr>
        <w:tc>
          <w:tcPr>
            <w:tcW w:w="2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awards</w:t>
            </w: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(44 )</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(44 )</w:t>
            </w:r>
          </w:p>
        </w:tc>
      </w:tr>
      <w:tr>
        <w:trPr>
          <w:trHeight w:val="176"/>
        </w:trPr>
        <w:tc>
          <w:tcPr>
            <w:tcW w:w="2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Stock-based compensation (Note 13)</w:t>
            </w:r>
          </w:p>
        </w:tc>
        <w:tc>
          <w:tcPr>
            <w:tcW w:w="760" w:type="dxa"/>
            <w:vAlign w:val="bottom"/>
            <w:tcBorders>
              <w:bottom w:val="single" w:sz="8" w:color="auto"/>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2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39"/>
        </w:trPr>
        <w:tc>
          <w:tcPr>
            <w:tcW w:w="2680" w:type="dxa"/>
            <w:vAlign w:val="bottom"/>
          </w:tcPr>
          <w:p>
            <w:pPr>
              <w:spacing w:after="0"/>
              <w:rPr>
                <w:sz w:val="12"/>
                <w:szCs w:val="12"/>
                <w:color w:val="auto"/>
              </w:rPr>
            </w:pPr>
          </w:p>
        </w:tc>
        <w:tc>
          <w:tcPr>
            <w:tcW w:w="76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144,656,64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(18,844,61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8"/>
        </w:trPr>
        <w:tc>
          <w:tcPr>
            <w:tcW w:w="2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2021</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12,799,999</w:t>
            </w:r>
          </w:p>
        </w:tc>
        <w:tc>
          <w:tcPr>
            <w:tcW w:w="240" w:type="dxa"/>
            <w:vAlign w:val="bottom"/>
          </w:tcPr>
          <w:p>
            <w:pPr>
              <w:spacing w:after="0"/>
              <w:rPr>
                <w:sz w:val="15"/>
                <w:szCs w:val="15"/>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1,326</w:t>
            </w:r>
          </w:p>
        </w:tc>
        <w:tc>
          <w:tcPr>
            <w:tcW w:w="220" w:type="dxa"/>
            <w:vAlign w:val="bottom"/>
          </w:tcPr>
          <w:p>
            <w:pPr>
              <w:spacing w:after="0"/>
              <w:rPr>
                <w:sz w:val="15"/>
                <w:szCs w:val="15"/>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241</w:t>
            </w:r>
          </w:p>
        </w:tc>
        <w:tc>
          <w:tcPr>
            <w:tcW w:w="2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(56 )</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4 )</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(722 )</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789</w:t>
            </w:r>
          </w:p>
        </w:tc>
        <w:tc>
          <w:tcPr>
            <w:tcW w:w="100" w:type="dxa"/>
            <w:vAlign w:val="bottom"/>
          </w:tcPr>
          <w:p>
            <w:pPr>
              <w:spacing w:after="0"/>
              <w:rPr>
                <w:sz w:val="15"/>
                <w:szCs w:val="15"/>
                <w:color w:val="auto"/>
              </w:rPr>
            </w:pPr>
          </w:p>
        </w:tc>
      </w:tr>
      <w:tr>
        <w:trPr>
          <w:trHeight w:val="176"/>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FF0FC"/>
          </w:tcPr>
          <w:p>
            <w:pPr>
              <w:spacing w:after="0"/>
              <w:rPr>
                <w:sz w:val="15"/>
                <w:szCs w:val="15"/>
                <w:color w:val="auto"/>
              </w:rPr>
            </w:pPr>
          </w:p>
        </w:tc>
      </w:tr>
      <w:tr>
        <w:trPr>
          <w:trHeight w:val="175"/>
        </w:trPr>
        <w:tc>
          <w:tcPr>
            <w:tcW w:w="2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 net of tax</w:t>
            </w: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(26 )</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(26 )</w:t>
            </w:r>
          </w:p>
        </w:tc>
      </w:tr>
      <w:tr>
        <w:trPr>
          <w:trHeight w:val="149"/>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 of common stock related to exercise</w:t>
            </w: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75"/>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of options and vesting of RSUs</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2,234,889</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2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Withholding taxes on net share settlements of</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4"/>
        </w:trPr>
        <w:tc>
          <w:tcPr>
            <w:tcW w:w="2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awards</w:t>
            </w: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(20 )</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(20 )</w:t>
            </w:r>
          </w:p>
        </w:tc>
      </w:tr>
      <w:tr>
        <w:trPr>
          <w:trHeight w:val="176"/>
        </w:trPr>
        <w:tc>
          <w:tcPr>
            <w:tcW w:w="2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Stock-based compensation (Note 13)</w:t>
            </w:r>
          </w:p>
        </w:tc>
        <w:tc>
          <w:tcPr>
            <w:tcW w:w="760" w:type="dxa"/>
            <w:vAlign w:val="bottom"/>
            <w:tcBorders>
              <w:bottom w:val="single" w:sz="8" w:color="auto"/>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2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39"/>
        </w:trPr>
        <w:tc>
          <w:tcPr>
            <w:tcW w:w="2680" w:type="dxa"/>
            <w:vAlign w:val="bottom"/>
          </w:tcPr>
          <w:p>
            <w:pPr>
              <w:spacing w:after="0"/>
              <w:rPr>
                <w:sz w:val="12"/>
                <w:szCs w:val="12"/>
                <w:color w:val="auto"/>
              </w:rPr>
            </w:pPr>
          </w:p>
        </w:tc>
        <w:tc>
          <w:tcPr>
            <w:tcW w:w="76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146,891,53</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(18,844,61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8"/>
        </w:trPr>
        <w:tc>
          <w:tcPr>
            <w:tcW w:w="2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2022</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w:t>
            </w: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12,799,999</w:t>
            </w:r>
          </w:p>
        </w:tc>
        <w:tc>
          <w:tcPr>
            <w:tcW w:w="240" w:type="dxa"/>
            <w:vAlign w:val="bottom"/>
          </w:tcPr>
          <w:p>
            <w:pPr>
              <w:spacing w:after="0"/>
              <w:rPr>
                <w:sz w:val="15"/>
                <w:szCs w:val="15"/>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1,404</w:t>
            </w:r>
          </w:p>
        </w:tc>
        <w:tc>
          <w:tcPr>
            <w:tcW w:w="220" w:type="dxa"/>
            <w:vAlign w:val="bottom"/>
          </w:tcPr>
          <w:p>
            <w:pPr>
              <w:spacing w:after="0"/>
              <w:rPr>
                <w:sz w:val="15"/>
                <w:szCs w:val="15"/>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261</w:t>
            </w:r>
          </w:p>
        </w:tc>
        <w:tc>
          <w:tcPr>
            <w:tcW w:w="2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(82 )</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4 )</w:t>
            </w:r>
          </w:p>
        </w:tc>
        <w:tc>
          <w:tcPr>
            <w:tcW w:w="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(722 )</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861</w:t>
            </w:r>
          </w:p>
        </w:tc>
        <w:tc>
          <w:tcPr>
            <w:tcW w:w="100" w:type="dxa"/>
            <w:vAlign w:val="bottom"/>
          </w:tcPr>
          <w:p>
            <w:pPr>
              <w:spacing w:after="0"/>
              <w:rPr>
                <w:sz w:val="15"/>
                <w:szCs w:val="15"/>
                <w:color w:val="auto"/>
              </w:rPr>
            </w:pPr>
          </w:p>
        </w:tc>
      </w:tr>
      <w:tr>
        <w:trPr>
          <w:trHeight w:val="176"/>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FF0FC"/>
          </w:tcPr>
          <w:p>
            <w:pPr>
              <w:spacing w:after="0"/>
              <w:rPr>
                <w:sz w:val="15"/>
                <w:szCs w:val="15"/>
                <w:color w:val="auto"/>
              </w:rPr>
            </w:pPr>
          </w:p>
        </w:tc>
      </w:tr>
      <w:tr>
        <w:trPr>
          <w:trHeight w:val="175"/>
        </w:trPr>
        <w:tc>
          <w:tcPr>
            <w:tcW w:w="2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 net of tax</w:t>
            </w: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5"/>
                <w:szCs w:val="15"/>
                <w:color w:val="auto"/>
              </w:rPr>
            </w:pPr>
          </w:p>
        </w:tc>
      </w:tr>
      <w:tr>
        <w:trPr>
          <w:trHeight w:val="149"/>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 of common stock related to vesting</w:t>
            </w: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75"/>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of RSUs</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2,883,823</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2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Repurchase of common stock (Note 14)</w:t>
            </w: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(6,049,253 )</w:t>
            </w:r>
          </w:p>
        </w:tc>
        <w:tc>
          <w:tcPr>
            <w:tcW w:w="16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(100 )</w:t>
            </w:r>
          </w:p>
        </w:tc>
      </w:tr>
      <w:tr>
        <w:trPr>
          <w:trHeight w:val="149"/>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Withholding taxes on net share settlements of</w:t>
            </w: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75"/>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equity awards</w:t>
            </w: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(17 )</w:t>
            </w:r>
          </w:p>
        </w:tc>
        <w:tc>
          <w:tcPr>
            <w:tcW w:w="2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(17 )</w:t>
            </w:r>
          </w:p>
        </w:tc>
      </w:tr>
      <w:tr>
        <w:trPr>
          <w:trHeight w:val="175"/>
        </w:trPr>
        <w:tc>
          <w:tcPr>
            <w:tcW w:w="2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(Note 13)</w:t>
            </w: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00" w:type="dxa"/>
            <w:vAlign w:val="bottom"/>
          </w:tcPr>
          <w:p>
            <w:pPr>
              <w:spacing w:after="0"/>
              <w:rPr>
                <w:sz w:val="15"/>
                <w:szCs w:val="15"/>
                <w:color w:val="auto"/>
              </w:rPr>
            </w:pPr>
          </w:p>
        </w:tc>
      </w:tr>
      <w:tr>
        <w:trPr>
          <w:trHeight w:val="139"/>
        </w:trPr>
        <w:tc>
          <w:tcPr>
            <w:tcW w:w="26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149,775,36</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(24,893,86</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99"/>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12,799,999</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1,493</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271</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(71 )</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7 )</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(822 )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871</w:t>
            </w:r>
          </w:p>
        </w:tc>
        <w:tc>
          <w:tcPr>
            <w:tcW w:w="100" w:type="dxa"/>
            <w:vAlign w:val="bottom"/>
            <w:shd w:val="clear" w:color="auto" w:fill="CFF0FC"/>
          </w:tcPr>
          <w:p>
            <w:pPr>
              <w:spacing w:after="0"/>
              <w:rPr>
                <w:sz w:val="17"/>
                <w:szCs w:val="17"/>
                <w:color w:val="auto"/>
              </w:rPr>
            </w:pPr>
          </w:p>
        </w:tc>
      </w:tr>
      <w:tr>
        <w:trPr>
          <w:trHeight w:val="20"/>
        </w:trPr>
        <w:tc>
          <w:tcPr>
            <w:tcW w:w="268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2188210</wp:posOffset>
            </wp:positionH>
            <wp:positionV relativeFrom="paragraph">
              <wp:posOffset>-2268220</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2625090</wp:posOffset>
            </wp:positionH>
            <wp:positionV relativeFrom="paragraph">
              <wp:posOffset>-2268220</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3267075</wp:posOffset>
            </wp:positionH>
            <wp:positionV relativeFrom="paragraph">
              <wp:posOffset>-2268220</wp:posOffset>
            </wp:positionV>
            <wp:extent cx="76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-2268220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-2268220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-2268220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-2268220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-2268220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-2268220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-2268220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2188210</wp:posOffset>
            </wp:positionH>
            <wp:positionV relativeFrom="paragraph">
              <wp:posOffset>-1309370</wp:posOffset>
            </wp:positionV>
            <wp:extent cx="768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2625090</wp:posOffset>
            </wp:positionH>
            <wp:positionV relativeFrom="paragraph">
              <wp:posOffset>-1309370</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3267075</wp:posOffset>
            </wp:positionH>
            <wp:positionV relativeFrom="paragraph">
              <wp:posOffset>-1309370</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-1309370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-1309370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-1309370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-1309370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-1309370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-1309370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-1309370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2188210</wp:posOffset>
            </wp:positionH>
            <wp:positionV relativeFrom="paragraph">
              <wp:posOffset>-24765</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2188210</wp:posOffset>
            </wp:positionH>
            <wp:positionV relativeFrom="paragraph">
              <wp:posOffset>-7620</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2625090</wp:posOffset>
            </wp:positionH>
            <wp:positionV relativeFrom="paragraph">
              <wp:posOffset>-24765</wp:posOffset>
            </wp:positionV>
            <wp:extent cx="768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2625090</wp:posOffset>
            </wp:positionH>
            <wp:positionV relativeFrom="paragraph">
              <wp:posOffset>-7620</wp:posOffset>
            </wp:positionV>
            <wp:extent cx="768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3267075</wp:posOffset>
            </wp:positionH>
            <wp:positionV relativeFrom="paragraph">
              <wp:posOffset>-24765</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3267075</wp:posOffset>
            </wp:positionH>
            <wp:positionV relativeFrom="paragraph">
              <wp:posOffset>-7620</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-24765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64" w:name="page65"/>
    <w:bookmarkEnd w:id="6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82"/>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activities:</w:t>
            </w:r>
          </w:p>
        </w:tc>
        <w:tc>
          <w:tcPr>
            <w:tcW w:w="7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 (loss)</w:t>
            </w:r>
          </w:p>
        </w:tc>
        <w:tc>
          <w:tcPr>
            <w:tcW w:w="700" w:type="dxa"/>
            <w:vAlign w:val="bottom"/>
          </w:tcPr>
          <w:p>
            <w:pPr>
              <w:jc w:val="right"/>
              <w:ind w:right="526"/>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240" w:type="dxa"/>
            <w:vAlign w:val="bottom"/>
          </w:tcPr>
          <w:p>
            <w:pPr>
              <w:spacing w:after="0"/>
              <w:rPr>
                <w:sz w:val="16"/>
                <w:szCs w:val="16"/>
                <w:color w:val="auto"/>
              </w:rPr>
            </w:pP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240" w:type="dxa"/>
            <w:vAlign w:val="bottom"/>
          </w:tcPr>
          <w:p>
            <w:pPr>
              <w:spacing w:after="0"/>
              <w:rPr>
                <w:sz w:val="16"/>
                <w:szCs w:val="16"/>
                <w:color w:val="auto"/>
              </w:rPr>
            </w:pP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(148 )</w:t>
            </w:r>
          </w:p>
        </w:tc>
      </w:tr>
      <w:tr>
        <w:trPr>
          <w:trHeight w:val="18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Adjustments to reconcile net income (loss) to net cash provided by (used in) operating activities:</w:t>
            </w:r>
          </w:p>
        </w:tc>
        <w:tc>
          <w:tcPr>
            <w:tcW w:w="7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7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Stock-based compensation expense (Note 13)</w:t>
            </w:r>
          </w:p>
        </w:tc>
        <w:tc>
          <w:tcPr>
            <w:tcW w:w="70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96</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Deferred income tax expense (benefit) (Note 10)</w:t>
            </w:r>
          </w:p>
        </w:tc>
        <w:tc>
          <w:tcPr>
            <w:tcW w:w="700" w:type="dxa"/>
            <w:vAlign w:val="bottom"/>
          </w:tcPr>
          <w:p>
            <w:pPr>
              <w:spacing w:after="0"/>
              <w:rPr>
                <w:sz w:val="16"/>
                <w:szCs w:val="16"/>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(25 )</w:t>
            </w:r>
          </w:p>
        </w:tc>
        <w:tc>
          <w:tcPr>
            <w:tcW w:w="2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(19 )</w:t>
            </w:r>
          </w:p>
        </w:tc>
        <w:tc>
          <w:tcPr>
            <w:tcW w:w="20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(44 )</w:t>
            </w:r>
          </w:p>
        </w:tc>
      </w:tr>
      <w:tr>
        <w:trPr>
          <w:trHeight w:val="18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Provision for expected credit losses (Note 2)</w:t>
            </w:r>
          </w:p>
        </w:tc>
        <w:tc>
          <w:tcPr>
            <w:tcW w:w="70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FF0FC"/>
          </w:tcPr>
          <w:p>
            <w:pPr>
              <w:spacing w:after="0"/>
              <w:rPr>
                <w:sz w:val="16"/>
                <w:szCs w:val="16"/>
                <w:color w:val="auto"/>
              </w:rPr>
            </w:pPr>
          </w:p>
        </w:tc>
      </w:tr>
      <w:tr>
        <w:trPr>
          <w:trHeight w:val="198"/>
        </w:trPr>
        <w:tc>
          <w:tcPr>
            <w:tcW w:w="7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Other, net</w:t>
            </w:r>
          </w:p>
        </w:tc>
        <w:tc>
          <w:tcPr>
            <w:tcW w:w="7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454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 net:</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receivable, prepaid expenses and other assets</w:t>
            </w: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(87 )</w:t>
            </w:r>
          </w:p>
        </w:tc>
        <w:tc>
          <w:tcPr>
            <w:tcW w:w="4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(73 )</w:t>
            </w:r>
          </w:p>
        </w:tc>
      </w:tr>
      <w:tr>
        <w:trPr>
          <w:trHeight w:val="189"/>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Accounts payable, accrued expenses and other liabilities</w:t>
            </w:r>
          </w:p>
        </w:tc>
        <w:tc>
          <w:tcPr>
            <w:tcW w:w="36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2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Deferred merchant payables</w:t>
            </w: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Income tax receivables/payables, net</w:t>
            </w:r>
          </w:p>
        </w:tc>
        <w:tc>
          <w:tcPr>
            <w:tcW w:w="36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(1 )</w:t>
            </w:r>
          </w:p>
        </w:tc>
        <w:tc>
          <w:tcPr>
            <w:tcW w:w="36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107</w:t>
            </w:r>
          </w:p>
        </w:tc>
        <w:tc>
          <w:tcPr>
            <w:tcW w:w="2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Deferred revenue</w:t>
            </w:r>
          </w:p>
        </w:tc>
        <w:tc>
          <w:tcPr>
            <w:tcW w:w="3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tcPr>
          <w:p>
            <w:pPr>
              <w:spacing w:after="0"/>
              <w:rPr>
                <w:sz w:val="16"/>
                <w:szCs w:val="16"/>
                <w:color w:val="auto"/>
              </w:rPr>
            </w:pPr>
          </w:p>
        </w:tc>
      </w:tr>
      <w:tr>
        <w:trPr>
          <w:trHeight w:val="182"/>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provided by (used in) operating activities</w:t>
            </w:r>
          </w:p>
        </w:tc>
        <w:tc>
          <w:tcPr>
            <w:tcW w:w="36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235</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400</w:t>
            </w: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108</w:t>
            </w:r>
          </w:p>
        </w:tc>
        <w:tc>
          <w:tcPr>
            <w:tcW w:w="100" w:type="dxa"/>
            <w:vAlign w:val="bottom"/>
            <w:shd w:val="clear" w:color="auto" w:fill="CFF0FC"/>
          </w:tcPr>
          <w:p>
            <w:pPr>
              <w:spacing w:after="0"/>
              <w:rPr>
                <w:sz w:val="15"/>
                <w:szCs w:val="15"/>
                <w:color w:val="auto"/>
              </w:rPr>
            </w:pPr>
          </w:p>
        </w:tc>
      </w:tr>
      <w:tr>
        <w:trPr>
          <w:trHeight w:val="189"/>
        </w:trPr>
        <w:tc>
          <w:tcPr>
            <w:tcW w:w="7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Investing activities:</w:t>
            </w:r>
          </w:p>
        </w:tc>
        <w:tc>
          <w:tcPr>
            <w:tcW w:w="3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Capital expenditures, including capitalized website development</w:t>
            </w:r>
          </w:p>
        </w:tc>
        <w:tc>
          <w:tcPr>
            <w:tcW w:w="3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(63 )</w:t>
            </w:r>
          </w:p>
        </w:tc>
        <w:tc>
          <w:tcPr>
            <w:tcW w:w="3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(56 )</w:t>
            </w:r>
          </w:p>
        </w:tc>
        <w:tc>
          <w:tcPr>
            <w:tcW w:w="40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(54 )</w:t>
            </w:r>
          </w:p>
        </w:tc>
      </w:tr>
      <w:tr>
        <w:trPr>
          <w:trHeight w:val="189"/>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Other investing activities, net</w:t>
            </w:r>
          </w:p>
        </w:tc>
        <w:tc>
          <w:tcPr>
            <w:tcW w:w="36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4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2"/>
        </w:trPr>
        <w:tc>
          <w:tcPr>
            <w:tcW w:w="77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provided by (used in) investing activities</w:t>
            </w:r>
          </w:p>
        </w:tc>
        <w:tc>
          <w:tcPr>
            <w:tcW w:w="36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(63 )</w:t>
            </w:r>
          </w:p>
        </w:tc>
        <w:tc>
          <w:tcPr>
            <w:tcW w:w="3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(52 )</w:t>
            </w:r>
          </w:p>
        </w:tc>
        <w:tc>
          <w:tcPr>
            <w:tcW w:w="40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(54 )</w:t>
            </w:r>
          </w:p>
        </w:tc>
      </w:tr>
      <w:tr>
        <w:trPr>
          <w:trHeight w:val="18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Financing activities:</w:t>
            </w:r>
          </w:p>
        </w:tc>
        <w:tc>
          <w:tcPr>
            <w:tcW w:w="3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Repurchase of common stock (Note 14)</w:t>
            </w:r>
          </w:p>
        </w:tc>
        <w:tc>
          <w:tcPr>
            <w:tcW w:w="3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(100 )</w:t>
            </w:r>
          </w:p>
        </w:tc>
        <w:tc>
          <w:tcPr>
            <w:tcW w:w="36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Proceeds from issuance of 2026 Senior Notes, net of financing costs (Note 8)</w:t>
            </w:r>
          </w:p>
        </w:tc>
        <w:tc>
          <w:tcPr>
            <w:tcW w:w="36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340</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Purchase of capped calls in connection with 2026 Senior Notes (Note 8)</w:t>
            </w:r>
          </w:p>
        </w:tc>
        <w:tc>
          <w:tcPr>
            <w:tcW w:w="36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(35 )</w:t>
            </w:r>
          </w:p>
        </w:tc>
      </w:tr>
      <w:tr>
        <w:trPr>
          <w:trHeight w:val="18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Payment of financing costs related to Credit Facility (Note 8)</w:t>
            </w:r>
          </w:p>
        </w:tc>
        <w:tc>
          <w:tcPr>
            <w:tcW w:w="36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(3 )</w:t>
            </w:r>
          </w:p>
        </w:tc>
        <w:tc>
          <w:tcPr>
            <w:tcW w:w="36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7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Proceeds from exercise of stock options (Note 13)</w:t>
            </w:r>
          </w:p>
        </w:tc>
        <w:tc>
          <w:tcPr>
            <w:tcW w:w="36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Payment of withholding taxes on net share settlements of equity awards</w:t>
            </w:r>
          </w:p>
        </w:tc>
        <w:tc>
          <w:tcPr>
            <w:tcW w:w="36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(17 )</w:t>
            </w:r>
          </w:p>
        </w:tc>
        <w:tc>
          <w:tcPr>
            <w:tcW w:w="36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(20 )</w:t>
            </w:r>
          </w:p>
        </w:tc>
        <w:tc>
          <w:tcPr>
            <w:tcW w:w="40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(44 )</w:t>
            </w:r>
          </w:p>
        </w:tc>
      </w:tr>
      <w:tr>
        <w:trPr>
          <w:trHeight w:val="189"/>
        </w:trPr>
        <w:tc>
          <w:tcPr>
            <w:tcW w:w="7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Payments of finance lease obligation and other financing activities, net (Note 5)</w:t>
            </w:r>
          </w:p>
        </w:tc>
        <w:tc>
          <w:tcPr>
            <w:tcW w:w="3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(7 )</w:t>
            </w:r>
          </w:p>
        </w:tc>
        <w:tc>
          <w:tcPr>
            <w:tcW w:w="3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(7 )</w:t>
            </w:r>
          </w:p>
        </w:tc>
        <w:tc>
          <w:tcPr>
            <w:tcW w:w="40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(6 )</w:t>
            </w:r>
          </w:p>
        </w:tc>
      </w:tr>
      <w:tr>
        <w:trPr>
          <w:trHeight w:val="20"/>
        </w:trPr>
        <w:tc>
          <w:tcPr>
            <w:tcW w:w="77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provided by (used in) financing activities</w:t>
            </w:r>
          </w:p>
        </w:tc>
        <w:tc>
          <w:tcPr>
            <w:tcW w:w="3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(127 )</w:t>
            </w:r>
          </w:p>
        </w:tc>
        <w:tc>
          <w:tcPr>
            <w:tcW w:w="36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(27 )</w:t>
            </w:r>
          </w:p>
        </w:tc>
        <w:tc>
          <w:tcPr>
            <w:tcW w:w="4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263</w:t>
            </w:r>
          </w:p>
        </w:tc>
        <w:tc>
          <w:tcPr>
            <w:tcW w:w="100" w:type="dxa"/>
            <w:vAlign w:val="bottom"/>
            <w:shd w:val="clear" w:color="auto" w:fill="CFF0FC"/>
          </w:tcPr>
          <w:p>
            <w:pPr>
              <w:spacing w:after="0"/>
              <w:rPr>
                <w:sz w:val="15"/>
                <w:szCs w:val="15"/>
                <w:color w:val="auto"/>
              </w:rPr>
            </w:pPr>
          </w:p>
        </w:tc>
      </w:tr>
      <w:tr>
        <w:trPr>
          <w:trHeight w:val="189"/>
        </w:trPr>
        <w:tc>
          <w:tcPr>
            <w:tcW w:w="7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Effect of exchange rate changes on cash, cash equivalents and restricted cash</w:t>
            </w: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(23 )</w:t>
            </w:r>
          </w:p>
        </w:tc>
        <w:tc>
          <w:tcPr>
            <w:tcW w:w="40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(12 )</w:t>
            </w:r>
          </w:p>
        </w:tc>
      </w:tr>
      <w:tr>
        <w:trPr>
          <w:trHeight w:val="182"/>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Net increase (decrease) in cash, cash equivalents and restricted cash</w:t>
            </w:r>
          </w:p>
        </w:tc>
        <w:tc>
          <w:tcPr>
            <w:tcW w:w="36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240" w:type="dxa"/>
            <w:vAlign w:val="bottom"/>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298</w:t>
            </w:r>
          </w:p>
        </w:tc>
        <w:tc>
          <w:tcPr>
            <w:tcW w:w="240" w:type="dxa"/>
            <w:vAlign w:val="bottom"/>
            <w:shd w:val="clear" w:color="auto" w:fill="CFF0FC"/>
          </w:tcPr>
          <w:p>
            <w:pPr>
              <w:spacing w:after="0"/>
              <w:rPr>
                <w:sz w:val="15"/>
                <w:szCs w:val="15"/>
                <w:color w:val="auto"/>
              </w:rPr>
            </w:pPr>
          </w:p>
        </w:tc>
        <w:tc>
          <w:tcPr>
            <w:tcW w:w="400" w:type="dxa"/>
            <w:vAlign w:val="bottom"/>
            <w:tcBorders>
              <w:top w:val="single" w:sz="8" w:color="auto"/>
            </w:tcBorders>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305</w:t>
            </w:r>
          </w:p>
        </w:tc>
        <w:tc>
          <w:tcPr>
            <w:tcW w:w="100" w:type="dxa"/>
            <w:vAlign w:val="bottom"/>
            <w:shd w:val="clear" w:color="auto" w:fill="CFF0FC"/>
          </w:tcPr>
          <w:p>
            <w:pPr>
              <w:spacing w:after="0"/>
              <w:rPr>
                <w:sz w:val="15"/>
                <w:szCs w:val="15"/>
                <w:color w:val="auto"/>
              </w:rPr>
            </w:pPr>
          </w:p>
        </w:tc>
      </w:tr>
      <w:tr>
        <w:trPr>
          <w:trHeight w:val="189"/>
        </w:trPr>
        <w:tc>
          <w:tcPr>
            <w:tcW w:w="7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at beginning of period</w:t>
            </w:r>
          </w:p>
        </w:tc>
        <w:tc>
          <w:tcPr>
            <w:tcW w:w="3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1,021</w:t>
            </w: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723</w:t>
            </w:r>
          </w:p>
        </w:tc>
        <w:tc>
          <w:tcPr>
            <w:tcW w:w="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418</w:t>
            </w:r>
          </w:p>
        </w:tc>
        <w:tc>
          <w:tcPr>
            <w:tcW w:w="100" w:type="dxa"/>
            <w:vAlign w:val="bottom"/>
          </w:tcPr>
          <w:p>
            <w:pPr>
              <w:spacing w:after="0"/>
              <w:rPr>
                <w:sz w:val="16"/>
                <w:szCs w:val="16"/>
                <w:color w:val="auto"/>
              </w:rPr>
            </w:pPr>
          </w:p>
        </w:tc>
      </w:tr>
      <w:tr>
        <w:trPr>
          <w:trHeight w:val="222"/>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Cash, cash equivalents and restricted cash at end of period</w:t>
            </w:r>
          </w:p>
        </w:tc>
        <w:tc>
          <w:tcPr>
            <w:tcW w:w="360" w:type="dxa"/>
            <w:vAlign w:val="bottom"/>
            <w:tcBorders>
              <w:bottom w:val="single" w:sz="8" w:color="auto"/>
            </w:tcBorders>
            <w:shd w:val="clear" w:color="auto" w:fill="CFF0FC"/>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1,067</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1,021</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723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69"/>
        </w:trPr>
        <w:tc>
          <w:tcPr>
            <w:tcW w:w="7740" w:type="dxa"/>
            <w:vAlign w:val="bottom"/>
          </w:tcPr>
          <w:p>
            <w:pPr>
              <w:ind w:left="20"/>
              <w:spacing w:after="0" w:line="169" w:lineRule="exact"/>
              <w:rPr>
                <w:sz w:val="20"/>
                <w:szCs w:val="20"/>
                <w:color w:val="auto"/>
              </w:rPr>
            </w:pPr>
            <w:r>
              <w:rPr>
                <w:rFonts w:ascii="Times New Roman" w:cs="Times New Roman" w:eastAsia="Times New Roman" w:hAnsi="Times New Roman"/>
                <w:sz w:val="15"/>
                <w:szCs w:val="15"/>
                <w:b w:val="1"/>
                <w:bCs w:val="1"/>
                <w:color w:val="auto"/>
              </w:rPr>
              <w:t>Supplemental disclosure of cash flow information:</w:t>
            </w: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Cash paid (received) during the period for income taxes, net of refunds</w:t>
            </w:r>
          </w:p>
        </w:tc>
        <w:tc>
          <w:tcPr>
            <w:tcW w:w="36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140</w:t>
            </w: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(40 )</w:t>
            </w:r>
          </w:p>
        </w:tc>
        <w:tc>
          <w:tcPr>
            <w:tcW w:w="400" w:type="dxa"/>
            <w:vAlign w:val="bottom"/>
            <w:shd w:val="clear" w:color="auto" w:fill="CFF0FC"/>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Cash paid during the period for interest</w:t>
            </w:r>
          </w:p>
        </w:tc>
        <w:tc>
          <w:tcPr>
            <w:tcW w:w="36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240" w:type="dxa"/>
            <w:vAlign w:val="bottom"/>
          </w:tcPr>
          <w:p>
            <w:pPr>
              <w:spacing w:after="0"/>
              <w:rPr>
                <w:sz w:val="16"/>
                <w:szCs w:val="16"/>
                <w:color w:val="auto"/>
              </w:rPr>
            </w:pPr>
          </w:p>
        </w:tc>
        <w:tc>
          <w:tcPr>
            <w:tcW w:w="36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240" w:type="dxa"/>
            <w:vAlign w:val="bottom"/>
          </w:tcPr>
          <w:p>
            <w:pPr>
              <w:spacing w:after="0"/>
              <w:rPr>
                <w:sz w:val="16"/>
                <w:szCs w:val="16"/>
                <w:color w:val="auto"/>
              </w:rPr>
            </w:pPr>
          </w:p>
        </w:tc>
        <w:tc>
          <w:tcPr>
            <w:tcW w:w="40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disclosure of non-cash investing and financing activities:</w:t>
            </w:r>
          </w:p>
        </w:tc>
        <w:tc>
          <w:tcPr>
            <w:tcW w:w="3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98"/>
        </w:trPr>
        <w:tc>
          <w:tcPr>
            <w:tcW w:w="77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Stock-based compensation capitalized website development costs (Note 13)</w:t>
            </w:r>
          </w:p>
        </w:tc>
        <w:tc>
          <w:tcPr>
            <w:tcW w:w="36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240" w:type="dxa"/>
            <w:vAlign w:val="bottom"/>
          </w:tcPr>
          <w:p>
            <w:pPr>
              <w:spacing w:after="0"/>
              <w:rPr>
                <w:sz w:val="17"/>
                <w:szCs w:val="17"/>
                <w:color w:val="auto"/>
              </w:rPr>
            </w:pPr>
          </w:p>
        </w:tc>
        <w:tc>
          <w:tcPr>
            <w:tcW w:w="36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240" w:type="dxa"/>
            <w:vAlign w:val="bottom"/>
          </w:tcPr>
          <w:p>
            <w:pPr>
              <w:spacing w:after="0"/>
              <w:rPr>
                <w:sz w:val="17"/>
                <w:szCs w:val="17"/>
                <w:color w:val="auto"/>
              </w:rPr>
            </w:pPr>
          </w:p>
        </w:tc>
        <w:tc>
          <w:tcPr>
            <w:tcW w:w="40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-2343150</wp:posOffset>
            </wp:positionV>
            <wp:extent cx="768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-2343150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-2343150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-630555</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-613410</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-630555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-613410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-630555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-613410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BUSINESS DESCRIPTION</w:t>
      </w:r>
    </w:p>
    <w:p>
      <w:pPr>
        <w:spacing w:after="0" w:line="121" w:lineRule="exact"/>
        <w:rPr>
          <w:sz w:val="20"/>
          <w:szCs w:val="20"/>
          <w:color w:val="auto"/>
        </w:rPr>
      </w:pPr>
    </w:p>
    <w:p>
      <w:pPr>
        <w:jc w:val="both"/>
        <w:ind w:right="260" w:firstLine="509"/>
        <w:spacing w:after="0" w:line="260" w:lineRule="auto"/>
        <w:rPr>
          <w:sz w:val="20"/>
          <w:szCs w:val="20"/>
          <w:color w:val="auto"/>
        </w:rPr>
      </w:pPr>
      <w:r>
        <w:rPr>
          <w:rFonts w:ascii="Times New Roman" w:cs="Times New Roman" w:eastAsia="Times New Roman" w:hAnsi="Times New Roman"/>
          <w:sz w:val="18"/>
          <w:szCs w:val="18"/>
          <w:color w:val="auto"/>
        </w:rPr>
        <w:t>We refer to Tripadvisor, Inc. and our wholly-owned subsidiaries as “Tripadvisor,” “Tripadvisor group,” “the Company,” “us,” “we” and “our” in these notes to the consolidated financial statements. The Company renamed our Tripadvisor Core segment to “Brand Tripadvisor”, and its “Tripadvisor-branded display and platform” revenue stream within the Brand Tripadvisor segment, as “Media and advertising” revenue. These nomenclature changes had no impact on the composition of our segments, revenue streams, or on any current or historic financial information.</w:t>
      </w:r>
    </w:p>
    <w:p>
      <w:pPr>
        <w:spacing w:after="0" w:line="182" w:lineRule="exact"/>
        <w:rPr>
          <w:sz w:val="20"/>
          <w:szCs w:val="20"/>
          <w:color w:val="auto"/>
        </w:rPr>
      </w:pPr>
    </w:p>
    <w:p>
      <w:pPr>
        <w:jc w:val="both"/>
        <w:ind w:right="80" w:firstLine="509"/>
        <w:spacing w:after="0" w:line="265" w:lineRule="auto"/>
        <w:rPr>
          <w:sz w:val="20"/>
          <w:szCs w:val="20"/>
          <w:color w:val="auto"/>
        </w:rPr>
      </w:pPr>
      <w:r>
        <w:rPr>
          <w:rFonts w:ascii="Times New Roman" w:cs="Times New Roman" w:eastAsia="Times New Roman" w:hAnsi="Times New Roman"/>
          <w:sz w:val="18"/>
          <w:szCs w:val="18"/>
          <w:color w:val="auto"/>
        </w:rPr>
        <w:t>On December 20, 2011, Expedia Group, Inc. (“Expedia”) completed a spin-off of Tripadvisor into a separate publicly traded Delaware corporation. We refer to this transaction as the “Spin-Off.” Tripadvisor’s common stock began trading on The Nasdaq as an independent public company on December 21, 2011, under the trading symbol “TRIP.”</w:t>
      </w:r>
    </w:p>
    <w:p>
      <w:pPr>
        <w:spacing w:after="0" w:line="177"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On December 11, 2012, Liberty Interactive Corporation, or Liberty, purchased an aggregate of approximately 4.8 million shares of common stock of Tripadvisor from Barry Diller, our former Chairman of the Board of Directors and Senior Executive, and certain of his affiliates. As a result, Liberty beneficially owned approximately 18.2 million shares of our common stock and 12.8 million shares of our Class B common stock.</w:t>
      </w:r>
    </w:p>
    <w:p>
      <w:pPr>
        <w:spacing w:after="0" w:line="177"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On August 27, 2014, the entire beneficial ownership of our common stock and Class B common stock held by Liberty was acquired by Liberty TripAdvisor Holdings, Inc., or LTRIP. Simultaneously, Liberty, LTRIP’s former parent company, distributed, by means of a dividend, to the holders of its Liberty Ventures common stock, Liberty’s entire equity interest in LTRIP. We refer to this transaction as the “Liberty Spin-Off”. As a result of the Liberty Spin-Off, effective August 27, 2014, LTRIP became a separate, publicly traded company holding 100% of Liberty’s interest in Tripadvisor.</w:t>
      </w:r>
    </w:p>
    <w:p>
      <w:pPr>
        <w:spacing w:after="0" w:line="18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As a result of these transactions, and as of December 31, 2023, LTRIP beneficially owned approximately 16.4 million shares of our common stock and 12.8 million shares of our Class B common stock, which constitute approximately 13% of the outstanding shares of common stock and 100% of the outstanding shares of Class B common stock. Assuming the conversion of all of LTRIP’s shares of Class B common stock into common stock, LTRIP would beneficially own approximately 21% of the outstanding common stock. However, because each share of Class B common stock is entitled to ten votes per share and each share of common stock is entitled to one vote per share, LTRIP may be deemed to beneficially own equity securities representing approximately 57% of our voting power.</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right="80" w:firstLine="509"/>
        <w:spacing w:after="0" w:line="280" w:lineRule="auto"/>
        <w:rPr>
          <w:sz w:val="20"/>
          <w:szCs w:val="20"/>
          <w:color w:val="auto"/>
        </w:rPr>
      </w:pPr>
      <w:r>
        <w:rPr>
          <w:rFonts w:ascii="Times New Roman" w:cs="Times New Roman" w:eastAsia="Times New Roman" w:hAnsi="Times New Roman"/>
          <w:sz w:val="17"/>
          <w:szCs w:val="17"/>
          <w:color w:val="auto"/>
        </w:rPr>
        <w:t>The Tripadvisor group operates as a family of brands with a purpose of connecting people to experiences worth sharing. Our vision is to be the world’s most trusted source for travel and experiences. The Company operates across three reportable segments: Brand Tripadvisor (formerly Tripadvisor Core), Viator, and TheFork. We leverage our brands, technology platforms, and capabilities to connect our large, global audience with partners by offering rich content, travel guidance products and services, and two-sided marketplaces for experiences, accommodations, restaurants, and other travel categories.</w:t>
      </w:r>
    </w:p>
    <w:p>
      <w:pPr>
        <w:spacing w:after="0" w:line="16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Brand Tripadvisor’s purpose is to empower everyone to be a better traveler by serving as the world’s most trusted and essential travel guidance platform. The Tripadvisor brand offers travelers and experience seekers an online global platform for travelers to discover, generate, and share authentic user-generated content (“UGC”) in the form of ratings and reviews for destinations, points-of-interest (“POIs”), experiences, accommodations, restaurants, and cruises in over 40 countries and in more than 20 languages across the world. Tripadvisor offers more than 1 billion user-generated ratings and reviews on over 8 million experiences, accommodations, restaurants, airlines, and cruises.</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2" w:right="379" w:bottom="1440" w:gutter="0" w:footer="0" w:header="0"/>
        </w:sectPr>
      </w:pPr>
    </w:p>
    <w:bookmarkStart w:id="66" w:name="page67"/>
    <w:bookmarkEnd w:id="66"/>
    <w:p>
      <w:pPr>
        <w:spacing w:after="0" w:line="192" w:lineRule="exact"/>
        <w:rPr>
          <w:sz w:val="20"/>
          <w:szCs w:val="20"/>
          <w:color w:val="auto"/>
        </w:rPr>
      </w:pPr>
    </w:p>
    <w:p>
      <w:pPr>
        <w:jc w:val="both"/>
        <w:ind w:right="220" w:firstLine="509"/>
        <w:spacing w:after="0" w:line="265" w:lineRule="auto"/>
        <w:rPr>
          <w:sz w:val="20"/>
          <w:szCs w:val="20"/>
          <w:color w:val="auto"/>
        </w:rPr>
      </w:pPr>
      <w:r>
        <w:rPr>
          <w:rFonts w:ascii="Times New Roman" w:cs="Times New Roman" w:eastAsia="Times New Roman" w:hAnsi="Times New Roman"/>
          <w:sz w:val="18"/>
          <w:szCs w:val="18"/>
          <w:color w:val="auto"/>
        </w:rPr>
        <w:t>Viator enables travelers to discover and book iconic, unique and memorable experiences from experience operators around the globe. Our online marketplace is comprehensive, connecting travelers to bookable tours, activities and attractions—consisting of over 350,000 experiences from more than 55,000 operators.</w:t>
      </w:r>
    </w:p>
    <w:p>
      <w:pPr>
        <w:spacing w:after="0" w:line="69" w:lineRule="exact"/>
        <w:rPr>
          <w:sz w:val="20"/>
          <w:szCs w:val="20"/>
          <w:color w:val="auto"/>
        </w:rPr>
      </w:pPr>
    </w:p>
    <w:p>
      <w:pPr>
        <w:ind w:right="420" w:firstLine="509"/>
        <w:spacing w:after="0" w:line="281" w:lineRule="auto"/>
        <w:rPr>
          <w:sz w:val="20"/>
          <w:szCs w:val="20"/>
          <w:color w:val="auto"/>
        </w:rPr>
      </w:pPr>
      <w:r>
        <w:rPr>
          <w:rFonts w:ascii="Times New Roman" w:cs="Times New Roman" w:eastAsia="Times New Roman" w:hAnsi="Times New Roman"/>
          <w:sz w:val="18"/>
          <w:szCs w:val="18"/>
          <w:color w:val="auto"/>
        </w:rPr>
        <w:t>TheFork provides an online marketplace that enables diners to discover and book online reservations at approximately 55,000 restaurants in 11 countries, across the U.K., western and central Europe.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business was negatively impacted by the risks and uncertainties related to the COVID-19 pandemic and our business would be adversely and materially affected upon a resurgence of COVID-19 or the emergence of any new pandemic or other health crisis that results in reinstated travel bans and/or other government restrictions and mandates. Following the lifting of restrictions in connection with the COVID-19 pandemic, travel demand increased. In addition, the U.S. and other countries saw significant increased inflation and decreases in discretionary spending patterns by consumers. If macroeconomic conditions deteriorate, consumer demand and spending may decline, we may not be able to pass on increased costs to our customers and our inability or failure to navigate the macroeconomic environment could harm our business, results of operations and financial condition.</w:t>
      </w:r>
    </w:p>
    <w:p>
      <w:pPr>
        <w:spacing w:after="0" w:line="186"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Additionally, natural disasters, public health-related events, political instability, geopolitical conflicts, including the evolving events in the Middle East, acts of terrorism, fluctuations in currency values, and changes in global economic conditions, are examples of other events that could have a negative impact on the travel industry, and as a result, our financial results in the future.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29" w:lineRule="exact"/>
        <w:rPr>
          <w:sz w:val="20"/>
          <w:szCs w:val="20"/>
          <w:color w:val="auto"/>
        </w:rPr>
      </w:pPr>
    </w:p>
    <w:p>
      <w:pPr>
        <w:ind w:right="20" w:firstLine="509"/>
        <w:spacing w:after="0" w:line="272" w:lineRule="auto"/>
        <w:rPr>
          <w:sz w:val="20"/>
          <w:szCs w:val="20"/>
          <w:color w:val="auto"/>
        </w:rPr>
      </w:pPr>
      <w:r>
        <w:rPr>
          <w:rFonts w:ascii="Times New Roman" w:cs="Times New Roman" w:eastAsia="Times New Roman" w:hAnsi="Times New Roman"/>
          <w:sz w:val="17"/>
          <w:szCs w:val="17"/>
          <w:color w:val="auto"/>
        </w:rPr>
        <w:t xml:space="preserve">Consumer travel expenditures have historically followed a seasonal pattern. Correspondingly, travel partner advertising investments, and therefore our revenue and operating profits, have also historically followed a seasonal pattern. Our financial performance tends to be seasonally highest in the second and third quarters of a given year, which includes the seasonal peak in consumer demand, including traveler accommodation stays, and travel experiences taken, compared to the first and fourth quarters, which represent seasonal low points. </w:t>
      </w:r>
      <w:r>
        <w:rPr>
          <w:rFonts w:ascii="Times New Roman" w:cs="Times New Roman" w:eastAsia="Times New Roman" w:hAnsi="Times New Roman"/>
          <w:sz w:val="17"/>
          <w:szCs w:val="17"/>
          <w:color w:val="231F20"/>
        </w:rPr>
        <w:t>In addition, during the first half of the year, experience bookings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typically exceed the amount of completed experiences, resulting in higher cash flow related to working capital, while during the second half of the year, particularly in the third quarter, this pattern reverses and cash flows from these transactions are typically negative</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231F20"/>
        </w:rPr>
        <w:t xml:space="preserve"> Other factors may also impact typical seasonal fluctuations, such as significant shifts in our business mix, adverse economic conditions, public health-related events, as well as other factors</w:t>
      </w:r>
      <w:r>
        <w:rPr>
          <w:rFonts w:ascii="Times New Roman" w:cs="Times New Roman" w:eastAsia="Times New Roman" w:hAnsi="Times New Roman"/>
          <w:sz w:val="17"/>
          <w:szCs w:val="17"/>
          <w:color w:val="000000"/>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Tripadvisor, our wholly-owned subsidiaries, and entities we control, or in which we have a variable interest and are the primary beneficiary of expected cash profits or losses. All inter-company accounts and transactions have been eliminated in consolidation. Additionally, certain prior period amounts may have been reclassified for comparability with the current period presentation, none of which were material. The accompanying consolidated financial statements have been prepared in accordance with generally accepted accounting principles in the United States (“GAAP”). We believe that the assumptions underlying our consolidated financial statements are reasonable. However, these consolidated financial statements do not present our future financial position, or the results of our future operations and cash flows.</w:t>
      </w:r>
    </w:p>
    <w:p>
      <w:pPr>
        <w:spacing w:after="0" w:line="7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One of our subsidiaries that operates in China has variable interests in affiliated entities in China in order to comply with Chinese laws and regulations, which restrict foreign investment in internet content provision businesses. Although we do not own the capital stock of these Chinese affiliates, we consolidate their results as we are the primary beneficiary of the cash losses or profits of these variable interest affiliates and have the power to direct the activity of these affiliates. Our variable interest entities’ financial results were not material for all periods presented. Investments in entities in which we do not have a controlling financial interest are accounted for under</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7" w:name="page68"/>
    <w:bookmarkEnd w:id="67"/>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equity method, the fair value option, as available-for-sale securities, or at cost adjusted for observable price changes and impairments, as appropriate.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Estimates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 xml:space="preserve">We use estimates and assumptions in the preparation of our consolidated financial statements in accordance with GAAP. Our estimates and assumptions affect the reported amounts of assets and liabilities and disclosure of contingent assets and liabilities as of the date of our consolidated financial statements. These estimates and assumptions also affect the reported amount of net income or loss during any period. Our actual financial results could differ significantly from these estimates. The significant estimates underlying our consolidated financial statements are within accounting for income taxes. Refer to our accounting policy for income taxes disclosed below and “Note 10: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information regarding our significant income tax estimates.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We generate all our revenue from contracts with customers. We recognize revenue when we satisfy a performance obligation by transferring control of the promised services to a customer in an amount that reflects the consideration that we expect to receive in exchange for those services. When we act as an agent in the transaction, we recognize revenue for only our commission on the arrangement. We determine revenue recognition through the following steps:</w:t>
      </w:r>
    </w:p>
    <w:p>
      <w:pPr>
        <w:spacing w:after="0" w:line="182"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we satisfy a performance obligation.</w:t>
      </w:r>
    </w:p>
    <w:p>
      <w:pPr>
        <w:spacing w:after="0" w:line="20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At contract inception, we assess the services promised in our contracts with customers and identify a performance obligation for each promise to transfer to the customer a service (or bundle of services) that is distinct. To identify the performance obligations, we consider all of the services promised in the contract regardless of whether they are explicitly stated or are implied by customary business practices. We have provided qualitative information about our performance obligations for our principal revenue streams discussed below. There was no significant revenue recognized in the years ended December 31, 2023, 2022 and 2021 related to performance obligations satisfied in prior periods, respectively. We have applied a practical expedient and do not disclose the value of unsatisfied performance obligations that have an original expected duration of less than one year. The Company expects to complete its performance obligations within one year from the initial transaction date. The value related to our remaining or partially satisfied performance obligations relates to subscription services that are satisfied over time or services that are recognized at a point in time, but not yet achieved. Our timing of services, invoicing and payments are discussed in more detail below and do not include a significant financing component. Our customer invoices are generally due 30 days from the time of invoicing.</w:t>
      </w:r>
    </w:p>
    <w:p>
      <w:pPr>
        <w:spacing w:after="0" w:line="19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recognize an asset for the incremental costs of obtaining a contract with a customer if we expect the benefit of those costs to be longer than one year. Although the substantial majority of our contract costs have an amortization period of less than one year, we have determined contract costs arising from certain sales incentives have an amortization period in excess of one year given the high likelihood of contract renewal. Sales incentives are not paid upon renewal of these contracts and therefore are not commensurate with the initial sales incentive costs. As of December 31, 2023 and 2022, there was $3 million and $4 million, respectively, of unamortized contract costs in other long-term assets on our consolidated balance sheet. We amortize these contract costs on a straight-line basis over the estimated customer life, which is based on historical customer retention rates. Amortization expense recorded to selling and marketing expense on our consolidated statements of operations during each of the years ended December 31, 2023, 2022 and 2021, was $1 million. We assess such asset for impairment when events or circumstances indicate that the carrying amount may not be recoverable. No impairments were recognized during the years ended December 31, 2023, 2022 and 2021.</w:t>
      </w:r>
    </w:p>
    <w:p>
      <w:pPr>
        <w:spacing w:after="0" w:line="186" w:lineRule="exact"/>
        <w:rPr>
          <w:sz w:val="20"/>
          <w:szCs w:val="20"/>
          <w:color w:val="auto"/>
        </w:rPr>
      </w:pPr>
    </w:p>
    <w:p>
      <w:pPr>
        <w:ind w:right="260" w:firstLine="509"/>
        <w:spacing w:after="0" w:line="281" w:lineRule="auto"/>
        <w:rPr>
          <w:sz w:val="20"/>
          <w:szCs w:val="20"/>
          <w:color w:val="auto"/>
        </w:rPr>
      </w:pPr>
      <w:r>
        <w:rPr>
          <w:rFonts w:ascii="Times New Roman" w:cs="Times New Roman" w:eastAsia="Times New Roman" w:hAnsi="Times New Roman"/>
          <w:sz w:val="18"/>
          <w:szCs w:val="18"/>
          <w:color w:val="auto"/>
        </w:rPr>
        <w:t>The recognition of revenue may require the application of judgment related to the determination of the performance obligations and the timing of when the performance obligations are satisfied. The determination of our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8" w:name="page69"/>
    <w:bookmarkEnd w:id="68"/>
    <w:p>
      <w:pPr>
        <w:spacing w:after="0" w:line="19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performance obligations does not require significant judgment given that we generally do not provide multiple services to a customer in a transaction, and the point in which control is transferred to the customer is readily determinable. In instances where we recognize revenue over time, we generally have either a subscription service that is recognized over time on a straight-line basis using the time-elapsed output method, or based on other output measures that provide a faithful depiction of the transfer of our services. When an estimate for cancellations is included in the transaction price, we base our estimate on historical cancellation rates and current trends. Taxes assessed by a government authority that are both imposed on and concurrent with a specific revenue–producing transaction, that are collected by us from a customer, are reported on a net basis, or in other words excluded from revenue on our consolidated financial statements.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Practical Expedients and Exemptions</w:t>
      </w:r>
    </w:p>
    <w:p>
      <w:pPr>
        <w:spacing w:after="0" w:line="121" w:lineRule="exact"/>
        <w:rPr>
          <w:sz w:val="20"/>
          <w:szCs w:val="20"/>
          <w:color w:val="auto"/>
        </w:rPr>
      </w:pPr>
    </w:p>
    <w:p>
      <w:pPr>
        <w:ind w:left="1420" w:right="200" w:hanging="514"/>
        <w:spacing w:after="0" w:line="260" w:lineRule="auto"/>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expense costs to obtain a contract as incurred, such as sales incentives, when the amortization period would have been one year or less.</w:t>
      </w:r>
    </w:p>
    <w:p>
      <w:pPr>
        <w:spacing w:after="0" w:line="1" w:lineRule="exact"/>
        <w:rPr>
          <w:rFonts w:ascii="Times New Roman" w:cs="Times New Roman" w:eastAsia="Times New Roman" w:hAnsi="Times New Roman"/>
          <w:sz w:val="18"/>
          <w:szCs w:val="18"/>
          <w:color w:val="auto"/>
        </w:rPr>
      </w:pPr>
    </w:p>
    <w:p>
      <w:pPr>
        <w:ind w:left="1420" w:right="60" w:hanging="514"/>
        <w:spacing w:after="0" w:line="260" w:lineRule="auto"/>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disclose the value of unsatisfied performance obligations for (i) contracts with an original expected length of one year or less and (ii) contracts for which we recognize revenue at the amount to which we have the right to invoice for services performed.</w:t>
      </w:r>
    </w:p>
    <w:p>
      <w:pPr>
        <w:spacing w:after="0" w:line="180" w:lineRule="exact"/>
        <w:rPr>
          <w:sz w:val="20"/>
          <w:szCs w:val="20"/>
          <w:color w:val="auto"/>
        </w:rPr>
      </w:pPr>
    </w:p>
    <w:p>
      <w:pPr>
        <w:ind w:right="460" w:firstLine="509"/>
        <w:spacing w:after="0" w:line="281" w:lineRule="auto"/>
        <w:rPr>
          <w:sz w:val="20"/>
          <w:szCs w:val="20"/>
          <w:color w:val="auto"/>
        </w:rPr>
      </w:pPr>
      <w:r>
        <w:rPr>
          <w:rFonts w:ascii="Times New Roman" w:cs="Times New Roman" w:eastAsia="Times New Roman" w:hAnsi="Times New Roman"/>
          <w:sz w:val="18"/>
          <w:szCs w:val="18"/>
          <w:color w:val="auto"/>
        </w:rPr>
        <w:t>The application of our revenue recognition policies and description of our principal activities, organized by reportable segment from which we generate our revenue, are presented below.</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Brand Tripadvisor Segment (formerly Tripadvisor Core Segment)</w:t>
      </w:r>
    </w:p>
    <w:p>
      <w:pPr>
        <w:spacing w:after="0" w:line="22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Tripadvisor-branded Hotels Revenue. </w:t>
      </w:r>
      <w:r>
        <w:rPr>
          <w:rFonts w:ascii="Times New Roman" w:cs="Times New Roman" w:eastAsia="Times New Roman" w:hAnsi="Times New Roman"/>
          <w:sz w:val="18"/>
          <w:szCs w:val="18"/>
          <w:color w:val="auto"/>
        </w:rPr>
        <w:t>Our largest source of Brand Tripadvisor segment revenue is generated from click-based advertising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Tripadvisor-branded websites, which we refer to as our hotel meta (also referred to as hotel auction) revenue, which is primarily comprised of contextually-relevant booking links to our travel partners’ websites. Our click-based travel partners are predominantly online travel agencies, or OTAs, and hotels. Click-based advertising is generally priced on a cost-per-click, or “CPC” basis, with payments from travel partners determined by the number of travelers who click on a link multiplied by the CPC rate for each specific click. CPC rates are determined in a dynamic, competitive auction process, where the travel partner bids for rates and availability to be listed on our platform. When a CPC bid is submitted, the travel partner agrees to pay us the bid amount each time a traveler clicks on the link to that travel partner’s website. Bids can be submitted periodically – as often as daily – on a property-by-property basis. We record click-based advertising revenue as the click occurs and traveler leads are sent to the travel partner’s website as our performance obligation is fulfilled at that time. Click-based revenue is generally billed to our travel partners monthly, consistent with the timing of the service. We also generate revenue from our cost-per-acquisition, or “CPA” model, which consists of contextually-relevant booking links to our travel partners’ websites which are advertised on our platform. We earn a commission from our travel partners, based on a pre-determined contractual commission rate, for each traveler who clicks to and books a hotel reservation on the travel partner's website, which results in a traveler stay. CPA revenue is billable only upon the completion of each traveler’s stay resulting from a hotel reservation. The travel partners provide the service to the travelers and we act as an agent under GAAP. Our performance obligation is complete at the time of the hotel reservation booking, and the commission earned is recognized upon booking, as we have no post-booking service obligations. We recognize this revenue net of an estimate of the impact of cancellations, using historical cancellation rates and current trends. Contract assets are recognized at the time of booking for commissions that are billable upon the completion of a traveler's stay. CPA revenue is generally billed to our travel partners two months after traveler stays are completed.</w:t>
      </w:r>
    </w:p>
    <w:p>
      <w:pPr>
        <w:spacing w:after="0" w:line="193"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 addition, we offer business-to-business, or “B2B,” solutions to hotels, including subscription-based advertising to hotels, owners of B&amp;Bs, and other specialty lodging properties. Our performance obligation is generally to enable subscribers to advertise their businesses on our platform, as well as to manage and promote their website URL, email address, phone number, special offers and other information related to their business. Subscription-based advertising services are predominantly sold for a flat fee for a contracted period of time of one year or less and revenue is recognized on a straight-line basis over the period of the subscription service as efforts are expended evenly throughout the contract period. Subscription-based advertising services are generally billed at the inception of the service. When prepayments are received, we recognize deferred revenue initially on our consolidated balance sheet for the amount of prepayment in excess of revenue recognized, until the performance obligation is satisfied. To a lesser extent, we offer travel partners the opportunity to advertise and promote their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business through hotel sponsored placements on our platform. This service is generally priced on a CPC basis, with payments from travel partners determined by the number of travelers who click on the sponsored link multiplied by the CPC rate for each specific click. CPC rates for hotel sponsored placements that our travel partners pay are generally based on bids submitted as part of an auction by our travel partners or a pre-determined contractual CPC rate. The travel partner agrees to pay us the CPC rate amount each time a traveler clicks on a link to the travel partner’s website. We record this click-based advertising revenue as the click occurs and traveler leads are sent to the travel partner as our performance obligation is fulfilled at that time. Hotel sponsored placements revenue is generally billed to our travel partners monthly, consistent with the timing of the service.</w:t>
      </w:r>
    </w:p>
    <w:p>
      <w:pPr>
        <w:spacing w:after="0" w:line="18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Media and Advertising Revenue. </w:t>
      </w:r>
      <w:r>
        <w:rPr>
          <w:rFonts w:ascii="Times New Roman" w:cs="Times New Roman" w:eastAsia="Times New Roman" w:hAnsi="Times New Roman"/>
          <w:sz w:val="18"/>
          <w:szCs w:val="18"/>
          <w:color w:val="auto"/>
        </w:rPr>
        <w:t>We offer travel partners the ability to promote their brands through display-based advertising, or sometimes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referred to as “media advertising”, placements across our platform. Our display-based advertising clients are predominantly direct suppliers of hotels, airlines and cruises, as well as destination marketing organizations. We also sell display-based advertising to OTAs and other travel related businesses, as well as to advertisers from non-travel categories. Display-based advertising is sold predominantly on a cost per thousand impressions, or “CPM,” basis. The performance obligation in our display-based advertising arrangements is to display a number of advertising impressions on our platform and we recognize revenue for impressions as they are delivered. Services are generally billed monthly. We have applied the practical expedient to measure progress toward completion, as we have the right to invoice the customer in an amount that directly corresponds with the value to the customer of our performance to date, which is measured based on impressions delivered.</w:t>
      </w:r>
    </w:p>
    <w:p>
      <w:pPr>
        <w:spacing w:after="0" w:line="182"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Tripadvisor Experiences and Dining Revenue. </w:t>
      </w:r>
      <w:r>
        <w:rPr>
          <w:rFonts w:ascii="Times New Roman" w:cs="Times New Roman" w:eastAsia="Times New Roman" w:hAnsi="Times New Roman"/>
          <w:sz w:val="18"/>
          <w:szCs w:val="18"/>
          <w:color w:val="auto"/>
        </w:rPr>
        <w:t>We generate revenue from our experiences and restaurant offerings on Tripadvisor-branded websites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mobile apps. Tripadvisor receives intercompany (intersegment) revenue consisting of affiliate marketing commissions earned primarily from experience bookings and, to a lesser extent, restaurant reservation bookings, on Tripadvisor-branded websites and mobile apps, fulfilled by Viator and TheFork, respectively, which are eliminated on a consolidated basis. The performance obligations, timing of customer payments for our experiences and dining transactions, and methods of revenue recognition are consistent with the Viator and TheFork segments, as described below. In addition, Tripadvisor restaurant offerings, or B2B restaurant offerings, generate subscription fees for subscription-based advertising to our restaurant partners that allow restaurants to manage and promote their website URL, email address, phone number, special offers and other information related to their business, as well as access to certain online reservation management services, marketing analytic tools, and menu syndication services. As the performance obligation is to provide restaurants with access to these services over a subscription period, the subscription fee revenue is recognized over the subscription period on a straight-line basis as efforts are expended evenly throughout the contract period. Subscription-based advertising services are generally billed at the inception of the service. When prepayments are received, we recognize deferred revenue initially on our consolidated balance sheet for the amount of prepayment in excess of revenue recognized, until the performance obligation is satisfied. In addition, we offer restaurant partners the opportunity to advertise and promote their business through restaurant media advertising placements on our platform. This service is generally priced on a CPC basis, with payments from restaurant partners determined by the number of clicks by consumers on the sponsored link multiplied by the CPC rate for each specific click. CPC rates for media advertising placements agreed to by our restaurant partners are based on a pre-determined contractual rate. We record this click-based advertising revenue as the click occurs and diner leads are sent to the restaurant partner as our performance obligation is fulfilled at that time. Click-based revenue is generally billed to our restaurant partners monthly, consistent with the timing of the service.</w:t>
      </w:r>
    </w:p>
    <w:p>
      <w:pPr>
        <w:spacing w:after="0" w:line="189"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Other Revenue. </w:t>
      </w:r>
      <w:r>
        <w:rPr>
          <w:rFonts w:ascii="Times New Roman" w:cs="Times New Roman" w:eastAsia="Times New Roman" w:hAnsi="Times New Roman"/>
          <w:sz w:val="17"/>
          <w:szCs w:val="17"/>
          <w:color w:val="auto"/>
        </w:rPr>
        <w:t>We also offer travelers alternative accommodation rentals, cruises, flights, and rental cars solutions on our platforms which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complement our end-to-end travel experience. Our alternative accommodation rentals offering provides information and services that allow travelers to research and book vacation and short-term rental properties, including full homes, condominiums, villas, beach properties, cabins and cottages. Our alternative accommodation rentals offering primarily generates revenue by offering individual property owners and managers the ability to list their properties on our platform thereby connecting with travelers through a free-to-list, commission-based option. These properties are listed on our Tripadvisor-branded websites and mobile apps, and Tripadvisor's portfolio of travel media brands, including, www.flipkey.com, www.holidaylettings.co.uk, and www.niumba.com. We earn commissions associated with rental transactions through our free-to-list model from both the traveler and the property owner or manager. We provide post-booking services to the travelers, property owners and managers until the time the rental commences, which is the time the performance obligation is completed. Revenue from transaction fees is recognized at the time that the rental commences. Under GAAP, we act</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an agent in the transactions, as we do not control any properties before the property owner provides the accommodation to the traveler and do not have inventory risk. We generally collect payment from the traveler at the time of booking, representing the amount due to the property owner or manager, as well as our commission. That portion of the payment representing our commission is recorded as deferred revenue on our consolidated balance sheet until revenue is recognized, and that portion of the payment representing the amount due to the property owner is recorded as a deferred merchant payable on our consolidated balance sheet until payment is made to the property owner after the completion of the rental.</w:t>
      </w:r>
    </w:p>
    <w:p>
      <w:pPr>
        <w:spacing w:after="0" w:line="182" w:lineRule="exact"/>
        <w:rPr>
          <w:sz w:val="20"/>
          <w:szCs w:val="20"/>
          <w:color w:val="auto"/>
        </w:rPr>
      </w:pPr>
    </w:p>
    <w:p>
      <w:pPr>
        <w:ind w:right="100" w:firstLine="509"/>
        <w:spacing w:after="0" w:line="260" w:lineRule="auto"/>
        <w:rPr>
          <w:sz w:val="20"/>
          <w:szCs w:val="20"/>
          <w:color w:val="auto"/>
        </w:rPr>
      </w:pPr>
      <w:r>
        <w:rPr>
          <w:rFonts w:ascii="Times New Roman" w:cs="Times New Roman" w:eastAsia="Times New Roman" w:hAnsi="Times New Roman"/>
          <w:sz w:val="18"/>
          <w:szCs w:val="18"/>
          <w:color w:val="auto"/>
        </w:rPr>
        <w:t>In addition, Other Revenue includes revenue generated from cruises, flights, and rental cars offerings on Tripadvisor-branded websites and mobile apps and Tripadvisor’s portfolio of brands, which primarily includes click-based advertising and display-based advertising revenue. The performance obligations, timing of customer payments for these offerings, and methods of revenue recognition are generally consistent with click-based advertising and display-based advertising revenue, as described above.</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Viator Segment</w:t>
      </w:r>
    </w:p>
    <w:p>
      <w:pPr>
        <w:spacing w:after="0" w:line="229" w:lineRule="exact"/>
        <w:rPr>
          <w:sz w:val="20"/>
          <w:szCs w:val="20"/>
          <w:color w:val="auto"/>
        </w:rPr>
      </w:pPr>
    </w:p>
    <w:p>
      <w:pPr>
        <w:ind w:right="100" w:firstLine="509"/>
        <w:spacing w:after="0" w:line="260" w:lineRule="auto"/>
        <w:rPr>
          <w:sz w:val="20"/>
          <w:szCs w:val="20"/>
          <w:color w:val="auto"/>
        </w:rPr>
      </w:pPr>
      <w:r>
        <w:rPr>
          <w:rFonts w:ascii="Times New Roman" w:cs="Times New Roman" w:eastAsia="Times New Roman" w:hAnsi="Times New Roman"/>
          <w:sz w:val="18"/>
          <w:szCs w:val="18"/>
          <w:color w:val="auto"/>
        </w:rPr>
        <w:t>We provide an online marketplace that allows travelers to research and book tours, activities and attractions in popular travel destinations across the globe through our Viator-branded platform, which includes website, mobile web, and mobile app. Through Viator, we also power traveler bookings of tours, activities and attractions on behalf of third-party distribution partner websites, including the Tripadvisor platform as well as many of the world’s major OTA’s, airlines, hotels, online and offline travel agencies, and other prominent content and eCommerce brands.</w:t>
      </w:r>
    </w:p>
    <w:p>
      <w:pPr>
        <w:spacing w:after="0" w:line="182" w:lineRule="exact"/>
        <w:rPr>
          <w:sz w:val="20"/>
          <w:szCs w:val="20"/>
          <w:color w:val="auto"/>
        </w:rPr>
      </w:pPr>
    </w:p>
    <w:p>
      <w:pPr>
        <w:ind w:right="80" w:firstLine="509"/>
        <w:spacing w:after="0" w:line="272" w:lineRule="auto"/>
        <w:rPr>
          <w:sz w:val="20"/>
          <w:szCs w:val="20"/>
          <w:color w:val="auto"/>
        </w:rPr>
      </w:pPr>
      <w:r>
        <w:rPr>
          <w:rFonts w:ascii="Times New Roman" w:cs="Times New Roman" w:eastAsia="Times New Roman" w:hAnsi="Times New Roman"/>
          <w:sz w:val="17"/>
          <w:szCs w:val="17"/>
          <w:color w:val="auto"/>
        </w:rPr>
        <w:t>We work with local tour, activity, and experience operators (“operators”) to provide travelers (“customers”) the ability to book tours, activities and attractions, or “experiences”, in destinations around the world. We generate commissions for each booking transaction we facilitate through our online reservation system, in exchange for certain activities, including the use of the Company’s booking platform, post-booking 24/7 customer support until the time of the experience and payment processing activities as the merchant of record, which is the completion of the performance obligation. These activities are not distinct from each other and are not separate performance obligations. As a result, the Company’s single performance obligation is to facilitate an experience, which is complete upon the time the experience occurs, and when revenue is recognized. We do not control the experience or have inventory risk before the operator provides the experience to our customer and therefore act as agent for substantially all of these transactions under GAAP.</w:t>
      </w:r>
    </w:p>
    <w:p>
      <w:pPr>
        <w:spacing w:after="0" w:line="175" w:lineRule="exact"/>
        <w:rPr>
          <w:sz w:val="20"/>
          <w:szCs w:val="20"/>
          <w:color w:val="auto"/>
        </w:rPr>
      </w:pPr>
    </w:p>
    <w:p>
      <w:pPr>
        <w:ind w:right="220" w:firstLine="509"/>
        <w:spacing w:after="0" w:line="260" w:lineRule="auto"/>
        <w:rPr>
          <w:sz w:val="20"/>
          <w:szCs w:val="20"/>
          <w:color w:val="auto"/>
        </w:rPr>
      </w:pPr>
      <w:r>
        <w:rPr>
          <w:rFonts w:ascii="Times New Roman" w:cs="Times New Roman" w:eastAsia="Times New Roman" w:hAnsi="Times New Roman"/>
          <w:sz w:val="18"/>
          <w:szCs w:val="18"/>
          <w:color w:val="auto"/>
        </w:rPr>
        <w:t>We collect payment from the customer prior to the experience occurring, which includes both our commission and the amount due to the operator. We record our commissions as deferred revenue on our consolidated balance sheet when payment is received, including amounts which are refundable subject to cancellation, until the experience occurs and revenue is recognized. The amount due to the operator is recorded as a deferred merchant payable on our consolidated balance sheet until completion of the experience, after which payment is remitted to the operator.</w:t>
      </w:r>
    </w:p>
    <w:p>
      <w:pPr>
        <w:spacing w:after="0" w:line="18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To a much lesser extent, we earn commissions from third-party distribution partners, in this case, the customers, who display and promote on their websites the operator experiences available on our platform to generate bookings. In these transactions, we are not the merchant of record, and we generally invoice and receive commissions directly from third-party distribution partners. Our performance obligation is to allow the third-party distribution partners to display and promote on their website experiences offered by operators who utilize our platform, in exchange for which, we earn a commission when travelers book and complete an experience on the third-party distribution partner's website. We do not control the service or have inventory risk, and therefore act as an agent for these transactions under GAAP. We generally receive payment prior to the experience date for these transactions, and make payments to the operators after the experience is complete. Our performance obligation is complete, and revenue is recognized at the time of the booking, as we have no post-booking obligations to the customer. We recognize this revenue net of an estimate of the impact of cancellations, which is not material, using historical cancellation rates and current trends. Contract assets are recognized for commissions that are contractually billable contingent upon completion of the experience.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TheFork Segment</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provide information and services for consumers to research and book restaurants through our online restaurant reservations platform, TheFork. We primarily generate transaction fees (or per seated diner fees) that are paid by our restaurant customers for diners seated primarily from bookings through TheFork’s online reservation system. The transaction fee is recognized as revenue after the reservation is fulfilled, or as diners are seated by our restaurant customers. We invoice restaurants monthly for transaction fees. To a lesser extent, we also generate subscription fees for providing access to certain online reservation management services, marketing analytic tools, and menu syndication services. For these services, our performance obligation is to provide restaurants with access to these services over the subscription period, which generally is one-month, and we recognize revenue once our performance obligation is met and invoice restaurants monthly for these subscription services.</w:t>
      </w:r>
    </w:p>
    <w:p>
      <w:pPr>
        <w:spacing w:after="0" w:line="185" w:lineRule="exact"/>
        <w:rPr>
          <w:sz w:val="20"/>
          <w:szCs w:val="20"/>
          <w:color w:val="auto"/>
        </w:rPr>
      </w:pPr>
    </w:p>
    <w:p>
      <w:pPr>
        <w:ind w:right="40" w:firstLine="509"/>
        <w:spacing w:after="0" w:line="267" w:lineRule="auto"/>
        <w:rPr>
          <w:sz w:val="20"/>
          <w:szCs w:val="20"/>
          <w:color w:val="auto"/>
        </w:rPr>
      </w:pPr>
      <w:r>
        <w:rPr>
          <w:rFonts w:ascii="Times New Roman" w:cs="Times New Roman" w:eastAsia="Times New Roman" w:hAnsi="Times New Roman"/>
          <w:sz w:val="18"/>
          <w:szCs w:val="18"/>
          <w:color w:val="auto"/>
        </w:rPr>
        <w:t xml:space="preserve">Refer to “Note 18: </w:t>
      </w:r>
      <w:r>
        <w:rPr>
          <w:rFonts w:ascii="Times New Roman" w:cs="Times New Roman" w:eastAsia="Times New Roman" w:hAnsi="Times New Roman"/>
          <w:sz w:val="18"/>
          <w:szCs w:val="18"/>
          <w:i w:val="1"/>
          <w:iCs w:val="1"/>
          <w:color w:val="auto"/>
        </w:rPr>
        <w:t>Segment and Geographic Information</w:t>
      </w:r>
      <w:r>
        <w:rPr>
          <w:rFonts w:ascii="Times New Roman" w:cs="Times New Roman" w:eastAsia="Times New Roman" w:hAnsi="Times New Roman"/>
          <w:sz w:val="18"/>
          <w:szCs w:val="18"/>
          <w:color w:val="auto"/>
        </w:rPr>
        <w:t>” for disaggregation of the Company’s revenue by major products and revenue sources. We have determined that disaggregating revenue into these categories achieves the disclosure objective under GAAP, which is to depict how the nature, amount, timing, and uncertainty of revenue and cash flows are affected by economic factors.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Contract liabilities generally include payments received in advance of performance under the contract, and are realized as revenue as the performance obligation to the customer is satisfied, which we present as deferred revenue on our consolidated balance sheet. As of January 1, 2023, we had $44 million recorded as deferred revenue on our consolidated balance sheets, of which $41 million was recognized in revenue and $3 million was refunded due to cancellations by travelers during the year ended December 31, 2023. As of January 1, 2022, we had $36 million recorded as deferred revenue on our consolidated balance sheets, of which $34 million was recognized in revenue and $2 million was refunded due to cancellations by travelers during the year ended December 31, 2022. The difference between the opening and closing balances of our deferred revenue primarily results from the timing differences between when we receive customer payments and the time in which we satisfy our performance obligations. There were no significant changes in deferred revenue during the years ended December 31, 2023 and 2022 related to business combinations, impairments, cumulative catch-ups or other material adjustments.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Merchant Payables</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our experience offerings and free-to-list alternative accommodation rental offerings, we receive payment from travelers at the time of booking or prior to the experience or property rental date, and we record these amounts, net of our commissions, on our consolidated balance sheet as deferred merchant payables. We pay the experience operators and rental property owners, after the travelers’ use. Therefore, we receive payment from the traveler prior to paying the experience operator or rental property owner and this operating cycle represents a working capital source or use of cash to us. Our deferred merchant payables balance was $237 million and $203 million at December 31, 2023 and 2022, respectively, on our consolidated balance sheets. </w:t>
      </w:r>
      <w:r>
        <w:rPr>
          <w:rFonts w:ascii="Times New Roman" w:cs="Times New Roman" w:eastAsia="Times New Roman" w:hAnsi="Times New Roman"/>
          <w:sz w:val="18"/>
          <w:szCs w:val="18"/>
          <w:color w:val="231F20"/>
        </w:rPr>
        <w:t xml:space="preserve">The increase in our deferred merchant payables during the year ended December 31, 2023 was primarily due to </w:t>
      </w:r>
      <w:r>
        <w:rPr>
          <w:rFonts w:ascii="Times New Roman" w:cs="Times New Roman" w:eastAsia="Times New Roman" w:hAnsi="Times New Roman"/>
          <w:sz w:val="18"/>
          <w:szCs w:val="18"/>
          <w:color w:val="000000"/>
        </w:rPr>
        <w:t>increased consumer demand for our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experience offerings.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200" w:firstLine="509"/>
        <w:spacing w:after="0" w:line="260" w:lineRule="auto"/>
        <w:rPr>
          <w:sz w:val="20"/>
          <w:szCs w:val="20"/>
          <w:color w:val="auto"/>
        </w:rPr>
      </w:pPr>
      <w:r>
        <w:rPr>
          <w:rFonts w:ascii="Times New Roman" w:cs="Times New Roman" w:eastAsia="Times New Roman" w:hAnsi="Times New Roman"/>
          <w:sz w:val="18"/>
          <w:szCs w:val="18"/>
          <w:color w:val="auto"/>
        </w:rPr>
        <w:t>Cost of revenue consists of expenses that are directly related or closely correlated to revenue generation, including direct costs, such as credit card and other booking transaction payment fees, data center costs, ad serving fees, and other revenue generating costs. In addition, cost of revenue includes personnel and overhead expenses, including salaries, benefits, stock-based compensation and bonuses for certain customer support personnel who are directly involved in revenue generation.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121"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Selling and marketing expenses consist of direct costs, including traffic generation costs from paid online traffic acquisition costs (including SEM and other online traffic acquisition costs), syndication costs and affiliate marketing commissions, social media costs, brand advertising (including television and other offline advertising), promotions and public relations. In addition, our selling and marketing expenses consist of indirect costs such as</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2" w:name="page73"/>
    <w:bookmarkEnd w:id="72"/>
    <w:p>
      <w:pPr>
        <w:spacing w:after="0" w:line="84"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color w:val="auto"/>
        </w:rPr>
        <w:t>personnel and overhead expenses, including salaries, commissions, benefits, stock-based compensation, and bonuses for sales, sales support, customer support and marketing employees.</w:t>
      </w:r>
    </w:p>
    <w:p>
      <w:pPr>
        <w:spacing w:after="0" w:line="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Advertising costs</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incur advertising costs consisting of online advertising expense, including SEM and other online channels, and offline advertising costs, including television costs and other offline channels, to promote our brands. We expense the costs associated with communicating the advertisements in the period in which the advertisement takes place. We expense the production costs associated with advertisements in the period in which the advertisement first takes place. For the years ended December 31, 2023, 2022 and 2021, we recorded advertising expense of $706 million, $572 million, and $282 million, respectively, in selling and marketing expense on our consolidated statements of operations. We include prepaid advertising expenses in prepaid expenses and other current assets on our consolidated balance sheet, which was not material as of December 31, 2023 and 2022.</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and Content</w:t>
      </w:r>
    </w:p>
    <w:p>
      <w:pPr>
        <w:spacing w:after="0" w:line="121" w:lineRule="exact"/>
        <w:rPr>
          <w:sz w:val="20"/>
          <w:szCs w:val="20"/>
          <w:color w:val="auto"/>
        </w:rPr>
      </w:pPr>
    </w:p>
    <w:p>
      <w:pPr>
        <w:ind w:right="160" w:firstLine="509"/>
        <w:spacing w:after="0" w:line="288" w:lineRule="auto"/>
        <w:rPr>
          <w:sz w:val="20"/>
          <w:szCs w:val="20"/>
          <w:color w:val="auto"/>
        </w:rPr>
      </w:pPr>
      <w:r>
        <w:rPr>
          <w:rFonts w:ascii="Times New Roman" w:cs="Times New Roman" w:eastAsia="Times New Roman" w:hAnsi="Times New Roman"/>
          <w:sz w:val="17"/>
          <w:szCs w:val="17"/>
          <w:color w:val="auto"/>
        </w:rPr>
        <w:t>Technology and content expenses consist primarily of personnel and overhead expenses, including salaries and benefits, stock-based compensation expense, and bonuses for salaried employees and contractors engaged in the design, development, testing, content support, and maintenance of our platform. Other costs include licensing, maintenance, computer supplies, telecom, content translation and localization, and consulting costs.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100" w:firstLine="509"/>
        <w:spacing w:after="0" w:line="260"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and related overhead costs, including personnel engaged in leadership, finance, legal, and human resources, as well as stock-based compensation expense for those same personnel. General and administrative costs also include professional service fees and other fees including audit, legal, tax and accounting, and other operating costs including bad debt expense, non-income taxes, such as sales, use, digital services, and other non-income related taxes.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Our employee stock options generally consist of service based awards. The exercise price is equal to the market price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underlying shares of our common stock at the date of grant. In this regard, when granting stock option awards, our practice is to determine the applicable grant date and to specify that the exercise price shall be the closing price of our common stock on the date of grant. Our stock options generally have a term of ten years from the date of grant and typically vest equally over a four-year requisite service period. We amortize the grant-date fair value of our stock option grants as stock-based compensation expense over the vesting term on a straight-line basis, with the amount of compensation expense recognized at any date at least equaling the portion of the grant-date fair value of the award that is vested at that date.</w:t>
      </w:r>
    </w:p>
    <w:p>
      <w:pPr>
        <w:spacing w:after="0" w:line="188"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estimated grant-date fair value of stock options is calculated using a Black-Scholes Merton option-pricing model (“Black-Scholes model”). The Black-Scholes model incorporates assumptions to fair value stock-based awards, which includes the risk-free rate of return, expected volatility, expected term, and expected dividend yield. Our risk-free interest rate is based on the yields currently available on zero-coupon U.S. Treasury issues, in effect at the time of the grant, whose remaining maturity period most closely approximates the stock option’s expected term assumption. Our expected volatility is calculated by equally weighting the historical volatility and implied volatility on our own common stock. Historical volatility is determined using actual daily price observations of our common stock price over a period equivalent to or approximate to the expected term of our stock option grants to date. Implied volatility represents the volatility calculated from the observed prices of our actively traded options on our common stock. When measuring implied volatility for a specific employee stock option grant, we generally rely on traded contracts with six month maturities or more and exercise prices approximately equal to the exercise price of the specific option grant. We estimate our expected term using historical exercise behavior and expected post-vest termination data. Our expected dividend yield is zero as we have not historically paid regular cash dividends on our common stock and do not expect to pay regular cash dividends for the foreseeable future.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90" w:lineRule="exact"/>
        <w:rPr>
          <w:sz w:val="20"/>
          <w:szCs w:val="20"/>
          <w:color w:val="auto"/>
        </w:rPr>
      </w:pPr>
    </w:p>
    <w:p>
      <w:pPr>
        <w:jc w:val="both"/>
        <w:ind w:right="60" w:firstLine="509"/>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Restricted Stock Units. </w:t>
      </w:r>
      <w:r>
        <w:rPr>
          <w:rFonts w:ascii="Times New Roman" w:cs="Times New Roman" w:eastAsia="Times New Roman" w:hAnsi="Times New Roman"/>
          <w:sz w:val="17"/>
          <w:szCs w:val="17"/>
          <w:color w:val="auto"/>
        </w:rPr>
        <w:t>Restricted stock units (“RSUs”) are stock awards that are granted to employees entitling the holder to shares of our common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as the award vests. RSUs are measured at fair value based on the quoted price of our common stock at the date of grant. We amortize the fair value of RSUs as stock-based compensation expense over the vesting term, which is typically over a four-year requisite service period on a straight-line basis, with the amount of compensation expense recognized at any date at least equaling the portion of the grant-date fair value of the award that is vested at that date.</w:t>
      </w:r>
    </w:p>
    <w:p>
      <w:pPr>
        <w:spacing w:after="0" w:line="163"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Performance-Based Awards. </w:t>
      </w:r>
      <w:r>
        <w:rPr>
          <w:rFonts w:ascii="Times New Roman" w:cs="Times New Roman" w:eastAsia="Times New Roman" w:hAnsi="Times New Roman"/>
          <w:sz w:val="18"/>
          <w:szCs w:val="18"/>
          <w:color w:val="auto"/>
        </w:rPr>
        <w:t>Performance-based stock options and RSUs vest upon achievement of certain company-based performance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 requisite service period. On the date of grant, the fair value of a performance-based award is calculated using the same method as our service based stock options and RSUs as described above. We then assess whether it is probable that the individual performance targets would be achieved. If assessed as probable, compensation expense will be recorded for these awards over the estimated performance period. At each reporting period, we reassess the probability of achieving the performance targets and the performance period required to meet those targets. The estimation of whether the performance targets will be achieved and the performance period required to achieve the targets requires judgment, and to the extent actual results or updated estimates differ from our current estimates, the cumulative effect on current and prior periods of those changes will be recorded in the period estimates are revised, or the change in estimate will be applied prospectively depending on whether the change affects the estimate of total compensation cost to be recognized or merely affects the period over which compensation cost is to be recognized. The ultimate number of shares issued and the related compensation expense recognized will be based on a comparison of the final performance metrics to the specified targets.</w:t>
      </w:r>
    </w:p>
    <w:p>
      <w:pPr>
        <w:spacing w:after="0" w:line="19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Market-Based Awards</w:t>
      </w:r>
      <w:r>
        <w:rPr>
          <w:rFonts w:ascii="Times New Roman" w:cs="Times New Roman" w:eastAsia="Times New Roman" w:hAnsi="Times New Roman"/>
          <w:sz w:val="18"/>
          <w:szCs w:val="18"/>
          <w:color w:val="auto"/>
        </w:rPr>
        <w:t>. We issue market-based performance RSUs, or MSUs, which vest upon achievement of specified levels of market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 of our MSUs is estimated at the date of grant using a Monte-Carlo simulation model. The probabilities of the actual number of market-based performance units expected to vest and resultant actual number of shares of common stock expected to be awarded are reflected in the grant date fair values; therefore, the compensation expense for these awards will be recognized assuming the requisite service period is rendered and are not adjusted based on the actual number of awards that ultimately vest.</w:t>
      </w:r>
    </w:p>
    <w:p>
      <w:pPr>
        <w:spacing w:after="0" w:line="184"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Estimates of fair value are not intended to predict actual future events or the value ultimately realized by employees who receive these awards, and subsequent events are not indicative of the reasonableness of our original estimates of fair value.</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accounts for forfeitures in the period in which they occur, rather than estimating expected forfeitures.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record income taxes under the asset and liability method. Deferred tax assets and liabilities reflect our estimation of the future tax consequences of temporary differences between the carrying amounts of assets and liabilities for book and tax purposes. We determine deferred income taxes based on the differences in accounting methods and timing between financial statement and income tax reporting. Accordingly, we determine the deferred tax asset or liability for each temporary difference based on the enacted income tax rates expected to be in effect when we realize the underlying items of income and expense. We consider all relevant factors when assessing the likelihood of future realization of our deferred tax assets, including our recent earnings experience by jurisdiction, expectations of future taxable income, and the carryforward periods available to us for tax reporting purposes, as well as assessing available tax planning strategies. We may establish a valuation allowance to reduce deferred tax assets to the amount we believe is more likely than not to be realized. Due to inherent complexities arising from the nature of our businesses, future changes in income tax law, tax sharing agreements or variances between our actual and anticipated operating results, we make certain judgments and estimates. Therefore, actual income taxes could materially vary from these estimates. We classify deferred tax assets and liabilities as noncurrent on our consolidated balance sheet.</w:t>
      </w:r>
    </w:p>
    <w:p>
      <w:pPr>
        <w:spacing w:after="0" w:line="191"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8"/>
          <w:szCs w:val="18"/>
          <w:color w:val="auto"/>
        </w:rPr>
        <w:t>We record liabilities to address uncertain tax positions we have taken in previously filed tax returns or that we expect to take in a future tax return. The determination for required liabilities is based upon an analysis of each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92"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individual tax position, taking into consideration whether it is more likely than not that our tax position, based on technical merits, will be sustained upon examination.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Restricted Cash and Marketable Securities</w:t>
      </w:r>
    </w:p>
    <w:p>
      <w:pPr>
        <w:spacing w:after="0" w:line="121" w:lineRule="exact"/>
        <w:rPr>
          <w:sz w:val="20"/>
          <w:szCs w:val="20"/>
          <w:color w:val="auto"/>
        </w:rPr>
      </w:pPr>
    </w:p>
    <w:p>
      <w:pPr>
        <w:ind w:right="120" w:firstLine="509"/>
        <w:spacing w:after="0" w:line="312" w:lineRule="auto"/>
        <w:rPr>
          <w:sz w:val="20"/>
          <w:szCs w:val="20"/>
          <w:color w:val="auto"/>
        </w:rPr>
      </w:pPr>
      <w:r>
        <w:rPr>
          <w:rFonts w:ascii="Times New Roman" w:cs="Times New Roman" w:eastAsia="Times New Roman" w:hAnsi="Times New Roman"/>
          <w:sz w:val="17"/>
          <w:szCs w:val="17"/>
          <w:color w:val="auto"/>
        </w:rPr>
        <w:t>Our cash consists of available on demand bank deposits held in global financial institutions. Our cash equivalents generally consist of highly liquid investments, generally including money market funds, term deposits and marketable securities, with maturities of 90 days or less at the date of purchase.</w:t>
      </w:r>
    </w:p>
    <w:p>
      <w:pPr>
        <w:spacing w:after="0" w:line="139"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As of December 31, 2023 and 2022, our restricted cash, which primarily consists of legally restricted deposits and escrowed security deposits, was not material.</w:t>
      </w:r>
    </w:p>
    <w:p>
      <w:pPr>
        <w:spacing w:after="0" w:line="16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classify marketable securities as either short-term or long-term based on each instrument’s underlying contractual maturity date and as to whether and when we intend to sell a particular security prior to its maturity date. Marketable securities with maturities greater than 90 days at the date of purchase and 12 months or less remaining at the balance sheet date will be classified as short-term and marketable securities with maturities greater than 12 months from the balance sheet date will generally be classified as long-term. We classify marketable equity securities, limited by policy to money market funds and mutual funds, as either a cash equivalent, short-term or long-term based on the nature of each security and its availability for use in current operations.</w:t>
      </w:r>
    </w:p>
    <w:p>
      <w:pPr>
        <w:spacing w:after="0" w:line="18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marketable securities are classified and accounted for as available-for-sale, and therefore are carried at fair value, with unrealized gains and losses, net of taxes, reported in accumulated other comprehensive income (loss) as a component of stockholders’ equity. Fair values are determined for each individual security in the investment portfolio. We determine the appropriate classification of our marketable securities at the time of purchase and reevaluate the designations at each balance sheet date. We invest in highly-rated securities, and our investment policy limits the amount of credit exposure to any one issuer, industry group and currency. The policy requires investments to be investment grade, with the primary objective of minimizing the potential risk of principal loss and providing liquidity of investments sufficient to meet our operating and capital spending requirements and debt repayments. Realized gains and losses on the sale of marketable securities are determined by specific identification of each security’s cost basis. We may sell certain of our marketable securities prior to their stated maturities for strategic reasons including, but not limited to, anticipation of credit deterioration, liquidity, and duration management. The weighted average maturity of our total invested cash shall not exceed 18 months, and no security shall have a final maturity date greater than three years, according to our investment policy.</w:t>
      </w:r>
    </w:p>
    <w:p>
      <w:pPr>
        <w:spacing w:after="0" w:line="191"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We continually review any available-for-sale securities to determine whether their fair value is below their carrying value. If the fair value of an available-for-sale security is below their carrying value, and either we intend to sell the security or we will be required to sell before recovery, then the difference between fair value and carrying value is recognized as a loss in other income (expense), net on our consolidated statements of operations. If we do not intend to sell and we will not be required to sell before recovery, then we analyze whether a portion of the unrealized loss is the result of a credit loss. When a portion of the unrealized loss is the result of a credit loss, we recognize an allowance for expected credit losses on our consolidated balance sheet and a corresponding loss in other income (expense), net on our consolidated statements of operations. Any portion of the unrealized loss on the available-for-sale securities that is not attributable to a credit loss would be recognized as an unrealized loss in accumulated other comprehensive income (loss) within our consolidated statements of changes in stockholders’ equity.</w:t>
      </w:r>
    </w:p>
    <w:p>
      <w:pPr>
        <w:spacing w:after="0" w:line="18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Company's investment portfolio at any point in time may contain various investments, including, in U.S. treasury and U.S. government agency securities, taxable and tax-exempt municipal notes, corporate notes and bonds, commercial paper, non-U.S. government agency securities, overnight demand deposits, and money market funds. The Company segments its portfolio based on the underlying risk profiles of the securities and has a zero loss expectation for U.S. treasury and U.S. government agency securities. The Company regularly reviews the securities in an unrealized loss position and evaluates the expected credit loss risk by considering factors such as historical experience, market data, issuer-specific factors, and current economic conditions. As of December 31, 2023 and 2022, the Company had no available-for-sale securities.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5" w:name="page76"/>
    <w:bookmarkEnd w:id="75"/>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Expected Credit Losses</w:t>
      </w:r>
    </w:p>
    <w:p>
      <w:pPr>
        <w:spacing w:after="0" w:line="121"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8"/>
          <w:szCs w:val="18"/>
          <w:color w:val="auto"/>
        </w:rPr>
        <w:t>Accounts receivable are recognized when the right to consideration becomes unconditional and are recorded net of an allowance for expected credit losses. We record accounts receivable at the invoiced amount. Our customer invoices are generally due 30 days from the time of invoicing.</w:t>
      </w:r>
    </w:p>
    <w:p>
      <w:pPr>
        <w:spacing w:after="0" w:line="5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Company uses the “expected credit loss” methodology, allowed under GAAP, in estimating its allowance for expected credit losses. We apply the “expected credit loss” methodology by first assessing our historical losses based on credit sales and then adding in an assessment of expected changes in the foreseeable future, whether positive or negative, to the Company’s ability to collect its outstanding accounts receivables, or the expectation for future losses. The Company develops its expectation for future losses by assessing the profiles of its customers using their historical payment patterns, any known changes to those customers’ ability to fulfill their payment obligations, and assessing broader economic conditions that may impact our customers’ ability to pay their obligations. Where appropriate, the Company performs this analysis using a portfolio approach. Portfolios comprise customers with similar characteristics and payment history, and we have concluded that the aggregation of these customers into various portfolios does not produce a result that is materially different from considering the affected customers individually. Customers are assigned internal credit ratings, as determined by the Company, based on our collection profiles. Customers whose outstanding obligations are less likely to experience a credit loss are assigned a higher internal credit rating, and those customers whose outstanding obligations are more likely to experience a credit loss are assigned a lower credit rating. We recognize a greater credit loss allowance on the accounts receivable due from those customers in the lower credit rating tranche, as determined by the Company. When the Company becomes aware of facts and circumstances affecting an individual customer, it also takes that specific customer information into account as part of its calculation of expected credit losses.</w:t>
      </w:r>
    </w:p>
    <w:p>
      <w:pPr>
        <w:spacing w:after="0" w:line="195" w:lineRule="exact"/>
        <w:rPr>
          <w:sz w:val="20"/>
          <w:szCs w:val="20"/>
          <w:color w:val="auto"/>
        </w:rPr>
      </w:pPr>
    </w:p>
    <w:p>
      <w:pPr>
        <w:ind w:right="840" w:firstLine="509"/>
        <w:spacing w:after="0" w:line="281" w:lineRule="auto"/>
        <w:rPr>
          <w:sz w:val="20"/>
          <w:szCs w:val="20"/>
          <w:color w:val="auto"/>
        </w:rPr>
      </w:pPr>
      <w:r>
        <w:rPr>
          <w:rFonts w:ascii="Times New Roman" w:cs="Times New Roman" w:eastAsia="Times New Roman" w:hAnsi="Times New Roman"/>
          <w:sz w:val="18"/>
          <w:szCs w:val="18"/>
          <w:color w:val="auto"/>
        </w:rPr>
        <w:t>The Company's exposure to credit losses may increase if our customers are adversely affected by changes in macroeconomic pressures or uncertainty associated with local or global economic recessions, or other customer-specific factors.</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changes in our allowance for expected credit losses for the periods presented:</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7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72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169"/>
        </w:trPr>
        <w:tc>
          <w:tcPr>
            <w:tcW w:w="5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50"/>
        </w:trPr>
        <w:tc>
          <w:tcPr>
            <w:tcW w:w="5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6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r>
      <w:tr>
        <w:trPr>
          <w:trHeight w:val="238"/>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62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0"/>
                <w:szCs w:val="20"/>
                <w:color w:val="auto"/>
              </w:rPr>
            </w:pPr>
          </w:p>
        </w:tc>
      </w:tr>
      <w:tr>
        <w:trPr>
          <w:trHeight w:val="247"/>
        </w:trPr>
        <w:tc>
          <w:tcPr>
            <w:tcW w:w="5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Provision charged to expense</w:t>
            </w: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FF0FC"/>
          </w:tcPr>
          <w:p>
            <w:pPr>
              <w:spacing w:after="0"/>
              <w:rPr>
                <w:sz w:val="21"/>
                <w:szCs w:val="21"/>
                <w:color w:val="auto"/>
              </w:rPr>
            </w:pPr>
          </w:p>
        </w:tc>
      </w:tr>
      <w:tr>
        <w:trPr>
          <w:trHeight w:val="238"/>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Write-offs, net of recoveries and other adjustments</w:t>
            </w:r>
          </w:p>
        </w:tc>
        <w:tc>
          <w:tcPr>
            <w:tcW w:w="620" w:type="dxa"/>
            <w:vAlign w:val="bottom"/>
          </w:tcPr>
          <w:p>
            <w:pPr>
              <w:spacing w:after="0"/>
              <w:rPr>
                <w:sz w:val="20"/>
                <w:szCs w:val="20"/>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(13 )</w:t>
            </w:r>
          </w:p>
        </w:tc>
        <w:tc>
          <w:tcPr>
            <w:tcW w:w="2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(6 )</w:t>
            </w:r>
          </w:p>
        </w:tc>
        <w:tc>
          <w:tcPr>
            <w:tcW w:w="18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(8 )</w:t>
            </w:r>
          </w:p>
        </w:tc>
      </w:tr>
      <w:tr>
        <w:trPr>
          <w:trHeight w:val="280"/>
        </w:trPr>
        <w:tc>
          <w:tcPr>
            <w:tcW w:w="57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Balance, end of period</w:t>
            </w:r>
          </w:p>
        </w:tc>
        <w:tc>
          <w:tcPr>
            <w:tcW w:w="620" w:type="dxa"/>
            <w:vAlign w:val="bottom"/>
            <w:tcBorders>
              <w:top w:val="single" w:sz="8" w:color="auto"/>
              <w:bottom w:val="single" w:sz="8" w:color="auto"/>
            </w:tcBorders>
            <w:shd w:val="clear" w:color="auto" w:fill="CFF0FC"/>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4937125</wp:posOffset>
            </wp:positionH>
            <wp:positionV relativeFrom="paragraph">
              <wp:posOffset>-24765</wp:posOffset>
            </wp:positionV>
            <wp:extent cx="596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4937125</wp:posOffset>
            </wp:positionH>
            <wp:positionV relativeFrom="paragraph">
              <wp:posOffset>-7620</wp:posOffset>
            </wp:positionV>
            <wp:extent cx="596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-24765</wp:posOffset>
            </wp:positionV>
            <wp:extent cx="596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-7620</wp:posOffset>
            </wp:positionV>
            <wp:extent cx="596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record property and equipment at cost, net of accumulated depreciation. We capitalize certain costs incurred during the application development stage related to the development of websites and internal use software when it is probable the project will be completed and the software will be used as intended. Capitalized costs include internal and external costs, if direct and incremental, and deemed by management to be significant. We expense costs related to the planning and post-implementation phases of website development as these costs are incurred. Maintenance and enhancement costs (including those costs in the post-implementation stages) are typically expensed as incurred, unless such costs relate to substantial upgrades and enhancements to the website or software resulting in added functionality, in which case the costs are capitalized.</w:t>
      </w:r>
    </w:p>
    <w:p>
      <w:pPr>
        <w:spacing w:after="0" w:line="186" w:lineRule="exact"/>
        <w:rPr>
          <w:sz w:val="20"/>
          <w:szCs w:val="20"/>
          <w:color w:val="auto"/>
        </w:rPr>
      </w:pPr>
    </w:p>
    <w:p>
      <w:pPr>
        <w:ind w:right="200" w:firstLine="509"/>
        <w:spacing w:after="0" w:line="265" w:lineRule="auto"/>
        <w:rPr>
          <w:sz w:val="20"/>
          <w:szCs w:val="20"/>
          <w:color w:val="auto"/>
        </w:rPr>
      </w:pPr>
      <w:r>
        <w:rPr>
          <w:rFonts w:ascii="Times New Roman" w:cs="Times New Roman" w:eastAsia="Times New Roman" w:hAnsi="Times New Roman"/>
          <w:sz w:val="18"/>
          <w:szCs w:val="18"/>
          <w:color w:val="auto"/>
        </w:rPr>
        <w:t>We compute depreciation using the straight-line method over the estimated useful lives of the assets, which is three to five years for computer equipment, capitalized website development, office furniture and other equipment. We depreciate leasehold improvements using the straight-line method, over the shorter of the estimated useful life of the improvement or the remaining term of the lease.</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We lease office space in a number of countries around the world, generally under non-cancelable operating lease agreements. Our corporate headquarters is our most significant office space lease and is accounted for as a finance lease under GAAP. The Company has also entered into data center and certain equipment leases, such as network equipment and other leases, which are not material to our consolidated financial statements.</w:t>
      </w:r>
    </w:p>
    <w:p>
      <w:pPr>
        <w:spacing w:after="0" w:line="191" w:lineRule="exact"/>
        <w:rPr>
          <w:sz w:val="20"/>
          <w:szCs w:val="20"/>
          <w:color w:val="auto"/>
        </w:rPr>
      </w:pPr>
    </w:p>
    <w:p>
      <w:pPr>
        <w:jc w:val="both"/>
        <w:ind w:right="120" w:firstLine="509"/>
        <w:spacing w:after="0" w:line="260" w:lineRule="auto"/>
        <w:rPr>
          <w:sz w:val="20"/>
          <w:szCs w:val="20"/>
          <w:color w:val="auto"/>
        </w:rPr>
      </w:pPr>
      <w:r>
        <w:rPr>
          <w:rFonts w:ascii="Times New Roman" w:cs="Times New Roman" w:eastAsia="Times New Roman" w:hAnsi="Times New Roman"/>
          <w:sz w:val="18"/>
          <w:szCs w:val="18"/>
          <w:color w:val="auto"/>
        </w:rPr>
        <w:t>We determine whether a contract is or contains a lease at inception of a contract. We define a lease as a contract, or part of a contract, that conveys the right to control the use of identified property or equipment (an identified asset) for a period of time in exchange for consideration. Control over the use of the identified asset means that we have both the right to obtain substantially all of the economic benefits from the use of the asset and the right to direct the use of the asset.</w:t>
      </w:r>
    </w:p>
    <w:p>
      <w:pPr>
        <w:spacing w:after="0" w:line="182"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Our lease contracts contain both lease and non-lease components which we combine as a single component under our accounting policy by asset class, except for office space leases and certain other leases, such as colocation data center leases, which we account separately for the lease and non-lease components. For leases which the consideration in the contract is allocated to lease and non-lease components, we base it on each component’s relative standalone price. We determine standalone prices for the lease components based on the prices for which other lessors lease similar assets on a standalone basis. We determine standalone prices for the non-lease component based on the prices that third-party suppliers charge for services for similar assets on a standalone basis. If observable standalone prices are not readily available, we estimate the standalone prices based on other available observable information. However, for certain categories of equipment leases, such as network equipment and others, we account for the lease and non-lease components as a single lease component. Additionally, for certain equipment leases that have similar characteristics, we apply a portfolio approach to effectively account for operating lease right-of-use ROU assets and operating lease liabilities.</w:t>
      </w:r>
    </w:p>
    <w:p>
      <w:pPr>
        <w:spacing w:after="0" w:line="18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uses its estimated incremental borrowing rate as the discount rate in measuring the present value of our lease payments given the rate implicit in our leases is not typically readily determinable. Given we do not currently borrow on a collateralized basis, our incremental borrowing rate is estimated to approximate the interest rate in which the Company would expect to pay on a collateralized basis over a similar term and payments, and in economic environments where the leased asset is located. We use the portfolio approach to determine the discount rate for leases with similar characteristics or when the Company is reasonably certain that doing so would not materially affect the accounting for those leases to which a single discount rate is applied.</w:t>
      </w:r>
    </w:p>
    <w:p>
      <w:pPr>
        <w:spacing w:after="0" w:line="18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establish assets and liabilities for the estimated construction costs incurred under lease arrangements where we are considered the owner for accounting purposes only, or build-to-suit leases, to the extent we are involved in the construction of structural improvements or take construction risk prior to commencement of a lease. Upon occupancy of facilities under build-to-suit leases, we assess whether these arrangements qualify for sales recognition under the sale-leaseback accounting guidance under GAAP. If we continue to be the deemed owner, for accounting purposes, the facilities are accounted for as finance obligations.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Leases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Finance lease ROU assets and finance lease liabilities are recognized at the lease commencement date or the date the lessor makes the leased asset available for use. Finance lease ROU assets are generally amortized on a straight-line basis over the lease term, and the carrying amount of finance lease liabilities are (1) accreted to reflect interest using the incremental borrowing rate if the rate implicit in the lease is not readily determinable; and (2) reduced to reflect lease payments made during the period. Amortization expense for finance lease ROU assets and interest accretion on finance lease liabilities are recorded to depreciation and interest expense, respectively, in our consolidated statement of operations.</w:t>
      </w:r>
    </w:p>
    <w:p>
      <w:pPr>
        <w:spacing w:after="0" w:line="74" w:lineRule="exact"/>
        <w:rPr>
          <w:sz w:val="20"/>
          <w:szCs w:val="20"/>
          <w:color w:val="auto"/>
        </w:rPr>
      </w:pPr>
    </w:p>
    <w:p>
      <w:pPr>
        <w:ind w:right="80" w:firstLine="509"/>
        <w:spacing w:after="0" w:line="312" w:lineRule="auto"/>
        <w:rPr>
          <w:sz w:val="20"/>
          <w:szCs w:val="20"/>
          <w:color w:val="auto"/>
        </w:rPr>
      </w:pPr>
      <w:r>
        <w:rPr>
          <w:rFonts w:ascii="Times New Roman" w:cs="Times New Roman" w:eastAsia="Times New Roman" w:hAnsi="Times New Roman"/>
          <w:sz w:val="17"/>
          <w:szCs w:val="17"/>
          <w:color w:val="auto"/>
        </w:rPr>
        <w:t>We lease approximately 280,000 square feet of office space for our corporate headquarters in Needham, Massachusetts. This lease has an expiration date of December 2030, with an option to extend the lease term for two consecutive terms of five years each and is accounted for as a finance lease.</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Our office space leases, exclusive of our corporate headquarters, are operating leases, which we lease an aggregate of approximately 340,000 square feet at nearly 30 locations across North America, Europe and Asia Pacific, in cities such as New York, London, Sydney, Barcelona and Paris, primarily used as sales offices, subsidiary headquarters, and for international operations, pursuant to leases with various expiration dates, with the latest expiring in October 2034.</w:t>
      </w:r>
    </w:p>
    <w:p>
      <w:pPr>
        <w:spacing w:after="0" w:line="18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Operating lease ROU assets and liabilities are recognized at lease commencement date, or the date the lessor makes the leased asset available for use, based on the present value of lease payments over the lease term using the Company’s estimated incremental borrowing rate. ROU assets associated with operating leases comprise the initial lease liability, and are then adjusted for any prepaid or deferred rent payments, unamortized initial direct costs, and lease incentives received. Amortization expense for operating lease ROU assets and interest accretion on operating lease liabilities are recognized as a single operating lease cost in our consolidated statement of operations, which results effectively in recognition of rent expense on a straight-line basis over the lease period. The carrying amount of operating lease liabilities are (1) accreted to reflect interest using the incremental borrowing rate if the rate implicit in the lease is not readily determinable; and (2) reduced to reflect lease payments made during the period. We present the combination of both the amortization of operating lease ROU assets and the change in the operating lease liabilities in the same line item within the adjustments to reconcile net income (loss) to net cash provided by operating activities in our consolidated statement of cash flows. Lease incentives are recognized as reductions of rental expense on a straight-line basis over the term of the lease. Our operating leases generally include options to extend the lease terms for up to approximately 5 years and/or terminate the leases within 1 year, which we include in our lease term if we are reasonably certain to exercise these options. Payments under our operating leases are primarily fixed, however, certain of our operating lease agreements include rental payments which are adjusted periodically for inflation. We recognize these costs as variable lease costs on our consolidated statement of operations, which were not material during the years ended December 31, 2023, 2022 and 2021. In addition, our short-term lease costs were not material in any period presented.</w:t>
      </w:r>
    </w:p>
    <w:p>
      <w:pPr>
        <w:spacing w:after="0" w:line="194"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We also establish assets and liabilities at the present value of estimated future costs to return certain of our leased facilities to their original condition to satisfy any asset retirement obligations. Such assets are depreciated over the lease period into operating expense, and the recorded liabilities are accreted to the future value of the estimated restoration costs and are included in other long-term liabilities on our consolidated balance sheet. Our asset retirement obligations were not material as of both December 31, 2023 and 2022.</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Non-Marketable Equity Investments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account for non-marketable equity investments through which we exercise significant influence but do not have control over the investee under the equity method. Under this method, the investment, originally recorded at cost, is adjusted to recognize the Company’s share of net earnings or losses of the investment as they occur rather than as dividends or other distributions are received. Losses are limited to the extent of the Company’s investment in, advances to and commitments for the investee. In the event we are unable to obtain accurate financial information from the investee in a timely manner, we record our share of earnings or losses of such equity investment on a lag.</w:t>
      </w:r>
    </w:p>
    <w:p>
      <w:pPr>
        <w:spacing w:after="0" w:line="18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Non-marketable equity investments that are not accounted for under the equity method and that do not have a readily determinable fair value are accounted for under the measurement alternative, allowed under GAAP. Under the measurement alternative, the carrying value is measured at cost, less any impairment, plus or minus changes resulting from observable price changes in orderly transactions for identical or similar investments of the same issuer. Adjustments are determined primarily based on a market approach as of the transaction date. We classify our non-marketable equity investments as long-term assets on our consolidated balance sheet as those investments do not have stated contractual maturity dates.</w:t>
      </w:r>
    </w:p>
    <w:p>
      <w:pPr>
        <w:spacing w:after="0" w:line="182" w:lineRule="exact"/>
        <w:rPr>
          <w:sz w:val="20"/>
          <w:szCs w:val="20"/>
          <w:color w:val="auto"/>
        </w:rPr>
      </w:pPr>
    </w:p>
    <w:p>
      <w:pPr>
        <w:ind w:right="200" w:firstLine="509"/>
        <w:spacing w:after="0" w:line="265" w:lineRule="auto"/>
        <w:rPr>
          <w:sz w:val="20"/>
          <w:szCs w:val="20"/>
          <w:color w:val="auto"/>
        </w:rPr>
      </w:pPr>
      <w:r>
        <w:rPr>
          <w:rFonts w:ascii="Times New Roman" w:cs="Times New Roman" w:eastAsia="Times New Roman" w:hAnsi="Times New Roman"/>
          <w:sz w:val="18"/>
          <w:szCs w:val="18"/>
          <w:color w:val="auto"/>
        </w:rPr>
        <w:t>On a quarterly basis, we perform a qualitative assessment considering impairment indicators, if any, to evaluate whether these investments are impaired. Qualitative factors considered include industry and market conditions, financial performance, business prospects, and other relevant events and factors. When indicators of impairment exist, we prepare a quantitative assessment of the fair value of our equity investments, which may</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ind w:right="140"/>
        <w:spacing w:after="0" w:line="265" w:lineRule="auto"/>
        <w:rPr>
          <w:sz w:val="20"/>
          <w:szCs w:val="20"/>
          <w:color w:val="auto"/>
        </w:rPr>
      </w:pPr>
      <w:r>
        <w:rPr>
          <w:rFonts w:ascii="Times New Roman" w:cs="Times New Roman" w:eastAsia="Times New Roman" w:hAnsi="Times New Roman"/>
          <w:sz w:val="18"/>
          <w:szCs w:val="18"/>
          <w:color w:val="auto"/>
        </w:rPr>
        <w:t>include using both the market and income approaches which require judgment and the use of estimates, including discount rates, investee revenues and costs, and available comparable market data of private and public companies, among others. When our assessment indicates that an impairment exists, we measure our non-marketable equity investments at fair value.</w:t>
      </w:r>
    </w:p>
    <w:p>
      <w:pPr>
        <w:spacing w:after="0" w:line="177"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Valuations of such privately-held companies are inherently complex and uncertain due to the lack of liquid market for such company’s securities. In addition, such investments are inherently risky in that such companies are typically at an early stage of development, may have no or limited revenues, may not be or may never become profitable, may not be able to secure additional funding or their technologies, services or products may not be successfully developed or introduced into the market.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account for acquired businesses using the acquisition method of accounting which requires that tangible assets and identifiable intangible assets acquired and assumed liabilities be recorded at the date of acquisition at their respective fair values. Any excess purchase price over the estimated fair value of the net tangible and intangible assets acquired is allocated to goodwill. When determining the fair values of assets acquired and liabilities assumed, management makes estimates and assumptions, especially with respect to intangible assets. Significant estimates in valuing certain intangible assets may include but are not limited to future expected cash flows from customer and supplier relationships, acquired technology and trade names from a market participant perspective, useful lives and discount rates. Management’s estimates of fair value are based upon assumptions believed to be reasonable, but which are inherently uncertain and unpredictable and, as a result, actual results may differ from estimates. Valuations are performed by management or third-party valuation specialists under management's supervision, where appropriate. Any changes to provisional amounts identified during the measurement period, calculated as if the accounting had been completed as of the acquisition date, are recognized in the consolidated financial statements in the reporting period in which the adjustment amounts are determined.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ind w:right="400" w:firstLine="509"/>
        <w:spacing w:after="0" w:line="274" w:lineRule="auto"/>
        <w:rPr>
          <w:sz w:val="20"/>
          <w:szCs w:val="20"/>
          <w:color w:val="auto"/>
        </w:rPr>
      </w:pPr>
      <w:r>
        <w:rPr>
          <w:rFonts w:ascii="Times New Roman" w:cs="Times New Roman" w:eastAsia="Times New Roman" w:hAnsi="Times New Roman"/>
          <w:sz w:val="17"/>
          <w:szCs w:val="17"/>
          <w:color w:val="auto"/>
        </w:rPr>
        <w:t>We assess goodwill, which is not amortized, for impairment annually during the fourth quarter, or more frequently, if events and circumstances indicate impairment may have occurred. We test goodwill for impairment at the reporting unit level. Goodwill is assigned to reporting units that are expected to benefit from the synergies of the business combination in which such goodwill was generated as of the acquisition date. We evaluate our reporting units when changes in our operating structure occur, and if necessary, reassign goodwill using a relative fair value allocation approach. Once goodwill has been allocated to the reporting units, it no longer retains its identification with a particular acquisition and becomes identified with the reporting unit in its entirety. Accordingly, the fair value of the reporting unit as a whole is available to support the recoverability of its goodwill.</w:t>
      </w:r>
    </w:p>
    <w:p>
      <w:pPr>
        <w:spacing w:after="0" w:line="63"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 Company has the option to qualitatively assess whether it is more likely than not that the fair value of a reporting unit is less than its carrying value. In the evaluation of goodwill for impairment, we generally first perform a qualitative assessment to determine whether it is more likely than not (i.e., a likelihood of more than 50%) that the estimated fair value of the reporting unit is less than the carrying amount. Periodically, we may choose to forgo the initial qualitative assessment and proceed directly to a quantitative analysis to assist in our annual evaluation. When assessing goodwill for impairment, our decision to perform a qualitative impairment assessment for an individual reporting unit in a given year is influenced by a number of factors, including, but not limited to the size of the reporting unit's goodwill, the significance of the excess of the reporting unit's estimated fair value over carrying value at the last quantitative assessment date, the amount of time in between quantitative fair value assessments from the date of acquisition or to establish an updated baseline quantitative analysis, and other performance and market indicators. During a qualitative assessment, if we determine that it is not more likely than not that the implied fair value of the goodwill is less than its carrying amount, no further testing is necessary. If, however, we determine that it is more likely than not that the implied fair value of the goodwill is less than its carrying amount, we then perform a quantitative assessment and compare the estimated fair value of the reporting unit to the carrying value. If the carrying value of a reporting unit exceeds its estimated fair value, the goodwill impairment is measured using the difference between the carrying value and the estimated fair value of the reporting unit; however, any loss recognized cannot exceed the total amount of goodwill allocated to that reporting unit.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sectPr>
      </w:pPr>
    </w:p>
    <w:bookmarkStart w:id="79" w:name="page80"/>
    <w:bookmarkEnd w:id="79"/>
    <w:p>
      <w:pPr>
        <w:spacing w:after="0" w:line="192"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In determining the estimated fair values of reporting units in a quantitative goodwill impairment test, we generally use a blend, of the following recognized valuation methods: the income approach (i.e. discounted cash flows model) and the market valuation approach, which we believe compensates for the inherent risks of using either model on a stand-alone basis. The discounted cash flows model indicates the fair value of the reporting units based on the present value of the cash flows that we expect the reporting units to generate in the future. Our significant estimates in the discounted cash flows model include: weighted average cost of capital; long-term rate of growth and profitability of the reporting unit; income tax rates and working capital effects. The market valuation approach indicates the fair value of the business based on a comparison to comparable publicly traded firms in similar lines of business and other precedent transactions. Our significant estimates in the market valuation approach model include identifying similar companies with comparable business factors such as size, growth, profitability, risk and return on investment and assessing comparable revenue and/or income multiples in estimating the fair value of the reporting units. Valuations are performed by management or third-party valuation specialists under management's supervision, where appropriate. We believe that the estimated fair values assigned to our reporting units in impairment tests are based on reasonable assumptions that marketplace participants would use. However, such assumptions are inherently uncertain and actual results could differ from those estimates. The use of substantially different assumptions, estimates or judgments could trigger the need for an impairment charge, or materially increase or decrease the amount of any such impairment charge.</w:t>
      </w:r>
    </w:p>
    <w:p>
      <w:pPr>
        <w:spacing w:after="0" w:line="195"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During the Company's annual goodwill impairment test in the fourth quarter of 2023, a qualitative assessment was performed for all our reporting units, which are Brand Tripadvisor, Viator, and TheFork. We determined that it was not more likely than not that the fair value of any reporting unit was less than its carrying value, and, accordingly, no impairment charges were recorded during the year ended December 31, 2023. As part of the qualitative assessment for our annual 2023 goodwill impairment analysis of our reporting units, the factors that we considered included, but were not limited to: (a) changes in macroeconomic conditions in the overall economy and the specific markets in which we operate, (b) our ability to access capital, (c) changes in the online travel industry, (d) changes in the level of competition, (e) evaluation of current and future forecasted financial results of the reporting units, (f) comparison of our current financial performance to historical and budgeted results of the reporting units, (g) change in excess of the Company’s market capitalization over its book value, (h) changes in estimates, valuation inputs, and/or assumptions since the last quantitative analysis of the reporting units during the second quarter of 2022, (i) changes in the regulatory environment, (j) changes in strategic outlook or organizational structure and leadership of the reporting units; and (k) other relevant factors, and how these factors might impact specific performance in future periods.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Intangible assets with estimable useful lives, or definite-lived intangibles, are carried at cost and are amortized on a straight-line basis over their estimated useful lives and reviewed for impairment upon certain triggering events. We routinely review the remaining estimated useful lives of our definite-lived intangible assets. If we reduce the estimated useful life assumption, the remaining unamortized balance is amortized over the revised estimated useful life.</w:t>
      </w:r>
    </w:p>
    <w:p>
      <w:pPr>
        <w:spacing w:after="0" w:line="74"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7"/>
          <w:szCs w:val="17"/>
          <w:color w:val="auto"/>
        </w:rPr>
        <w:t>Intangible assets that have indefinite lives are not amortized and are tested for impairment annually during the fourth quarter, or whenever events or changes in circumstances indicate that the carrying value may not be recoverable. Similar to the qualitative assessment for goodwill, we may assess qualitative factors to determine if it is more likely than not that the implied fair value of the indefinite-lived intangible asset is less than its carrying amount. If we determine that it is not more likely than not that the implied fair value of the indefinite-lived intangible asset is less than its carrying amount, no further testing is necessary. If, however, we determine that it is more likely than not that the implied fair value of the indefinite-lived intangible asset is less than its carrying amount, we compare the implied fair value of the indefinite-lived asset with its carrying amount. If the carrying amount of an individual indefinite-lived intangible asset exceeds its implied fair value, the individual asset's carrying value is written down by an amount equal to such excess. The assessment of qualitative factors is optional and at our discretion. We may bypass the qualitative assessment for any indefinite-lived intangible asset in any period and resume performing the qualitative assessment in any subsequent period. We base our quantitative measurement of fair value of indefinite-lived intangible assets, which consist of Tripadvisor-brand trade name and trademarks, using the relief-from-royalty method. This method assumes that the trade name and trademarks have value to the extent that their owner is relieved of the obligation to pay royalties for the benefits received from them. This method</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84"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requires us to estimate future revenues, the appropriate royalty rate and the weighted average cost of capital, however, such assumptions are inherently uncertain and actual results could differ from those estimates.</w:t>
      </w:r>
    </w:p>
    <w:p>
      <w:pPr>
        <w:spacing w:after="0" w:line="5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During the Company's annual indefinite-lived intangible impairment test during the fourth quarter of 2023, a qualitative assessment was performed. As part of our qualitative assessment we considered, amongst other factors, the amount of excess fair value of our trade names and trademarks to the carrying value of those same assets, changes in estimates, and valuation input assumptions, since our previous quantitative analysis. After considering these factors and the impact that changes in such factors would have on the inputs used in our previous quantitative assessment, we determined that it was more likely than not that our indefinite-lived intangible assets were not impaired as of December 31, 2023.</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periodically review the carrying amount of our definite-lived intangible assets and other long-term assets, including property and equipment, net and operating lease right-of-use assets, to determine whether current events or circumstances indicate that such carrying amounts may not be recoverable. Factors that would necessitate an impairment assessment include a significant adverse change in the extent or manner in which an asset is used, a significant adverse change in legal factors or the business climate that could affect the value of the asset, or a significant decline in the observable market value of an asset, among others. The Company’s impairment evaluation is performed at the asset group level or the lowest level for which identified cash flows are largely independent, which the Company has defined as the reporting unit level. If such facts indicate a potential impairment, we assess the recoverability of the asset group by determining if the carrying value of the asset group exceeds the sum of the projected undiscounted cash flows expected to result from the use and eventual disposition of the assets over the remaining economic life of the primary asset of the group. If the recoverability test indicates that the carrying value of the asset group is not recoverable, we will estimate the fair value of the asset group using appropriate valuation methodologies which would typically include an estimate of discounted cash flows, using an appropriate discount rate. Any impairment would be measured by the amount that the carrying values, of such asset groups, exceed their estimated fair value and would be included in operating income (loss) on the consolidated statement of operations. Considerable management judgment is necessary to estimate the fair value of asset groups. Accordingly, actual results could vary significantly from such estimates. We have not identified any circumstances that would warrant an impairment charge for any recorded definite-lived intangibles or other long-term assets on our consolidated balance sheet at December 31, 2023 or 2022.</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 Gains and Losses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are reported in U.S. dollars. Certain of our subsidiaries outside of the U.S. use the local currency as their functional currency and not the U.S. dollar. Therefore assets and liabilities of our foreign subsidiaries are translated at the spot rate in effect at the applicable reporting date, and the consolidated statements of operations are translated at the average exchange rates in effect during the applicable reporting period. The resulting unrealized cumulative translation adjustment is recorded as a component of accumulated other comprehensive income (loss) in stockholders’ equity on our consolidated balance sheet.</w:t>
      </w:r>
    </w:p>
    <w:p>
      <w:pPr>
        <w:spacing w:after="0" w:line="7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addition, our subsidiaries also engage in transactions in currencies other than its functional currency. Transactions denominated in currencies other than the functional currency are recorded based on foreign currency exchange rates at the time such transactions arise. Subsequent changes in foreign currency exchange rates result in transaction gains and losses which are reflected in our consolidated statements of operations as unrealized (based on the applicable period-end exchange rate) or realized upon settlement of the transactions. Accordingly, we have recorded net foreign currency exchange losses of $5 million, $5 million and $4 million, respectively, for the years ended December 31, 2023, 2022 and 2021, in other income (expense), net on our consolidated statements of operations. These amounts also include transaction gains and losses, both realized and unrealized from forward contracts.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29"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8"/>
          <w:szCs w:val="18"/>
          <w:color w:val="auto"/>
        </w:rPr>
        <w:t>We account for derivative instruments that do not qualify for hedge accounting as either assets or liabilities and carry them at fair value, with any subsequent adjustments to fair value recorded in other income (expense), net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1" w:name="page82"/>
    <w:bookmarkEnd w:id="81"/>
    <w:p>
      <w:pPr>
        <w:spacing w:after="0" w:line="19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on our consolidated statements of operations. Monetary assets and liabilities denominated in a currency other than the functional currency of a given subsidiary are remeasured at spot rates in effect on the balance sheet date with the effects of changes in foreign currency exchange rates reported in other income (expense), net on our consolidated statements of operations. In certain circumstances, we enter into forward contracts to reduce, to the extent practical, our potential exposure to the effects of fluctuating foreign currency exchange rates on our cash flows denominated in foreign currencies. Accordingly, fair value changes in the forward contracts help mitigate the changes in the value of the remeasured assets and liabilities attributable to changes in foreign currency exchange rates, except to the extent of the spot-forward differences. These differences are not expected to be significant due to the short-term nature of the contracts, which to date, have typically had maturities at inception of 90 days or less. The net cash received or paid related to our derivative instruments are classified in other investing activities in our consolidated statements of cash flows. Counterparties to forward contracts consist of major global financial institutions. We monitor our positions and the credit ratings of the counterparties involved and, by policy limits, the amount of credit exposure to any one party. We do not use derivatives for trading or speculative purposes. We did not enter into any cash flow, fair value or net investment hedges during the years ended December 31, 2023, 2022 or 2021. Refer to “Note 3: </w:t>
      </w:r>
      <w:r>
        <w:rPr>
          <w:rFonts w:ascii="Times New Roman" w:cs="Times New Roman" w:eastAsia="Times New Roman" w:hAnsi="Times New Roman"/>
          <w:sz w:val="18"/>
          <w:szCs w:val="18"/>
          <w:i w:val="1"/>
          <w:iCs w:val="1"/>
          <w:color w:val="auto"/>
        </w:rPr>
        <w:t>Financial Instruments and Fair Value Measurements</w:t>
      </w:r>
      <w:r>
        <w:rPr>
          <w:rFonts w:ascii="Times New Roman" w:cs="Times New Roman" w:eastAsia="Times New Roman" w:hAnsi="Times New Roman"/>
          <w:sz w:val="18"/>
          <w:szCs w:val="18"/>
          <w:color w:val="auto"/>
        </w:rPr>
        <w:t>” for additional information on our derivatives.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 and Disclosures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apply fair value accounting for all financial assets and liabilities and non-financial assets and liabilities that are recognized or disclosed at fair value in the financial statements on a recurring basis. We measure assets and liabilities at fair value based on the expected exit price, which is the amount that would be received on the sale of an asset or amount paid to transfer a liability, as the case may be, in an orderly transaction between market participants in the principal or most advantageous market in which we would transact. As such, fair value may be based on assumptions that market participants would use in pricing an asset or liability at the measurement date. The authoritative guidance on fair value measurements establishes a consistent framework for measuring fair value on either a recurring or nonrecurring basis whereby inputs, used in valuation techniques, are assigned a hierarchical level. GAAP provides the following hierarchical levels of inputs used to measure fair value:</w:t>
      </w:r>
    </w:p>
    <w:p>
      <w:pPr>
        <w:spacing w:after="0" w:line="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Level 1—Valuations are based on quoted market prices for identical assets and liabilities in active markets.</w:t>
      </w:r>
    </w:p>
    <w:p>
      <w:pPr>
        <w:spacing w:after="0" w:line="117" w:lineRule="exact"/>
        <w:rPr>
          <w:sz w:val="20"/>
          <w:szCs w:val="20"/>
          <w:color w:val="auto"/>
        </w:rPr>
      </w:pPr>
    </w:p>
    <w:p>
      <w:pPr>
        <w:jc w:val="both"/>
        <w:ind w:left="520" w:right="220" w:firstLine="509"/>
        <w:spacing w:after="0" w:line="265" w:lineRule="auto"/>
        <w:rPr>
          <w:sz w:val="20"/>
          <w:szCs w:val="20"/>
          <w:color w:val="auto"/>
        </w:rPr>
      </w:pPr>
      <w:r>
        <w:rPr>
          <w:rFonts w:ascii="Times New Roman" w:cs="Times New Roman" w:eastAsia="Times New Roman" w:hAnsi="Times New Roman"/>
          <w:sz w:val="18"/>
          <w:szCs w:val="18"/>
          <w:color w:val="auto"/>
        </w:rPr>
        <w:t>Level 2—Valuations are based on observable inputs other than quoted market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69" w:lineRule="exact"/>
        <w:rPr>
          <w:sz w:val="20"/>
          <w:szCs w:val="20"/>
          <w:color w:val="auto"/>
        </w:rPr>
      </w:pPr>
    </w:p>
    <w:p>
      <w:pPr>
        <w:ind w:left="520" w:right="360" w:firstLine="509"/>
        <w:spacing w:after="0" w:line="281" w:lineRule="auto"/>
        <w:rPr>
          <w:sz w:val="20"/>
          <w:szCs w:val="20"/>
          <w:color w:val="auto"/>
        </w:rPr>
      </w:pPr>
      <w:r>
        <w:rPr>
          <w:rFonts w:ascii="Times New Roman" w:cs="Times New Roman" w:eastAsia="Times New Roman" w:hAnsi="Times New Roman"/>
          <w:sz w:val="18"/>
          <w:szCs w:val="18"/>
          <w:color w:val="auto"/>
        </w:rPr>
        <w:t>Level 3—Valuations are based on unobservable inputs reflecting our own assumptions, consistent with reasonably available assumptions made by other market participants. These valuations require significant judgment.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121"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We defer costs we incur to issue debt, which are presented in the balance sheet as a direct deduction from the carrying amount of the related debt liability, and amortize these costs using the effective interest rate method to interest expense over the term of the debt. We also defer costs we incur to enter into a credit facility or to amend our existing revolving credit facility, which are presented on the consolidated balance sheet as a long-term asset, and amortize these costs using the effective interest rate method to interest expense over the term of the credit facility.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Risks and Concentrations</w:t>
      </w:r>
    </w:p>
    <w:p>
      <w:pPr>
        <w:spacing w:after="0" w:line="229"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Our business is subject to certain risks and concentrations, including a concentration related to dependence on our relationships with our customers. For the years ended December 31, 2023, 2022 and 2021, our two most significant travel partners, Expedia (and its subsidiaries) and Booking (and its subsidiaries), each accounted for 10% or more of our consolidated revenue and together accounted for approximately 25%, 31% and 34%, respectively, of our consolidated revenue, with nearly all of this revenue concentrated in our Brand Tripadvisor segment.</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2" w:name="page83"/>
    <w:bookmarkEnd w:id="82"/>
    <w:p>
      <w:pPr>
        <w:spacing w:after="0" w:line="19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Additionally, our business is dependent on relationships with third-party service providers that we rely on to fulfill service obligations to our customers where the Company is the merchant of record, such as our experience operators. However, no one operator’s inventory resulted in more than 10% of our revenue on a consolidated basis or at a reportable segment level in any period presented. Refer to “Note 18: </w:t>
      </w:r>
      <w:r>
        <w:rPr>
          <w:rFonts w:ascii="Times New Roman" w:cs="Times New Roman" w:eastAsia="Times New Roman" w:hAnsi="Times New Roman"/>
          <w:sz w:val="18"/>
          <w:szCs w:val="18"/>
          <w:i w:val="1"/>
          <w:iCs w:val="1"/>
          <w:color w:val="auto"/>
        </w:rPr>
        <w:t>Segment and Geographic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for information regarding concentrations related to geographic and product revenues and fixed assets by geographic location. As of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2023 and 2022, Expedia accounted for approximately 10% and 19%, respectively, of our consolidated accounts receivable, net.</w:t>
      </w:r>
    </w:p>
    <w:p>
      <w:pPr>
        <w:spacing w:after="0" w:line="182" w:lineRule="exact"/>
        <w:rPr>
          <w:sz w:val="20"/>
          <w:szCs w:val="20"/>
          <w:color w:val="auto"/>
        </w:rPr>
      </w:pPr>
    </w:p>
    <w:p>
      <w:pPr>
        <w:ind w:right="40" w:firstLine="554"/>
        <w:spacing w:after="0" w:line="270" w:lineRule="auto"/>
        <w:rPr>
          <w:sz w:val="20"/>
          <w:szCs w:val="20"/>
          <w:color w:val="auto"/>
        </w:rPr>
      </w:pPr>
      <w:r>
        <w:rPr>
          <w:rFonts w:ascii="Times New Roman" w:cs="Times New Roman" w:eastAsia="Times New Roman" w:hAnsi="Times New Roman"/>
          <w:sz w:val="17"/>
          <w:szCs w:val="17"/>
          <w:color w:val="auto"/>
        </w:rPr>
        <w:t>Financial instruments, which potentially subject us to concentration of credit risk, generally consist, at any point in time, of cash and cash equivalents, corporate debt securities, forward contracts, capped calls, and accounts receivable. We maintain cash balances with financial institutions that are in excess of Federal Deposit Insurance Corporation insurance limits in the U.S. and similar government programs outside the U.S. Our cash and cash equivalents are generally composed of available on demand bank deposits or term deposits with several major global financial institutions, as well as money market funds, primarily denominated in U.S. dollars, and to a lesser extent Euros, British pounds, and Australian dollars. We may invest in highly-rated corporate debt securities, and our investment policy limits the amount of credit exposure to any one issuer, industry group and currency. Our credit risk related to corporate debt securities is also mitigated by the relatively short maturity period required by our investment policy. Forward contracts and capped calls are transacted with major international financial institutions with high credit standings. Forward contracts, which, to date, have typically had maturities of less than 90 days, also mitigate risk. Our overall credit risk related to accounts receivable is mitigated by the relatively short collection period.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Liabilities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Periodically, we review the status of all significant outstanding matters to assess any potential financial exposure. When (i) it is probable that an asset has been impaired or a liability has been incurred; and (ii) the amount of the loss can be reasonably estimated, we record the estimated loss in our consolidated statement of operations. We provide disclosure in the notes to the consolidated financial statements for loss contingencies that do not meet both these conditions if there is a reasonable possibility that a loss may have been incurred that would be material to the consolidated financial statements. Significant judgment may be required to determine the probability that a liability has been incurred and whether such liability is reasonably estimable. We base accruals made on the best information available at the time which can be highly subjective. The final outcome of these matters could vary significantly from the amounts included in the accompanying consolidated financial statements.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Shares of our common stock repurchased, including incremental </w:t>
      </w:r>
      <w:r>
        <w:rPr>
          <w:rFonts w:ascii="Times New Roman" w:cs="Times New Roman" w:eastAsia="Times New Roman" w:hAnsi="Times New Roman"/>
          <w:sz w:val="18"/>
          <w:szCs w:val="18"/>
          <w:color w:val="252525"/>
        </w:rPr>
        <w:t>direct costs to purchase treasury stock, including excise tax,</w:t>
      </w:r>
      <w:r>
        <w:rPr>
          <w:rFonts w:ascii="Times New Roman" w:cs="Times New Roman" w:eastAsia="Times New Roman" w:hAnsi="Times New Roman"/>
          <w:sz w:val="18"/>
          <w:szCs w:val="18"/>
          <w:color w:val="auto"/>
        </w:rPr>
        <w:t xml:space="preserve"> are recorded at cost as treasury stock and result in the reduction of stockholders' equity on our consolidated balance sheet. We may reissue these treasury shares. When treasury shares are reissued, we use the average cost method for determining the cost of reissued shares. If the issuance price is higher than the cost, the excess of the issuance price over the cost is credited to additional paid-in-capital. If the issuance price is lower than the cost, the difference is first charged against any credit balance in additional paid-in-capital from the previous issuances of treasury stock and any remaining balance is charged to retained earnings.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(“EPS”)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Earnings Per Share Attributable to Common Stockholders</w:t>
      </w:r>
    </w:p>
    <w:p>
      <w:pPr>
        <w:spacing w:after="0" w:line="121"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We compute basic earnings per share, or Basic EPS, by dividing net income (loss) by the weighted average number of common shares outstanding during the period. We compute the weighted average number of common shares outstanding during the reporting period using the total of common stock and Class B common stock outstanding as of the last day of the previous year end reporting period plus the weighted average of any additional shares issued and outstanding less the weighted average of any common shares repurchased during the reporting period.</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3" w:name="page84"/>
    <w:bookmarkEnd w:id="83"/>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Diluted Earnings Per Share Attributable to Common Stockholders</w:t>
      </w:r>
    </w:p>
    <w:p>
      <w:pPr>
        <w:spacing w:after="0" w:line="121"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Diluted earnings per share, or Diluted EPS, includes the potential dilution of common equivalent shares outstanding that could occur from stock-based awards and other stock-based commitments using the treasury stock method. We compute Diluted EPS by dividing net income (loss) by the sum of the weighted average number of common and common equivalent shares outstanding during the period. We compute the weighted average number of common and common equivalent shares outstanding during the period using the sum of (i) the number of shares of common stock and Class B common stock used in the Basic EPS calculation as indicated above; (ii) if dilutive, the incremental weighted average common stock that we would issue upon the assumed exercise of outstanding common equivalent shares, primarily related to stock options and the vesting of restricted stock units using the treasury stock method; and (iii) if dilutive, performance-based and market-based awards based on the number of shares that would be issuable as of the end of the reporting period assuming the end of the reporting period was also the end of the contingency period.</w:t>
      </w:r>
    </w:p>
    <w:p>
      <w:pPr>
        <w:spacing w:after="0" w:line="189" w:lineRule="exact"/>
        <w:rPr>
          <w:sz w:val="20"/>
          <w:szCs w:val="20"/>
          <w:color w:val="auto"/>
        </w:rPr>
      </w:pPr>
    </w:p>
    <w:p>
      <w:pPr>
        <w:jc w:val="both"/>
        <w:ind w:right="100" w:firstLine="509"/>
        <w:spacing w:after="0" w:line="265" w:lineRule="auto"/>
        <w:rPr>
          <w:sz w:val="20"/>
          <w:szCs w:val="20"/>
          <w:color w:val="auto"/>
        </w:rPr>
      </w:pPr>
      <w:r>
        <w:rPr>
          <w:rFonts w:ascii="Times New Roman" w:cs="Times New Roman" w:eastAsia="Times New Roman" w:hAnsi="Times New Roman"/>
          <w:sz w:val="18"/>
          <w:szCs w:val="18"/>
          <w:color w:val="auto"/>
        </w:rPr>
        <w:t>Under the treasury stock method, the assumed proceeds calculation includes the actual proceeds to be received from the employee upon exercise of outstanding equity awards and the average unrecognized compensation cost during the period. The treasury stock method assumes that a company uses the proceeds from the exercise of an equity award to repurchase common stock at the average market price for the reporting period.</w:t>
      </w:r>
    </w:p>
    <w:p>
      <w:pPr>
        <w:spacing w:after="0" w:line="177" w:lineRule="exact"/>
        <w:rPr>
          <w:sz w:val="20"/>
          <w:szCs w:val="20"/>
          <w:color w:val="auto"/>
        </w:rPr>
      </w:pPr>
    </w:p>
    <w:p>
      <w:pPr>
        <w:ind w:right="60" w:firstLine="509"/>
        <w:spacing w:after="0" w:line="272" w:lineRule="auto"/>
        <w:rPr>
          <w:sz w:val="20"/>
          <w:szCs w:val="20"/>
          <w:color w:val="auto"/>
        </w:rPr>
      </w:pPr>
      <w:r>
        <w:rPr>
          <w:rFonts w:ascii="Times New Roman" w:cs="Times New Roman" w:eastAsia="Times New Roman" w:hAnsi="Times New Roman"/>
          <w:sz w:val="17"/>
          <w:szCs w:val="17"/>
          <w:color w:val="auto"/>
        </w:rPr>
        <w:t xml:space="preserve">In periods of net income, shares of our common stock subject to the potential conversion of the 2026 Senior Notes outstanding during the period is also included in our weighted average number of shares outstanding used to calculate Diluted EPS using the if-converted method under GAAP, as share settlement is presumed. When convertible notes are dilutive, interest expense, net of tax, is added back to net income attributable to common stockholders to calculate Diluted EPS. Capped Calls are excluded from the calculation of Diluted EPS, as they would be antidilutive. However, upon conversion of the 2026 Senior Notes, unless the market price of our common stock exceeds the cap price, an exercise of the Capped Calls would generally offset any dilution from the 2026 Senior Notes from the conversion price up to the cap price. As of December 31, 2023, 2022, and 2021, the market price of a share of our common stock did not exceed the $107.36 cap price. Refer to “Note 8: </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for further information regarding our 2026 Senior Notes and Capped Calls.</w:t>
      </w:r>
    </w:p>
    <w:p>
      <w:pPr>
        <w:spacing w:after="0" w:line="175" w:lineRule="exact"/>
        <w:rPr>
          <w:sz w:val="20"/>
          <w:szCs w:val="20"/>
          <w:color w:val="auto"/>
        </w:rPr>
      </w:pPr>
    </w:p>
    <w:p>
      <w:pPr>
        <w:ind w:right="160" w:firstLine="509"/>
        <w:spacing w:after="0" w:line="265" w:lineRule="auto"/>
        <w:rPr>
          <w:sz w:val="20"/>
          <w:szCs w:val="20"/>
          <w:color w:val="auto"/>
        </w:rPr>
      </w:pPr>
      <w:r>
        <w:rPr>
          <w:rFonts w:ascii="Times New Roman" w:cs="Times New Roman" w:eastAsia="Times New Roman" w:hAnsi="Times New Roman"/>
          <w:sz w:val="18"/>
          <w:szCs w:val="18"/>
          <w:color w:val="auto"/>
        </w:rPr>
        <w:t>In periods of a net loss, common equivalent shares are excluded from the calculation of Diluted EPS as their inclusion would have an antidilutive effect. Accordingly, for periods in which we report a net loss, such as for the year ended December 31, 2021, Diluted EPS is the same as Basic EPS, since dilutive common equivalent shares are not assumed to have been issued if their effect is antidilutive.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Not Yet Adopted</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new accounting guidance requiring entities to provide additional information in the income tax rate reconciliation and additional disclosures about income taxes paid. The new accounting guidance requires entities to disclose in their rate reconciliation table additional categories of information about federal, state and foreign income taxes and to provide more details about the reconciling items in some categories if the items meet a quantitative threshold. This guidance is effective for annual periods beginning after December 15, 2024, and should be applied prospectively, but entities have the option to apply it retrospectively for each period presented. Early adoption is permitted for annual financial statements that have not yet been issued or made available for issuance.</w:t>
      </w:r>
    </w:p>
    <w:p>
      <w:pPr>
        <w:spacing w:after="0" w:line="18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new accounting guidance which expands public entities’ segment disclosures by requiring disclosure of significant segment expenses that are regularly provided to the chief operating decision maker (“CODM") and included within each reported measure of segment profit or loss, an amount and description of its composition for other segment items, and interim disclosures of a reportable segment’s profit or loss and assets. This guidance is effective for annual periods beginning after December 15, 2023, and interim periods within annual periods beginning after December 15, 2024, with early adoption permitted, including adoption in any interim period.</w:t>
      </w:r>
    </w:p>
    <w:p>
      <w:pPr>
        <w:spacing w:after="0" w:line="182"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8"/>
          <w:szCs w:val="18"/>
          <w:color w:val="auto"/>
        </w:rPr>
        <w:t>We are currently considering our timing of adoption and are in the process of evaluating the impact of adopting these newly issued accounting rules on our consolidated financial statements and related disclosures.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FINANCIAL INSTRUMENTS AND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Marketable Securities</w:t>
      </w:r>
    </w:p>
    <w:p>
      <w:pPr>
        <w:spacing w:after="0" w:line="229" w:lineRule="exact"/>
        <w:rPr>
          <w:sz w:val="20"/>
          <w:szCs w:val="20"/>
          <w:color w:val="auto"/>
        </w:rPr>
      </w:pPr>
    </w:p>
    <w:p>
      <w:pPr>
        <w:jc w:val="both"/>
        <w:ind w:right="40" w:firstLine="509"/>
        <w:spacing w:after="0" w:line="280" w:lineRule="auto"/>
        <w:rPr>
          <w:sz w:val="20"/>
          <w:szCs w:val="20"/>
          <w:color w:val="auto"/>
        </w:rPr>
      </w:pPr>
      <w:r>
        <w:rPr>
          <w:rFonts w:ascii="Times New Roman" w:cs="Times New Roman" w:eastAsia="Times New Roman" w:hAnsi="Times New Roman"/>
          <w:sz w:val="17"/>
          <w:szCs w:val="17"/>
          <w:color w:val="auto"/>
        </w:rPr>
        <w:t>As of December 31, 2023 and 2022, we had approximately $1.1 billion and $1.0 billion of cash and cash equivalents, respectively, which consisted of available on demand bank deposits, term deposits, and money market funds, with maturities of 90 days or less at the date of purchase, in each case, with major global financial institutions. We had no outstanding investments classified as either short-term or long-term marketable securities as of December 31, 2023 and 2022, respectively, and there were no purchases or sales of any marketable securities during the years ended December 31, 2023, 2022 and 2021.</w:t>
      </w:r>
    </w:p>
    <w:p>
      <w:pPr>
        <w:spacing w:after="0" w:line="59" w:lineRule="exact"/>
        <w:rPr>
          <w:sz w:val="20"/>
          <w:szCs w:val="20"/>
          <w:color w:val="auto"/>
        </w:rPr>
      </w:pPr>
    </w:p>
    <w:p>
      <w:pPr>
        <w:ind w:right="14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shows our cash and cash equivalents, which are measured at fair value on a recurring basis and categorized using the fair value hierarchy, as well as their classification on our consolidated balance sheets as of December 31, 2023 and 2022:</w:t>
      </w:r>
    </w:p>
    <w:p>
      <w:pPr>
        <w:spacing w:after="0" w:line="143"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3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ind w:right="96"/>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1"/>
                <w:szCs w:val="11"/>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(1)</w:t>
            </w:r>
          </w:p>
        </w:tc>
        <w:tc>
          <w:tcPr>
            <w:tcW w:w="220" w:type="dxa"/>
            <w:vAlign w:val="bottom"/>
            <w:vMerge w:val="restart"/>
          </w:tcPr>
          <w:p>
            <w:pPr>
              <w:spacing w:after="0"/>
              <w:rPr>
                <w:sz w:val="11"/>
                <w:szCs w:val="11"/>
                <w:color w:val="auto"/>
              </w:rPr>
            </w:pPr>
          </w:p>
        </w:tc>
        <w:tc>
          <w:tcPr>
            <w:tcW w:w="10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Cash and Cash</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ind w:right="76"/>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1"/>
                <w:szCs w:val="11"/>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(1)</w:t>
            </w:r>
          </w:p>
        </w:tc>
        <w:tc>
          <w:tcPr>
            <w:tcW w:w="200" w:type="dxa"/>
            <w:vAlign w:val="bottom"/>
            <w:vMerge w:val="restart"/>
          </w:tcPr>
          <w:p>
            <w:pPr>
              <w:spacing w:after="0"/>
              <w:rPr>
                <w:sz w:val="11"/>
                <w:szCs w:val="11"/>
                <w:color w:val="auto"/>
              </w:rPr>
            </w:pPr>
          </w:p>
        </w:tc>
        <w:tc>
          <w:tcPr>
            <w:tcW w:w="9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Cash and Cash</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8"/>
              </w:rPr>
              <w:t>Equivalents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40" w:type="dxa"/>
            <w:vAlign w:val="bottom"/>
            <w:gridSpan w:val="4"/>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56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5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6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Term deposits</w:t>
            </w:r>
          </w:p>
        </w:tc>
        <w:tc>
          <w:tcPr>
            <w:tcW w:w="1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5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2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5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2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3138805</wp:posOffset>
            </wp:positionH>
            <wp:positionV relativeFrom="paragraph">
              <wp:posOffset>-187960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-187960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4679950</wp:posOffset>
            </wp:positionH>
            <wp:positionV relativeFrom="paragraph">
              <wp:posOffset>-187960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-187960</wp:posOffset>
            </wp:positionV>
            <wp:extent cx="596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-187960</wp:posOffset>
            </wp:positionV>
            <wp:extent cx="596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-187960</wp:posOffset>
            </wp:positionV>
            <wp:extent cx="596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65" w:lineRule="exact"/>
        <w:rPr>
          <w:sz w:val="20"/>
          <w:szCs w:val="20"/>
          <w:color w:val="auto"/>
        </w:rPr>
      </w:pPr>
    </w:p>
    <w:p>
      <w:pPr>
        <w:ind w:left="1540" w:hanging="514"/>
        <w:spacing w:after="0"/>
        <w:tabs>
          <w:tab w:leader="none" w:pos="15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have any unrealized gains and losses related to our cash equivalents.</w:t>
      </w:r>
    </w:p>
    <w:p>
      <w:pPr>
        <w:spacing w:after="0" w:line="10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generally classify cash equivalents and marketable securities, if any, within Level 1 and Level 2 as we value these financial instruments using quoted market prices (Level 1) or alternative pricing sources (Level 2). The valuation technique we use to measure the fair value of money market funds is derived from quoted prices in active markets for identical assets or liabilities. Fair values for Level 2 investments are considered “Level 2” valuations because they are obtained from independent pricing sources for identical or comparable instruments, rather than direct observations of quoted prices in active markets. Our procedures include controls to ensure that appropriate fair values are recorded, including comparing the fair values obtained from our independent pricing services against fair values obtained from another independent source.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generally use forward contracts to reduce the effects of foreign currency exchange rate fluctuations on our cash flows for the Euro versus the U.S. Dollar. For the periods ended December 31, 2023, 2022 and 2021, respectively, our forward contracts have not been designated as hedges and generally had maturities of less than 90 days. Our outstanding or unsettled forward contracts were carried at fair value on our consolidated balance sheets at December 31, 2023 and 2022. We measure the fair value of our outstanding or unsettled derivatives using Level 2 fair value inputs, as we use a pricing model that takes into account the contract terms as well as current foreign currency exchange rates in active markets. We recognize any gain or loss resulting from the change in fair value of our forward contracts in other income (expense), net on our consolidated statement of operations, which was not material for the year ended December 31, 2023. We recorded a net gain of $4 million and $2 million for the years ended December 31, 2022 and 2021, respectively, related to our forward contracts.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the notional principal amounts of our outstanding derivative instruments for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w:t>
            </w:r>
          </w:p>
        </w:tc>
        <w:tc>
          <w:tcPr>
            <w:tcW w:w="1020" w:type="dxa"/>
            <w:vAlign w:val="bottom"/>
            <w:gridSpan w:val="2"/>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w w:val="88"/>
              </w:rPr>
              <w:t>millions)</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70"/>
        </w:trPr>
        <w:tc>
          <w:tcPr>
            <w:tcW w:w="1140" w:type="dxa"/>
            <w:vAlign w:val="bottom"/>
          </w:tcPr>
          <w:p>
            <w:pPr>
              <w:spacing w:after="0"/>
              <w:rPr>
                <w:sz w:val="23"/>
                <w:szCs w:val="23"/>
                <w:color w:val="auto"/>
              </w:rPr>
            </w:pPr>
          </w:p>
        </w:tc>
        <w:tc>
          <w:tcPr>
            <w:tcW w:w="4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Foreign currency exchange-forward contracts (1)(2)</w:t>
            </w:r>
          </w:p>
        </w:tc>
        <w:tc>
          <w:tcPr>
            <w:tcW w:w="2860" w:type="dxa"/>
            <w:vAlign w:val="bottom"/>
            <w:gridSpan w:val="2"/>
            <w:shd w:val="clear" w:color="auto" w:fill="CFF0FC"/>
          </w:tcPr>
          <w:p>
            <w:pPr>
              <w:jc w:val="right"/>
              <w:ind w:right="122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2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FF0FC"/>
          </w:tcPr>
          <w:p>
            <w:pPr>
              <w:spacing w:after="0"/>
              <w:rPr>
                <w:sz w:val="23"/>
                <w:szCs w:val="23"/>
                <w:color w:val="auto"/>
              </w:rPr>
            </w:pPr>
          </w:p>
        </w:tc>
        <w:tc>
          <w:tcPr>
            <w:tcW w:w="1120" w:type="dxa"/>
            <w:vAlign w:val="bottom"/>
          </w:tcPr>
          <w:p>
            <w:pPr>
              <w:spacing w:after="0"/>
              <w:rPr>
                <w:sz w:val="23"/>
                <w:szCs w:val="23"/>
                <w:color w:val="auto"/>
              </w:rPr>
            </w:pPr>
          </w:p>
        </w:tc>
      </w:tr>
      <w:tr>
        <w:trPr>
          <w:trHeight w:val="863"/>
        </w:trPr>
        <w:tc>
          <w:tcPr>
            <w:tcW w:w="11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46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83</w:t>
            </w: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2"/>
        </w:trPr>
        <w:tc>
          <w:tcPr>
            <w:tcW w:w="114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87" w:lineRule="exact"/>
        <w:rPr>
          <w:sz w:val="20"/>
          <w:szCs w:val="20"/>
          <w:color w:val="auto"/>
        </w:rPr>
      </w:pPr>
    </w:p>
    <w:p>
      <w:pPr>
        <w:ind w:left="1120" w:right="700" w:hanging="513"/>
        <w:spacing w:after="0" w:line="233" w:lineRule="auto"/>
        <w:tabs>
          <w:tab w:leader="none" w:pos="11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Derivative contracts address foreign currency exchange fluctuations for the Euro versus the U.S. dollar. These outstanding derivatives are not designated as hedging instruments and have an original maturity period of 90 days or less.</w:t>
      </w:r>
    </w:p>
    <w:p>
      <w:pPr>
        <w:ind w:left="1120" w:right="240" w:hanging="513"/>
        <w:spacing w:after="0" w:line="294" w:lineRule="auto"/>
        <w:tabs>
          <w:tab w:leader="none" w:pos="11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our outstanding derivatives as of December 31, 2023 and 2022, respectively, was not material. The notional amount of a forward contract is the contracted amount of foreign currency to be exchanged and is not recorded on the consolidated balance sheet.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Assets and Liabilities</w:t>
      </w:r>
    </w:p>
    <w:p>
      <w:pPr>
        <w:spacing w:after="0" w:line="22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2023 and 2022, financial instruments not measured at fair value on a recurring basis, including accounts payable, accrued expenses and other current liabilities, and deferred merchant payables, were carried at cost on our consolidated balance sheet, which approximates their fair values because of the short-term nature of these items. Accounts receivable, including contract assets, as described below, as well as certain other financial assets, are measured at amortized cost and are carried at cost less an allowance for expected credit losses on our consolidated balance sheet to present the net amount expected to be collected.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provides information about the opening and closing balances of accounts receivable, including contract assets, net of allowance for expected credit losses, from contracts with customers as of the dates presented:</w:t>
      </w:r>
    </w:p>
    <w:p>
      <w:pPr>
        <w:spacing w:after="0" w:line="170"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160" w:type="dxa"/>
            <w:vAlign w:val="bottom"/>
          </w:tcPr>
          <w:p>
            <w:pPr>
              <w:spacing w:after="0"/>
              <w:rPr>
                <w:sz w:val="16"/>
                <w:szCs w:val="16"/>
                <w:color w:val="auto"/>
              </w:rPr>
            </w:pPr>
          </w:p>
        </w:tc>
        <w:tc>
          <w:tcPr>
            <w:tcW w:w="12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0" w:type="dxa"/>
            <w:vAlign w:val="bottom"/>
          </w:tcPr>
          <w:p>
            <w:pPr>
              <w:spacing w:after="0"/>
              <w:rPr>
                <w:sz w:val="16"/>
                <w:szCs w:val="16"/>
                <w:color w:val="auto"/>
              </w:rPr>
            </w:pPr>
          </w:p>
        </w:tc>
      </w:tr>
      <w:tr>
        <w:trPr>
          <w:trHeight w:val="169"/>
        </w:trPr>
        <w:tc>
          <w:tcPr>
            <w:tcW w:w="5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(in</w:t>
            </w: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shd w:val="clear" w:color="auto" w:fill="CFF0FC"/>
          </w:tcPr>
          <w:p>
            <w:pPr>
              <w:spacing w:after="0"/>
              <w:rPr>
                <w:sz w:val="21"/>
                <w:szCs w:val="21"/>
                <w:color w:val="auto"/>
              </w:rPr>
            </w:pPr>
          </w:p>
        </w:tc>
      </w:tr>
      <w:tr>
        <w:trPr>
          <w:trHeight w:val="238"/>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5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0"/>
                <w:szCs w:val="20"/>
                <w:color w:val="auto"/>
              </w:rPr>
            </w:pPr>
          </w:p>
        </w:tc>
      </w:tr>
      <w:tr>
        <w:trPr>
          <w:trHeight w:val="276"/>
        </w:trPr>
        <w:tc>
          <w:tcPr>
            <w:tcW w:w="51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-24765</wp:posOffset>
            </wp:positionV>
            <wp:extent cx="514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-7620</wp:posOffset>
            </wp:positionV>
            <wp:extent cx="514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7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Contract assets are rights to consideration in exchange for services that we have transferred to a customer when that right is conditional on something other than the passage of time, such as commission payments that are contingent upon the completion of the service by the principal in the transaction. The difference between the opening and closing balances of our contract assets primarily results from the timing difference between when we satisfy our performance obligations and the time when the principal completes the service in the transaction. There were no significant changes in contract assets during the years ended December 31, 2023 and 2022 related to business combinations, impairments, cumulative catch-ups or other material adjustments.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Long-Term Debt</w:t>
      </w:r>
    </w:p>
    <w:p>
      <w:pPr>
        <w:spacing w:after="0" w:line="229"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 xml:space="preserve">The following table shows the aggregate principal and fair value amount of our outstanding 2025 Senior Notes and 2026 Senior Notes as of the dates presented, which are classified as long-term debt on our consolidated balance sheet, and considered Level 2 fair value measurements. Refer to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for additional information related to our 2025 Senior Notes and 2026 Senior Notes.</w:t>
      </w:r>
    </w:p>
    <w:p>
      <w:pPr>
        <w:spacing w:after="0" w:line="265"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240" w:type="dxa"/>
            <w:vAlign w:val="bottom"/>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r>
      <w:tr>
        <w:trPr>
          <w:trHeight w:val="263"/>
        </w:trPr>
        <w:tc>
          <w:tcPr>
            <w:tcW w:w="62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2025 Senior Notes</w:t>
            </w:r>
          </w:p>
        </w:tc>
        <w:tc>
          <w:tcPr>
            <w:tcW w:w="14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Aggregate principal amount</w:t>
            </w:r>
          </w:p>
        </w:tc>
        <w:tc>
          <w:tcPr>
            <w:tcW w:w="1460" w:type="dxa"/>
            <w:vAlign w:val="bottom"/>
          </w:tcPr>
          <w:p>
            <w:pPr>
              <w:jc w:val="right"/>
              <w:ind w:right="127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500</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0"/>
                <w:szCs w:val="20"/>
                <w:color w:val="auto"/>
              </w:rPr>
            </w:pPr>
          </w:p>
        </w:tc>
      </w:tr>
      <w:tr>
        <w:trPr>
          <w:trHeight w:val="247"/>
        </w:trPr>
        <w:tc>
          <w:tcPr>
            <w:tcW w:w="6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Carrying value amount (1)</w:t>
            </w:r>
          </w:p>
        </w:tc>
        <w:tc>
          <w:tcPr>
            <w:tcW w:w="146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497</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FF0FC"/>
          </w:tcPr>
          <w:p>
            <w:pPr>
              <w:spacing w:after="0"/>
              <w:rPr>
                <w:sz w:val="21"/>
                <w:szCs w:val="21"/>
                <w:color w:val="auto"/>
              </w:rPr>
            </w:pPr>
          </w:p>
        </w:tc>
      </w:tr>
      <w:tr>
        <w:trPr>
          <w:trHeight w:val="238"/>
        </w:trPr>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Fair value amount (2)</w:t>
            </w:r>
          </w:p>
        </w:tc>
        <w:tc>
          <w:tcPr>
            <w:tcW w:w="14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502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20"/>
                <w:szCs w:val="20"/>
                <w:color w:val="auto"/>
              </w:rPr>
            </w:pPr>
          </w:p>
        </w:tc>
      </w:tr>
      <w:tr>
        <w:trPr>
          <w:trHeight w:val="247"/>
        </w:trPr>
        <w:tc>
          <w:tcPr>
            <w:tcW w:w="62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0"/>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2026 Senior Notes</w:t>
            </w: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6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Aggregate principal amount</w:t>
            </w:r>
          </w:p>
        </w:tc>
        <w:tc>
          <w:tcPr>
            <w:tcW w:w="1460" w:type="dxa"/>
            <w:vAlign w:val="bottom"/>
            <w:shd w:val="clear" w:color="auto" w:fill="CFF0FC"/>
          </w:tcPr>
          <w:p>
            <w:pPr>
              <w:jc w:val="right"/>
              <w:ind w:right="127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345</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FF0FC"/>
          </w:tcPr>
          <w:p>
            <w:pPr>
              <w:spacing w:after="0"/>
              <w:rPr>
                <w:sz w:val="21"/>
                <w:szCs w:val="21"/>
                <w:color w:val="auto"/>
              </w:rPr>
            </w:pPr>
          </w:p>
        </w:tc>
      </w:tr>
      <w:tr>
        <w:trPr>
          <w:trHeight w:val="238"/>
        </w:trPr>
        <w:tc>
          <w:tcPr>
            <w:tcW w:w="6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Carrying value amount (3)</w:t>
            </w:r>
          </w:p>
        </w:tc>
        <w:tc>
          <w:tcPr>
            <w:tcW w:w="14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342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20"/>
                <w:szCs w:val="20"/>
                <w:color w:val="auto"/>
              </w:rPr>
            </w:pPr>
          </w:p>
        </w:tc>
      </w:tr>
      <w:tr>
        <w:trPr>
          <w:trHeight w:val="247"/>
        </w:trPr>
        <w:tc>
          <w:tcPr>
            <w:tcW w:w="6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Fair value amount (2)</w:t>
            </w:r>
          </w:p>
        </w:tc>
        <w:tc>
          <w:tcPr>
            <w:tcW w:w="146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304</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FF0FC"/>
          </w:tcPr>
          <w:p>
            <w:pPr>
              <w:spacing w:after="0"/>
              <w:rPr>
                <w:sz w:val="21"/>
                <w:szCs w:val="21"/>
                <w:color w:val="auto"/>
              </w:rPr>
            </w:pPr>
          </w:p>
        </w:tc>
      </w:tr>
    </w:tbl>
    <w:p>
      <w:pPr>
        <w:spacing w:after="0" w:line="85" w:lineRule="exact"/>
        <w:rPr>
          <w:sz w:val="20"/>
          <w:szCs w:val="20"/>
          <w:color w:val="auto"/>
        </w:rPr>
      </w:pPr>
    </w:p>
    <w:p>
      <w:pPr>
        <w:ind w:left="1260" w:hanging="503"/>
        <w:spacing w:after="0"/>
        <w:tabs>
          <w:tab w:leader="none" w:pos="12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$3 million and $5 million of unamortized debt issuance costs as of December 31, 2023 and 2022, respectively.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ind w:left="1260" w:right="100" w:hanging="503"/>
        <w:spacing w:after="0" w:line="233" w:lineRule="auto"/>
        <w:tabs>
          <w:tab w:leader="none" w:pos="12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estimate the fair value of our outstanding 2025 Senior Notes and 2026 Senior Notes based on recently reported market transactions and/or prices for identical or similar financial instruments obtained from a third-party pricing source.</w:t>
      </w:r>
    </w:p>
    <w:p>
      <w:pPr>
        <w:ind w:left="1260" w:hanging="503"/>
        <w:spacing w:after="0"/>
        <w:tabs>
          <w:tab w:leader="none" w:pos="12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$3 million and $4 million of unamortized debt issuance costs as of December 31, 2023 and 2022, respectively.</w:t>
      </w:r>
    </w:p>
    <w:p>
      <w:pPr>
        <w:spacing w:after="0" w:line="191" w:lineRule="exact"/>
        <w:rPr>
          <w:sz w:val="20"/>
          <w:szCs w:val="20"/>
          <w:color w:val="auto"/>
        </w:rPr>
      </w:pPr>
    </w:p>
    <w:p>
      <w:pPr>
        <w:ind w:right="140" w:firstLine="509"/>
        <w:spacing w:after="0" w:line="281" w:lineRule="auto"/>
        <w:rPr>
          <w:sz w:val="20"/>
          <w:szCs w:val="20"/>
          <w:color w:val="auto"/>
        </w:rPr>
      </w:pPr>
      <w:r>
        <w:rPr>
          <w:rFonts w:ascii="Times New Roman" w:cs="Times New Roman" w:eastAsia="Times New Roman" w:hAnsi="Times New Roman"/>
          <w:sz w:val="18"/>
          <w:szCs w:val="18"/>
          <w:color w:val="auto"/>
        </w:rPr>
        <w:t>The Company did not have any assets or liabilities measured at fair value on a recurring basis using Level 3 unobservable inputs at both December 31, 2023 and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at Fair Value on a Non-recurring Basis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Non-Marketable Investments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Equity Securities Accounted for under the Equity Method</w:t>
      </w:r>
    </w:p>
    <w:p>
      <w:pPr>
        <w:spacing w:after="0" w:line="22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November 2019, the Company and Ctrip Investment Holding Ltd, a majority-owned subsidiary of Trip.com Group Limited, entered into an agreement to combine certain assets in China through the creation of a new entity, Chelsea Investment Holding Company PTE, Ltd. Tripadvisor contributed a portion of its business in China, including a long-term exclusive brand and content license and other assets, in return for a 40% equity investment in Chelsea Investment Holding Company PTE Ltd. This investment resulted in the Company recording an initial equity method investment of $41 million and a $39 million deferred income liability attributable to the brand and content license in the fourth quarter of 2019. The Company expects to earn the deferred income ratably over a 15-year period, congruent with the initial term of the brand and content license, which is recorded in other income (expense), net on the consolidated statement of operations.</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accounts for this minority investment under the equity method, given it has the ability to exercise significant influence over, but not control, the investee. The carrying value of this minority investment was $30 million and $32 million as of December 31, 2023 and 2022, respectively, and is included in non-marketable investments on our consolidated balance sheets. During the years ended December 31, 2023, 2022 and 2021, we recognized a loss of $2 million, $2 million and $3 million, respectively, representing our share of the investee’s net loss in other income (expenses), net within the consolidated statements of operations. The Company evaluates this investment for impairment when factors indicate that a decline in the value of its investment has occurred and the carrying amount of its investment may not be recoverable. An impairment loss, based on the excess of the carrying value over the estimated fair value of the investment based on Level 3 inputs, is recognized in earnings when an impairment is deemed to be other than temporary. Due to ongoing operating losses, we performed a qualitative assessment to evaluate whether this equity investment is impaired as of December 31, 2023. During the years ended December 31, 2023, 2022 and 2021, respectively, we did not record any impairment loss on this equity investment. The remaining deferred income liability of $28 million is presented in accrued expenses and other current liabilities and other long-term liabilities on our consolidated balance sheet of $3 million and $25 million, respectively, as of December 31, 2023.</w:t>
      </w:r>
    </w:p>
    <w:p>
      <w:pPr>
        <w:spacing w:after="0" w:line="189" w:lineRule="exact"/>
        <w:rPr>
          <w:sz w:val="20"/>
          <w:szCs w:val="20"/>
          <w:color w:val="auto"/>
        </w:rPr>
      </w:pPr>
    </w:p>
    <w:p>
      <w:pPr>
        <w:jc w:val="both"/>
        <w:ind w:right="100" w:firstLine="509"/>
        <w:spacing w:after="0" w:line="265" w:lineRule="auto"/>
        <w:rPr>
          <w:sz w:val="20"/>
          <w:szCs w:val="20"/>
          <w:color w:val="auto"/>
        </w:rPr>
      </w:pPr>
      <w:r>
        <w:rPr>
          <w:rFonts w:ascii="Times New Roman" w:cs="Times New Roman" w:eastAsia="Times New Roman" w:hAnsi="Times New Roman"/>
          <w:sz w:val="18"/>
          <w:szCs w:val="18"/>
          <w:color w:val="auto"/>
        </w:rPr>
        <w:t>The Company has various commercial agreements with Chelsea Investment Holding Company PTE Ltd. and/or its subsidiaries. Transactions under these agreements with the equity method investee are considered related-party transactions, and were not material for the years ended December 31, 2023, 2022 and 2021, respectively.</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Equity Investments</w:t>
      </w:r>
    </w:p>
    <w:p>
      <w:pPr>
        <w:spacing w:after="0" w:line="227" w:lineRule="exact"/>
        <w:rPr>
          <w:sz w:val="20"/>
          <w:szCs w:val="20"/>
          <w:color w:val="auto"/>
        </w:rPr>
      </w:pPr>
    </w:p>
    <w:p>
      <w:pPr>
        <w:jc w:val="both"/>
        <w:ind w:right="140" w:firstLine="509"/>
        <w:spacing w:after="0" w:line="265" w:lineRule="auto"/>
        <w:rPr>
          <w:sz w:val="20"/>
          <w:szCs w:val="20"/>
          <w:color w:val="auto"/>
        </w:rPr>
      </w:pPr>
      <w:r>
        <w:rPr>
          <w:rFonts w:ascii="Times New Roman" w:cs="Times New Roman" w:eastAsia="Times New Roman" w:hAnsi="Times New Roman"/>
          <w:sz w:val="18"/>
          <w:szCs w:val="18"/>
          <w:color w:val="auto"/>
        </w:rPr>
        <w:t>We also hold a minority investment in equity securities of a privately-held company, which is at an early stage of development and does not have a readily determinable fair value. As of both December 31, 2023 and 2022, the total carrying value of this investment was $2 million, and included in non-marketable investments on our consolidated balance sheets.</w:t>
      </w:r>
    </w:p>
    <w:p>
      <w:pPr>
        <w:spacing w:after="0" w:line="177" w:lineRule="exact"/>
        <w:rPr>
          <w:sz w:val="20"/>
          <w:szCs w:val="20"/>
          <w:color w:val="auto"/>
        </w:rPr>
      </w:pPr>
    </w:p>
    <w:p>
      <w:pPr>
        <w:ind w:right="320" w:firstLine="509"/>
        <w:spacing w:after="0" w:line="260" w:lineRule="auto"/>
        <w:rPr>
          <w:sz w:val="20"/>
          <w:szCs w:val="20"/>
          <w:color w:val="auto"/>
        </w:rPr>
      </w:pPr>
      <w:r>
        <w:rPr>
          <w:rFonts w:ascii="Times New Roman" w:cs="Times New Roman" w:eastAsia="Times New Roman" w:hAnsi="Times New Roman"/>
          <w:sz w:val="18"/>
          <w:szCs w:val="18"/>
          <w:color w:val="auto"/>
        </w:rPr>
        <w:t>Our policy is to measure this equity investment at cost less impairment, if any, plus or minus changes resulting from observable price changes in orderly transactions for the identical or a similar investment of the same issuer such observable price changes may include instances where the investee issues equity securities to new investors, thus creating a new indicator of fair value, as an example. On a quarterly basis, we perform a qualitative assessment considering impairment indicators, if any, to evaluate whether this investment is impaired and monitor for any</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1" w:right="359" w:bottom="1440" w:gutter="0" w:footer="0" w:header="0"/>
        </w:sectPr>
      </w:pPr>
    </w:p>
    <w:bookmarkStart w:id="87" w:name="page88"/>
    <w:bookmarkEnd w:id="87"/>
    <w:p>
      <w:pPr>
        <w:spacing w:after="0" w:line="192"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observable price changes. During the years ended December 31, 2023, 2022 and 2021, we did not record any impairment loss on this equity investment or note any observable price change indicators.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Long-Term Assets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June 2020, the Company was issued collateralized notes (the “Notes Receivable”) with a total principal amount of $20 million from a privately-held company, in exchange for an existing equity investment held in the investee by the Company, and other-long term receivables, net, which the Company held due from the same investee. The Company has classified the Notes Receivable as held-to-maturity, as the Company has concluded it has the positive intent and ability to hold the Notes Receivable until maturity, with 50% due in eight years and remaining 50% due in 10 years from issuance date or the date on which there is a change of control, whichever is earlier. The Company recorded a $5 million allowance for credit losses under GAAP during the year ended December 31, 2021, in other income (expense), net on the consolidated statement of operations, related to the Notes Receivable. As of both December 31, 2023 and 2022, the carrying value of the Notes Receivable was $9 million, net of accumulated allowance for credit losses, and is classified in other long-term assets, net on our consolidated balance sheet at amortized cost. On a quarterly basis, we perform a qualitative assessment considering impairment indicators to evaluate whether the Notes Receivable are impaired and monitor for changes to our allowance for expected credit losses.</w:t>
      </w:r>
    </w:p>
    <w:p>
      <w:pPr>
        <w:spacing w:after="0" w:line="186"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 xml:space="preserve">Other non-financial assets, such as property and equipment, goodwill, intangible assets, and operating lease right-of-use assets are adjusted to fair value when an impairment charge is recognized or the underlying investment is sold. Such fair value measurements, if necessary, are based predominately on Level 3 inputs. Refer to “Note 4: </w:t>
      </w:r>
      <w:r>
        <w:rPr>
          <w:rFonts w:ascii="Times New Roman" w:cs="Times New Roman" w:eastAsia="Times New Roman" w:hAnsi="Times New Roman"/>
          <w:sz w:val="18"/>
          <w:szCs w:val="18"/>
          <w:i w:val="1"/>
          <w:iCs w:val="1"/>
          <w:color w:val="auto"/>
        </w:rPr>
        <w:t>Property and Equipment, Net</w:t>
      </w:r>
      <w:r>
        <w:rPr>
          <w:rFonts w:ascii="Times New Roman" w:cs="Times New Roman" w:eastAsia="Times New Roman" w:hAnsi="Times New Roman"/>
          <w:sz w:val="18"/>
          <w:szCs w:val="18"/>
          <w:color w:val="auto"/>
        </w:rPr>
        <w:t xml:space="preserve">”, “Note 5: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“Note 6: </w:t>
      </w:r>
      <w:r>
        <w:rPr>
          <w:rFonts w:ascii="Times New Roman" w:cs="Times New Roman" w:eastAsia="Times New Roman" w:hAnsi="Times New Roman"/>
          <w:sz w:val="18"/>
          <w:szCs w:val="18"/>
          <w:i w:val="1"/>
          <w:iCs w:val="1"/>
          <w:color w:val="auto"/>
        </w:rPr>
        <w:t>Goodwill and Intangibles Assets, Net</w:t>
      </w:r>
      <w:r>
        <w:rPr>
          <w:rFonts w:ascii="Times New Roman" w:cs="Times New Roman" w:eastAsia="Times New Roman" w:hAnsi="Times New Roman"/>
          <w:sz w:val="18"/>
          <w:szCs w:val="18"/>
          <w:color w:val="auto"/>
        </w:rPr>
        <w:t>” for additional information regarding those assets.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consists of the following as of the dates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1840" w:type="dxa"/>
            <w:vAlign w:val="bottom"/>
            <w:gridSpan w:val="3"/>
          </w:tcPr>
          <w:p>
            <w:pPr>
              <w:jc w:val="right"/>
              <w:ind w:right="1252"/>
              <w:spacing w:after="0"/>
              <w:rPr>
                <w:sz w:val="20"/>
                <w:szCs w:val="20"/>
                <w:color w:val="auto"/>
              </w:rPr>
            </w:pPr>
            <w:r>
              <w:rPr>
                <w:rFonts w:ascii="Times New Roman" w:cs="Times New Roman" w:eastAsia="Times New Roman" w:hAnsi="Times New Roman"/>
                <w:sz w:val="14"/>
                <w:szCs w:val="14"/>
                <w:b w:val="1"/>
                <w:bCs w:val="1"/>
                <w:color w:val="auto"/>
                <w:w w:val="91"/>
              </w:rPr>
              <w:t>millions)</w:t>
            </w:r>
          </w:p>
        </w:tc>
        <w:tc>
          <w:tcPr>
            <w:tcW w:w="100" w:type="dxa"/>
            <w:vAlign w:val="bottom"/>
          </w:tcPr>
          <w:p>
            <w:pPr>
              <w:spacing w:after="0"/>
              <w:rPr>
                <w:sz w:val="14"/>
                <w:szCs w:val="14"/>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Capitalized website development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 (Note 5)</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purchased software</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0"/>
                <w:szCs w:val="20"/>
                <w:color w:val="auto"/>
              </w:rPr>
            </w:pPr>
          </w:p>
        </w:tc>
      </w:tr>
      <w:tr>
        <w:trPr>
          <w:trHeight w:val="247"/>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office equipment and other</w:t>
            </w:r>
          </w:p>
        </w:tc>
        <w:tc>
          <w:tcPr>
            <w:tcW w:w="1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(551 )</w:t>
            </w:r>
          </w:p>
        </w:tc>
        <w:tc>
          <w:tcPr>
            <w:tcW w:w="1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(512 )</w:t>
            </w:r>
          </w:p>
        </w:tc>
      </w:tr>
      <w:tr>
        <w:trPr>
          <w:trHeight w:val="236"/>
        </w:trPr>
        <w:tc>
          <w:tcPr>
            <w:tcW w:w="77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8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top w:val="single" w:sz="8" w:color="CFF0FC"/>
            </w:tcBorders>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-504825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2023 and 2022, the carrying value of our capitalized website development costs, net of accumulated amortization, was $103 million and $91 million, respectively. For the years ended December 31, 2023, 2022 and 2021, we capitalized $66 million, $56 million and $55 million, respectively, related to website development costs. For the years ended December 31, 2023, 2022 and 2021, we recorded amortization of capitalized website development costs of $55 million, $61 million and $64 million, respectively, which is included in depreciation expense on our consolidated statements of operations.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LEASES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Operating and finance lease assets and liabilities consists of the following as of the dates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50"/>
        </w:trPr>
        <w:tc>
          <w:tcPr>
            <w:tcW w:w="2720" w:type="dxa"/>
            <w:vAlign w:val="bottom"/>
            <w:tcBorders>
              <w:bottom w:val="single" w:sz="8" w:color="auto"/>
            </w:tcBorders>
          </w:tcPr>
          <w:p>
            <w:pPr>
              <w:spacing w:after="0"/>
              <w:rPr>
                <w:sz w:val="21"/>
                <w:szCs w:val="21"/>
                <w:color w:val="auto"/>
              </w:rPr>
            </w:pPr>
          </w:p>
        </w:tc>
        <w:tc>
          <w:tcPr>
            <w:tcW w:w="51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b w:val="1"/>
                <w:bCs w:val="1"/>
                <w:color w:val="auto"/>
              </w:rPr>
              <w:t>Presentation on Consolidated Balance Sheet</w:t>
            </w:r>
          </w:p>
        </w:tc>
        <w:tc>
          <w:tcPr>
            <w:tcW w:w="140" w:type="dxa"/>
            <w:vAlign w:val="bottom"/>
            <w:tcBorders>
              <w:top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1"/>
                <w:szCs w:val="21"/>
                <w:color w:val="auto"/>
              </w:rPr>
            </w:pPr>
          </w:p>
        </w:tc>
      </w:tr>
      <w:tr>
        <w:trPr>
          <w:trHeight w:val="197"/>
        </w:trPr>
        <w:tc>
          <w:tcPr>
            <w:tcW w:w="27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02"/>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Lease Assets:</w:t>
            </w:r>
          </w:p>
        </w:tc>
        <w:tc>
          <w:tcPr>
            <w:tcW w:w="5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6"/>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w:t>
            </w:r>
          </w:p>
        </w:tc>
        <w:tc>
          <w:tcPr>
            <w:tcW w:w="51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300" w:type="dxa"/>
            <w:vAlign w:val="bottom"/>
            <w:gridSpan w:val="2"/>
            <w:shd w:val="clear" w:color="auto" w:fill="CFF0FC"/>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FF0FC"/>
          </w:tcPr>
          <w:p>
            <w:pPr>
              <w:spacing w:after="0"/>
              <w:rPr>
                <w:sz w:val="24"/>
                <w:szCs w:val="24"/>
                <w:color w:val="auto"/>
              </w:rPr>
            </w:pPr>
          </w:p>
        </w:tc>
      </w:tr>
      <w:tr>
        <w:trPr>
          <w:trHeight w:val="256"/>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w:t>
            </w:r>
          </w:p>
        </w:tc>
        <w:tc>
          <w:tcPr>
            <w:tcW w:w="51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Operating lease right-of-use-assets</w:t>
            </w:r>
          </w:p>
        </w:tc>
        <w:tc>
          <w:tcPr>
            <w:tcW w:w="140" w:type="dxa"/>
            <w:vAlign w:val="bottom"/>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2"/>
                <w:szCs w:val="22"/>
                <w:color w:val="auto"/>
              </w:rPr>
            </w:pPr>
          </w:p>
        </w:tc>
      </w:tr>
      <w:tr>
        <w:trPr>
          <w:trHeight w:val="276"/>
        </w:trPr>
        <w:tc>
          <w:tcPr>
            <w:tcW w:w="2720" w:type="dxa"/>
            <w:vAlign w:val="bottom"/>
            <w:shd w:val="clear" w:color="auto" w:fill="CFF0FC"/>
          </w:tcPr>
          <w:p>
            <w:pPr>
              <w:spacing w:after="0"/>
              <w:rPr>
                <w:sz w:val="24"/>
                <w:szCs w:val="24"/>
                <w:color w:val="auto"/>
              </w:rPr>
            </w:pPr>
          </w:p>
        </w:tc>
        <w:tc>
          <w:tcPr>
            <w:tcW w:w="514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Total lease assets</w:t>
            </w:r>
          </w:p>
        </w:tc>
        <w:tc>
          <w:tcPr>
            <w:tcW w:w="1300" w:type="dxa"/>
            <w:vAlign w:val="bottom"/>
            <w:gridSpan w:val="2"/>
            <w:shd w:val="clear" w:color="auto" w:fill="CFF0FC"/>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FF0FC"/>
          </w:tcPr>
          <w:p>
            <w:pPr>
              <w:spacing w:after="0"/>
              <w:rPr>
                <w:sz w:val="24"/>
                <w:szCs w:val="24"/>
                <w:color w:val="auto"/>
              </w:rPr>
            </w:pPr>
          </w:p>
        </w:tc>
      </w:tr>
      <w:tr>
        <w:trPr>
          <w:trHeight w:val="250"/>
        </w:trPr>
        <w:tc>
          <w:tcPr>
            <w:tcW w:w="2720" w:type="dxa"/>
            <w:vAlign w:val="bottom"/>
            <w:tcBorders>
              <w:top w:val="single" w:sz="8" w:color="CFF0FC"/>
            </w:tcBorders>
          </w:tcPr>
          <w:p>
            <w:pPr>
              <w:spacing w:after="0"/>
              <w:rPr>
                <w:sz w:val="21"/>
                <w:szCs w:val="21"/>
                <w:color w:val="auto"/>
              </w:rPr>
            </w:pPr>
          </w:p>
        </w:tc>
        <w:tc>
          <w:tcPr>
            <w:tcW w:w="5140" w:type="dxa"/>
            <w:vAlign w:val="bottom"/>
            <w:tcBorders>
              <w:top w:val="single" w:sz="8" w:color="CFF0FC"/>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70"/>
        </w:trPr>
        <w:tc>
          <w:tcPr>
            <w:tcW w:w="2720" w:type="dxa"/>
            <w:vAlign w:val="bottom"/>
            <w:shd w:val="clear" w:color="auto" w:fill="CFF0FC"/>
          </w:tcPr>
          <w:p>
            <w:pPr>
              <w:spacing w:after="0"/>
              <w:rPr>
                <w:sz w:val="23"/>
                <w:szCs w:val="23"/>
                <w:color w:val="auto"/>
              </w:rPr>
            </w:pPr>
          </w:p>
        </w:tc>
        <w:tc>
          <w:tcPr>
            <w:tcW w:w="514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16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118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r>
      <w:tr>
        <w:trPr>
          <w:trHeight w:val="26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Lease Liabilities:</w:t>
            </w:r>
          </w:p>
        </w:tc>
        <w:tc>
          <w:tcPr>
            <w:tcW w:w="5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6"/>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w:t>
            </w:r>
          </w:p>
        </w:tc>
        <w:tc>
          <w:tcPr>
            <w:tcW w:w="514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300" w:type="dxa"/>
            <w:vAlign w:val="bottom"/>
            <w:gridSpan w:val="2"/>
            <w:shd w:val="clear" w:color="auto" w:fill="CFF0FC"/>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4"/>
                <w:szCs w:val="24"/>
                <w:color w:val="auto"/>
              </w:rPr>
            </w:pPr>
          </w:p>
        </w:tc>
      </w:tr>
      <w:tr>
        <w:trPr>
          <w:trHeight w:val="256"/>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w:t>
            </w:r>
          </w:p>
        </w:tc>
        <w:tc>
          <w:tcPr>
            <w:tcW w:w="5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2"/>
                <w:szCs w:val="22"/>
                <w:color w:val="auto"/>
              </w:rPr>
            </w:pPr>
          </w:p>
        </w:tc>
      </w:tr>
      <w:tr>
        <w:trPr>
          <w:trHeight w:val="263"/>
        </w:trPr>
        <w:tc>
          <w:tcPr>
            <w:tcW w:w="2720" w:type="dxa"/>
            <w:vAlign w:val="bottom"/>
            <w:shd w:val="clear" w:color="auto" w:fill="CFF0FC"/>
          </w:tcPr>
          <w:p>
            <w:pPr>
              <w:spacing w:after="0"/>
              <w:rPr>
                <w:sz w:val="22"/>
                <w:szCs w:val="22"/>
                <w:color w:val="auto"/>
              </w:rPr>
            </w:pPr>
          </w:p>
        </w:tc>
        <w:tc>
          <w:tcPr>
            <w:tcW w:w="514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Total current lease liabilities</w:t>
            </w:r>
          </w:p>
        </w:tc>
        <w:tc>
          <w:tcPr>
            <w:tcW w:w="14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22"/>
                <w:szCs w:val="22"/>
                <w:color w:val="auto"/>
              </w:rPr>
            </w:pPr>
          </w:p>
        </w:tc>
      </w:tr>
      <w:tr>
        <w:trPr>
          <w:trHeight w:val="270"/>
        </w:trPr>
        <w:tc>
          <w:tcPr>
            <w:tcW w:w="2720" w:type="dxa"/>
            <w:vAlign w:val="bottom"/>
          </w:tcPr>
          <w:p>
            <w:pPr>
              <w:spacing w:after="0"/>
              <w:rPr>
                <w:sz w:val="23"/>
                <w:szCs w:val="23"/>
                <w:color w:val="auto"/>
              </w:rPr>
            </w:pPr>
          </w:p>
        </w:tc>
        <w:tc>
          <w:tcPr>
            <w:tcW w:w="5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70"/>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Lease Liabilities:</w:t>
            </w:r>
          </w:p>
        </w:tc>
        <w:tc>
          <w:tcPr>
            <w:tcW w:w="514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16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118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r>
      <w:tr>
        <w:trPr>
          <w:trHeight w:val="26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w:t>
            </w:r>
          </w:p>
        </w:tc>
        <w:tc>
          <w:tcPr>
            <w:tcW w:w="5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Finance lease liability, net of current portion</w:t>
            </w: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2"/>
                <w:szCs w:val="22"/>
                <w:color w:val="auto"/>
              </w:rPr>
            </w:pPr>
          </w:p>
        </w:tc>
      </w:tr>
      <w:tr>
        <w:trPr>
          <w:trHeight w:val="263"/>
        </w:trPr>
        <w:tc>
          <w:tcPr>
            <w:tcW w:w="2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w:t>
            </w:r>
          </w:p>
        </w:tc>
        <w:tc>
          <w:tcPr>
            <w:tcW w:w="5140" w:type="dxa"/>
            <w:vAlign w:val="bottom"/>
            <w:tcBorders>
              <w:bottom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4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6"/>
        </w:trPr>
        <w:tc>
          <w:tcPr>
            <w:tcW w:w="2720" w:type="dxa"/>
            <w:vAlign w:val="bottom"/>
          </w:tcPr>
          <w:p>
            <w:pPr>
              <w:spacing w:after="0"/>
              <w:rPr>
                <w:sz w:val="22"/>
                <w:szCs w:val="22"/>
                <w:color w:val="auto"/>
              </w:rPr>
            </w:pPr>
          </w:p>
        </w:tc>
        <w:tc>
          <w:tcPr>
            <w:tcW w:w="5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noncurrent lease liabilities</w:t>
            </w: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2"/>
                <w:szCs w:val="22"/>
                <w:color w:val="auto"/>
              </w:rPr>
            </w:pPr>
          </w:p>
        </w:tc>
      </w:tr>
      <w:tr>
        <w:trPr>
          <w:trHeight w:val="263"/>
        </w:trPr>
        <w:tc>
          <w:tcPr>
            <w:tcW w:w="2720" w:type="dxa"/>
            <w:vAlign w:val="bottom"/>
            <w:tcBorders>
              <w:bottom w:val="single" w:sz="8" w:color="CFF0FC"/>
            </w:tcBorders>
            <w:shd w:val="clear" w:color="auto" w:fill="CFF0FC"/>
          </w:tcPr>
          <w:p>
            <w:pPr>
              <w:spacing w:after="0"/>
              <w:rPr>
                <w:sz w:val="22"/>
                <w:szCs w:val="22"/>
                <w:color w:val="auto"/>
              </w:rPr>
            </w:pPr>
          </w:p>
        </w:tc>
        <w:tc>
          <w:tcPr>
            <w:tcW w:w="51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r>
      <w:tr>
        <w:trPr>
          <w:trHeight w:val="236"/>
        </w:trPr>
        <w:tc>
          <w:tcPr>
            <w:tcW w:w="2720" w:type="dxa"/>
            <w:vAlign w:val="bottom"/>
          </w:tcPr>
          <w:p>
            <w:pPr>
              <w:spacing w:after="0"/>
              <w:rPr>
                <w:sz w:val="20"/>
                <w:szCs w:val="20"/>
                <w:color w:val="auto"/>
              </w:rPr>
            </w:pPr>
          </w:p>
        </w:tc>
        <w:tc>
          <w:tcPr>
            <w:tcW w:w="5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lease liabilities</w:t>
            </w:r>
          </w:p>
        </w:tc>
        <w:tc>
          <w:tcPr>
            <w:tcW w:w="1300" w:type="dxa"/>
            <w:vAlign w:val="bottom"/>
            <w:gridSpan w:val="2"/>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0"/>
                <w:szCs w:val="20"/>
                <w:color w:val="auto"/>
              </w:rPr>
            </w:pPr>
          </w:p>
        </w:tc>
      </w:tr>
      <w:tr>
        <w:trPr>
          <w:trHeight w:val="20"/>
        </w:trPr>
        <w:tc>
          <w:tcPr>
            <w:tcW w:w="27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5998845</wp:posOffset>
            </wp:positionH>
            <wp:positionV relativeFrom="paragraph">
              <wp:posOffset>-2259965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-2242820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-2259965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-2242820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-530225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-530225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-187960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right="140" w:firstLine="509"/>
        <w:spacing w:after="0" w:line="281" w:lineRule="auto"/>
        <w:rPr>
          <w:sz w:val="20"/>
          <w:szCs w:val="20"/>
          <w:color w:val="auto"/>
        </w:rPr>
      </w:pPr>
      <w:r>
        <w:rPr>
          <w:rFonts w:ascii="Times New Roman" w:cs="Times New Roman" w:eastAsia="Times New Roman" w:hAnsi="Times New Roman"/>
          <w:sz w:val="18"/>
          <w:szCs w:val="18"/>
          <w:color w:val="auto"/>
        </w:rPr>
        <w:t>As of December 31, 2023, we did not have any additional operating or finance leases that have not yet commenced but that create significant rights and obligations for us.</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expense were as follows for the periods presented:</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3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6"/>
        </w:trPr>
        <w:tc>
          <w:tcPr>
            <w:tcW w:w="350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top w:val="single" w:sz="8" w:color="auto"/>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20"/>
                <w:szCs w:val="20"/>
                <w:color w:val="auto"/>
              </w:rPr>
            </w:pPr>
          </w:p>
        </w:tc>
      </w:tr>
      <w:tr>
        <w:trPr>
          <w:trHeight w:val="238"/>
        </w:trPr>
        <w:tc>
          <w:tcPr>
            <w:tcW w:w="35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61"/>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 (1)</w:t>
            </w:r>
          </w:p>
        </w:tc>
        <w:tc>
          <w:tcPr>
            <w:tcW w:w="1220" w:type="dxa"/>
            <w:vAlign w:val="bottom"/>
          </w:tcPr>
          <w:p>
            <w:pPr>
              <w:jc w:val="right"/>
              <w:ind w:right="1058"/>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22"/>
                <w:szCs w:val="22"/>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22"/>
                <w:szCs w:val="22"/>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2"/>
                <w:szCs w:val="22"/>
                <w:color w:val="auto"/>
              </w:rPr>
            </w:pPr>
          </w:p>
        </w:tc>
      </w:tr>
      <w:tr>
        <w:trPr>
          <w:trHeight w:val="27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220" w:type="dxa"/>
            <w:vAlign w:val="bottom"/>
            <w:shd w:val="clear" w:color="auto" w:fill="CFF0FC"/>
          </w:tcPr>
          <w:p>
            <w:pPr>
              <w:spacing w:after="0"/>
              <w:rPr>
                <w:sz w:val="24"/>
                <w:szCs w:val="24"/>
                <w:color w:val="auto"/>
              </w:rPr>
            </w:pPr>
          </w:p>
        </w:tc>
        <w:tc>
          <w:tcPr>
            <w:tcW w:w="44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38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126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r>
      <w:tr>
        <w:trPr>
          <w:trHeight w:val="263"/>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right-of-use assets (2)</w:t>
            </w:r>
          </w:p>
        </w:tc>
        <w:tc>
          <w:tcPr>
            <w:tcW w:w="1220" w:type="dxa"/>
            <w:vAlign w:val="bottom"/>
          </w:tcPr>
          <w:p>
            <w:pPr>
              <w:jc w:val="right"/>
              <w:ind w:right="1058"/>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2"/>
                <w:szCs w:val="22"/>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2"/>
                <w:szCs w:val="22"/>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2"/>
                <w:szCs w:val="22"/>
                <w:color w:val="auto"/>
              </w:rPr>
            </w:pPr>
          </w:p>
        </w:tc>
      </w:tr>
      <w:tr>
        <w:trPr>
          <w:trHeight w:val="263"/>
        </w:trPr>
        <w:tc>
          <w:tcPr>
            <w:tcW w:w="35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on lease liabilities (3)</w:t>
            </w:r>
          </w:p>
        </w:tc>
        <w:tc>
          <w:tcPr>
            <w:tcW w:w="1220" w:type="dxa"/>
            <w:vAlign w:val="bottom"/>
            <w:tcBorders>
              <w:bottom w:val="single" w:sz="8" w:color="auto"/>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Total finance lease cost</w:t>
            </w:r>
          </w:p>
        </w:tc>
        <w:tc>
          <w:tcPr>
            <w:tcW w:w="1220" w:type="dxa"/>
            <w:vAlign w:val="bottom"/>
          </w:tcPr>
          <w:p>
            <w:pPr>
              <w:jc w:val="right"/>
              <w:ind w:right="1058"/>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22"/>
                <w:szCs w:val="22"/>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22"/>
                <w:szCs w:val="22"/>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2"/>
                <w:szCs w:val="22"/>
                <w:color w:val="auto"/>
              </w:rPr>
            </w:pPr>
          </w:p>
        </w:tc>
      </w:tr>
      <w:tr>
        <w:trPr>
          <w:trHeight w:val="263"/>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Sublease income (1)</w:t>
            </w:r>
          </w:p>
        </w:tc>
        <w:tc>
          <w:tcPr>
            <w:tcW w:w="1220" w:type="dxa"/>
            <w:vAlign w:val="bottom"/>
            <w:shd w:val="clear" w:color="auto" w:fill="CFF0FC"/>
          </w:tcPr>
          <w:p>
            <w:pPr>
              <w:spacing w:after="0"/>
              <w:rPr>
                <w:sz w:val="22"/>
                <w:szCs w:val="22"/>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(5 )</w:t>
            </w:r>
          </w:p>
        </w:tc>
        <w:tc>
          <w:tcPr>
            <w:tcW w:w="280" w:type="dxa"/>
            <w:vAlign w:val="bottom"/>
            <w:shd w:val="clear" w:color="auto" w:fill="CFF0FC"/>
          </w:tcPr>
          <w:p>
            <w:pPr>
              <w:spacing w:after="0"/>
              <w:rPr>
                <w:sz w:val="22"/>
                <w:szCs w:val="22"/>
                <w:color w:val="auto"/>
              </w:rPr>
            </w:pP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(9 )</w:t>
            </w:r>
          </w:p>
        </w:tc>
        <w:tc>
          <w:tcPr>
            <w:tcW w:w="38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(5 )</w:t>
            </w:r>
          </w:p>
        </w:tc>
      </w:tr>
      <w:tr>
        <w:trPr>
          <w:trHeight w:val="236"/>
        </w:trPr>
        <w:tc>
          <w:tcPr>
            <w:tcW w:w="35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lease cost, net</w:t>
            </w:r>
          </w:p>
        </w:tc>
        <w:tc>
          <w:tcPr>
            <w:tcW w:w="1220" w:type="dxa"/>
            <w:vAlign w:val="bottom"/>
            <w:tcBorders>
              <w:top w:val="single" w:sz="8" w:color="auto"/>
              <w:bottom w:val="single" w:sz="8" w:color="auto"/>
            </w:tcBorders>
          </w:tcPr>
          <w:p>
            <w:pPr>
              <w:jc w:val="right"/>
              <w:ind w:right="1058"/>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top w:val="single" w:sz="8" w:color="CFF0FC"/>
            </w:tcBorders>
          </w:tcPr>
          <w:p>
            <w:pPr>
              <w:spacing w:after="0"/>
              <w:rPr>
                <w:sz w:val="20"/>
                <w:szCs w:val="20"/>
                <w:color w:val="auto"/>
              </w:rPr>
            </w:pPr>
          </w:p>
        </w:tc>
      </w:tr>
      <w:tr>
        <w:trPr>
          <w:trHeight w:val="20"/>
        </w:trPr>
        <w:tc>
          <w:tcPr>
            <w:tcW w:w="35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-1544955</wp:posOffset>
            </wp:positionV>
            <wp:extent cx="85090" cy="1968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5090" cy="196850"/>
                    </a:xfrm>
                    <a:prstGeom prst="rect">
                      <a:avLst/>
                    </a:prstGeom>
                    <a:noFill/>
                  </pic:spPr>
                </pic:pic>
              </a:graphicData>
            </a:graphic>
          </wp:anchor>
        </w:drawing>
        <w:drawing>
          <wp:anchor simplePos="0" relativeHeight="251657728" behindDoc="1" locked="0" layoutInCell="0" allowOverlap="1">
            <wp:simplePos x="0" y="0"/>
            <wp:positionH relativeFrom="column">
              <wp:posOffset>5172710</wp:posOffset>
            </wp:positionH>
            <wp:positionV relativeFrom="paragraph">
              <wp:posOffset>-1544955</wp:posOffset>
            </wp:positionV>
            <wp:extent cx="85090" cy="1968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5090" cy="196850"/>
                    </a:xfrm>
                    <a:prstGeom prst="rect">
                      <a:avLst/>
                    </a:prstGeom>
                    <a:noFill/>
                  </pic:spPr>
                </pic:pic>
              </a:graphicData>
            </a:graphic>
          </wp:anchor>
        </w:drawing>
        <w:drawing>
          <wp:anchor simplePos="0" relativeHeight="251657728" behindDoc="1" locked="0" layoutInCell="0" allowOverlap="1">
            <wp:simplePos x="0" y="0"/>
            <wp:positionH relativeFrom="column">
              <wp:posOffset>6362700</wp:posOffset>
            </wp:positionH>
            <wp:positionV relativeFrom="paragraph">
              <wp:posOffset>-1544955</wp:posOffset>
            </wp:positionV>
            <wp:extent cx="76835" cy="1968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-530225</wp:posOffset>
            </wp:positionV>
            <wp:extent cx="596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-530225</wp:posOffset>
            </wp:positionV>
            <wp:extent cx="596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-530225</wp:posOffset>
            </wp:positionV>
            <wp:extent cx="514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-187960</wp:posOffset>
            </wp:positionV>
            <wp:extent cx="596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-187960</wp:posOffset>
            </wp:positionV>
            <wp:extent cx="596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514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5" w:lineRule="exact"/>
        <w:rPr>
          <w:sz w:val="20"/>
          <w:szCs w:val="20"/>
          <w:color w:val="auto"/>
        </w:rPr>
      </w:pPr>
    </w:p>
    <w:p>
      <w:pPr>
        <w:ind w:left="1140" w:hanging="383"/>
        <w:spacing w:after="0"/>
        <w:tabs>
          <w:tab w:leader="none" w:pos="11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lease costs, net of sublease income, are included within operating expenses in our consolidated statements of operations.</w:t>
      </w:r>
    </w:p>
    <w:p>
      <w:pPr>
        <w:spacing w:after="0" w:line="3" w:lineRule="exact"/>
        <w:rPr>
          <w:rFonts w:ascii="Times New Roman" w:cs="Times New Roman" w:eastAsia="Times New Roman" w:hAnsi="Times New Roman"/>
          <w:sz w:val="14"/>
          <w:szCs w:val="14"/>
          <w:color w:val="auto"/>
        </w:rPr>
      </w:pPr>
    </w:p>
    <w:p>
      <w:pPr>
        <w:ind w:left="1140" w:hanging="383"/>
        <w:spacing w:after="0" w:line="221" w:lineRule="auto"/>
        <w:tabs>
          <w:tab w:leader="none" w:pos="11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is included in depreciation expense in our consolidated statements of operations.</w:t>
      </w:r>
    </w:p>
    <w:p>
      <w:pPr>
        <w:ind w:left="1140" w:hanging="383"/>
        <w:spacing w:after="0"/>
        <w:tabs>
          <w:tab w:leader="none" w:pos="11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is included in interest expense in our consolidated statements of operations.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Additional information related to our leases is as follows for the periods presented: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Supplemental Cash Flows Information:</w:t>
      </w:r>
    </w:p>
    <w:p>
      <w:pPr>
        <w:spacing w:after="0" w:line="36" w:lineRule="exact"/>
        <w:rPr>
          <w:sz w:val="20"/>
          <w:szCs w:val="20"/>
          <w:color w:val="auto"/>
        </w:rPr>
      </w:pPr>
    </w:p>
    <w:p>
      <w:pPr>
        <w:ind w:left="1140" w:right="540"/>
        <w:spacing w:after="0" w:line="283" w:lineRule="auto"/>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1939925</wp:posOffset>
            </wp:positionH>
            <wp:positionV relativeFrom="paragraph">
              <wp:posOffset>3810</wp:posOffset>
            </wp:positionV>
            <wp:extent cx="1108710" cy="1968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108710" cy="196850"/>
                    </a:xfrm>
                    <a:prstGeom prst="rect">
                      <a:avLst/>
                    </a:prstGeom>
                    <a:noFill/>
                  </pic:spPr>
                </pic:pic>
              </a:graphicData>
            </a:graphic>
          </wp:anchor>
        </w:drawing>
      </w:r>
    </w:p>
    <w:p>
      <w:pPr>
        <w:spacing w:after="0"/>
        <w:tabs>
          <w:tab w:leader="none" w:pos="938"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sz w:val="1"/>
          <w:szCs w:val="1"/>
          <w:color w:val="auto"/>
        </w:rPr>
        <w:drawing>
          <wp:inline distT="0" distB="0" distL="0" distR="0">
            <wp:extent cx="85090" cy="180975"/>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5090" cy="180975"/>
                    </a:xfrm>
                    <a:prstGeom prst="rect">
                      <a:avLst/>
                    </a:prstGeom>
                    <a:noFill/>
                    <a:ln>
                      <a:noFill/>
                    </a:ln>
                  </pic:spPr>
                </pic:pic>
              </a:graphicData>
            </a:graphic>
          </wp:inline>
        </w:drawing>
      </w:r>
      <w:r>
        <w:rPr>
          <w:rFonts w:ascii="Times New Roman" w:cs="Times New Roman" w:eastAsia="Times New Roman" w:hAnsi="Times New Roman"/>
          <w:sz w:val="14"/>
          <w:szCs w:val="14"/>
          <w:b w:val="1"/>
          <w:bCs w:val="1"/>
          <w:color w:val="auto"/>
        </w:rPr>
        <w:t xml:space="preserve">          2022         </w:t>
      </w:r>
      <w:r>
        <w:rPr>
          <w:sz w:val="1"/>
          <w:szCs w:val="1"/>
          <w:color w:val="auto"/>
        </w:rPr>
        <w:drawing>
          <wp:inline distT="0" distB="0" distL="0" distR="0">
            <wp:extent cx="76835" cy="180975"/>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180975"/>
                    </a:xfrm>
                    <a:prstGeom prst="rect">
                      <a:avLst/>
                    </a:prstGeom>
                    <a:noFill/>
                    <a:ln>
                      <a:noFill/>
                    </a:ln>
                  </pic:spPr>
                </pic:pic>
              </a:graphicData>
            </a:graphic>
          </wp:inline>
        </w:drawing>
      </w:r>
      <w:r>
        <w:rPr>
          <w:rFonts w:ascii="Times New Roman" w:cs="Times New Roman" w:eastAsia="Times New Roman" w:hAnsi="Times New Roman"/>
          <w:sz w:val="14"/>
          <w:szCs w:val="14"/>
          <w:b w:val="1"/>
          <w:bCs w:val="1"/>
          <w:color w:val="auto"/>
        </w:rPr>
        <w:t xml:space="preserv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-183515</wp:posOffset>
            </wp:positionV>
            <wp:extent cx="2234565" cy="1714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234565" cy="171450"/>
                    </a:xfrm>
                    <a:prstGeom prst="rect">
                      <a:avLst/>
                    </a:prstGeom>
                    <a:noFill/>
                  </pic:spPr>
                </pic:pic>
              </a:graphicData>
            </a:graphic>
          </wp:anchor>
        </w:drawing>
      </w:r>
    </w:p>
    <w:p>
      <w:pPr>
        <w:spacing w:after="0" w:line="1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-2665730</wp:posOffset>
            </wp:positionH>
            <wp:positionV relativeFrom="paragraph">
              <wp:posOffset>16510</wp:posOffset>
            </wp:positionV>
            <wp:extent cx="5702300" cy="2908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702300" cy="290830"/>
                    </a:xfrm>
                    <a:prstGeom prst="rect">
                      <a:avLst/>
                    </a:prstGeom>
                    <a:noFill/>
                  </pic:spPr>
                </pic:pic>
              </a:graphicData>
            </a:graphic>
          </wp:anchor>
        </w:drawing>
      </w:r>
    </w:p>
    <w:p>
      <w:pPr>
        <w:spacing w:after="0" w:line="505" w:lineRule="exact"/>
        <w:rPr>
          <w:sz w:val="20"/>
          <w:szCs w:val="20"/>
          <w:color w:val="auto"/>
        </w:rPr>
      </w:pPr>
    </w:p>
    <w:p>
      <w:pPr>
        <w:sectPr>
          <w:pgSz w:w="11900" w:h="16838" w:orient="portrait"/>
          <w:cols w:equalWidth="0" w:num="2">
            <w:col w:w="4620" w:space="720"/>
            <w:col w:w="5900"/>
          </w:cols>
          <w:pgMar w:left="320" w:top="1440" w:right="339" w:bottom="1440" w:gutter="0" w:footer="0" w:header="0"/>
          <w:type w:val="continuous"/>
        </w:sectPr>
      </w:pPr>
    </w:p>
    <w:tbl>
      <w:tblPr>
        <w:tblLayout w:type="fixed"/>
        <w:tblInd w:w="1140" w:type="dxa"/>
        <w:tblCellMar>
          <w:top w:w="0" w:type="dxa"/>
          <w:left w:w="0" w:type="dxa"/>
          <w:bottom w:w="0" w:type="dxa"/>
          <w:right w:w="0" w:type="dxa"/>
        </w:tblCellMar>
      </w:tblPr>
      <w:tr>
        <w:trPr>
          <w:trHeight w:val="241"/>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8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7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cash outflows from finance lease</w:t>
            </w:r>
          </w:p>
        </w:tc>
        <w:tc>
          <w:tcPr>
            <w:tcW w:w="840" w:type="dxa"/>
            <w:vAlign w:val="bottom"/>
            <w:shd w:val="clear" w:color="auto" w:fill="CFF0FC"/>
          </w:tcPr>
          <w:p>
            <w:pPr>
              <w:spacing w:after="0"/>
              <w:rPr>
                <w:sz w:val="24"/>
                <w:szCs w:val="24"/>
                <w:color w:val="auto"/>
              </w:rPr>
            </w:pP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680" w:type="dxa"/>
            <w:vAlign w:val="bottom"/>
            <w:shd w:val="clear" w:color="auto" w:fill="CFF0FC"/>
          </w:tcPr>
          <w:p>
            <w:pPr>
              <w:spacing w:after="0"/>
              <w:rPr>
                <w:sz w:val="24"/>
                <w:szCs w:val="2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FF0FC"/>
          </w:tcPr>
          <w:p>
            <w:pPr>
              <w:spacing w:after="0"/>
              <w:rPr>
                <w:sz w:val="24"/>
                <w:szCs w:val="24"/>
                <w:color w:val="auto"/>
              </w:rPr>
            </w:pPr>
          </w:p>
        </w:tc>
        <w:tc>
          <w:tcPr>
            <w:tcW w:w="80" w:type="dxa"/>
            <w:vAlign w:val="bottom"/>
          </w:tcPr>
          <w:p>
            <w:pPr>
              <w:spacing w:after="0"/>
              <w:rPr>
                <w:sz w:val="24"/>
                <w:szCs w:val="24"/>
                <w:color w:val="auto"/>
              </w:rPr>
            </w:pPr>
          </w:p>
        </w:tc>
      </w:tr>
      <w:tr>
        <w:trPr>
          <w:trHeight w:val="26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Financing cash outflows from finance lease</w:t>
            </w:r>
          </w:p>
        </w:tc>
        <w:tc>
          <w:tcPr>
            <w:tcW w:w="84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6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6"/>
        </w:trPr>
        <w:tc>
          <w:tcPr>
            <w:tcW w:w="346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c>
          <w:tcPr>
            <w:tcW w:w="960" w:type="dxa"/>
            <w:vAlign w:val="bottom"/>
            <w:shd w:val="clear" w:color="auto" w:fill="CFF0FC"/>
          </w:tcPr>
          <w:p>
            <w:pPr>
              <w:spacing w:after="0"/>
              <w:rPr>
                <w:sz w:val="24"/>
                <w:szCs w:val="24"/>
                <w:color w:val="auto"/>
              </w:rPr>
            </w:pPr>
          </w:p>
        </w:tc>
        <w:tc>
          <w:tcPr>
            <w:tcW w:w="680" w:type="dxa"/>
            <w:vAlign w:val="bottom"/>
            <w:shd w:val="clear" w:color="auto" w:fill="CFF0FC"/>
          </w:tcPr>
          <w:p>
            <w:pPr>
              <w:spacing w:after="0"/>
              <w:rPr>
                <w:sz w:val="24"/>
                <w:szCs w:val="24"/>
                <w:color w:val="auto"/>
              </w:rPr>
            </w:pPr>
          </w:p>
        </w:tc>
        <w:tc>
          <w:tcPr>
            <w:tcW w:w="108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44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80" w:type="dxa"/>
            <w:vAlign w:val="bottom"/>
          </w:tcPr>
          <w:p>
            <w:pPr>
              <w:spacing w:after="0"/>
              <w:rPr>
                <w:sz w:val="24"/>
                <w:szCs w:val="24"/>
                <w:color w:val="auto"/>
              </w:rPr>
            </w:pPr>
          </w:p>
        </w:tc>
      </w:tr>
      <w:tr>
        <w:trPr>
          <w:trHeight w:val="207"/>
        </w:trPr>
        <w:tc>
          <w:tcPr>
            <w:tcW w:w="3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Right-of-use assets obtained in exchange for</w:t>
            </w: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5"/>
        </w:trPr>
        <w:tc>
          <w:tcPr>
            <w:tcW w:w="3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8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84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6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FF0FC"/>
          </w:tcPr>
          <w:p>
            <w:pPr>
              <w:spacing w:after="0"/>
              <w:rPr>
                <w:sz w:val="24"/>
                <w:szCs w:val="24"/>
                <w:color w:val="auto"/>
              </w:rPr>
            </w:pPr>
          </w:p>
        </w:tc>
        <w:tc>
          <w:tcPr>
            <w:tcW w:w="80" w:type="dxa"/>
            <w:vAlign w:val="bottom"/>
          </w:tcPr>
          <w:p>
            <w:pPr>
              <w:spacing w:after="0"/>
              <w:rPr>
                <w:sz w:val="24"/>
                <w:szCs w:val="24"/>
                <w:color w:val="auto"/>
              </w:rPr>
            </w:pPr>
          </w:p>
        </w:tc>
      </w:tr>
      <w:tr>
        <w:trPr>
          <w:trHeight w:val="405"/>
        </w:trPr>
        <w:tc>
          <w:tcPr>
            <w:tcW w:w="3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12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50"/>
        </w:trPr>
        <w:tc>
          <w:tcPr>
            <w:tcW w:w="3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6"/>
        </w:trPr>
        <w:tc>
          <w:tcPr>
            <w:tcW w:w="3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w:t>
            </w:r>
          </w:p>
        </w:tc>
        <w:tc>
          <w:tcPr>
            <w:tcW w:w="8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840" w:type="dxa"/>
            <w:vAlign w:val="bottom"/>
            <w:shd w:val="clear" w:color="auto" w:fill="CFF0FC"/>
          </w:tcPr>
          <w:p>
            <w:pPr>
              <w:spacing w:after="0"/>
              <w:rPr>
                <w:sz w:val="24"/>
                <w:szCs w:val="24"/>
                <w:color w:val="auto"/>
              </w:rPr>
            </w:pPr>
          </w:p>
        </w:tc>
        <w:tc>
          <w:tcPr>
            <w:tcW w:w="960" w:type="dxa"/>
            <w:vAlign w:val="bottom"/>
            <w:shd w:val="clear" w:color="auto" w:fill="CFF0FC"/>
          </w:tcPr>
          <w:p>
            <w:pPr>
              <w:spacing w:after="0"/>
              <w:rPr>
                <w:sz w:val="24"/>
                <w:szCs w:val="24"/>
                <w:color w:val="auto"/>
              </w:rPr>
            </w:pPr>
          </w:p>
        </w:tc>
        <w:tc>
          <w:tcPr>
            <w:tcW w:w="680" w:type="dxa"/>
            <w:vAlign w:val="bottom"/>
            <w:shd w:val="clear" w:color="auto" w:fill="CFF0FC"/>
          </w:tcPr>
          <w:p>
            <w:pPr>
              <w:spacing w:after="0"/>
              <w:rPr>
                <w:sz w:val="24"/>
                <w:szCs w:val="24"/>
                <w:color w:val="auto"/>
              </w:rPr>
            </w:pPr>
          </w:p>
        </w:tc>
        <w:tc>
          <w:tcPr>
            <w:tcW w:w="15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 years</w:t>
            </w:r>
          </w:p>
        </w:tc>
        <w:tc>
          <w:tcPr>
            <w:tcW w:w="1520" w:type="dxa"/>
            <w:vAlign w:val="bottom"/>
            <w:gridSpan w:val="2"/>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2.5 years</w:t>
            </w:r>
          </w:p>
        </w:tc>
        <w:tc>
          <w:tcPr>
            <w:tcW w:w="80" w:type="dxa"/>
            <w:vAlign w:val="bottom"/>
          </w:tcPr>
          <w:p>
            <w:pPr>
              <w:spacing w:after="0"/>
              <w:rPr>
                <w:sz w:val="24"/>
                <w:szCs w:val="24"/>
                <w:color w:val="auto"/>
              </w:rPr>
            </w:pPr>
          </w:p>
        </w:tc>
      </w:tr>
      <w:tr>
        <w:trPr>
          <w:trHeight w:val="26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w:t>
            </w:r>
          </w:p>
        </w:tc>
        <w:tc>
          <w:tcPr>
            <w:tcW w:w="8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7.0 years</w:t>
            </w:r>
          </w:p>
        </w:tc>
        <w:tc>
          <w:tcPr>
            <w:tcW w:w="16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8.0 years</w:t>
            </w:r>
          </w:p>
        </w:tc>
      </w:tr>
      <w:tr>
        <w:trPr>
          <w:trHeight w:val="276"/>
        </w:trPr>
        <w:tc>
          <w:tcPr>
            <w:tcW w:w="346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c>
          <w:tcPr>
            <w:tcW w:w="960" w:type="dxa"/>
            <w:vAlign w:val="bottom"/>
            <w:shd w:val="clear" w:color="auto" w:fill="CFF0FC"/>
          </w:tcPr>
          <w:p>
            <w:pPr>
              <w:spacing w:after="0"/>
              <w:rPr>
                <w:sz w:val="24"/>
                <w:szCs w:val="24"/>
                <w:color w:val="auto"/>
              </w:rPr>
            </w:pPr>
          </w:p>
        </w:tc>
        <w:tc>
          <w:tcPr>
            <w:tcW w:w="680" w:type="dxa"/>
            <w:vAlign w:val="bottom"/>
            <w:shd w:val="clear" w:color="auto" w:fill="CFF0FC"/>
          </w:tcPr>
          <w:p>
            <w:pPr>
              <w:spacing w:after="0"/>
              <w:rPr>
                <w:sz w:val="24"/>
                <w:szCs w:val="24"/>
                <w:color w:val="auto"/>
              </w:rPr>
            </w:pPr>
          </w:p>
        </w:tc>
        <w:tc>
          <w:tcPr>
            <w:tcW w:w="108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44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80" w:type="dxa"/>
            <w:vAlign w:val="bottom"/>
          </w:tcPr>
          <w:p>
            <w:pPr>
              <w:spacing w:after="0"/>
              <w:rPr>
                <w:sz w:val="24"/>
                <w:szCs w:val="24"/>
                <w:color w:val="auto"/>
              </w:rPr>
            </w:pPr>
          </w:p>
        </w:tc>
      </w:tr>
      <w:tr>
        <w:trPr>
          <w:trHeight w:val="256"/>
        </w:trPr>
        <w:tc>
          <w:tcPr>
            <w:tcW w:w="3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8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8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0"/>
              </w:rPr>
              <w:t>4.1 %</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7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w:t>
            </w:r>
          </w:p>
        </w:tc>
        <w:tc>
          <w:tcPr>
            <w:tcW w:w="8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0"/>
              </w:rPr>
              <w:t>4.5 %</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-333375</wp:posOffset>
            </wp:positionV>
            <wp:extent cx="5702300" cy="1714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702300" cy="171450"/>
                    </a:xfrm>
                    <a:prstGeom prst="rect">
                      <a:avLst/>
                    </a:prstGeom>
                    <a:noFill/>
                  </pic:spPr>
                </pic:pic>
              </a:graphicData>
            </a:graphic>
          </wp:anchor>
        </w:drawing>
      </w:r>
    </w:p>
    <w:p>
      <w:pPr>
        <w:spacing w:after="0" w:line="2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lease payments under non-cancelable leases as of December 31, 2023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Finance Lease</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97"/>
        </w:trPr>
        <w:tc>
          <w:tcPr>
            <w:tcW w:w="11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60" w:type="dxa"/>
            <w:vAlign w:val="bottom"/>
            <w:gridSpan w:val="5"/>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20" w:type="dxa"/>
            <w:vAlign w:val="bottom"/>
          </w:tcPr>
          <w:p>
            <w:pPr>
              <w:spacing w:after="0"/>
              <w:rPr>
                <w:sz w:val="17"/>
                <w:szCs w:val="17"/>
                <w:color w:val="auto"/>
              </w:rPr>
            </w:pPr>
          </w:p>
        </w:tc>
      </w:tr>
      <w:tr>
        <w:trPr>
          <w:trHeight w:val="39"/>
        </w:trPr>
        <w:tc>
          <w:tcPr>
            <w:tcW w:w="1140" w:type="dxa"/>
            <w:vAlign w:val="bottom"/>
          </w:tcPr>
          <w:p>
            <w:pPr>
              <w:spacing w:after="0"/>
              <w:rPr>
                <w:sz w:val="3"/>
                <w:szCs w:val="3"/>
                <w:color w:val="auto"/>
              </w:rPr>
            </w:pPr>
          </w:p>
        </w:tc>
        <w:tc>
          <w:tcPr>
            <w:tcW w:w="32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3"/>
        </w:trPr>
        <w:tc>
          <w:tcPr>
            <w:tcW w:w="1140" w:type="dxa"/>
            <w:vAlign w:val="bottom"/>
          </w:tcPr>
          <w:p>
            <w:pPr>
              <w:spacing w:after="0"/>
              <w:rPr>
                <w:sz w:val="21"/>
                <w:szCs w:val="21"/>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2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8"/>
        </w:trPr>
        <w:tc>
          <w:tcPr>
            <w:tcW w:w="114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8"/>
        </w:trPr>
        <w:tc>
          <w:tcPr>
            <w:tcW w:w="114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1140" w:type="dxa"/>
            <w:vAlign w:val="bottom"/>
          </w:tcPr>
          <w:p>
            <w:pPr>
              <w:spacing w:after="0"/>
              <w:rPr>
                <w:sz w:val="22"/>
                <w:szCs w:val="22"/>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28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FF0FC"/>
          </w:tcPr>
          <w:p>
            <w:pPr>
              <w:spacing w:after="0"/>
              <w:rPr>
                <w:sz w:val="22"/>
                <w:szCs w:val="22"/>
                <w:color w:val="auto"/>
              </w:rPr>
            </w:pPr>
          </w:p>
        </w:tc>
        <w:tc>
          <w:tcPr>
            <w:tcW w:w="1120" w:type="dxa"/>
            <w:vAlign w:val="bottom"/>
          </w:tcPr>
          <w:p>
            <w:pPr>
              <w:spacing w:after="0"/>
              <w:rPr>
                <w:sz w:val="22"/>
                <w:szCs w:val="22"/>
                <w:color w:val="auto"/>
              </w:rPr>
            </w:pPr>
          </w:p>
        </w:tc>
      </w:tr>
      <w:tr>
        <w:trPr>
          <w:trHeight w:val="243"/>
        </w:trPr>
        <w:tc>
          <w:tcPr>
            <w:tcW w:w="1140" w:type="dxa"/>
            <w:vAlign w:val="bottom"/>
          </w:tcPr>
          <w:p>
            <w:pPr>
              <w:spacing w:after="0"/>
              <w:rPr>
                <w:sz w:val="21"/>
                <w:szCs w:val="21"/>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(9 )</w:t>
            </w:r>
          </w:p>
        </w:tc>
        <w:tc>
          <w:tcPr>
            <w:tcW w:w="112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76"/>
        </w:trPr>
        <w:tc>
          <w:tcPr>
            <w:tcW w:w="1140" w:type="dxa"/>
            <w:vAlign w:val="bottom"/>
          </w:tcPr>
          <w:p>
            <w:pPr>
              <w:spacing w:after="0"/>
              <w:rPr>
                <w:sz w:val="24"/>
                <w:szCs w:val="24"/>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800" w:type="dxa"/>
            <w:vAlign w:val="bottom"/>
            <w:shd w:val="clear" w:color="auto" w:fill="CFF0FC"/>
          </w:tcPr>
          <w:p>
            <w:pPr>
              <w:spacing w:after="0"/>
              <w:rPr>
                <w:sz w:val="24"/>
                <w:szCs w:val="2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843"/>
        </w:trPr>
        <w:tc>
          <w:tcPr>
            <w:tcW w:w="1140" w:type="dxa"/>
            <w:vAlign w:val="bottom"/>
          </w:tcPr>
          <w:p>
            <w:pPr>
              <w:spacing w:after="0"/>
              <w:rPr>
                <w:sz w:val="24"/>
                <w:szCs w:val="24"/>
                <w:color w:val="auto"/>
              </w:rPr>
            </w:pPr>
          </w:p>
        </w:tc>
        <w:tc>
          <w:tcPr>
            <w:tcW w:w="3220" w:type="dxa"/>
            <w:vAlign w:val="bottom"/>
            <w:tcBorders>
              <w:top w:val="single" w:sz="8" w:color="CFF0FC"/>
            </w:tcBorders>
          </w:tcPr>
          <w:p>
            <w:pPr>
              <w:spacing w:after="0"/>
              <w:rPr>
                <w:sz w:val="24"/>
                <w:szCs w:val="24"/>
                <w:color w:val="auto"/>
              </w:rPr>
            </w:pPr>
          </w:p>
        </w:tc>
        <w:tc>
          <w:tcPr>
            <w:tcW w:w="2800" w:type="dxa"/>
            <w:vAlign w:val="bottom"/>
            <w:tcBorders>
              <w:top w:val="single" w:sz="8" w:color="CFF0FC"/>
            </w:tcBorders>
          </w:tcPr>
          <w:p>
            <w:pPr>
              <w:jc w:val="right"/>
              <w:ind w:right="135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762"/>
        </w:trPr>
        <w:tc>
          <w:tcPr>
            <w:tcW w:w="114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-1069975</wp:posOffset>
            </wp:positionV>
            <wp:extent cx="596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-1052830</wp:posOffset>
            </wp:positionV>
            <wp:extent cx="596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-1069975</wp:posOffset>
            </wp:positionV>
            <wp:extent cx="514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-1052830</wp:posOffset>
            </wp:positionV>
            <wp:extent cx="514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0" w:name="page91"/>
    <w:bookmarkEnd w:id="90"/>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 AND INTANGIBLE ASSETS, NET</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goodwill activity by reportable segment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Hotels, Media</w:t>
            </w:r>
          </w:p>
        </w:tc>
        <w:tc>
          <w:tcPr>
            <w:tcW w:w="11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Experiences</w:t>
            </w:r>
          </w:p>
        </w:tc>
        <w:tc>
          <w:tcPr>
            <w:tcW w:w="160" w:type="dxa"/>
            <w:vAlign w:val="bottom"/>
          </w:tcPr>
          <w:p>
            <w:pPr>
              <w:spacing w:after="0"/>
              <w:rPr>
                <w:sz w:val="13"/>
                <w:szCs w:val="13"/>
                <w:color w:val="auto"/>
              </w:rPr>
            </w:pPr>
          </w:p>
        </w:tc>
        <w:tc>
          <w:tcPr>
            <w:tcW w:w="10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160" w:type="dxa"/>
            <w:vAlign w:val="bottom"/>
          </w:tcPr>
          <w:p>
            <w:pPr>
              <w:spacing w:after="0"/>
              <w:rPr>
                <w:sz w:val="13"/>
                <w:szCs w:val="13"/>
                <w:color w:val="auto"/>
              </w:rPr>
            </w:pPr>
          </w:p>
        </w:tc>
        <w:tc>
          <w:tcPr>
            <w:tcW w:w="70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Brand</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Viator</w:t>
            </w:r>
          </w:p>
        </w:tc>
        <w:tc>
          <w:tcPr>
            <w:tcW w:w="160" w:type="dxa"/>
            <w:vAlign w:val="bottom"/>
          </w:tcPr>
          <w:p>
            <w:pPr>
              <w:spacing w:after="0"/>
              <w:rPr>
                <w:sz w:val="13"/>
                <w:szCs w:val="13"/>
                <w:color w:val="auto"/>
              </w:rPr>
            </w:pPr>
          </w:p>
        </w:tc>
        <w:tc>
          <w:tcPr>
            <w:tcW w:w="84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TheFork</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3380" w:type="dxa"/>
            <w:vAlign w:val="bottom"/>
          </w:tcPr>
          <w:p>
            <w:pPr>
              <w:spacing w:after="0"/>
              <w:rPr>
                <w:sz w:val="16"/>
                <w:szCs w:val="16"/>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&amp; Platform</w:t>
            </w:r>
          </w:p>
        </w:tc>
        <w:tc>
          <w:tcPr>
            <w:tcW w:w="120" w:type="dxa"/>
            <w:vAlign w:val="bottom"/>
          </w:tcPr>
          <w:p>
            <w:pPr>
              <w:spacing w:after="0"/>
              <w:rPr>
                <w:sz w:val="16"/>
                <w:szCs w:val="16"/>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&amp; Dining</w:t>
            </w: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Tripadvisor</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3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(18 )</w:t>
            </w:r>
          </w:p>
        </w:tc>
        <w:tc>
          <w:tcPr>
            <w:tcW w:w="1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(5 )</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47"/>
        </w:trPr>
        <w:tc>
          <w:tcPr>
            <w:tcW w:w="3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Allocation to new segments</w:t>
            </w:r>
          </w:p>
        </w:tc>
        <w:tc>
          <w:tcPr>
            <w:tcW w:w="3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(407 )</w:t>
            </w: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(326 )</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(87 )</w:t>
            </w: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33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2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3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2710815</wp:posOffset>
            </wp:positionH>
            <wp:positionV relativeFrom="paragraph">
              <wp:posOffset>-504825</wp:posOffset>
            </wp:positionV>
            <wp:extent cx="768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3430270</wp:posOffset>
            </wp:positionH>
            <wp:positionV relativeFrom="paragraph">
              <wp:posOffset>-504825</wp:posOffset>
            </wp:positionV>
            <wp:extent cx="768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-504825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4919980</wp:posOffset>
            </wp:positionH>
            <wp:positionV relativeFrom="paragraph">
              <wp:posOffset>-504825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-504825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-504825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2710815</wp:posOffset>
            </wp:positionH>
            <wp:positionV relativeFrom="paragraph">
              <wp:posOffset>-187960</wp:posOffset>
            </wp:positionV>
            <wp:extent cx="768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3430270</wp:posOffset>
            </wp:positionH>
            <wp:positionV relativeFrom="paragraph">
              <wp:posOffset>-187960</wp:posOffset>
            </wp:positionV>
            <wp:extent cx="768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-187960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4919980</wp:posOffset>
            </wp:positionH>
            <wp:positionV relativeFrom="paragraph">
              <wp:posOffset>-187960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-187960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900" w:hanging="518"/>
        <w:spacing w:after="0"/>
        <w:tabs>
          <w:tab w:leader="none" w:pos="9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consists of the combination of alternative accommodation rentals, flights, car, and cruises offerings, and did not previously constitute a reportable segment.</w:t>
      </w:r>
    </w:p>
    <w:p>
      <w:pPr>
        <w:spacing w:after="0" w:line="207" w:lineRule="exact"/>
        <w:rPr>
          <w:sz w:val="20"/>
          <w:szCs w:val="20"/>
          <w:color w:val="auto"/>
        </w:rPr>
      </w:pPr>
    </w:p>
    <w:p>
      <w:pPr>
        <w:ind w:right="80" w:firstLine="509"/>
        <w:spacing w:after="0" w:line="288" w:lineRule="auto"/>
        <w:rPr>
          <w:sz w:val="20"/>
          <w:szCs w:val="20"/>
          <w:color w:val="auto"/>
        </w:rPr>
      </w:pPr>
      <w:r>
        <w:rPr>
          <w:rFonts w:ascii="Times New Roman" w:cs="Times New Roman" w:eastAsia="Times New Roman" w:hAnsi="Times New Roman"/>
          <w:sz w:val="17"/>
          <w:szCs w:val="17"/>
          <w:color w:val="auto"/>
        </w:rPr>
        <w:t xml:space="preserve">There were no goodwill impairment charges recognized on our consolidated statements of operations during the years ended December 31, 2023, 2022, or 2021. Refer to “Note 2: </w:t>
      </w:r>
      <w:r>
        <w:rPr>
          <w:rFonts w:ascii="Times New Roman" w:cs="Times New Roman" w:eastAsia="Times New Roman" w:hAnsi="Times New Roman"/>
          <w:sz w:val="17"/>
          <w:szCs w:val="17"/>
          <w:i w:val="1"/>
          <w:iCs w:val="1"/>
          <w:color w:val="auto"/>
        </w:rPr>
        <w:t>Significant Accounting Policies</w:t>
      </w:r>
      <w:r>
        <w:rPr>
          <w:rFonts w:ascii="Times New Roman" w:cs="Times New Roman" w:eastAsia="Times New Roman" w:hAnsi="Times New Roman"/>
          <w:sz w:val="17"/>
          <w:szCs w:val="17"/>
          <w:color w:val="auto"/>
        </w:rPr>
        <w:t>” for discussion regarding the Company’s 2023 goodwill impairment assessment. As of both December 31, 2023 and 2022, accumulated goodwill impairment losses totaled $3 million, which was associated with the Brand Tripadvisor segment.</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Intangibles</w:t>
      </w:r>
    </w:p>
    <w:p>
      <w:pPr>
        <w:spacing w:after="0" w:line="229" w:lineRule="exact"/>
        <w:rPr>
          <w:sz w:val="20"/>
          <w:szCs w:val="20"/>
          <w:color w:val="auto"/>
        </w:rPr>
      </w:pPr>
    </w:p>
    <w:p>
      <w:pPr>
        <w:ind w:right="340" w:firstLine="509"/>
        <w:spacing w:after="0" w:line="281" w:lineRule="auto"/>
        <w:rPr>
          <w:sz w:val="20"/>
          <w:szCs w:val="20"/>
          <w:color w:val="auto"/>
        </w:rPr>
      </w:pPr>
      <w:r>
        <w:rPr>
          <w:rFonts w:ascii="Times New Roman" w:cs="Times New Roman" w:eastAsia="Times New Roman" w:hAnsi="Times New Roman"/>
          <w:sz w:val="18"/>
          <w:szCs w:val="18"/>
          <w:color w:val="auto"/>
        </w:rPr>
        <w:t>Intangible assets, acquired in business combinations and recorded at fair value on the date of purchase, consisted of the following as of the dates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20" w:type="dxa"/>
            <w:vAlign w:val="bottom"/>
          </w:tcPr>
          <w:p>
            <w:pPr>
              <w:spacing w:after="0"/>
              <w:rPr>
                <w:sz w:val="14"/>
                <w:szCs w:val="14"/>
                <w:color w:val="auto"/>
              </w:rPr>
            </w:pPr>
          </w:p>
        </w:tc>
        <w:tc>
          <w:tcPr>
            <w:tcW w:w="13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6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86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w w:val="95"/>
              </w:rPr>
              <w:t>millions)</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with definite lives</w:t>
            </w:r>
          </w:p>
        </w:tc>
        <w:tc>
          <w:tcPr>
            <w:tcW w:w="1380" w:type="dxa"/>
            <w:vAlign w:val="bottom"/>
            <w:shd w:val="clear" w:color="auto" w:fill="CFF0FC"/>
          </w:tcPr>
          <w:p>
            <w:pPr>
              <w:jc w:val="right"/>
              <w:ind w:right="11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32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FF0FC"/>
          </w:tcPr>
          <w:p>
            <w:pPr>
              <w:spacing w:after="0"/>
              <w:rPr>
                <w:sz w:val="21"/>
                <w:szCs w:val="21"/>
                <w:color w:val="auto"/>
              </w:rPr>
            </w:pPr>
          </w:p>
        </w:tc>
      </w:tr>
      <w:tr>
        <w:trPr>
          <w:trHeight w:val="243"/>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380" w:type="dxa"/>
            <w:vAlign w:val="bottom"/>
          </w:tcPr>
          <w:p>
            <w:pPr>
              <w:spacing w:after="0"/>
              <w:rPr>
                <w:sz w:val="21"/>
                <w:szCs w:val="21"/>
                <w:color w:val="auto"/>
              </w:rPr>
            </w:pPr>
          </w:p>
        </w:tc>
        <w:tc>
          <w:tcPr>
            <w:tcW w:w="9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(208 )</w:t>
            </w:r>
          </w:p>
        </w:tc>
        <w:tc>
          <w:tcPr>
            <w:tcW w:w="540" w:type="dxa"/>
            <w:vAlign w:val="bottom"/>
          </w:tcPr>
          <w:p>
            <w:pPr>
              <w:spacing w:after="0"/>
              <w:rPr>
                <w:sz w:val="21"/>
                <w:szCs w:val="21"/>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(198 )</w:t>
            </w:r>
          </w:p>
        </w:tc>
      </w:tr>
      <w:tr>
        <w:trPr>
          <w:trHeight w:val="236"/>
        </w:trPr>
        <w:tc>
          <w:tcPr>
            <w:tcW w:w="6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assets with definite lives, net</w:t>
            </w:r>
          </w:p>
        </w:tc>
        <w:tc>
          <w:tcPr>
            <w:tcW w:w="138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20"/>
                <w:szCs w:val="20"/>
                <w:color w:val="auto"/>
              </w:rPr>
            </w:pPr>
          </w:p>
        </w:tc>
      </w:tr>
      <w:tr>
        <w:trPr>
          <w:trHeight w:val="243"/>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with indefinite lives (1)</w:t>
            </w:r>
          </w:p>
        </w:tc>
        <w:tc>
          <w:tcPr>
            <w:tcW w:w="13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r>
      <w:tr>
        <w:trPr>
          <w:trHeight w:val="276"/>
        </w:trPr>
        <w:tc>
          <w:tcPr>
            <w:tcW w:w="69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bottom w:val="single" w:sz="8" w:color="auto"/>
            </w:tcBorders>
            <w:shd w:val="clear" w:color="auto" w:fill="CFF0FC"/>
          </w:tcPr>
          <w:p>
            <w:pPr>
              <w:jc w:val="right"/>
              <w:ind w:right="11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5638800</wp:posOffset>
            </wp:positionH>
            <wp:positionV relativeFrom="paragraph">
              <wp:posOffset>-24765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-7620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ind w:left="900" w:hanging="518"/>
        <w:spacing w:after="0"/>
        <w:tabs>
          <w:tab w:leader="none" w:pos="9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Indefinite-lived intangible assets include trade names and trademarks for the Tripadvisor brand.</w:t>
      </w:r>
    </w:p>
    <w:p>
      <w:pPr>
        <w:spacing w:after="0" w:line="275"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8"/>
          <w:szCs w:val="18"/>
          <w:color w:val="auto"/>
        </w:rPr>
        <w:t>Amortization expense for definite-lived intangible assets was $9 million, $13 million, and $20 million, for the years ended December 31, 2023, 2022 and 2021, respectively.</w:t>
      </w:r>
    </w:p>
    <w:p>
      <w:pPr>
        <w:spacing w:after="0" w:line="163" w:lineRule="exact"/>
        <w:rPr>
          <w:sz w:val="20"/>
          <w:szCs w:val="20"/>
          <w:color w:val="auto"/>
        </w:rPr>
      </w:pPr>
    </w:p>
    <w:p>
      <w:pPr>
        <w:jc w:val="both"/>
        <w:ind w:right="100" w:firstLine="509"/>
        <w:spacing w:after="0" w:line="265" w:lineRule="auto"/>
        <w:rPr>
          <w:sz w:val="20"/>
          <w:szCs w:val="20"/>
          <w:color w:val="auto"/>
        </w:rPr>
      </w:pPr>
      <w:r>
        <w:rPr>
          <w:rFonts w:ascii="Times New Roman" w:cs="Times New Roman" w:eastAsia="Times New Roman" w:hAnsi="Times New Roman"/>
          <w:sz w:val="18"/>
          <w:szCs w:val="18"/>
          <w:color w:val="auto"/>
        </w:rPr>
        <w:t xml:space="preserve">There were no impairment charges recognized to our consolidated statements of operations for the years ended December 31, 2023, 2022 and 2021 related to our intangible assets. Refer to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for discussion regarding the Company’s 2023 indefinite-lived intangible impairment assessment.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presents the components of our intangible assets with definite lives as of the dates presented:</w:t>
      </w:r>
    </w:p>
    <w:p>
      <w:pPr>
        <w:sectPr>
          <w:pgSz w:w="11900" w:h="16838" w:orient="portrait"/>
          <w:cols w:equalWidth="0" w:num="1">
            <w:col w:w="11140"/>
          </w:cols>
          <w:pgMar w:left="320" w:top="144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Trade names and trademarks</w:t>
      </w:r>
    </w:p>
    <w:p>
      <w:pPr>
        <w:spacing w:after="0" w:line="45" w:lineRule="exact"/>
        <w:rPr>
          <w:sz w:val="20"/>
          <w:szCs w:val="20"/>
          <w:color w:val="auto"/>
        </w:rPr>
      </w:pPr>
    </w:p>
    <w:p>
      <w:pPr>
        <w:ind w:left="20"/>
        <w:spacing w:after="0" w:line="307" w:lineRule="auto"/>
        <w:rPr>
          <w:sz w:val="20"/>
          <w:szCs w:val="20"/>
          <w:color w:val="auto"/>
        </w:rPr>
      </w:pPr>
      <w:r>
        <w:rPr>
          <w:rFonts w:ascii="Times New Roman" w:cs="Times New Roman" w:eastAsia="Times New Roman" w:hAnsi="Times New Roman"/>
          <w:sz w:val="16"/>
          <w:szCs w:val="16"/>
          <w:color w:val="auto"/>
        </w:rPr>
        <w:t>Customer lists and supplier relationships Subscriber relationships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Technology and other</w:t>
      </w:r>
    </w:p>
    <w:p>
      <w:pPr>
        <w:spacing w:after="0" w:line="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159"/>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December 31, 2022</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r>
      <w:tr>
        <w:trPr>
          <w:trHeight w:val="124"/>
        </w:trPr>
        <w:tc>
          <w:tcPr>
            <w:tcW w:w="120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3"/>
                <w:szCs w:val="13"/>
                <w:b w:val="1"/>
                <w:bCs w:val="1"/>
                <w:color w:val="auto"/>
                <w:w w:val="97"/>
              </w:rPr>
              <w:t>Weighted</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62"/>
        </w:trPr>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140" w:type="dxa"/>
            <w:vAlign w:val="bottom"/>
          </w:tcPr>
          <w:p>
            <w:pPr>
              <w:spacing w:after="0"/>
              <w:rPr>
                <w:sz w:val="14"/>
                <w:szCs w:val="14"/>
                <w:color w:val="auto"/>
              </w:rPr>
            </w:pPr>
          </w:p>
        </w:tc>
        <w:tc>
          <w:tcPr>
            <w:tcW w:w="740" w:type="dxa"/>
            <w:vAlign w:val="bottom"/>
          </w:tcPr>
          <w:p>
            <w:pPr>
              <w:jc w:val="center"/>
              <w:ind w:right="66"/>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rPr>
              <w:t>Net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86"/>
              <w:spacing w:after="0"/>
              <w:rPr>
                <w:sz w:val="20"/>
                <w:szCs w:val="20"/>
                <w:color w:val="auto"/>
              </w:rPr>
            </w:pPr>
            <w:r>
              <w:rPr>
                <w:rFonts w:ascii="Times New Roman" w:cs="Times New Roman" w:eastAsia="Times New Roman" w:hAnsi="Times New Roman"/>
                <w:sz w:val="13"/>
                <w:szCs w:val="13"/>
                <w:b w:val="1"/>
                <w:bCs w:val="1"/>
                <w:color w:val="auto"/>
                <w:w w:val="92"/>
              </w:rPr>
              <w:t>Net</w:t>
            </w:r>
          </w:p>
        </w:tc>
      </w:tr>
      <w:tr>
        <w:trPr>
          <w:trHeight w:val="162"/>
        </w:trPr>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Remaining Life</w:t>
            </w:r>
          </w:p>
        </w:tc>
        <w:tc>
          <w:tcPr>
            <w:tcW w:w="140" w:type="dxa"/>
            <w:vAlign w:val="bottom"/>
          </w:tcPr>
          <w:p>
            <w:pPr>
              <w:spacing w:after="0"/>
              <w:rPr>
                <w:sz w:val="14"/>
                <w:szCs w:val="14"/>
                <w:color w:val="auto"/>
              </w:rPr>
            </w:pPr>
          </w:p>
        </w:tc>
        <w:tc>
          <w:tcPr>
            <w:tcW w:w="740" w:type="dxa"/>
            <w:vAlign w:val="bottom"/>
          </w:tcPr>
          <w:p>
            <w:pPr>
              <w:jc w:val="center"/>
              <w:ind w:right="86"/>
              <w:spacing w:after="0"/>
              <w:rPr>
                <w:sz w:val="20"/>
                <w:szCs w:val="20"/>
                <w:color w:val="auto"/>
              </w:rPr>
            </w:pPr>
            <w:r>
              <w:rPr>
                <w:rFonts w:ascii="Times New Roman" w:cs="Times New Roman" w:eastAsia="Times New Roman" w:hAnsi="Times New Roman"/>
                <w:sz w:val="13"/>
                <w:szCs w:val="13"/>
                <w:b w:val="1"/>
                <w:bCs w:val="1"/>
                <w:color w:val="auto"/>
                <w:w w:val="97"/>
              </w:rPr>
              <w:t>Carrying</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4"/>
                <w:szCs w:val="14"/>
                <w:color w:val="auto"/>
              </w:rPr>
            </w:pPr>
          </w:p>
        </w:tc>
        <w:tc>
          <w:tcPr>
            <w:tcW w:w="720" w:type="dxa"/>
            <w:vAlign w:val="bottom"/>
          </w:tcPr>
          <w:p>
            <w:pPr>
              <w:jc w:val="center"/>
              <w:ind w:right="66"/>
              <w:spacing w:after="0"/>
              <w:rPr>
                <w:sz w:val="20"/>
                <w:szCs w:val="20"/>
                <w:color w:val="auto"/>
              </w:rPr>
            </w:pPr>
            <w:r>
              <w:rPr>
                <w:rFonts w:ascii="Times New Roman" w:cs="Times New Roman" w:eastAsia="Times New Roman" w:hAnsi="Times New Roman"/>
                <w:sz w:val="13"/>
                <w:szCs w:val="13"/>
                <w:b w:val="1"/>
                <w:bCs w:val="1"/>
                <w:color w:val="auto"/>
                <w:w w:val="97"/>
              </w:rPr>
              <w:t>Carrying</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66"/>
              <w:spacing w:after="0"/>
              <w:rPr>
                <w:sz w:val="20"/>
                <w:szCs w:val="20"/>
                <w:color w:val="auto"/>
              </w:rPr>
            </w:pPr>
            <w:r>
              <w:rPr>
                <w:rFonts w:ascii="Times New Roman" w:cs="Times New Roman" w:eastAsia="Times New Roman" w:hAnsi="Times New Roman"/>
                <w:sz w:val="13"/>
                <w:szCs w:val="13"/>
                <w:b w:val="1"/>
                <w:bCs w:val="1"/>
                <w:color w:val="auto"/>
                <w:w w:val="97"/>
              </w:rPr>
              <w:t>Carrying</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59"/>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4"/>
                <w:szCs w:val="14"/>
                <w:color w:val="auto"/>
              </w:rPr>
            </w:pPr>
          </w:p>
        </w:tc>
        <w:tc>
          <w:tcPr>
            <w:tcW w:w="740" w:type="dxa"/>
            <w:vAlign w:val="bottom"/>
          </w:tcPr>
          <w:p>
            <w:pPr>
              <w:jc w:val="center"/>
              <w:ind w:right="86"/>
              <w:spacing w:after="0"/>
              <w:rPr>
                <w:sz w:val="20"/>
                <w:szCs w:val="20"/>
                <w:color w:val="auto"/>
              </w:rPr>
            </w:pPr>
            <w:r>
              <w:rPr>
                <w:rFonts w:ascii="Times New Roman" w:cs="Times New Roman" w:eastAsia="Times New Roman" w:hAnsi="Times New Roman"/>
                <w:sz w:val="13"/>
                <w:szCs w:val="13"/>
                <w:b w:val="1"/>
                <w:bCs w:val="1"/>
                <w:color w:val="auto"/>
                <w:w w:val="97"/>
              </w:rPr>
              <w:t>Carrying</w:t>
            </w:r>
          </w:p>
        </w:tc>
      </w:tr>
      <w:tr>
        <w:trPr>
          <w:trHeight w:val="167"/>
        </w:trPr>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(in years)</w:t>
            </w:r>
          </w:p>
        </w:tc>
        <w:tc>
          <w:tcPr>
            <w:tcW w:w="140" w:type="dxa"/>
            <w:vAlign w:val="bottom"/>
          </w:tcPr>
          <w:p>
            <w:pPr>
              <w:spacing w:after="0"/>
              <w:rPr>
                <w:sz w:val="14"/>
                <w:szCs w:val="14"/>
                <w:color w:val="auto"/>
              </w:rPr>
            </w:pPr>
          </w:p>
        </w:tc>
        <w:tc>
          <w:tcPr>
            <w:tcW w:w="740" w:type="dxa"/>
            <w:vAlign w:val="bottom"/>
          </w:tcPr>
          <w:p>
            <w:pPr>
              <w:jc w:val="center"/>
              <w:ind w:right="66"/>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40" w:type="dxa"/>
            <w:vAlign w:val="bottom"/>
          </w:tcPr>
          <w:p>
            <w:pPr>
              <w:spacing w:after="0"/>
              <w:rPr>
                <w:sz w:val="14"/>
                <w:szCs w:val="14"/>
                <w:color w:val="auto"/>
              </w:rPr>
            </w:pPr>
          </w:p>
        </w:tc>
        <w:tc>
          <w:tcPr>
            <w:tcW w:w="720" w:type="dxa"/>
            <w:vAlign w:val="bottom"/>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59"/>
              <w:spacing w:after="0"/>
              <w:rPr>
                <w:sz w:val="20"/>
                <w:szCs w:val="20"/>
                <w:color w:val="auto"/>
              </w:rPr>
            </w:pPr>
            <w:r>
              <w:rPr>
                <w:rFonts w:ascii="Times New Roman" w:cs="Times New Roman" w:eastAsia="Times New Roman" w:hAnsi="Times New Roman"/>
                <w:sz w:val="13"/>
                <w:szCs w:val="13"/>
                <w:b w:val="1"/>
                <w:bCs w:val="1"/>
                <w:color w:val="auto"/>
                <w:w w:val="96"/>
              </w:rPr>
              <w:t>Amortization</w:t>
            </w:r>
          </w:p>
        </w:tc>
        <w:tc>
          <w:tcPr>
            <w:tcW w:w="140" w:type="dxa"/>
            <w:vAlign w:val="bottom"/>
          </w:tcPr>
          <w:p>
            <w:pPr>
              <w:spacing w:after="0"/>
              <w:rPr>
                <w:sz w:val="14"/>
                <w:szCs w:val="14"/>
                <w:color w:val="auto"/>
              </w:rPr>
            </w:pPr>
          </w:p>
        </w:tc>
        <w:tc>
          <w:tcPr>
            <w:tcW w:w="740" w:type="dxa"/>
            <w:vAlign w:val="bottom"/>
          </w:tcPr>
          <w:p>
            <w:pPr>
              <w:jc w:val="center"/>
              <w:ind w:right="66"/>
              <w:spacing w:after="0"/>
              <w:rPr>
                <w:sz w:val="20"/>
                <w:szCs w:val="20"/>
                <w:color w:val="auto"/>
              </w:rPr>
            </w:pPr>
            <w:r>
              <w:rPr>
                <w:rFonts w:ascii="Times New Roman" w:cs="Times New Roman" w:eastAsia="Times New Roman" w:hAnsi="Times New Roman"/>
                <w:sz w:val="13"/>
                <w:szCs w:val="13"/>
                <w:b w:val="1"/>
                <w:bCs w:val="1"/>
                <w:color w:val="auto"/>
                <w:w w:val="96"/>
              </w:rPr>
              <w:t>Amount</w:t>
            </w:r>
          </w:p>
        </w:tc>
      </w:tr>
      <w:tr>
        <w:trPr>
          <w:trHeight w:val="156"/>
        </w:trPr>
        <w:tc>
          <w:tcPr>
            <w:tcW w:w="9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r>
      <w:tr>
        <w:trPr>
          <w:trHeight w:val="210"/>
        </w:trPr>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(45 )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(40 )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29"/>
        </w:trPr>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(90 )</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(87 )</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29"/>
        </w:trPr>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(33 )</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(33 )</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42"/>
        </w:trPr>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(40 )</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(38 )</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26"/>
        </w:trPr>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0"/>
        </w:trPr>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-761365</wp:posOffset>
            </wp:positionV>
            <wp:extent cx="7132320" cy="1454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-470535</wp:posOffset>
            </wp:positionV>
            <wp:extent cx="7132320" cy="1454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-170815</wp:posOffset>
            </wp:positionV>
            <wp:extent cx="7132320" cy="1714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60" w:space="660"/>
            <w:col w:w="7820"/>
          </w:cols>
          <w:pgMar w:left="320" w:top="1440" w:right="439" w:bottom="1440" w:gutter="0" w:footer="0" w:header="0"/>
          <w:type w:val="continuous"/>
        </w:sectPr>
      </w:pPr>
    </w:p>
    <w:p>
      <w:pPr>
        <w:spacing w:after="0" w:line="38" w:lineRule="exact"/>
        <w:rPr>
          <w:sz w:val="20"/>
          <w:szCs w:val="20"/>
          <w:color w:val="auto"/>
        </w:rPr>
      </w:pPr>
    </w:p>
    <w:p>
      <w:pPr>
        <w:ind w:right="480" w:firstLine="509"/>
        <w:spacing w:after="0" w:line="281" w:lineRule="auto"/>
        <w:rPr>
          <w:sz w:val="20"/>
          <w:szCs w:val="20"/>
          <w:color w:val="auto"/>
        </w:rPr>
      </w:pPr>
      <w:r>
        <w:rPr>
          <w:rFonts w:ascii="Times New Roman" w:cs="Times New Roman" w:eastAsia="Times New Roman" w:hAnsi="Times New Roman"/>
          <w:sz w:val="18"/>
          <w:szCs w:val="18"/>
          <w:color w:val="auto"/>
        </w:rPr>
        <w:t>Our definite-lived intangible assets are being amortized on a straight-line basis. The straight-line method of amortization is currently our best estimate, or approximates to date, the distribution of the economic use of these intangible assets.</w:t>
      </w:r>
    </w:p>
    <w:p>
      <w:pPr>
        <w:spacing w:after="0" w:line="163"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8"/>
          <w:szCs w:val="18"/>
          <w:color w:val="auto"/>
        </w:rPr>
        <w:t>The estimated amortization expense for intangible assets with definite lives for each of the next five years, and the expense thereafter, assuming no subsequent impairment of the underlying assets or change in estimate of remaining lives, is expected to be as follows (in millions):</w:t>
      </w:r>
    </w:p>
    <w:p>
      <w:pPr>
        <w:spacing w:after="0" w:line="87" w:lineRule="exact"/>
        <w:rPr>
          <w:sz w:val="20"/>
          <w:szCs w:val="20"/>
          <w:color w:val="auto"/>
        </w:rPr>
      </w:pPr>
    </w:p>
    <w:tbl>
      <w:tblPr>
        <w:tblLayout w:type="fixed"/>
        <w:tblInd w:w="2260" w:type="dxa"/>
        <w:tblCellMar>
          <w:top w:w="0" w:type="dxa"/>
          <w:left w:w="0" w:type="dxa"/>
          <w:bottom w:w="0" w:type="dxa"/>
          <w:right w:w="0" w:type="dxa"/>
        </w:tblCellMar>
      </w:tblPr>
      <w:tr>
        <w:trPr>
          <w:trHeight w:val="243"/>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8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shd w:val="clear" w:color="auto" w:fill="CFF0FC"/>
          </w:tcPr>
          <w:p>
            <w:pPr>
              <w:spacing w:after="0"/>
              <w:rPr>
                <w:sz w:val="21"/>
                <w:szCs w:val="21"/>
                <w:color w:val="auto"/>
              </w:rPr>
            </w:pPr>
          </w:p>
        </w:tc>
      </w:tr>
      <w:tr>
        <w:trPr>
          <w:trHeight w:val="23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0"/>
                <w:szCs w:val="20"/>
                <w:color w:val="auto"/>
              </w:rPr>
            </w:pPr>
          </w:p>
        </w:tc>
      </w:tr>
      <w:tr>
        <w:trPr>
          <w:trHeight w:val="247"/>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FF0FC"/>
          </w:tcPr>
          <w:p>
            <w:pPr>
              <w:spacing w:after="0"/>
              <w:rPr>
                <w:sz w:val="21"/>
                <w:szCs w:val="21"/>
                <w:color w:val="auto"/>
              </w:rPr>
            </w:pPr>
          </w:p>
        </w:tc>
      </w:tr>
      <w:tr>
        <w:trPr>
          <w:trHeight w:val="23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0"/>
                <w:szCs w:val="20"/>
                <w:color w:val="auto"/>
              </w:rPr>
            </w:pPr>
          </w:p>
        </w:tc>
      </w:tr>
      <w:tr>
        <w:trPr>
          <w:trHeight w:val="247"/>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8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68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5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top w:val="single" w:sz="8" w:color="auto"/>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-24765</wp:posOffset>
            </wp:positionV>
            <wp:extent cx="342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-7620</wp:posOffset>
            </wp:positionV>
            <wp:extent cx="342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ACCRUED EXPENSES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the dates presented:</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6"/>
                <w:szCs w:val="16"/>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0" w:type="dxa"/>
            <w:vAlign w:val="bottom"/>
          </w:tcPr>
          <w:p>
            <w:pPr>
              <w:spacing w:after="0"/>
              <w:rPr>
                <w:sz w:val="16"/>
                <w:szCs w:val="16"/>
                <w:color w:val="auto"/>
              </w:rPr>
            </w:pPr>
          </w:p>
        </w:tc>
      </w:tr>
      <w:tr>
        <w:trPr>
          <w:trHeight w:val="169"/>
        </w:trPr>
        <w:tc>
          <w:tcPr>
            <w:tcW w:w="6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(in</w:t>
            </w: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salary, bonus, and other employee-related benefits</w:t>
            </w:r>
          </w:p>
        </w:tc>
        <w:tc>
          <w:tcPr>
            <w:tcW w:w="54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FF0FC"/>
          </w:tcPr>
          <w:p>
            <w:pPr>
              <w:spacing w:after="0"/>
              <w:rPr>
                <w:sz w:val="21"/>
                <w:szCs w:val="21"/>
                <w:color w:val="auto"/>
              </w:rPr>
            </w:pPr>
          </w:p>
        </w:tc>
      </w:tr>
      <w:tr>
        <w:trPr>
          <w:trHeight w:val="238"/>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Accrued marketing costs</w:t>
            </w:r>
          </w:p>
        </w:tc>
        <w:tc>
          <w:tcPr>
            <w:tcW w:w="5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20"/>
                <w:szCs w:val="20"/>
                <w:color w:val="auto"/>
              </w:rPr>
            </w:pPr>
          </w:p>
        </w:tc>
      </w:tr>
      <w:tr>
        <w:trPr>
          <w:trHeight w:val="24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payable (1)</w:t>
            </w:r>
          </w:p>
        </w:tc>
        <w:tc>
          <w:tcPr>
            <w:tcW w:w="5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FF0FC"/>
          </w:tcPr>
          <w:p>
            <w:pPr>
              <w:spacing w:after="0"/>
              <w:rPr>
                <w:sz w:val="21"/>
                <w:szCs w:val="21"/>
                <w:color w:val="auto"/>
              </w:rPr>
            </w:pPr>
          </w:p>
        </w:tc>
      </w:tr>
      <w:tr>
        <w:trPr>
          <w:trHeight w:val="238"/>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 - current (2)</w:t>
            </w:r>
          </w:p>
        </w:tc>
        <w:tc>
          <w:tcPr>
            <w:tcW w:w="5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0"/>
                <w:szCs w:val="20"/>
                <w:color w:val="auto"/>
              </w:rPr>
            </w:pPr>
          </w:p>
        </w:tc>
      </w:tr>
      <w:tr>
        <w:trPr>
          <w:trHeight w:val="24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liability - current portion (3)</w:t>
            </w:r>
          </w:p>
        </w:tc>
        <w:tc>
          <w:tcPr>
            <w:tcW w:w="5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FF0FC"/>
          </w:tcPr>
          <w:p>
            <w:pPr>
              <w:spacing w:after="0"/>
              <w:rPr>
                <w:sz w:val="21"/>
                <w:szCs w:val="21"/>
                <w:color w:val="auto"/>
              </w:rPr>
            </w:pPr>
          </w:p>
        </w:tc>
      </w:tr>
      <w:tr>
        <w:trPr>
          <w:trHeight w:val="238"/>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 current portion (3)</w:t>
            </w:r>
          </w:p>
        </w:tc>
        <w:tc>
          <w:tcPr>
            <w:tcW w:w="5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0"/>
                <w:szCs w:val="20"/>
                <w:color w:val="auto"/>
              </w:rPr>
            </w:pPr>
          </w:p>
        </w:tc>
      </w:tr>
      <w:tr>
        <w:trPr>
          <w:trHeight w:val="24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and other related reorganization costs (4)</w:t>
            </w:r>
          </w:p>
        </w:tc>
        <w:tc>
          <w:tcPr>
            <w:tcW w:w="5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Non-income taxes payable</w:t>
            </w:r>
          </w:p>
        </w:tc>
        <w:tc>
          <w:tcPr>
            <w:tcW w:w="5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0"/>
                <w:szCs w:val="20"/>
                <w:color w:val="auto"/>
              </w:rPr>
            </w:pPr>
          </w:p>
        </w:tc>
      </w:tr>
      <w:tr>
        <w:trPr>
          <w:trHeight w:val="243"/>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Pr>
          <w:p>
            <w:pPr>
              <w:spacing w:after="0"/>
              <w:rPr>
                <w:sz w:val="20"/>
                <w:szCs w:val="20"/>
                <w:color w:val="auto"/>
              </w:rPr>
            </w:pPr>
          </w:p>
        </w:tc>
      </w:tr>
      <w:tr>
        <w:trPr>
          <w:trHeight w:val="20"/>
        </w:trPr>
        <w:tc>
          <w:tcPr>
            <w:tcW w:w="6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-187960</wp:posOffset>
            </wp:positionV>
            <wp:extent cx="596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514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1" w:lineRule="exact"/>
        <w:rPr>
          <w:sz w:val="20"/>
          <w:szCs w:val="20"/>
          <w:color w:val="auto"/>
        </w:rPr>
      </w:pPr>
    </w:p>
    <w:p>
      <w:pPr>
        <w:ind w:left="1140" w:hanging="383"/>
        <w:spacing w:after="0"/>
        <w:tabs>
          <w:tab w:leader="none" w:pos="11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Amount relates primarily to unpaid interest accrued on our 2025 Senior Notes. Refer to “Note 8: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for further information.</w:t>
      </w:r>
    </w:p>
    <w:p>
      <w:pPr>
        <w:spacing w:after="0" w:line="5" w:lineRule="exact"/>
        <w:rPr>
          <w:rFonts w:ascii="Times New Roman" w:cs="Times New Roman" w:eastAsia="Times New Roman" w:hAnsi="Times New Roman"/>
          <w:sz w:val="14"/>
          <w:szCs w:val="14"/>
          <w:color w:val="auto"/>
        </w:rPr>
      </w:pPr>
    </w:p>
    <w:p>
      <w:pPr>
        <w:ind w:left="1140" w:hanging="383"/>
        <w:spacing w:after="0" w:line="221" w:lineRule="auto"/>
        <w:tabs>
          <w:tab w:leader="none" w:pos="11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“Note 10: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for further information regarding our income tax liabilities.</w:t>
      </w:r>
    </w:p>
    <w:p>
      <w:pPr>
        <w:ind w:left="1140" w:hanging="383"/>
        <w:spacing w:after="0" w:line="221" w:lineRule="auto"/>
        <w:tabs>
          <w:tab w:leader="none" w:pos="11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“Note 5: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for further information regarding our lease obligations.</w:t>
      </w:r>
    </w:p>
    <w:p>
      <w:pPr>
        <w:ind w:left="1140" w:right="80" w:hanging="383"/>
        <w:spacing w:after="0" w:line="227" w:lineRule="auto"/>
        <w:tabs>
          <w:tab w:leader="none" w:pos="11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third quarter of 2023, the Company approved and subsequently initiated a set of actions across its businesses in order to reduce its cost structure, improve operational efficiencies, and realign its workforce with its strategic initiatives. These actions taken by the Company resulted in reduced global headcount. As a result, the Company incurred estimated pre-tax restructuring and other related reorganization costs of $22 million during the year ended December 31, 2023, consisting primarily of employee severance and related benefits. Potential job position eliminations in each country remain subject to local law and consultation requirements, which have extended beyond 2023 in certain countries. Therefore, actual costs incurred may differ</w:t>
      </w:r>
    </w:p>
    <w:p>
      <w:pPr>
        <w:spacing w:after="0" w:line="4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type w:val="continuous"/>
        </w:sectPr>
      </w:pPr>
    </w:p>
    <w:bookmarkStart w:id="92" w:name="page93"/>
    <w:bookmarkEnd w:id="92"/>
    <w:p>
      <w:pPr>
        <w:ind w:left="1140" w:right="40"/>
        <w:spacing w:after="0" w:line="258" w:lineRule="auto"/>
        <w:rPr>
          <w:sz w:val="20"/>
          <w:szCs w:val="20"/>
          <w:color w:val="auto"/>
        </w:rPr>
      </w:pPr>
      <w:r>
        <w:rPr>
          <w:rFonts w:ascii="Times New Roman" w:cs="Times New Roman" w:eastAsia="Times New Roman" w:hAnsi="Times New Roman"/>
          <w:sz w:val="14"/>
          <w:szCs w:val="14"/>
          <w:color w:val="auto"/>
        </w:rPr>
        <w:t>from estimated costs recorded as of December 31, 2023. We expect the majority of remaining unpaid costs as of December 31, 2023 to be disbursed during the first quarter of 2024.</w:t>
      </w:r>
    </w:p>
    <w:p>
      <w:pPr>
        <w:spacing w:after="0" w:line="9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The following table summarizes our restructuring and other related reorganization costs for the year ended December 31, 2023: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2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43"/>
        </w:trPr>
        <w:tc>
          <w:tcPr>
            <w:tcW w:w="1200" w:type="dxa"/>
            <w:vAlign w:val="bottom"/>
          </w:tcPr>
          <w:p>
            <w:pPr>
              <w:spacing w:after="0"/>
              <w:rPr>
                <w:sz w:val="21"/>
                <w:szCs w:val="21"/>
                <w:color w:val="auto"/>
              </w:rPr>
            </w:pPr>
          </w:p>
        </w:tc>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liability as of December 31, 2022</w:t>
            </w:r>
          </w:p>
        </w:tc>
        <w:tc>
          <w:tcPr>
            <w:tcW w:w="1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120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200" w:type="dxa"/>
            <w:vAlign w:val="bottom"/>
          </w:tcPr>
          <w:p>
            <w:pPr>
              <w:spacing w:after="0"/>
              <w:rPr>
                <w:sz w:val="21"/>
                <w:szCs w:val="21"/>
                <w:color w:val="auto"/>
              </w:rPr>
            </w:pPr>
          </w:p>
        </w:tc>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36"/>
        </w:trPr>
        <w:tc>
          <w:tcPr>
            <w:tcW w:w="1200" w:type="dxa"/>
            <w:vAlign w:val="bottom"/>
          </w:tcPr>
          <w:p>
            <w:pPr>
              <w:spacing w:after="0"/>
              <w:rPr>
                <w:sz w:val="20"/>
                <w:szCs w:val="20"/>
                <w:color w:val="auto"/>
              </w:rPr>
            </w:pPr>
          </w:p>
        </w:tc>
        <w:tc>
          <w:tcPr>
            <w:tcW w:w="3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Accrued liability as of December 31, 2023</w:t>
            </w:r>
          </w:p>
        </w:tc>
        <w:tc>
          <w:tcPr>
            <w:tcW w:w="1220" w:type="dxa"/>
            <w:vAlign w:val="bottom"/>
            <w:tcBorders>
              <w:top w:val="single" w:sz="8" w:color="CFF0FC"/>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380" w:type="dxa"/>
            <w:vAlign w:val="bottom"/>
            <w:tcBorders>
              <w:top w:val="single" w:sz="8" w:color="CFF0FC"/>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DEBT</w:t>
            </w: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6"/>
        </w:trPr>
        <w:tc>
          <w:tcPr>
            <w:tcW w:w="5020" w:type="dxa"/>
            <w:vAlign w:val="bottom"/>
            <w:gridSpan w:val="2"/>
            <w:vMerge w:val="continue"/>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6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Company’s outstanding debt consisted of the following as of the dates presented:</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12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20" w:type="dxa"/>
            <w:vAlign w:val="bottom"/>
          </w:tcPr>
          <w:p>
            <w:pPr>
              <w:jc w:val="center"/>
              <w:ind w:left="133"/>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Unamortized Debt</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200" w:type="dxa"/>
            <w:vAlign w:val="bottom"/>
          </w:tcPr>
          <w:p>
            <w:pPr>
              <w:spacing w:after="0"/>
              <w:rPr>
                <w:sz w:val="21"/>
                <w:szCs w:val="21"/>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Issuance Costs</w:t>
            </w:r>
          </w:p>
        </w:tc>
        <w:tc>
          <w:tcPr>
            <w:tcW w:w="200" w:type="dxa"/>
            <w:vAlign w:val="bottom"/>
          </w:tcPr>
          <w:p>
            <w:pPr>
              <w:spacing w:after="0"/>
              <w:rPr>
                <w:sz w:val="21"/>
                <w:szCs w:val="21"/>
                <w:color w:val="auto"/>
              </w:rPr>
            </w:pPr>
          </w:p>
        </w:tc>
        <w:tc>
          <w:tcPr>
            <w:tcW w:w="15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0" w:type="dxa"/>
            <w:vAlign w:val="bottom"/>
          </w:tcPr>
          <w:p>
            <w:pPr>
              <w:spacing w:after="0"/>
              <w:rPr>
                <w:sz w:val="1"/>
                <w:szCs w:val="1"/>
                <w:color w:val="auto"/>
              </w:rPr>
            </w:pPr>
          </w:p>
        </w:tc>
      </w:tr>
      <w:tr>
        <w:trPr>
          <w:trHeight w:val="240"/>
        </w:trPr>
        <w:tc>
          <w:tcPr>
            <w:tcW w:w="1200" w:type="dxa"/>
            <w:vAlign w:val="bottom"/>
          </w:tcPr>
          <w:p>
            <w:pPr>
              <w:spacing w:after="0"/>
              <w:rPr>
                <w:sz w:val="20"/>
                <w:szCs w:val="20"/>
                <w:color w:val="auto"/>
              </w:rPr>
            </w:pPr>
          </w:p>
        </w:tc>
        <w:tc>
          <w:tcPr>
            <w:tcW w:w="38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200" w:type="dxa"/>
            <w:vAlign w:val="bottom"/>
            <w:tcBorders>
              <w:right w:val="single" w:sz="8" w:color="CFF0FC"/>
            </w:tcBorders>
          </w:tcPr>
          <w:p>
            <w:pPr>
              <w:spacing w:after="0"/>
              <w:rPr>
                <w:sz w:val="21"/>
                <w:szCs w:val="21"/>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tcBorders>
              <w:right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200" w:type="dxa"/>
            <w:vAlign w:val="bottom"/>
          </w:tcPr>
          <w:p>
            <w:pPr>
              <w:spacing w:after="0"/>
              <w:rPr>
                <w:sz w:val="20"/>
                <w:szCs w:val="20"/>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2025 Senior Notes</w:t>
            </w:r>
          </w:p>
        </w:tc>
        <w:tc>
          <w:tcPr>
            <w:tcW w:w="1220" w:type="dxa"/>
            <w:vAlign w:val="bottom"/>
          </w:tcPr>
          <w:p>
            <w:pPr>
              <w:jc w:val="right"/>
              <w:ind w:right="1053"/>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500</w:t>
            </w:r>
          </w:p>
        </w:tc>
        <w:tc>
          <w:tcPr>
            <w:tcW w:w="4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(3 )</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497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200" w:type="dxa"/>
            <w:vAlign w:val="bottom"/>
            <w:tcBorders>
              <w:right w:val="single" w:sz="8" w:color="CFF0FC"/>
            </w:tcBorders>
          </w:tcPr>
          <w:p>
            <w:pPr>
              <w:spacing w:after="0"/>
              <w:rPr>
                <w:sz w:val="21"/>
                <w:szCs w:val="21"/>
                <w:color w:val="auto"/>
              </w:rPr>
            </w:pPr>
          </w:p>
        </w:tc>
        <w:tc>
          <w:tcPr>
            <w:tcW w:w="3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2026 Senior Notes</w:t>
            </w:r>
          </w:p>
        </w:tc>
        <w:tc>
          <w:tcPr>
            <w:tcW w:w="122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345</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(3 )</w:t>
            </w:r>
          </w:p>
        </w:tc>
        <w:tc>
          <w:tcPr>
            <w:tcW w:w="20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tcBorders>
              <w:right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342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0" w:type="dxa"/>
            <w:vAlign w:val="bottom"/>
            <w:tcBorders>
              <w:right w:val="single" w:sz="8" w:color="CFF0FC"/>
            </w:tcBorders>
          </w:tcPr>
          <w:p>
            <w:pPr>
              <w:spacing w:after="0" w:line="20" w:lineRule="exact"/>
              <w:rPr>
                <w:sz w:val="1"/>
                <w:szCs w:val="1"/>
                <w:color w:val="auto"/>
              </w:rPr>
            </w:pPr>
          </w:p>
        </w:tc>
        <w:tc>
          <w:tcPr>
            <w:tcW w:w="38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tcBorders>
              <w:right w:val="single" w:sz="8" w:color="CFF0FC"/>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0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1220" w:type="dxa"/>
            <w:vAlign w:val="bottom"/>
          </w:tcPr>
          <w:p>
            <w:pPr>
              <w:jc w:val="right"/>
              <w:ind w:right="1053"/>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845</w:t>
            </w:r>
          </w:p>
        </w:tc>
        <w:tc>
          <w:tcPr>
            <w:tcW w:w="4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(6 )</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839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12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20" w:type="dxa"/>
            <w:vAlign w:val="bottom"/>
          </w:tcPr>
          <w:p>
            <w:pPr>
              <w:jc w:val="center"/>
              <w:ind w:left="133"/>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Unamortized Debt</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200" w:type="dxa"/>
            <w:vAlign w:val="bottom"/>
          </w:tcPr>
          <w:p>
            <w:pPr>
              <w:spacing w:after="0"/>
              <w:rPr>
                <w:sz w:val="21"/>
                <w:szCs w:val="21"/>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Issuance Costs</w:t>
            </w:r>
          </w:p>
        </w:tc>
        <w:tc>
          <w:tcPr>
            <w:tcW w:w="200" w:type="dxa"/>
            <w:vAlign w:val="bottom"/>
          </w:tcPr>
          <w:p>
            <w:pPr>
              <w:spacing w:after="0"/>
              <w:rPr>
                <w:sz w:val="21"/>
                <w:szCs w:val="21"/>
                <w:color w:val="auto"/>
              </w:rPr>
            </w:pPr>
          </w:p>
        </w:tc>
        <w:tc>
          <w:tcPr>
            <w:tcW w:w="15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0" w:type="dxa"/>
            <w:vAlign w:val="bottom"/>
          </w:tcPr>
          <w:p>
            <w:pPr>
              <w:spacing w:after="0"/>
              <w:rPr>
                <w:sz w:val="1"/>
                <w:szCs w:val="1"/>
                <w:color w:val="auto"/>
              </w:rPr>
            </w:pPr>
          </w:p>
        </w:tc>
      </w:tr>
      <w:tr>
        <w:trPr>
          <w:trHeight w:val="240"/>
        </w:trPr>
        <w:tc>
          <w:tcPr>
            <w:tcW w:w="1200" w:type="dxa"/>
            <w:vAlign w:val="bottom"/>
          </w:tcPr>
          <w:p>
            <w:pPr>
              <w:spacing w:after="0"/>
              <w:rPr>
                <w:sz w:val="20"/>
                <w:szCs w:val="20"/>
                <w:color w:val="auto"/>
              </w:rPr>
            </w:pPr>
          </w:p>
        </w:tc>
        <w:tc>
          <w:tcPr>
            <w:tcW w:w="38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200" w:type="dxa"/>
            <w:vAlign w:val="bottom"/>
            <w:tcBorders>
              <w:right w:val="single" w:sz="8" w:color="CFF0FC"/>
            </w:tcBorders>
          </w:tcPr>
          <w:p>
            <w:pPr>
              <w:spacing w:after="0"/>
              <w:rPr>
                <w:sz w:val="21"/>
                <w:szCs w:val="21"/>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tcBorders>
              <w:right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200" w:type="dxa"/>
            <w:vAlign w:val="bottom"/>
          </w:tcPr>
          <w:p>
            <w:pPr>
              <w:spacing w:after="0"/>
              <w:rPr>
                <w:sz w:val="20"/>
                <w:szCs w:val="20"/>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2025 Senior Notes</w:t>
            </w:r>
          </w:p>
        </w:tc>
        <w:tc>
          <w:tcPr>
            <w:tcW w:w="1220" w:type="dxa"/>
            <w:vAlign w:val="bottom"/>
          </w:tcPr>
          <w:p>
            <w:pPr>
              <w:jc w:val="right"/>
              <w:ind w:right="1053"/>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500</w:t>
            </w:r>
          </w:p>
        </w:tc>
        <w:tc>
          <w:tcPr>
            <w:tcW w:w="4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(5 )</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200" w:type="dxa"/>
            <w:vAlign w:val="bottom"/>
            <w:tcBorders>
              <w:right w:val="single" w:sz="8" w:color="CFF0FC"/>
            </w:tcBorders>
          </w:tcPr>
          <w:p>
            <w:pPr>
              <w:spacing w:after="0"/>
              <w:rPr>
                <w:sz w:val="21"/>
                <w:szCs w:val="21"/>
                <w:color w:val="auto"/>
              </w:rPr>
            </w:pPr>
          </w:p>
        </w:tc>
        <w:tc>
          <w:tcPr>
            <w:tcW w:w="3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2026 Senior Notes</w:t>
            </w:r>
          </w:p>
        </w:tc>
        <w:tc>
          <w:tcPr>
            <w:tcW w:w="122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345</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c>
          <w:tcPr>
            <w:tcW w:w="20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40" w:type="dxa"/>
            <w:vAlign w:val="bottom"/>
            <w:tcBorders>
              <w:right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341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0" w:type="dxa"/>
            <w:vAlign w:val="bottom"/>
            <w:tcBorders>
              <w:right w:val="single" w:sz="8" w:color="CFF0FC"/>
            </w:tcBorders>
          </w:tcPr>
          <w:p>
            <w:pPr>
              <w:spacing w:after="0" w:line="20" w:lineRule="exact"/>
              <w:rPr>
                <w:sz w:val="1"/>
                <w:szCs w:val="1"/>
                <w:color w:val="auto"/>
              </w:rPr>
            </w:pPr>
          </w:p>
        </w:tc>
        <w:tc>
          <w:tcPr>
            <w:tcW w:w="38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tcBorders>
              <w:right w:val="single" w:sz="8" w:color="CFF0FC"/>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0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1220" w:type="dxa"/>
            <w:vAlign w:val="bottom"/>
          </w:tcPr>
          <w:p>
            <w:pPr>
              <w:jc w:val="right"/>
              <w:ind w:right="1053"/>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845</w:t>
            </w:r>
          </w:p>
        </w:tc>
        <w:tc>
          <w:tcPr>
            <w:tcW w:w="4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(9 )</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6417945</wp:posOffset>
            </wp:positionH>
            <wp:positionV relativeFrom="paragraph">
              <wp:posOffset>-3373120</wp:posOffset>
            </wp:positionV>
            <wp:extent cx="5143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-1446530</wp:posOffset>
            </wp:positionV>
            <wp:extent cx="596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-1446530</wp:posOffset>
            </wp:positionV>
            <wp:extent cx="514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-1446530</wp:posOffset>
            </wp:positionV>
            <wp:extent cx="514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-187960</wp:posOffset>
            </wp:positionV>
            <wp:extent cx="596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-187960</wp:posOffset>
            </wp:positionV>
            <wp:extent cx="514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514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22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are party to a credit agreement with a group of lenders initially entered into in June 2015 and amended and restated in June 2023 (as amended, the “Credit Agreement”), which, among other things, provides for a $500 million secured revolving credit facility (the “Credit Facility”). As of December 31, 2023 and 2022, we had no outstanding borrowings from the Credit Facility. In addition, the Credit Facility includes $15 million of borrowing capacity available for letters of credit and $40 million for swing-line borrowings on same-day notice. As of December 31, 2023 and 2022, we had issued $4 million of undrawn standby letters of credit under the Credit Facility. For the years ended December 31, 2023, 2022 and 2021, we recorded total commitment fees on the Credit Facility of $1 million, $1 million and $3 million, respectively, to interest expense on our consolidated statements of operations. The Credit Agreement, among other things, requires us to maintain a maximum total net leverage ratio and contains certain customary affirmative and negative covenants and events of default, including a change of control. As of December 31, 2023 and 2022, the Company was in compliance with its existing covenants.</w:t>
      </w:r>
    </w:p>
    <w:p>
      <w:pPr>
        <w:spacing w:after="0" w:line="186"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We amended the Credit Facility during 2020 to, among other things: suspend the leverage ratio covenant for quarterly testing of compliance beginning in the second quarter of 2020, replacing it with a minimum liquidity covenant through June 30, 2021 (requiring the Company to maintain $150 million of unrestricted cash, cash equivalents and short-term investments less deferred merchant payables plus available revolver capacity), until the earlier of (a) the first day after June 30, 2021 through maturity on which borrowings and other revolving credit</w:t>
      </w:r>
    </w:p>
    <w:p>
      <w:pPr>
        <w:spacing w:after="0" w:line="3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1" w:right="399" w:bottom="1440" w:gutter="0" w:footer="0" w:header="0"/>
        </w:sectPr>
      </w:pPr>
    </w:p>
    <w:bookmarkStart w:id="93" w:name="page94"/>
    <w:bookmarkEnd w:id="93"/>
    <w:p>
      <w:pPr>
        <w:spacing w:after="0" w:line="192"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utilizations under the revolving commitments exceed $200 million, and (b) the election of the Company, at which time the leverage ratio covenant will be reinstated (the “Leverage Covenant Holiday”).</w:t>
      </w:r>
    </w:p>
    <w:p>
      <w:pPr>
        <w:spacing w:after="0" w:line="16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May 8, 2023, the Company declared a “Covenant Changeover Date” (as defined in the Credit Agreement as in effect prior to the amendment and restatement), thereby declaring the Company out of the Leverage Covenant Holiday and no longer subject to certain of the restrictive covenants contained in the Credit Agreement. Following that, on June 29, 2023, we amended and restated the Credit Agreement (the "Restated Credit Agreement") to, among other things, (i) extend the maturity date of the Credit Facility from May 12, 2024 to June 29, 2028 (unless, on any date that is 91 days prior to the final scheduled maturity date in respect of any indebtedness outstanding under certain “specified debt,” the aggregate outstanding principal amount of such specified debt is $200 million or more, then the maturity date will be such business day); (ii) maintain the aggregate amount of revolving commitments available at $500 million; (iii) increase the total net leverage ratio from 3.5 to 1.0 to 4.5 to 1.0; and (iv) replace the LIBOR interest rate benchmark with a secured overnight financing rate ("SOFR") interest rate benchmark.</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may borrow from the Credit Facility in U.S dollars, Euros and Sterling. Borrowings under the Credit Facility generally bear interest, at the Company’s option, at a rate per annum equal to either (i) the Adjusted Term SOFR rate for the interest period in effect for such borrowing in U.S. dollars, the EURIBO rate for the interest period in effect for such borrowings in Euro and the Daily Simple SONIA rate for the interest period in effect for such borrowings in Sterling; plus, in each case, an applicable margin ranging from 1.75% to 2.50% (“Term Benchmark/RFP Spread”), based on the Company’s total net leverage ratio; or (ii) the Alternate Base Rate (“ABR”), which is the greatest of (a) the Prime Rate in effect on such day, (b) the New York Fed Bank Rate in effect on such day plus 1/2 of 1.00% per annum, and (c) the Adjusted Term SOFR for an interest period of one month as published two US Government Securities Business Days prior to such day (or if such day is not a US Government Securities Business Day, the immediately preceding US Government Securities Business Day) plus 1.00% plus an applicable margin ranging from 0.75% to 1.50%, based on the Company’s total net leverage ratio. In addition, we are required to pay a quarterly commitment fee, at an applicable rate ranging from 0.25% to 0.40%, on the daily unused portion of the Credit Facility for each fiscal quarter and in connection with the issuance of letters of credit. As of December 31, 2023, our unused revolver capacity was subject to a commitment fee of 0.25%, given the Company’s total net leverage ratio.</w:t>
      </w:r>
    </w:p>
    <w:p>
      <w:pPr>
        <w:spacing w:after="0" w:line="18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Restated Credit Agreement, we incurred lender fees and other debt financing costs of approximately $3 million. These costs were capitalized as deferred financing costs in other long-term assets on our consolidated balance sheet, while deferred financing costs incurred in previous amendments, which were immediately recognized to interest expense on our consolidated statements of operations, were not material. As of December 31, 2023 and 2022, the Company had $4 million and $2 million, respectively, remaining in deferred financing costs in connection with the Credit Facility. These costs will be amortized over the remaining term of the Credit Facility, using the effective interest rate method, and recorded to interest expense on our consolidated statement of operations.</w:t>
      </w:r>
    </w:p>
    <w:p>
      <w:pPr>
        <w:spacing w:after="0" w:line="186"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There is no specific repayment date prior to the maturity date for any borrowings under the Credit Agreement. We may voluntarily repay any outstanding borrowing under the Credit Facility at any time without premium or penalty, other than customary breakage costs with respect to Term Benchmark loans. Additionally, the Company believes that the likelihood of the lender exercising any subjective acceleration rights, which would permit the lenders to accelerate repayment of any outstanding borrowings, is remote. As such, we intend to classify any future borrowings under this facility as long-term debt. The Credit Agreement contains a number of covenants that, among other things, restrict our ability to incur additional indebtedness, create liens, enter into sale and leaseback transactions, engage in mergers or consolidations, sell or transfer assets, pay dividends and distributions, make investments, loans or advances, prepay certain subordinated indebtedness, make certain acquisitions, engage in certain transactions with affiliates, amend material agreements governing certain subordinated indebtedness, and change our fiscal year. In addition, to secure the obligations under the Credit Agreement, the Company and certain subsidiaries have granted security interests and liens in and on substantially all of their assets as well as pledged shares of certain of the Company’s subsidiaries. If an event of default occurs, the lenders under the Credit Agreement will be entitled to take various actions, including the acceleration of all amounts due under the Credit Facility.</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4" w:name="page95"/>
    <w:bookmarkEnd w:id="94"/>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Senior Notes</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July 9, 2020, the Company completed the sale of $500 million aggregate principal amount of 7.0% Senior Notes due 2025 (the “2025 Senior Notes”), pursuant to a purchase agreement, dated July 7, 2020, among the Company, the guarantors party thereto and the initial purchasers party thereto in a private offering to qualified institutional buyers. The 2025 Senior Notes were issued pursuant to an indenture, dated July 9, 2020 (the “2025 Indenture”), among the Company, the guarantors and the trustee. The 2025 Indenture provides, among other things, that interest is payable on the 2025 Senior Notes semiannually on January 15 and July 15 of each year, and continues until their maturity date of July 15, 2025. The 2025 Senior Notes are senior unsecured obligations of the Company and are guaranteed by certain of the Company’s domestic subsidiaries.</w:t>
      </w:r>
    </w:p>
    <w:p>
      <w:pPr>
        <w:spacing w:after="0" w:line="186" w:lineRule="exact"/>
        <w:rPr>
          <w:sz w:val="20"/>
          <w:szCs w:val="20"/>
          <w:color w:val="auto"/>
        </w:rPr>
      </w:pPr>
    </w:p>
    <w:p>
      <w:pPr>
        <w:ind w:right="80" w:firstLine="509"/>
        <w:spacing w:after="0" w:line="276" w:lineRule="auto"/>
        <w:rPr>
          <w:sz w:val="20"/>
          <w:szCs w:val="20"/>
          <w:color w:val="auto"/>
        </w:rPr>
      </w:pPr>
      <w:r>
        <w:rPr>
          <w:rFonts w:ascii="Times New Roman" w:cs="Times New Roman" w:eastAsia="Times New Roman" w:hAnsi="Times New Roman"/>
          <w:sz w:val="17"/>
          <w:szCs w:val="17"/>
          <w:color w:val="auto"/>
        </w:rPr>
        <w:t>The Company has the option to redeem all or a portion of the 2025 Senior Notes at any time on or after July 15, 2022 at the redemption prices set forth in the 2025 Indenture, plus accrued and unpaid interest, if any. Subject to certain limitations, in the event of a Change of Control Triggering Event (as defined in the 2025 Indenture), the Company will be required to make an offer to purchase the 2025 Senior Notes at a price equal to 101% of the aggregate principal amount of the 2025 Senior Notes repurchased, plus accrued and unpaid interest, if any, to the date of repurchase. These features have been evaluated as embedded derivatives under GAAP; however, the Company has concluded they do not meet the requirements to be accounted for separately.</w:t>
      </w:r>
    </w:p>
    <w:p>
      <w:pPr>
        <w:spacing w:after="0" w:line="170"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As of both December 31, 2023 and 2022, unpaid interest on our 2025 Senior Notes was $16 million and was included in accrued expenses and other current liabilities on our consolidated balance sheets, and $35 million was recorded as interest expense on our consolidated statements of operations for each of the years ended December 31, 2023, 2022 and 2021.</w:t>
      </w:r>
    </w:p>
    <w:p>
      <w:pPr>
        <w:spacing w:after="0" w:line="17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2025 Indenture contains covenants that, among other things and subject to certain exceptions and qualifications, restrict the ability of the Company and certain of its subsidiaries to incur or guarantee additional indebtedness or issue disqualified stock or certain preferred stock; pay dividends and make other distributions or repurchase stock; make certain investments; create or incur liens; sell assets; create restrictions affecting the ability of restricted subsidiaries to make distributions, loans or advances or transfer assets to the Company or the restricted subsidiaries; enter into certain transactions with the Company’s affiliates; designate restricted subsidiaries as unrestricted subsidiaries; and merge, consolidate or transfer or sell all or substantially all of the Company’s assets.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Senior Notes</w:t>
      </w:r>
    </w:p>
    <w:p>
      <w:pPr>
        <w:spacing w:after="0" w:line="22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On March 25, 2021, we entered into a purchase agreement for the sale of $300 million aggregate principal amount of 0.25% Convertible 2026 Senior Notes due 2026 (the “2026 Senior Notes”) in a private offering to qualified institutional buyers. The 2026 Senior Notes included an over-allotment option that provided the initial purchasers of the 2026 Senior Notes with the option to purchase an additional $45 million aggregate principal amount of the 2026 Senior Notes; such over-allotment option was fully exercised. In connection with the issuance of the 2026 Senior Notes, the Company entered into an Indenture, dated March 25, 2021 (the “2026 Indenture”), among the Company, the guarantors party thereto and the trustee. The terms of the 2026 Senior Notes are governed by the 2026 Indenture. The 2026 Senior Notes mature on April 1, 2026, unless earlier converted, redeemed or repurchased. The 2026 Senior Notes are senior unsecured obligations of the Company, although guaranteed by certain of the Company’s domestic subsidiaries, with interest payable semiannually in arrears on April 1 and October 1 of each year, which began on October 1, 2021. As of December 31, 2023 and 2022, unpaid interest on our 2026 Senior Notes was not material.</w:t>
      </w:r>
    </w:p>
    <w:p>
      <w:pPr>
        <w:spacing w:after="0" w:line="186" w:lineRule="exact"/>
        <w:rPr>
          <w:sz w:val="20"/>
          <w:szCs w:val="20"/>
          <w:color w:val="auto"/>
        </w:rPr>
      </w:pPr>
    </w:p>
    <w:p>
      <w:pPr>
        <w:ind w:right="80" w:firstLine="509"/>
        <w:spacing w:after="0" w:line="243" w:lineRule="auto"/>
        <w:rPr>
          <w:sz w:val="20"/>
          <w:szCs w:val="20"/>
          <w:color w:val="auto"/>
        </w:rPr>
      </w:pPr>
      <w:r>
        <w:rPr>
          <w:rFonts w:ascii="Times New Roman" w:cs="Times New Roman" w:eastAsia="Times New Roman" w:hAnsi="Times New Roman"/>
          <w:sz w:val="18"/>
          <w:szCs w:val="18"/>
          <w:color w:val="auto"/>
        </w:rPr>
        <w:t>The 2026 Senior Notes will be redeemable, in whole or in part, at our option at any time, and from time to time, on or after April 1, 2024 and on or before the 30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scheduled trading day immediately before the maturity date, at a cash redemption price equal to the principal amount of the 2026 Senior Notes to be redeemed, plus accrued and unpaid interest, if any, but only if the last reported sale price per share of our common stock exceeds 130% of the conversion price on (1) each of at least 20 trading days, whether or not consecutive, during the 30 consecutive trading days ending on, and including, the trading day immediately before the date we send the related redemption notice; and (2) the trading day immediately before the date we send such notice. In addition, calling any such note for redemption will constitute a make-whole fundamental change with respect to that note, in which case the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rate applicable to the conversion of that note will be increased in certain circumstances if it is converted after it is called for redemption.</w:t>
      </w:r>
    </w:p>
    <w:p>
      <w:pPr>
        <w:spacing w:after="0" w:line="225"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2026 Senior Notes are unconditionally guaranteed, on a joint and several basis, by the guarantors on a senior, unsecured basis. The 2026 Senior Notes are our general senior unsecured obligations and rank equally in right of payment with all of our existing and future senior indebtedness, and senior in right of payment to all of our future subordinated indebtedness. The 2026 Senior Notes will be effectively subordinated to any of our existing and future secured indebtedness, including borrowings under the Credit Facility, to the extent of the value of the assets securing such indebtedness.</w:t>
      </w:r>
    </w:p>
    <w:p>
      <w:pPr>
        <w:spacing w:after="0" w:line="182"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8"/>
          <w:szCs w:val="18"/>
          <w:color w:val="auto"/>
        </w:rPr>
        <w:t>Holders may convert their 2026 Senior Notes at any time prior to the close of business on the business day immediately preceding January 1, 2026, in multiples of $1,000 principal amount, only under the following conditions and circumstances:</w:t>
      </w:r>
    </w:p>
    <w:p>
      <w:pPr>
        <w:spacing w:after="0" w:line="55" w:lineRule="exact"/>
        <w:rPr>
          <w:sz w:val="20"/>
          <w:szCs w:val="20"/>
          <w:color w:val="auto"/>
        </w:rPr>
      </w:pPr>
    </w:p>
    <w:p>
      <w:pPr>
        <w:ind w:left="1020" w:right="80" w:hanging="504"/>
        <w:spacing w:after="0" w:line="260"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the calendar quarter ending on June 30, 2021 (and only during such calendar quarter), if the last reported sale price of our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w:t>
      </w:r>
    </w:p>
    <w:p>
      <w:pPr>
        <w:spacing w:after="0" w:line="73" w:lineRule="exact"/>
        <w:rPr>
          <w:rFonts w:ascii="Times New Roman" w:cs="Times New Roman" w:eastAsia="Times New Roman" w:hAnsi="Times New Roman"/>
          <w:sz w:val="18"/>
          <w:szCs w:val="18"/>
          <w:color w:val="auto"/>
        </w:rPr>
      </w:pPr>
    </w:p>
    <w:p>
      <w:pPr>
        <w:jc w:val="both"/>
        <w:ind w:left="1020" w:right="140" w:hanging="504"/>
        <w:spacing w:after="0" w:line="265"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five consecutive trading day period (the “measurement period”) in which the trading price per $1,000 principal amount of 2026 Senior Notes for each trading day of the measurement period was less than 98% of the product of the last reported sale price of our common stock and the conversion rate on each such trading day; or</w:t>
      </w:r>
    </w:p>
    <w:p>
      <w:pPr>
        <w:spacing w:after="0" w:line="69"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 as described in the 2026 Indenture.</w:t>
      </w:r>
    </w:p>
    <w:p>
      <w:pPr>
        <w:spacing w:after="0" w:line="225" w:lineRule="exact"/>
        <w:rPr>
          <w:sz w:val="20"/>
          <w:szCs w:val="20"/>
          <w:color w:val="auto"/>
        </w:rPr>
      </w:pPr>
    </w:p>
    <w:p>
      <w:pPr>
        <w:jc w:val="both"/>
        <w:ind w:right="100" w:firstLine="509"/>
        <w:spacing w:after="0" w:line="265" w:lineRule="auto"/>
        <w:rPr>
          <w:sz w:val="20"/>
          <w:szCs w:val="20"/>
          <w:color w:val="auto"/>
        </w:rPr>
      </w:pPr>
      <w:r>
        <w:rPr>
          <w:rFonts w:ascii="Times New Roman" w:cs="Times New Roman" w:eastAsia="Times New Roman" w:hAnsi="Times New Roman"/>
          <w:sz w:val="18"/>
          <w:szCs w:val="18"/>
          <w:color w:val="auto"/>
        </w:rPr>
        <w:t>In addition, holders may convert their 2026 Senior Notes, in multiples of $1,000 principal amount, at their option at any time beginning on or after January 1, 2026, and prior to the close of business on the second scheduled trading day immediately preceding the stated maturity date of the 2026 Senior Notes, without regard to the foregoing circumstances.</w:t>
      </w:r>
    </w:p>
    <w:p>
      <w:pPr>
        <w:spacing w:after="0" w:line="177"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The initial conversion rate for the 2026 Senior Notes is 13.5483 shares of common stock per $1,000 principal amount of 2026 Senior Notes, which is equivalent to an initial conversion price of approximately $73.81 per share of common stock, or approximately 4.7 million shares of common stock, subject to adjustment upon the occurrence of certain specified events as set forth in the 2026 Indenture. Upon conversion, the Company may choose to pay or deliver, as the case may be, cash, shares of common stock or a combination of cash and shares of common stock.</w:t>
      </w:r>
    </w:p>
    <w:p>
      <w:pPr>
        <w:spacing w:after="0" w:line="18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Company accounts for the 2026 Senior Notes as a liability measured at its amortized cost, and no other features of the 2026 Senior Notes are bifurcated and recognized as a derivative. The proceeds from the issuance of the 2026 Senior Notes were approximately $340 million, net of debt issuance costs of $5 million comprised primarily of the initial purchasers’ discount, and the Company used a portion of the proceeds from the 2026 Senior Notes to enter into capped call transactions, as discussed below. The Company intends to use the remainder of the proceeds from this offering for general corporate purposes, which may include repayment of debt, including the partial redemption and/or purchase of our 2025 Senior Notes prior to maturity. The debt issuance costs are being amortized over the remaining term of the 2026 Senior Notes, using the effective interest rate method, and recorded to interest expense on our consolidated statement of operations. During the years ended December 31, 2023, 2022 and 2021, our effective interest rate on our 2026 Senior Notes, including debt issuance costs, was approximately 0.40%, 0.47% and 0.53%, respectively, and $1 million was recorded as interest expense on our consolidated statements of operations for each of the years ended December 31, 2023, 2022 and 2021.</w:t>
      </w:r>
    </w:p>
    <w:p>
      <w:pPr>
        <w:spacing w:after="0" w:line="186" w:lineRule="exact"/>
        <w:rPr>
          <w:sz w:val="20"/>
          <w:szCs w:val="20"/>
          <w:color w:val="auto"/>
        </w:rPr>
      </w:pPr>
    </w:p>
    <w:p>
      <w:pPr>
        <w:ind w:right="480" w:firstLine="509"/>
        <w:spacing w:after="0" w:line="281" w:lineRule="auto"/>
        <w:rPr>
          <w:sz w:val="20"/>
          <w:szCs w:val="20"/>
          <w:color w:val="auto"/>
        </w:rPr>
      </w:pPr>
      <w:r>
        <w:rPr>
          <w:rFonts w:ascii="Times New Roman" w:cs="Times New Roman" w:eastAsia="Times New Roman" w:hAnsi="Times New Roman"/>
          <w:sz w:val="18"/>
          <w:szCs w:val="18"/>
          <w:color w:val="212529"/>
        </w:rPr>
        <w:t>The 2026 Senior Notes are unsecured and do not contain any financial covenants, restrictions on dividends, incurrence of senior debt or other indebtedness, or restrictions on the issuance or repurchase of securities by the Company.</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96" w:name="page97"/>
    <w:bookmarkEnd w:id="96"/>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C2C2C"/>
        </w:rPr>
        <w:t>Capped Call Transactions</w:t>
      </w:r>
    </w:p>
    <w:p>
      <w:pPr>
        <w:spacing w:after="0" w:line="22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issuance of the 2026 Senior Notes, the Company entered into privately negotiated capped call transactions (the “Capped Calls”) with certain of the initial purchasers of the 2026 Senior Notes and/or their respective affiliates and/or other financial institutions (the “Option Counterparties”) at a cost of approximately $35 million. The Capped Calls are separate transactions entered into by the Company with each of the Option Counterparties, and are not part of the terms of the 2026 Senior Notes and therefore will not affect any noteholder’s rights under the 2026 Senior Notes. Noteholders will not have any rights with respect to the Capped Calls.</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Capped Calls cover, subject to anti-dilution adjustments, substantially similar to those applicable to the conversion rate of the 2026 Senior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the number of shares of common stock initially underlying the 2026 Senior Notes, or up to approximately 4.7 million shares of our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Capped Calls are expected generally to reduce potential dilution to the common stock upon any conversion of 2026 Senior Notes and/or offset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cash payments the Company is required to make in excess of the principal amount of such converted 2026 Senior Notes, as the case may be,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reduction and/or offset subject to a cap. The strike price of the Capped Calls is $73.81, while the cap price of the Capped Calls will initially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$107.36 per share of our common stock, which represents a premium of 100% over the close price of our common stock of $53.68 per share on March 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and is subject to certain customary adjustments under the terms of the Capped Calls.</w:t>
      </w:r>
    </w:p>
    <w:p>
      <w:pPr>
        <w:spacing w:after="0" w:line="20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Capped Calls are considered indexed to our own stock and are considered equity classified under GAAP, and included as a reduction to additional paid-in-capital within stockholders’ equity on our consolidated balance sheet as of both December 31, 2023 and 2022. The Capped Calls are not accounted for as derivatives and their fair value is not remeasured each reporting period. In addition, upon entering into the Capped Calls we recorded an associated deferred tax asset of $9 million, as we made an income tax election allowable under the IRS regulations in order to recover the cost of the Capped Calls as interest expense for income tax purposes only over the term of the 2026 Senior Notes.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OTHER LONG-TERM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long-term liabilities consisted of the following as of the dates presented:</w:t>
      </w:r>
    </w:p>
    <w:p>
      <w:pPr>
        <w:spacing w:after="0" w:line="137"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6"/>
                <w:szCs w:val="16"/>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0" w:type="dxa"/>
            <w:vAlign w:val="bottom"/>
          </w:tcPr>
          <w:p>
            <w:pPr>
              <w:spacing w:after="0"/>
              <w:rPr>
                <w:sz w:val="16"/>
                <w:szCs w:val="16"/>
                <w:color w:val="auto"/>
              </w:rPr>
            </w:pPr>
          </w:p>
        </w:tc>
      </w:tr>
      <w:tr>
        <w:trPr>
          <w:trHeight w:val="169"/>
        </w:trPr>
        <w:tc>
          <w:tcPr>
            <w:tcW w:w="6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(in</w:t>
            </w: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benefits (1)</w:t>
            </w:r>
          </w:p>
        </w:tc>
        <w:tc>
          <w:tcPr>
            <w:tcW w:w="520" w:type="dxa"/>
            <w:vAlign w:val="bottom"/>
            <w:shd w:val="clear" w:color="auto" w:fill="CFF0FC"/>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shd w:val="clear" w:color="auto" w:fill="CFF0FC"/>
          </w:tcPr>
          <w:p>
            <w:pPr>
              <w:spacing w:after="0"/>
              <w:rPr>
                <w:sz w:val="21"/>
                <w:szCs w:val="21"/>
                <w:color w:val="auto"/>
              </w:rPr>
            </w:pPr>
          </w:p>
        </w:tc>
      </w:tr>
      <w:tr>
        <w:trPr>
          <w:trHeight w:val="238"/>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Deferred gain on equity method investment (2)</w:t>
            </w:r>
          </w:p>
        </w:tc>
        <w:tc>
          <w:tcPr>
            <w:tcW w:w="5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0"/>
                <w:szCs w:val="20"/>
                <w:color w:val="auto"/>
              </w:rPr>
            </w:pPr>
          </w:p>
        </w:tc>
      </w:tr>
      <w:tr>
        <w:trPr>
          <w:trHeight w:val="24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income taxes payable (3)</w:t>
            </w:r>
          </w:p>
        </w:tc>
        <w:tc>
          <w:tcPr>
            <w:tcW w:w="5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FF0FC"/>
          </w:tcPr>
          <w:p>
            <w:pPr>
              <w:spacing w:after="0"/>
              <w:rPr>
                <w:sz w:val="21"/>
                <w:szCs w:val="21"/>
                <w:color w:val="auto"/>
              </w:rPr>
            </w:pPr>
          </w:p>
        </w:tc>
      </w:tr>
      <w:tr>
        <w:trPr>
          <w:trHeight w:val="243"/>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1"/>
                <w:szCs w:val="21"/>
                <w:color w:val="auto"/>
              </w:rPr>
            </w:pPr>
          </w:p>
        </w:tc>
      </w:tr>
      <w:tr>
        <w:trPr>
          <w:trHeight w:val="256"/>
        </w:trPr>
        <w:tc>
          <w:tcPr>
            <w:tcW w:w="61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shd w:val="clear" w:color="auto" w:fill="CFF0FC"/>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shd w:val="clear" w:color="auto" w:fill="CFF0FC"/>
          </w:tcPr>
          <w:p>
            <w:pPr>
              <w:spacing w:after="0"/>
              <w:rPr>
                <w:sz w:val="22"/>
                <w:szCs w:val="22"/>
                <w:color w:val="auto"/>
              </w:rPr>
            </w:pPr>
          </w:p>
        </w:tc>
      </w:tr>
      <w:tr>
        <w:trPr>
          <w:trHeight w:val="20"/>
        </w:trPr>
        <w:tc>
          <w:tcPr>
            <w:tcW w:w="61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-24765</wp:posOffset>
            </wp:positionV>
            <wp:extent cx="596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-7620</wp:posOffset>
            </wp:positionV>
            <wp:extent cx="596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86" w:lineRule="exact"/>
        <w:rPr>
          <w:sz w:val="20"/>
          <w:szCs w:val="20"/>
          <w:color w:val="auto"/>
        </w:rPr>
      </w:pPr>
    </w:p>
    <w:p>
      <w:pPr>
        <w:ind w:left="1140" w:hanging="383"/>
        <w:spacing w:after="0"/>
        <w:tabs>
          <w:tab w:leader="none" w:pos="11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Refer to “Note 10: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for information regarding our unrecognized tax benefits. Amounts include accrued interest related to this liability.</w:t>
      </w:r>
    </w:p>
    <w:p>
      <w:pPr>
        <w:spacing w:after="0" w:line="28" w:lineRule="exact"/>
        <w:rPr>
          <w:rFonts w:ascii="Times New Roman" w:cs="Times New Roman" w:eastAsia="Times New Roman" w:hAnsi="Times New Roman"/>
          <w:sz w:val="16"/>
          <w:szCs w:val="16"/>
          <w:color w:val="auto"/>
        </w:rPr>
      </w:pPr>
    </w:p>
    <w:p>
      <w:pPr>
        <w:ind w:left="1140" w:right="100" w:hanging="383"/>
        <w:spacing w:after="0" w:line="263" w:lineRule="auto"/>
        <w:tabs>
          <w:tab w:leader="none" w:pos="11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Amount relates to long-term portion of a deferred income liability recorded as a result of an equity method investment made in the fourth quarter of 2019. Refer to “Note 3: </w:t>
      </w:r>
      <w:r>
        <w:rPr>
          <w:rFonts w:ascii="Times New Roman" w:cs="Times New Roman" w:eastAsia="Times New Roman" w:hAnsi="Times New Roman"/>
          <w:sz w:val="16"/>
          <w:szCs w:val="16"/>
          <w:i w:val="1"/>
          <w:iCs w:val="1"/>
          <w:color w:val="auto"/>
        </w:rPr>
        <w:t>Financial Instruments and Fair Value Measurements</w:t>
      </w:r>
      <w:r>
        <w:rPr>
          <w:rFonts w:ascii="Times New Roman" w:cs="Times New Roman" w:eastAsia="Times New Roman" w:hAnsi="Times New Roman"/>
          <w:sz w:val="16"/>
          <w:szCs w:val="16"/>
          <w:color w:val="auto"/>
        </w:rPr>
        <w:t>” for additional information.</w:t>
      </w:r>
    </w:p>
    <w:p>
      <w:pPr>
        <w:spacing w:after="0" w:line="1"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Amount relates to the long-term portion of transition tax payable related to the 2017 Tax Act. Refer to “Note 10: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for additional information.</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7" w:name="page98"/>
    <w:bookmarkEnd w:id="97"/>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a summary of our domestic and foreign income (loss) before income taxes for the periods presented:</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7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72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169"/>
        </w:trPr>
        <w:tc>
          <w:tcPr>
            <w:tcW w:w="5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Domestic</w:t>
            </w:r>
          </w:p>
        </w:tc>
        <w:tc>
          <w:tcPr>
            <w:tcW w:w="600" w:type="dxa"/>
            <w:vAlign w:val="bottom"/>
            <w:shd w:val="clear" w:color="auto" w:fill="CFF0FC"/>
          </w:tcPr>
          <w:p>
            <w:pPr>
              <w:jc w:val="right"/>
              <w:ind w:right="41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(127 )</w:t>
            </w:r>
          </w:p>
        </w:tc>
      </w:t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60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(58 )</w:t>
            </w:r>
          </w:p>
        </w:tc>
      </w:tr>
      <w:tr>
        <w:trPr>
          <w:trHeight w:val="20"/>
        </w:trPr>
        <w:tc>
          <w:tcPr>
            <w:tcW w:w="57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6"/>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600" w:type="dxa"/>
            <w:vAlign w:val="bottom"/>
            <w:shd w:val="clear" w:color="auto" w:fill="CFF0FC"/>
          </w:tcPr>
          <w:p>
            <w:pPr>
              <w:jc w:val="right"/>
              <w:ind w:right="41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(185 )</w:t>
            </w:r>
          </w:p>
        </w:tc>
      </w:tr>
      <w:tr>
        <w:trPr>
          <w:trHeight w:val="20"/>
        </w:trPr>
        <w:tc>
          <w:tcPr>
            <w:tcW w:w="572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4937125</wp:posOffset>
            </wp:positionH>
            <wp:positionV relativeFrom="paragraph">
              <wp:posOffset>-24765</wp:posOffset>
            </wp:positionV>
            <wp:extent cx="596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4937125</wp:posOffset>
            </wp:positionH>
            <wp:positionV relativeFrom="paragraph">
              <wp:posOffset>-7620</wp:posOffset>
            </wp:positionV>
            <wp:extent cx="596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-24765</wp:posOffset>
            </wp:positionV>
            <wp:extent cx="596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-7620</wp:posOffset>
            </wp:positionV>
            <wp:extent cx="596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our provision (benefit) for income taxes consisted of the following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9"/>
        </w:trPr>
        <w:tc>
          <w:tcPr>
            <w:tcW w:w="11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50"/>
        </w:trPr>
        <w:tc>
          <w:tcPr>
            <w:tcW w:w="1140" w:type="dxa"/>
            <w:vAlign w:val="bottom"/>
          </w:tcPr>
          <w:p>
            <w:pPr>
              <w:spacing w:after="0"/>
              <w:rPr>
                <w:sz w:val="21"/>
                <w:szCs w:val="21"/>
                <w:color w:val="auto"/>
              </w:rPr>
            </w:pPr>
          </w:p>
        </w:tc>
        <w:tc>
          <w:tcPr>
            <w:tcW w:w="3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income tax expense (benefit):</w:t>
            </w:r>
          </w:p>
        </w:tc>
        <w:tc>
          <w:tcPr>
            <w:tcW w:w="21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8"/>
        </w:trPr>
        <w:tc>
          <w:tcPr>
            <w:tcW w:w="1140" w:type="dxa"/>
            <w:vAlign w:val="bottom"/>
          </w:tcPr>
          <w:p>
            <w:pPr>
              <w:spacing w:after="0"/>
              <w:rPr>
                <w:sz w:val="20"/>
                <w:szCs w:val="20"/>
                <w:color w:val="auto"/>
              </w:rPr>
            </w:pPr>
          </w:p>
        </w:tc>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720" w:type="dxa"/>
            <w:vAlign w:val="bottom"/>
            <w:gridSpan w:val="2"/>
          </w:tcPr>
          <w:p>
            <w:pPr>
              <w:jc w:val="right"/>
              <w:ind w:right="41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Pr>
          <w:p>
            <w:pPr>
              <w:spacing w:after="0"/>
              <w:rPr>
                <w:sz w:val="20"/>
                <w:szCs w:val="20"/>
                <w:color w:val="auto"/>
              </w:rPr>
            </w:pP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3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1120" w:type="dxa"/>
            <w:vAlign w:val="bottom"/>
          </w:tcPr>
          <w:p>
            <w:pPr>
              <w:spacing w:after="0"/>
              <w:rPr>
                <w:sz w:val="21"/>
                <w:szCs w:val="21"/>
                <w:color w:val="auto"/>
              </w:rPr>
            </w:pPr>
          </w:p>
        </w:tc>
      </w:tr>
      <w:tr>
        <w:trPr>
          <w:trHeight w:val="238"/>
        </w:trPr>
        <w:tc>
          <w:tcPr>
            <w:tcW w:w="1140" w:type="dxa"/>
            <w:vAlign w:val="bottom"/>
          </w:tcPr>
          <w:p>
            <w:pPr>
              <w:spacing w:after="0"/>
              <w:rPr>
                <w:sz w:val="20"/>
                <w:szCs w:val="20"/>
                <w:color w:val="auto"/>
              </w:rPr>
            </w:pPr>
          </w:p>
        </w:tc>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1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0"/>
        </w:trPr>
        <w:tc>
          <w:tcPr>
            <w:tcW w:w="1140" w:type="dxa"/>
            <w:vAlign w:val="bottom"/>
          </w:tcPr>
          <w:p>
            <w:pPr>
              <w:spacing w:after="0"/>
              <w:rPr>
                <w:sz w:val="20"/>
                <w:szCs w:val="20"/>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income tax expense (benefit)</w:t>
            </w:r>
          </w:p>
        </w:tc>
        <w:tc>
          <w:tcPr>
            <w:tcW w:w="21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4"/>
        </w:trPr>
        <w:tc>
          <w:tcPr>
            <w:tcW w:w="114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2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6"/>
        </w:trPr>
        <w:tc>
          <w:tcPr>
            <w:tcW w:w="1140" w:type="dxa"/>
            <w:vAlign w:val="bottom"/>
          </w:tcPr>
          <w:p>
            <w:pPr>
              <w:spacing w:after="0"/>
              <w:rPr>
                <w:sz w:val="3"/>
                <w:szCs w:val="3"/>
                <w:color w:val="auto"/>
              </w:rPr>
            </w:pPr>
          </w:p>
        </w:tc>
        <w:tc>
          <w:tcPr>
            <w:tcW w:w="36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3"/>
        </w:trPr>
        <w:tc>
          <w:tcPr>
            <w:tcW w:w="1140" w:type="dxa"/>
            <w:vAlign w:val="bottom"/>
          </w:tcPr>
          <w:p>
            <w:pPr>
              <w:spacing w:after="0"/>
              <w:rPr>
                <w:sz w:val="21"/>
                <w:szCs w:val="21"/>
                <w:color w:val="auto"/>
              </w:rPr>
            </w:pPr>
          </w:p>
        </w:tc>
        <w:tc>
          <w:tcPr>
            <w:tcW w:w="3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(9 )</w:t>
            </w: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(19 )</w:t>
            </w:r>
          </w:p>
        </w:tc>
        <w:tc>
          <w:tcPr>
            <w:tcW w:w="18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(21 )</w:t>
            </w:r>
          </w:p>
        </w:tc>
        <w:tc>
          <w:tcPr>
            <w:tcW w:w="1120" w:type="dxa"/>
            <w:vAlign w:val="bottom"/>
          </w:tcPr>
          <w:p>
            <w:pPr>
              <w:spacing w:after="0"/>
              <w:rPr>
                <w:sz w:val="21"/>
                <w:szCs w:val="21"/>
                <w:color w:val="auto"/>
              </w:rPr>
            </w:pPr>
          </w:p>
        </w:tc>
      </w:tr>
      <w:tr>
        <w:trPr>
          <w:trHeight w:val="238"/>
        </w:trPr>
        <w:tc>
          <w:tcPr>
            <w:tcW w:w="1140" w:type="dxa"/>
            <w:vAlign w:val="bottom"/>
          </w:tcPr>
          <w:p>
            <w:pPr>
              <w:spacing w:after="0"/>
              <w:rPr>
                <w:sz w:val="20"/>
                <w:szCs w:val="20"/>
                <w:color w:val="auto"/>
              </w:rPr>
            </w:pPr>
          </w:p>
        </w:tc>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(5 )</w:t>
            </w: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3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(22 )</w:t>
            </w: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(18 )</w:t>
            </w:r>
          </w:p>
        </w:tc>
        <w:tc>
          <w:tcPr>
            <w:tcW w:w="112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3600" w:type="dxa"/>
            <w:vAlign w:val="bottom"/>
            <w:shd w:val="clear" w:color="auto" w:fill="CFF0FC"/>
          </w:tcPr>
          <w:p>
            <w:pPr>
              <w:spacing w:after="0" w:line="20" w:lineRule="exact"/>
              <w:rPr>
                <w:sz w:val="1"/>
                <w:szCs w:val="1"/>
                <w:color w:val="auto"/>
              </w:rPr>
            </w:pPr>
          </w:p>
        </w:tc>
        <w:tc>
          <w:tcPr>
            <w:tcW w:w="212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6"/>
        </w:trPr>
        <w:tc>
          <w:tcPr>
            <w:tcW w:w="114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2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(25 )</w:t>
            </w:r>
          </w:p>
        </w:tc>
        <w:tc>
          <w:tcPr>
            <w:tcW w:w="2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(19 )</w:t>
            </w:r>
          </w:p>
        </w:tc>
        <w:tc>
          <w:tcPr>
            <w:tcW w:w="18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(44 )</w:t>
            </w:r>
          </w:p>
        </w:tc>
        <w:tc>
          <w:tcPr>
            <w:tcW w:w="112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76"/>
        </w:trPr>
        <w:tc>
          <w:tcPr>
            <w:tcW w:w="1140" w:type="dxa"/>
            <w:vAlign w:val="bottom"/>
          </w:tcPr>
          <w:p>
            <w:pPr>
              <w:spacing w:after="0"/>
              <w:rPr>
                <w:sz w:val="24"/>
                <w:szCs w:val="24"/>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120" w:type="dxa"/>
            <w:vAlign w:val="bottom"/>
            <w:shd w:val="clear" w:color="auto" w:fill="CFF0FC"/>
          </w:tcPr>
          <w:p>
            <w:pPr>
              <w:spacing w:after="0"/>
              <w:rPr>
                <w:sz w:val="24"/>
                <w:szCs w:val="24"/>
                <w:color w:val="auto"/>
              </w:rPr>
            </w:pPr>
          </w:p>
        </w:tc>
        <w:tc>
          <w:tcPr>
            <w:tcW w:w="60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shd w:val="clear" w:color="auto" w:fill="CFF0FC"/>
          </w:tcPr>
          <w:p>
            <w:pPr>
              <w:spacing w:after="0"/>
              <w:rPr>
                <w:sz w:val="24"/>
                <w:szCs w:val="24"/>
                <w:color w:val="auto"/>
              </w:rPr>
            </w:pP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shd w:val="clear" w:color="auto" w:fill="CFF0FC"/>
          </w:tcPr>
          <w:p>
            <w:pPr>
              <w:spacing w:after="0"/>
              <w:rPr>
                <w:sz w:val="24"/>
                <w:szCs w:val="24"/>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(37 )</w:t>
            </w:r>
          </w:p>
        </w:tc>
        <w:tc>
          <w:tcPr>
            <w:tcW w:w="1120" w:type="dxa"/>
            <w:vAlign w:val="bottom"/>
          </w:tcPr>
          <w:p>
            <w:pPr>
              <w:spacing w:after="0"/>
              <w:rPr>
                <w:sz w:val="24"/>
                <w:szCs w:val="24"/>
                <w:color w:val="auto"/>
              </w:rPr>
            </w:pPr>
          </w:p>
        </w:tc>
      </w:tr>
      <w:tr>
        <w:trPr>
          <w:trHeight w:val="848"/>
        </w:trPr>
        <w:tc>
          <w:tcPr>
            <w:tcW w:w="1140" w:type="dxa"/>
            <w:vAlign w:val="bottom"/>
          </w:tcPr>
          <w:p>
            <w:pPr>
              <w:spacing w:after="0"/>
              <w:rPr>
                <w:sz w:val="24"/>
                <w:szCs w:val="24"/>
                <w:color w:val="auto"/>
              </w:rPr>
            </w:pPr>
          </w:p>
        </w:tc>
        <w:tc>
          <w:tcPr>
            <w:tcW w:w="3600" w:type="dxa"/>
            <w:vAlign w:val="bottom"/>
            <w:tcBorders>
              <w:top w:val="single" w:sz="8" w:color="CFF0FC"/>
            </w:tcBorders>
          </w:tcPr>
          <w:p>
            <w:pPr>
              <w:spacing w:after="0"/>
              <w:rPr>
                <w:sz w:val="24"/>
                <w:szCs w:val="24"/>
                <w:color w:val="auto"/>
              </w:rPr>
            </w:pPr>
          </w:p>
        </w:tc>
        <w:tc>
          <w:tcPr>
            <w:tcW w:w="2120" w:type="dxa"/>
            <w:vAlign w:val="bottom"/>
            <w:tcBorders>
              <w:top w:val="single" w:sz="8" w:color="CFF0FC"/>
            </w:tcBorders>
          </w:tcPr>
          <w:p>
            <w:pPr>
              <w:jc w:val="right"/>
              <w:ind w:right="1050"/>
              <w:spacing w:after="0"/>
              <w:rPr>
                <w:sz w:val="20"/>
                <w:szCs w:val="20"/>
                <w:color w:val="auto"/>
              </w:rPr>
            </w:pPr>
            <w:r>
              <w:rPr>
                <w:rFonts w:ascii="Times New Roman" w:cs="Times New Roman" w:eastAsia="Times New Roman" w:hAnsi="Times New Roman"/>
                <w:sz w:val="18"/>
                <w:szCs w:val="18"/>
                <w:color w:val="auto"/>
              </w:rPr>
              <w:t>96</w:t>
            </w:r>
          </w:p>
        </w:tc>
        <w:tc>
          <w:tcPr>
            <w:tcW w:w="6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762"/>
        </w:trPr>
        <w:tc>
          <w:tcPr>
            <w:tcW w:w="114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4937125</wp:posOffset>
            </wp:positionH>
            <wp:positionV relativeFrom="paragraph">
              <wp:posOffset>-1395095</wp:posOffset>
            </wp:positionV>
            <wp:extent cx="596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-1395095</wp:posOffset>
            </wp:positionV>
            <wp:extent cx="596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-1395095</wp:posOffset>
            </wp:positionV>
            <wp:extent cx="514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4937125</wp:posOffset>
            </wp:positionH>
            <wp:positionV relativeFrom="paragraph">
              <wp:posOffset>-1069975</wp:posOffset>
            </wp:positionV>
            <wp:extent cx="596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4937125</wp:posOffset>
            </wp:positionH>
            <wp:positionV relativeFrom="paragraph">
              <wp:posOffset>-1052830</wp:posOffset>
            </wp:positionV>
            <wp:extent cx="596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-1069975</wp:posOffset>
            </wp:positionV>
            <wp:extent cx="596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-1052830</wp:posOffset>
            </wp:positionV>
            <wp:extent cx="596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-1069975</wp:posOffset>
            </wp:positionV>
            <wp:extent cx="514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-1052830</wp:posOffset>
            </wp:positionV>
            <wp:extent cx="514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significant components of our deferred tax assets and deferred tax liabilities consisted of the following as of the dates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10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7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72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w w:val="88"/>
              </w:rPr>
              <w:t>millions)</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50"/>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0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tcPr>
          <w:p>
            <w:pPr>
              <w:jc w:val="right"/>
              <w:ind w:right="87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8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accrued expenses</w:t>
            </w:r>
          </w:p>
        </w:tc>
        <w:tc>
          <w:tcPr>
            <w:tcW w:w="10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financing obligation</w:t>
            </w:r>
          </w:p>
        </w:tc>
        <w:tc>
          <w:tcPr>
            <w:tcW w:w="108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advertising spend</w:t>
            </w:r>
          </w:p>
        </w:tc>
        <w:tc>
          <w:tcPr>
            <w:tcW w:w="10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credit carryforward</w:t>
            </w:r>
          </w:p>
        </w:tc>
        <w:tc>
          <w:tcPr>
            <w:tcW w:w="108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research expenses</w:t>
            </w:r>
          </w:p>
        </w:tc>
        <w:tc>
          <w:tcPr>
            <w:tcW w:w="10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carryforward</w:t>
            </w:r>
          </w:p>
        </w:tc>
        <w:tc>
          <w:tcPr>
            <w:tcW w:w="108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80" w:type="dxa"/>
            <w:vAlign w:val="bottom"/>
            <w:shd w:val="clear" w:color="auto" w:fill="CFF0FC"/>
          </w:tcPr>
          <w:p>
            <w:pPr>
              <w:jc w:val="right"/>
              <w:ind w:right="87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080" w:type="dxa"/>
            <w:vAlign w:val="bottom"/>
          </w:tcPr>
          <w:p>
            <w:pPr>
              <w:spacing w:after="0"/>
              <w:rPr>
                <w:sz w:val="20"/>
                <w:szCs w:val="20"/>
                <w:color w:val="auto"/>
              </w:rPr>
            </w:pPr>
          </w:p>
        </w:tc>
        <w:tc>
          <w:tcPr>
            <w:tcW w:w="7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(106 )</w:t>
            </w:r>
          </w:p>
        </w:tc>
        <w:tc>
          <w:tcPr>
            <w:tcW w:w="4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(114 )</w:t>
            </w:r>
          </w:p>
        </w:tc>
      </w:tr>
      <w:tr>
        <w:trPr>
          <w:trHeight w:val="23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1080" w:type="dxa"/>
            <w:vAlign w:val="bottom"/>
            <w:tcBorders>
              <w:top w:val="single" w:sz="8" w:color="auto"/>
              <w:bottom w:val="single" w:sz="8" w:color="auto"/>
            </w:tcBorders>
            <w:shd w:val="clear" w:color="auto" w:fill="CFF0FC"/>
          </w:tcPr>
          <w:p>
            <w:pPr>
              <w:jc w:val="right"/>
              <w:ind w:right="87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8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
        </w:trPr>
        <w:tc>
          <w:tcPr>
            <w:tcW w:w="7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080" w:type="dxa"/>
            <w:vAlign w:val="bottom"/>
            <w:shd w:val="clear" w:color="auto" w:fill="CFF0FC"/>
          </w:tcPr>
          <w:p>
            <w:pPr>
              <w:jc w:val="right"/>
              <w:ind w:right="87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(42 )</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(48 )</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080" w:type="dxa"/>
            <w:vAlign w:val="bottom"/>
          </w:tcPr>
          <w:p>
            <w:pPr>
              <w:spacing w:after="0"/>
              <w:rPr>
                <w:sz w:val="20"/>
                <w:szCs w:val="20"/>
                <w:color w:val="auto"/>
              </w:rPr>
            </w:pPr>
          </w:p>
        </w:tc>
        <w:tc>
          <w:tcPr>
            <w:tcW w:w="7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(3 )</w:t>
            </w:r>
          </w:p>
        </w:tc>
        <w:tc>
          <w:tcPr>
            <w:tcW w:w="4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08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(4 )</w:t>
            </w:r>
          </w:p>
        </w:tc>
        <w:tc>
          <w:tcPr>
            <w:tcW w:w="4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 corporate headquarters</w:t>
            </w:r>
          </w:p>
        </w:tc>
        <w:tc>
          <w:tcPr>
            <w:tcW w:w="1080" w:type="dxa"/>
            <w:vAlign w:val="bottom"/>
          </w:tcPr>
          <w:p>
            <w:pPr>
              <w:spacing w:after="0"/>
              <w:rPr>
                <w:sz w:val="20"/>
                <w:szCs w:val="20"/>
                <w:color w:val="auto"/>
              </w:rPr>
            </w:pPr>
          </w:p>
        </w:tc>
        <w:tc>
          <w:tcPr>
            <w:tcW w:w="7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(12 )</w:t>
            </w:r>
          </w:p>
        </w:tc>
        <w:tc>
          <w:tcPr>
            <w:tcW w:w="4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(1 )</w:t>
            </w:r>
          </w:p>
        </w:tc>
        <w:tc>
          <w:tcPr>
            <w:tcW w:w="4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r>
      <w:tr>
        <w:trPr>
          <w:trHeight w:val="20"/>
        </w:trPr>
        <w:tc>
          <w:tcPr>
            <w:tcW w:w="774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80" w:type="dxa"/>
            <w:vAlign w:val="bottom"/>
          </w:tcPr>
          <w:p>
            <w:pPr>
              <w:jc w:val="right"/>
              <w:ind w:right="87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(62 )</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(75 )</w:t>
            </w: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1080" w:type="dxa"/>
            <w:vAlign w:val="bottom"/>
            <w:tcBorders>
              <w:top w:val="single" w:sz="8" w:color="auto"/>
              <w:bottom w:val="single" w:sz="8" w:color="auto"/>
            </w:tcBorders>
            <w:shd w:val="clear" w:color="auto" w:fill="CFF0FC"/>
          </w:tcPr>
          <w:p>
            <w:pPr>
              <w:jc w:val="right"/>
              <w:ind w:right="87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-1301115</wp:posOffset>
            </wp:positionV>
            <wp:extent cx="768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-1301115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-350520</wp:posOffset>
            </wp:positionV>
            <wp:extent cx="768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-24765</wp:posOffset>
            </wp:positionV>
            <wp:extent cx="768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7683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At December 31, 2023, we had federal, state, and foreign net operating loss carryforwards (“NOLs”) of approximately $2 million, $54 million, and $364 million, respectively. U.S. federal NOLs of $2 million expire at various times starting from 2029. State NOLs of $11 million may be carried forward indefinitely, while the remaining state NOLs of $43 million expire at various times starting from 2024. Foreign NOLs of $339 million may be carried forward indefinitely, while the remaining foreign NOLs of $25 million expire at various times starting from 2024.</w:t>
      </w:r>
    </w:p>
    <w:p>
      <w:pPr>
        <w:spacing w:after="0" w:line="182" w:lineRule="exact"/>
        <w:rPr>
          <w:sz w:val="20"/>
          <w:szCs w:val="20"/>
          <w:color w:val="auto"/>
        </w:rPr>
      </w:pPr>
    </w:p>
    <w:p>
      <w:pPr>
        <w:ind w:right="180" w:firstLine="509"/>
        <w:spacing w:after="0" w:line="265" w:lineRule="auto"/>
        <w:rPr>
          <w:sz w:val="20"/>
          <w:szCs w:val="20"/>
          <w:color w:val="auto"/>
        </w:rPr>
      </w:pPr>
      <w:r>
        <w:rPr>
          <w:rFonts w:ascii="Times New Roman" w:cs="Times New Roman" w:eastAsia="Times New Roman" w:hAnsi="Times New Roman"/>
          <w:sz w:val="18"/>
          <w:szCs w:val="18"/>
          <w:color w:val="auto"/>
        </w:rPr>
        <w:t>As of December 31, 2023, we had a valuation allowance of approximately $106 million related to certain NOL carryforwards and other foreign deferred tax assets for which it is more likely than not, the tax benefit will not be realized. This amount represented a decrease of $8 million, as compared to the balance as of December 31, 2022. The decrease was primarily related to a change in a deferred tax asset in our U.K. subsidiaries.</w:t>
      </w:r>
    </w:p>
    <w:p>
      <w:pPr>
        <w:spacing w:after="0" w:line="177"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8"/>
          <w:szCs w:val="18"/>
          <w:color w:val="auto"/>
        </w:rPr>
        <w:t>Except for such foreign deferred tax assets, discussed above, we expect to realize all of our deferred tax assets. Due to economic uncertainty and global inflationary pressures, we will continue to monitor our financial performance to determine if the valuation allowance against our deferred tax assets may be necessary in the future.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192" w:lineRule="exact"/>
        <w:rPr>
          <w:sz w:val="20"/>
          <w:szCs w:val="20"/>
          <w:color w:val="auto"/>
        </w:rPr>
      </w:pPr>
    </w:p>
    <w:p>
      <w:pPr>
        <w:ind w:right="320" w:firstLine="509"/>
        <w:spacing w:after="0" w:line="281" w:lineRule="auto"/>
        <w:rPr>
          <w:sz w:val="20"/>
          <w:szCs w:val="20"/>
          <w:color w:val="auto"/>
        </w:rPr>
      </w:pPr>
      <w:r>
        <w:rPr>
          <w:rFonts w:ascii="Times New Roman" w:cs="Times New Roman" w:eastAsia="Times New Roman" w:hAnsi="Times New Roman"/>
          <w:sz w:val="18"/>
          <w:szCs w:val="18"/>
          <w:color w:val="auto"/>
        </w:rPr>
        <w:t>A reconciliation of the provision (benefit) for income taxes to the amounts computed by applying the statutory federal income tax rate to income (loss) before income taxes is as follows for the periods presented: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60" w:type="dxa"/>
            <w:vAlign w:val="bottom"/>
          </w:tcPr>
          <w:p>
            <w:pPr>
              <w:spacing w:after="0"/>
              <w:rPr>
                <w:sz w:val="14"/>
                <w:szCs w:val="14"/>
                <w:color w:val="auto"/>
              </w:rPr>
            </w:pPr>
          </w:p>
        </w:tc>
        <w:tc>
          <w:tcPr>
            <w:tcW w:w="9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6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 at the federal statutory rate</w:t>
            </w:r>
          </w:p>
        </w:tc>
        <w:tc>
          <w:tcPr>
            <w:tcW w:w="94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(39 )</w:t>
            </w:r>
          </w:p>
        </w:tc>
      </w:tr>
      <w:tr>
        <w:trPr>
          <w:trHeight w:val="23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rate differential (1)</w:t>
            </w:r>
          </w:p>
        </w:tc>
        <w:tc>
          <w:tcPr>
            <w:tcW w:w="94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 income taxes, net of effect of federal tax benefit</w:t>
            </w:r>
          </w:p>
        </w:tc>
        <w:tc>
          <w:tcPr>
            <w:tcW w:w="94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r>
      <w:tr>
        <w:trPr>
          <w:trHeight w:val="23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 and related interest</w:t>
            </w:r>
          </w:p>
        </w:tc>
        <w:tc>
          <w:tcPr>
            <w:tcW w:w="9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IRS audit settlement</w:t>
            </w:r>
          </w:p>
        </w:tc>
        <w:tc>
          <w:tcPr>
            <w:tcW w:w="94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 pricing reserve adjustment</w:t>
            </w:r>
          </w:p>
        </w:tc>
        <w:tc>
          <w:tcPr>
            <w:tcW w:w="9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FDII, GILTI and other provisions</w:t>
            </w:r>
          </w:p>
        </w:tc>
        <w:tc>
          <w:tcPr>
            <w:tcW w:w="94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(2 )</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tax credit</w:t>
            </w:r>
          </w:p>
        </w:tc>
        <w:tc>
          <w:tcPr>
            <w:tcW w:w="94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(2 )</w:t>
            </w: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r>
      <w:tr>
        <w:trPr>
          <w:trHeight w:val="23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4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Executive compensation</w:t>
            </w:r>
          </w:p>
        </w:tc>
        <w:tc>
          <w:tcPr>
            <w:tcW w:w="94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1"/>
                <w:szCs w:val="21"/>
                <w:color w:val="auto"/>
              </w:rPr>
            </w:pPr>
          </w:p>
        </w:tc>
      </w:tr>
      <w:tr>
        <w:trPr>
          <w:trHeight w:val="23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94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(2 )</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r>
      <w:tr>
        <w:trPr>
          <w:trHeight w:val="20"/>
        </w:trPr>
        <w:tc>
          <w:tcPr>
            <w:tcW w:w="66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94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(37 )</w:t>
            </w:r>
          </w:p>
        </w:tc>
      </w:tr>
      <w:tr>
        <w:trPr>
          <w:trHeight w:val="20"/>
        </w:trPr>
        <w:tc>
          <w:tcPr>
            <w:tcW w:w="666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5082540</wp:posOffset>
            </wp:positionH>
            <wp:positionV relativeFrom="paragraph">
              <wp:posOffset>-24765</wp:posOffset>
            </wp:positionV>
            <wp:extent cx="768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-7620</wp:posOffset>
            </wp:positionV>
            <wp:extent cx="768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-24765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-7620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ind w:left="1020" w:hanging="504"/>
        <w:spacing w:after="0"/>
        <w:tabs>
          <w:tab w:leader="none" w:pos="10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2021, intercompany debt was extinguished, which resulted in a reduction of our overall foreign rate differential.</w:t>
      </w:r>
    </w:p>
    <w:p>
      <w:pPr>
        <w:spacing w:after="0" w:line="20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CARES Act allowed the Company to carryback our U.S. federal NOLs incurred in 2020, generating an expected U.S. federal tax benefit of $76 million, of which $64 million was refunded during the year ended December 31, 2022 ($15 million of this refund is recorded in other long-term liabilities on our consolidated balance sheet as of December 31, 2023, reflecting future transition tax payments to be made by the Company related to the 2017 Tax Act). The remaining refund of $12 million is included in accrued expenses and other current liabilities on our consolidated balance sheet as of December 31, 2023 and 2022, and is expected to be received during the year ending December 31, 2024.</w:t>
      </w:r>
    </w:p>
    <w:p>
      <w:pPr>
        <w:spacing w:after="0" w:line="18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addition, certain governments have passed legislation to assist businesses during the COVID-19 pandemic through loans, wage subsidies, wage tax relief or other financial aid. We participated in several of these programs, including the CARES Act in the U.S., the United Kingdom's job retention scheme, as well as similar programs in other global jurisdictions. In addition, in certain countries, such as within the European Union, Singapore, Australia, and other global jurisdictions, we also participated in programs where government assistance was in the form of wage subsidies and reductions in wage-related employer taxes paid by us. We recognize these government assistance benefits when there is a reasonable assurance of compliance with the conditions associated with the assistance and the amount is received. During the years ended December 31, 2022 and 2021, we recognized government grants and other assistance benefits of $12 million and $9 million, respectively, while this amount was not material during the year ended December 31, 2023. These amounts are not income tax related and were recorded as a reduction of personnel and overhead costs within operating expenses in the consolidated statements of operations. The Company does not expect any additional future benefits of this nature.</w:t>
      </w:r>
    </w:p>
    <w:p>
      <w:pPr>
        <w:spacing w:after="0" w:line="186"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Due to the one-time transition tax on the deemed repatriation of undistributed foreign subsidiary earnings and profits in 2017, the majority of previously unremitted earnings have been subjected to U.S. federal income tax. To the extent future distributions from these subsidiaries will be taxable, a deferred tax liability has been accrued which was not material as of December 31, 2023. As of December 31, 2023, $483 million of our cumulative undistributed foreign earnings were no longer considered to be indefinitely reinvested.</w:t>
      </w:r>
    </w:p>
    <w:p>
      <w:pPr>
        <w:spacing w:after="0" w:line="182"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For purposes of governing certain of the ongoing relationships between Tripadvisor and Expedia at and after the Spin-Off, and to provide for an orderly transition, Tripadvisor and Expedia entered into various agreements at the time of the Spin-Off, and Tripadvisor has satisfied its obligations under such agreements. However, Tripadvisor continues to be subject to certain post Spin-Off obligations under the Tax Sharing Agreement. Under the Tax Sharing Agreement between Tripadvisor and Expedia, Tripadvisor is generally required to indemnify Expedia for any taxes resulting from the Spin-Off (and any related interest, penalties, legal and professional fees, and all costs and damages associated with related stockholder litigation or controversies) to the extent such amounts resulted from (i) any act or failure to act by Tripadvisor described in the covenants in the tax sharing agreement, (ii) any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92"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acquisition of Tripadvisor equity securities or assets or those of a member of the Tripadvisor group, or (iii) any failure of the representations with respect to Tripadvisor or any member of our group to be true or any breach by Tripadvisor or any member of the Tripadvisor group of any covenant, in each case, which is contained in the separation documents or in the documents relating to the IRS private letter ruling and/or the opinion of counsel.</w:t>
      </w:r>
    </w:p>
    <w:p>
      <w:pPr>
        <w:spacing w:after="0" w:line="17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are currently under examination by the IRS for the 2014 through 2016 and 2018 tax years and have various ongoing audits for foreign and state income tax returns. These audits include questions regarding or review of the timing and amount of income and deductions and the allocation of income among various tax jurisdictions. These examinations may lead to proposed or ordinary course adjustments to our taxes. We are no longer subject to tax examinations by tax authorities for years prior to 2014. As of December 31, 2023, no material assessments have resulted, except as noted below regarding our 2009, 2010, and 2011 IRS audit with Expedia, our 2014 through 2016 standalone IRS audit, and our 2012 through 2016 HM Revenue &amp; Customs (“HMRC”) audit.</w:t>
      </w:r>
    </w:p>
    <w:p>
      <w:pPr>
        <w:spacing w:after="0" w:line="18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As disclosed in previous filings, including in our Annual Report on Form 10-K for the year ended December 31, 2022, we received Notices of Proposed Adjustments ("NOPA") from the IRS with respect to income tax returns filed by Expedia when Tripadvisor was part of Expedia Group’s consolidated income tax return for the 2009, 2010, and 2011 tax years. The assessment was related to certain transfer pricing arrangements with foreign subsidiaries, for which we had requested competent authority assistance under the Mutual Agreement Procedure (“MAP”) for the 2009 through 2011 tax years. In January 2023, we received a final notice from the IRS regarding a MAP settlement for the 2009 through 2011 tax years, which the Company accepted in February 2023. In the first quarter of 2023, we recorded additional income tax expense as a discrete item, inclusive of interest, of $31 million specifically related to this settlement. During the first quarter of 2023, we reviewed the impact of the acceptance of this settlement position against our existing transfer pricing income tax reserves for the subsequent tax years, which resulted in incremental income tax expense, inclusive of estimated interest, of $24 million. The total impact of these adjustments resulted in an incremental income tax expense of $55 million, which was recognized during the three months ended March 31, 2023. During the three months ended June 30, 2023, we made a U.S. federal tax payment of $113 million, inclusive of interest, to Expedia related to this IRS audit settlement, pursuant to the Tax Sharing Agreement with Expedia. During the three months ended September 30, 2023, we received the expected competent authority refund of $49 million, inclusive of interest income. We anticipate the federal tax benefits, net of remaining state tax payments due, associated with this IRS audit settlement will be substantially settled during 2024, resulting in an estimated net cash inflow of $5 million to $10 million.</w:t>
      </w:r>
    </w:p>
    <w:p>
      <w:pPr>
        <w:spacing w:after="0" w:line="194"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Separately, during August 2020, we received a NOPA from the IRS for the 2014, 2015, and 2016 tax years. These proposed adjustments pertain to certain transfer pricing arrangements with our foreign subsidiaries. We disagree with the proposed adjustments, and we intend to defend our position through applicable administrative and, if necessary, judicial remedies. In addition to the risk of additional tax for the years discussed above, if the IRS were to seek transfer pricing adjustments of a similar nature for transactions in subsequent years, we may be subject to significant additional tax liabilities. We have previously requested competent authority assistance under MAP for the tax years 2014 through 2016. We reviewed our transfer pricing reserves as of December 31, 2023 and, based on the facts and circumstances that existed as of the reporting date, consider them to be the Company’s best estimate as of December 31, 2023. In January 2024, we received notification of a MAP resolution agreement for the 2014 through 2016 tax years, which we accepted in February 2024. We anticipate this will result in an increase to our worldwide income tax expense in an estimated range of $30 million to $60 million in the first quarter of 2024, and will result in an estimated net operating cash outflow of $80 million to $130 million expected during 2024. These estimated ranges take into consideration competent authority relief, existing income tax reserves, transition tax regulations and estimated interest expense. This MAP resolution supersedes the NOPA for 2014 through 2016 from the IRS, described above. We will review the impact of this resolution in relation to our transfer pricing income tax reserves for the subsequent open tax years during the first quarter of 2024. Based on this new information received subsequent to December 31, 2023, adjustments for the open tax years subsequent to 2016 may also occur, which could be material.</w:t>
      </w:r>
    </w:p>
    <w:p>
      <w:pPr>
        <w:spacing w:after="0" w:line="195"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As of December 31, 2022, we had recorded $204 million of unrecognized tax benefits, inclusive of interest, classified as other long-term liabilities on our consolidated balance sheet. As a result of the Company's acceptance of MAP with the IRS for the tax years 2009 through 2011, and its impact on other ongoing IRS audits, as described above, during the first quarter of 2023, we reduced this unrecognized tax benefits liability by $59 million, reclassifying this balance to accrued expenses and other current liabilities on our consolidated balance sheet, which</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1" w:name="page102"/>
    <w:bookmarkEnd w:id="101"/>
    <w:p>
      <w:pPr>
        <w:spacing w:after="0" w:line="192"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8"/>
          <w:szCs w:val="18"/>
          <w:color w:val="auto"/>
        </w:rPr>
        <w:t>was subsequently paid during 2023. We also reduced our long-term income taxes receivable by $45 million, representing our estimate of competent authority relief, or payment due from a foreign jurisdiction, which was received during the third quarter of 2023, as noted above, previously recorded to other long-term assets on our consolidated balance sheet as of December 31, 2022.</w:t>
      </w:r>
    </w:p>
    <w:p>
      <w:pPr>
        <w:spacing w:after="0" w:line="17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January 2021, we received from HMRC an issue closure notice relating to adjustments for 2012 through 2016 tax years. These proposed adjustments are related to certain transfer pricing arrangements with our foreign subsidiaries and would result in an increase to our worldwide income tax expense in an estimated range of $25 million to $35 million, exclusive of interest expense, at the close of the audit if HMRC prevails. We disagree with the proposed adjustments and we intend to defend our position through applicable administrative and, if necessary, judicial remedies. Our policy is to review and update tax reserves as facts and circumstances change.</w:t>
      </w:r>
    </w:p>
    <w:p>
      <w:pPr>
        <w:spacing w:after="0" w:line="182"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A reconciliation of the beginning and ending amount of gross unrecognized tax benefits (excluding interest and penalties) is as follows during the periods presented: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60" w:type="dxa"/>
            <w:vAlign w:val="bottom"/>
          </w:tcPr>
          <w:p>
            <w:pPr>
              <w:spacing w:after="0"/>
              <w:rPr>
                <w:sz w:val="14"/>
                <w:szCs w:val="14"/>
                <w:color w:val="auto"/>
              </w:rPr>
            </w:pPr>
          </w:p>
        </w:tc>
        <w:tc>
          <w:tcPr>
            <w:tcW w:w="9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4"/>
        </w:trPr>
        <w:tc>
          <w:tcPr>
            <w:tcW w:w="6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1"/>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0"/>
                <w:szCs w:val="20"/>
                <w:color w:val="auto"/>
              </w:rPr>
            </w:pPr>
          </w:p>
        </w:tc>
      </w:tr>
      <w:tr>
        <w:trPr>
          <w:trHeight w:val="249"/>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Increases to tax positions related to the current year</w:t>
            </w:r>
          </w:p>
        </w:tc>
        <w:tc>
          <w:tcPr>
            <w:tcW w:w="94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1"/>
                <w:szCs w:val="21"/>
                <w:color w:val="auto"/>
              </w:rPr>
            </w:pPr>
          </w:p>
        </w:tc>
      </w:tr>
      <w:tr>
        <w:trPr>
          <w:trHeight w:val="23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to tax positions related to the prior year</w:t>
            </w:r>
          </w:p>
        </w:tc>
        <w:tc>
          <w:tcPr>
            <w:tcW w:w="9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Decreases due to lapsed statute of limitations</w:t>
            </w:r>
          </w:p>
        </w:tc>
        <w:tc>
          <w:tcPr>
            <w:tcW w:w="94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(20 )</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Decreases due to tax positions related to the prior year</w:t>
            </w:r>
          </w:p>
        </w:tc>
        <w:tc>
          <w:tcPr>
            <w:tcW w:w="94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(6 )</w:t>
            </w:r>
          </w:p>
        </w:tc>
        <w:tc>
          <w:tcPr>
            <w:tcW w:w="14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3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Settlements during current year</w:t>
            </w:r>
          </w:p>
        </w:tc>
        <w:tc>
          <w:tcPr>
            <w:tcW w:w="94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(40 )</w:t>
            </w:r>
          </w:p>
        </w:tc>
        <w:tc>
          <w:tcPr>
            <w:tcW w:w="1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r>
      <w:tr>
        <w:trPr>
          <w:trHeight w:val="236"/>
        </w:trPr>
        <w:tc>
          <w:tcPr>
            <w:tcW w:w="66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94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4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top w:val="single" w:sz="8" w:color="CFF0FC"/>
            </w:tcBorders>
          </w:tcPr>
          <w:p>
            <w:pPr>
              <w:spacing w:after="0"/>
              <w:rPr>
                <w:sz w:val="20"/>
                <w:szCs w:val="20"/>
                <w:color w:val="auto"/>
              </w:rPr>
            </w:pPr>
          </w:p>
        </w:tc>
      </w:tr>
      <w:tr>
        <w:trPr>
          <w:trHeight w:val="20"/>
        </w:trPr>
        <w:tc>
          <w:tcPr>
            <w:tcW w:w="6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5082540</wp:posOffset>
            </wp:positionH>
            <wp:positionV relativeFrom="paragraph">
              <wp:posOffset>-187960</wp:posOffset>
            </wp:positionV>
            <wp:extent cx="7683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-187960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As of December 31, 2023, we had $153 million of unrecognized tax benefits, inclusive of interest, which is classified as long-term and primarily included in other long-term liabilities on our consolidated balance sheet. The amount of unrecognized tax benefits, if recognized, would reduce income tax expense by $114 million, due to correlative adjustments in other tax jurisdictions. We recognize interest and penalties related to unrecognized tax benefits in income tax expense on our consolidated statement of operations. As of December 31, 2023, total gross interest accrued was $50 million, of which $45 million was recorded in unrecognized tax benefits in other long-term liabilities and $5 million was recorded in income taxes receivable in other long-term assets, net on the consolidated balance sheet. As of December 31, 2022, total gross interest accrued was $47 million and was recorded to unrecognized tax benefits in other long-term liabilities on the consolidated balance sheet.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121"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As of December 31, 2023, we have contractual obligations and commercial commitments that include expected interest payments on our 2026 Senior Notes and 2025 Senior Notes, expected commitment fees on our Credit Facility, and non-cancellable long-term purchase obligations, as summarized in the table below. The expected amounts and timing of payments discussed below were estimated based on information available to us as of December 31, 2023.</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By Period</w:t>
            </w: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740" w:type="dxa"/>
            <w:vAlign w:val="bottom"/>
          </w:tcPr>
          <w:p>
            <w:pPr>
              <w:jc w:val="right"/>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20" w:type="dxa"/>
            <w:vAlign w:val="bottom"/>
          </w:tcPr>
          <w:p>
            <w:pPr>
              <w:spacing w:after="0"/>
              <w:rPr>
                <w:sz w:val="11"/>
                <w:szCs w:val="11"/>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 to 3 years</w:t>
            </w:r>
          </w:p>
        </w:tc>
        <w:tc>
          <w:tcPr>
            <w:tcW w:w="220" w:type="dxa"/>
            <w:vAlign w:val="bottom"/>
          </w:tcPr>
          <w:p>
            <w:pPr>
              <w:spacing w:after="0"/>
              <w:rPr>
                <w:sz w:val="11"/>
                <w:szCs w:val="11"/>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 to 5 years</w:t>
            </w:r>
          </w:p>
        </w:tc>
        <w:tc>
          <w:tcPr>
            <w:tcW w:w="200" w:type="dxa"/>
            <w:vAlign w:val="bottom"/>
          </w:tcPr>
          <w:p>
            <w:pPr>
              <w:spacing w:after="0"/>
              <w:rPr>
                <w:sz w:val="11"/>
                <w:szCs w:val="11"/>
                <w:color w:val="auto"/>
              </w:rPr>
            </w:pPr>
          </w:p>
        </w:tc>
        <w:tc>
          <w:tcPr>
            <w:tcW w:w="86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69"/>
        </w:trPr>
        <w:tc>
          <w:tcPr>
            <w:tcW w:w="55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interest payments on 2025 Senior Notes (1)</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5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20" w:type="dxa"/>
            <w:vAlign w:val="bottom"/>
            <w:gridSpan w:val="2"/>
            <w:shd w:val="clear" w:color="auto" w:fill="CFF0FC"/>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interest payments on 2026 Senior Notes (2)</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commitment fee payments on Credit Facility (3)</w:t>
            </w:r>
          </w:p>
        </w:tc>
        <w:tc>
          <w:tcPr>
            <w:tcW w:w="2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obligations and other (4)</w:t>
            </w: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5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(5)</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4029075</wp:posOffset>
            </wp:positionH>
            <wp:positionV relativeFrom="paragraph">
              <wp:posOffset>-24765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-7620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-24765</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-7620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-24765</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-7620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-24765</wp:posOffset>
            </wp:positionV>
            <wp:extent cx="596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-7620</wp:posOffset>
            </wp:positionV>
            <wp:extent cx="596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92" w:lineRule="exact"/>
        <w:rPr>
          <w:sz w:val="20"/>
          <w:szCs w:val="20"/>
          <w:color w:val="auto"/>
        </w:rPr>
      </w:pPr>
    </w:p>
    <w:p>
      <w:pPr>
        <w:ind w:left="900" w:right="160" w:hanging="518"/>
        <w:spacing w:after="0" w:line="232" w:lineRule="auto"/>
        <w:tabs>
          <w:tab w:leader="none" w:pos="9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 xml:space="preserve">Expected interest payments on our 2025 Senior Notes are based on a fixed interest rate of 7.0% as of December 31, 2023 and assumes that our existing debt is repaid at maturity. Refer to “Note 8: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for additional information on our 2025 Senior Notes.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ind w:left="900" w:right="100" w:hanging="518"/>
        <w:spacing w:after="0" w:line="232" w:lineRule="auto"/>
        <w:tabs>
          <w:tab w:leader="none" w:pos="9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 xml:space="preserve">Expected interest payments on our 2026 Senior Notes are based on a fixed interest rate of 0.25% as of December 31, 2023 and assumes that our existing debt is repaid at maturity. Refer to “Note 8: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for additional information on our 2026 Senior Notes.</w:t>
      </w:r>
    </w:p>
    <w:p>
      <w:pPr>
        <w:ind w:left="900" w:right="80" w:hanging="518"/>
        <w:spacing w:after="0" w:line="225" w:lineRule="auto"/>
        <w:tabs>
          <w:tab w:leader="none" w:pos="9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 xml:space="preserve">Expected commitment fee payments are based on the daily unused portion of our Credit Facility, issued letters of credit, and the effective commitment fee rate as of December 31, 2023; however, these variables could change significantly in the future. Refer to “Note 8: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for additional information on our Credit Facility.</w:t>
      </w:r>
    </w:p>
    <w:p>
      <w:pPr>
        <w:ind w:left="900" w:right="20" w:hanging="518"/>
        <w:spacing w:after="0" w:line="223" w:lineRule="auto"/>
        <w:tabs>
          <w:tab w:leader="none" w:pos="9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Estimated purchase obligations that are fixed and determinable, primarily related to telecommunication and licensing contracts, with various expiration dates through approximately June 2029. These contracts have non-cancelable terms or are cancelable only upon payment of significant penalty. Timing of payments and actual amounts paid may be different depending on the time of receipt of goods or services or changes to agreed-upon amounts for some obligations.</w:t>
      </w:r>
    </w:p>
    <w:p>
      <w:pPr>
        <w:spacing w:after="0" w:line="1" w:lineRule="exact"/>
        <w:rPr>
          <w:rFonts w:ascii="Times New Roman" w:cs="Times New Roman" w:eastAsia="Times New Roman" w:hAnsi="Times New Roman"/>
          <w:sz w:val="16"/>
          <w:szCs w:val="16"/>
          <w:color w:val="auto"/>
        </w:rPr>
      </w:pPr>
    </w:p>
    <w:p>
      <w:pPr>
        <w:ind w:left="900" w:hanging="518"/>
        <w:spacing w:after="0" w:line="228" w:lineRule="auto"/>
        <w:tabs>
          <w:tab w:leader="none" w:pos="9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Excluded from the table was $4 million of undrawn standby letters of credit, primarily as security deposits for certain property leases as of December 31,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In the ordinary course of business, we are party to legal, regulatory and administrative matters, including threats thereof, arising out of, or in connection with our operations. These matters may involve claims involving, but not limited to, intellectual property rights (including privacy rights and alleged infringement of third-party intellectual property rights), tax matters (including value-added, excise, transient occupancy and accommodation taxes), regulatory compliance (including competition, consumer protection matters and data privacy or cybersecurity matters), defamation and reputational claims, personal injury claims, labor and employment matters and commercial disputes. Periodically, we review the status of all significant outstanding matters to assess any potential financial exposure. We record the estimated loss in our consolidated statements of operations when (i) it is probable that an asset has been impaired or a liability has been incurred; and (ii) the amount of the loss can be reasonably estimated and is material.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 All legal fees incurred by the Company related to any regulatory and legal matters are expensed in the period incurred.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and Non-Income Taxes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are under audit by the IRS and various other domestic and foreign tax authorities with regards to income tax and non-income tax matters. We have reserved for potential adjustments that may result from examinations by, or any negotiated agreements with, these tax authorities. Although we believe our tax estimates are reasonable, the final determination of audits could be materially different from our historical tax provisions and accruals. The results of an audit could have a material effect on our financial position, results of operations, or cash flows in the period for which that determination is made. Refer to “Note 10: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further information on potential contingencies surrounding income taxes.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EMPLOYEE BENEFIT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Savings Plan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Tripadvisor Retirement Savings Plan (the “401(k) Plan”), qualifies under Section 401(k) of the Internal Revenue Code. The 401(k) Plan allows participating employees, which includes most of our U.S. employees, to make contributions of a specified percentage of their eligible compensation. Participating employees may contribute up to 50% of their eligible salary on a pre-tax basis, but not more than statutory limits. Employee-participants age 50 and over may also contribute an additional amount of their salary on a pre-tax tax basis up to the IRS Catch-Up Provision Limit (or “catch-up contributions”). Employees may also contribute into the 401(k) Plan on an after-tax basis up (or “Roth 401(k) contributions”) to an annual maximum of 10%. The 401(k) Plan has an automatic enrollment feature at 6% pre-tax. We match 50% of the first 6% of employee contributions to the plan for a maximum employer contribution of 3% of a participant’s eligible earnings. The catch-up contributions are not eligible for employer matching contributions. The matching contributions portion of an employee’s account, vests after two years of service. Additionally, at the end of the 401(k) Plan year, we make a discretionary matching</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103" w:name="page104"/>
    <w:bookmarkEnd w:id="103"/>
    <w:p>
      <w:pPr>
        <w:spacing w:after="0" w:line="8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contribution to eligible participants. This additional discretionary matching employer contribution (or “true up”) is limited to match only contributions up to 3% of eligible compensation.</w:t>
      </w:r>
    </w:p>
    <w:p>
      <w:pPr>
        <w:spacing w:after="0" w:line="163" w:lineRule="exact"/>
        <w:rPr>
          <w:sz w:val="20"/>
          <w:szCs w:val="20"/>
          <w:color w:val="auto"/>
        </w:rPr>
      </w:pPr>
    </w:p>
    <w:p>
      <w:pPr>
        <w:ind w:right="560" w:firstLine="509"/>
        <w:spacing w:after="0" w:line="265" w:lineRule="auto"/>
        <w:rPr>
          <w:sz w:val="20"/>
          <w:szCs w:val="20"/>
          <w:color w:val="auto"/>
        </w:rPr>
      </w:pPr>
      <w:r>
        <w:rPr>
          <w:rFonts w:ascii="Times New Roman" w:cs="Times New Roman" w:eastAsia="Times New Roman" w:hAnsi="Times New Roman"/>
          <w:sz w:val="18"/>
          <w:szCs w:val="18"/>
          <w:color w:val="auto"/>
        </w:rPr>
        <w:t>We also have various defined contribution plans for our non-U.S. employees. Our contribution to the 401(k) Plan and our non-U.S. defined contribution plans which are recorded in our consolidated statements of operations for the years ended December 31, 2023, 2022 and 2021 were $12 million, $11 million, and $10 million, respectively.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Plan for Non-Employee Directors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has a deferred compensation plan for non-employee directors (the “Deferred Compensation Plan”). Under the Deferred Compensation Plan, eligible directors who defer their directors’ fees may elect to have such deferred fees (i) applied to the purchase of share units, representing the number of shares of our common stock that could have been purchased on the date such fees would otherwise be payable, or (ii) credited to a cash fund. The cash fund will be credited with interest at an annual rate equal to the weighted average prime or base lending rate of a financial institution selected in accordance with the terms of the Deferred Compensation Plan and applicable law. Upon termination of service as a director of Tripadvisor, a director will receive (i) with respect to share units, such number of shares of our common stock as the share units represent, and (ii) with respect to the cash fund, a cash payment. Payments upon termination will be made in either one lump sum or up to five annual installments, as elected by the eligible director at the time of the deferral election.</w:t>
      </w:r>
    </w:p>
    <w:p>
      <w:pPr>
        <w:spacing w:after="0" w:line="189" w:lineRule="exact"/>
        <w:rPr>
          <w:sz w:val="20"/>
          <w:szCs w:val="20"/>
          <w:color w:val="auto"/>
        </w:rPr>
      </w:pPr>
    </w:p>
    <w:p>
      <w:pPr>
        <w:ind w:right="260" w:firstLine="509"/>
        <w:spacing w:after="0" w:line="281" w:lineRule="auto"/>
        <w:rPr>
          <w:sz w:val="20"/>
          <w:szCs w:val="20"/>
          <w:color w:val="auto"/>
        </w:rPr>
      </w:pPr>
      <w:r>
        <w:rPr>
          <w:rFonts w:ascii="Times New Roman" w:cs="Times New Roman" w:eastAsia="Times New Roman" w:hAnsi="Times New Roman"/>
          <w:sz w:val="18"/>
          <w:szCs w:val="18"/>
          <w:color w:val="auto"/>
        </w:rPr>
        <w:t>Under the Deferred Compensation Plan, 100,000 shares of Tripadvisor common stock are available for issuance to non-employee directors. From the inception of the Deferred Compensation Plan through December 31, 2023, a total of 557 shares have been issued for such purpose.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Severance Plan and Summary Plan Description</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Company also maintains its Executive Severance Plan and Summary Plan Description (the “Severance Plan”) which is applicable to certain employees of the Company and its subsidiaries. The Severance Plan formalizes and standardizes the Company’s severance practices for certain designated employees (each, a “Participant” and, collectively, the “Participants”). Participants covered by the Severance Plan generally will be eligible to receive severance benefits in the event of a termination by the Company without cause or, under certain circumstances, by the Participant for good reason. The severance benefits differ if there is a termination of employment in connection with a change in control. The severance benefits provided pursuant to the Severance Plan are determined based on the job classification of the Participants (as reflected in internal job profile designations) and, in certain cases, their years of service with the Company. During the years ended December 31, 2023, 2022 and 2021, respectively, we recognized $2 million, $1 million and $1 million of expense under the Severance Plan on our consolidated statements of operations.</w:t>
      </w:r>
    </w:p>
    <w:p>
      <w:pPr>
        <w:spacing w:after="0" w:line="293" w:lineRule="exact"/>
        <w:rPr>
          <w:sz w:val="20"/>
          <w:szCs w:val="20"/>
          <w:color w:val="auto"/>
        </w:rPr>
      </w:pPr>
    </w:p>
    <w:p>
      <w:pPr>
        <w:ind w:right="5080"/>
        <w:spacing w:after="0" w:line="377" w:lineRule="auto"/>
        <w:rPr>
          <w:sz w:val="20"/>
          <w:szCs w:val="20"/>
          <w:color w:val="auto"/>
        </w:rPr>
      </w:pPr>
      <w:r>
        <w:rPr>
          <w:rFonts w:ascii="Times New Roman" w:cs="Times New Roman" w:eastAsia="Times New Roman" w:hAnsi="Times New Roman"/>
          <w:sz w:val="18"/>
          <w:szCs w:val="18"/>
          <w:b w:val="1"/>
          <w:bCs w:val="1"/>
          <w:color w:val="auto"/>
        </w:rPr>
        <w:t>NOTE 13: STOCK BASED AWARDS AND OTHER EQUITY INSTRUMENTS Stock-based Compensation Expense</w:t>
      </w:r>
    </w:p>
    <w:p>
      <w:pPr>
        <w:spacing w:after="0" w:line="1" w:lineRule="exact"/>
        <w:rPr>
          <w:sz w:val="20"/>
          <w:szCs w:val="20"/>
          <w:color w:val="auto"/>
        </w:rPr>
      </w:pPr>
    </w:p>
    <w:p>
      <w:pPr>
        <w:ind w:right="50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presents the amount of stock-based compensation expense and the related income tax benefit included in our consolidated statements of operations during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43"/>
        </w:trPr>
        <w:tc>
          <w:tcPr>
            <w:tcW w:w="580" w:type="dxa"/>
            <w:vAlign w:val="bottom"/>
          </w:tcPr>
          <w:p>
            <w:pPr>
              <w:spacing w:after="0"/>
              <w:rPr>
                <w:sz w:val="21"/>
                <w:szCs w:val="21"/>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200" w:type="dxa"/>
            <w:vAlign w:val="bottom"/>
            <w:gridSpan w:val="2"/>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8"/>
        </w:trPr>
        <w:tc>
          <w:tcPr>
            <w:tcW w:w="58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 and content</w:t>
            </w:r>
          </w:p>
        </w:tc>
        <w:tc>
          <w:tcPr>
            <w:tcW w:w="13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8"/>
        </w:trPr>
        <w:tc>
          <w:tcPr>
            <w:tcW w:w="58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0"/>
        </w:trPr>
        <w:tc>
          <w:tcPr>
            <w:tcW w:w="580" w:type="dxa"/>
            <w:vAlign w:val="bottom"/>
          </w:tcPr>
          <w:p>
            <w:pPr>
              <w:spacing w:after="0"/>
              <w:rPr>
                <w:sz w:val="20"/>
                <w:szCs w:val="20"/>
                <w:color w:val="auto"/>
              </w:rPr>
            </w:pPr>
          </w:p>
        </w:tc>
        <w:tc>
          <w:tcPr>
            <w:tcW w:w="4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3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8"/>
        </w:trPr>
        <w:tc>
          <w:tcPr>
            <w:tcW w:w="58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from stock-based compensation expense</w:t>
            </w:r>
          </w:p>
        </w:tc>
        <w:tc>
          <w:tcPr>
            <w:tcW w:w="1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(21 )</w:t>
            </w:r>
          </w:p>
        </w:tc>
        <w:tc>
          <w:tcPr>
            <w:tcW w:w="16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(18 )</w:t>
            </w:r>
          </w:p>
        </w:tc>
        <w:tc>
          <w:tcPr>
            <w:tcW w:w="2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(23 )</w:t>
            </w:r>
          </w:p>
        </w:tc>
        <w:tc>
          <w:tcPr>
            <w:tcW w:w="560" w:type="dxa"/>
            <w:vAlign w:val="bottom"/>
          </w:tcPr>
          <w:p>
            <w:pPr>
              <w:spacing w:after="0"/>
              <w:rPr>
                <w:sz w:val="20"/>
                <w:szCs w:val="20"/>
                <w:color w:val="auto"/>
              </w:rPr>
            </w:pPr>
          </w:p>
        </w:tc>
      </w:tr>
      <w:tr>
        <w:trPr>
          <w:trHeight w:val="280"/>
        </w:trPr>
        <w:tc>
          <w:tcPr>
            <w:tcW w:w="580" w:type="dxa"/>
            <w:vAlign w:val="bottom"/>
          </w:tcPr>
          <w:p>
            <w:pPr>
              <w:spacing w:after="0"/>
              <w:rPr>
                <w:sz w:val="24"/>
                <w:szCs w:val="24"/>
                <w:color w:val="auto"/>
              </w:rPr>
            </w:pPr>
          </w:p>
        </w:tc>
        <w:tc>
          <w:tcPr>
            <w:tcW w:w="46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 net of tax effect</w:t>
            </w:r>
          </w:p>
        </w:tc>
        <w:tc>
          <w:tcPr>
            <w:tcW w:w="136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top w:val="single" w:sz="8" w:color="auto"/>
              <w:bottom w:val="single" w:sz="8" w:color="auto"/>
            </w:tcBorders>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843"/>
        </w:trPr>
        <w:tc>
          <w:tcPr>
            <w:tcW w:w="5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3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102</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2"/>
        </w:trPr>
        <w:tc>
          <w:tcPr>
            <w:tcW w:w="58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4928235</wp:posOffset>
            </wp:positionH>
            <wp:positionV relativeFrom="paragraph">
              <wp:posOffset>-1069975</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-1052830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-1069975</wp:posOffset>
            </wp:positionV>
            <wp:extent cx="5969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-1052830</wp:posOffset>
            </wp:positionV>
            <wp:extent cx="596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-1069975</wp:posOffset>
            </wp:positionV>
            <wp:extent cx="596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-1052830</wp:posOffset>
            </wp:positionV>
            <wp:extent cx="596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92"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We capitalized $10 million, $10 million and $13 million of stock-based compensation expense as website development costs during the years ended December 31, 2023, 2022 and 2021,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and Incentive Plans</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 xml:space="preserve">On December 20, 2011, our 2011 Stock and Annual Incentive Plan (the “2011 Plan”) became effective and we filed a Registration Statement registering a total of 17,500,000 shares of our common stock, of which 17,400,000 shares were issuable in connection with grants of equity-based awards under our 2011 Plan and 100,000 shares were issuable under our Deferred Compensation Plan for Non-Employee Directors (refer to “Note 12: </w:t>
      </w:r>
      <w:r>
        <w:rPr>
          <w:rFonts w:ascii="Times New Roman" w:cs="Times New Roman" w:eastAsia="Times New Roman" w:hAnsi="Times New Roman"/>
          <w:sz w:val="18"/>
          <w:szCs w:val="18"/>
          <w:i w:val="1"/>
          <w:iCs w:val="1"/>
          <w:color w:val="auto"/>
        </w:rPr>
        <w:t>Employee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Benefit Plans</w:t>
      </w:r>
      <w:r>
        <w:rPr>
          <w:rFonts w:ascii="Times New Roman" w:cs="Times New Roman" w:eastAsia="Times New Roman" w:hAnsi="Times New Roman"/>
          <w:sz w:val="18"/>
          <w:szCs w:val="18"/>
          <w:color w:val="auto"/>
        </w:rPr>
        <w:t>” for information on our Deferred Compensation Plan for Non-Employee Directors). At our annual meeting of stockholders held on June 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2013, our stockholders approved an amendment to our 2011 Plan to, among other things, increase the aggregate number of shares of common stock authorized for issuance thereunder by 15,000,000 shares.</w:t>
      </w:r>
    </w:p>
    <w:p>
      <w:pPr>
        <w:spacing w:after="0" w:line="78"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On June 21, 2018, our stockholders approved the 2018 Stock and Annual Incentive Plan (the “2018 Plan”) and we filed a Registration Statement registering 6,000,000 shares plus the number of shares available for issuance (and not subject to outstanding awards) under the 2011 Plan. As of the effective date of the 2018 Plan, the Company ceased granting awards under the 2011 Plan. On June 8, 2021, our stockholders approved an amendment to the Company’s 2018 Plan to, among other things, increase the aggregate number of shares reserved and available for issuance under the 2018 Plan by 10,000,000 shares. The purpose of this amendment was to provide sufficient reserves of shares of our common stock to ensure our ability to continue to provide new hires, employees and management with equity incentives.</w:t>
      </w:r>
    </w:p>
    <w:p>
      <w:pPr>
        <w:spacing w:after="0" w:line="186"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On June 6, 2023, our stockholders approved the TripAdvisor, Inc. 2023 Stock and Annual Incentive Plan (the “2023 Plan”) primarily for the purpose of providing sufficient reserves of shares of our common stock to ensure our ability to continue to provide new hires, employees, and other participants with equity incentives. The 2023 Plan provides for the grant of stock options, stock appreciation rights, restricted stock, restricted stock units (“RSUs”), and other stock-based awards. As of the effective date of the 2023 Plan, the Company ceased granting awards under the 2018 Plan.</w:t>
      </w:r>
    </w:p>
    <w:p>
      <w:pPr>
        <w:spacing w:after="0" w:line="182" w:lineRule="exact"/>
        <w:rPr>
          <w:sz w:val="20"/>
          <w:szCs w:val="20"/>
          <w:color w:val="auto"/>
        </w:rPr>
      </w:pPr>
    </w:p>
    <w:p>
      <w:pPr>
        <w:ind w:right="200" w:firstLine="509"/>
        <w:spacing w:after="0" w:line="260" w:lineRule="auto"/>
        <w:rPr>
          <w:sz w:val="20"/>
          <w:szCs w:val="20"/>
          <w:color w:val="auto"/>
        </w:rPr>
      </w:pPr>
      <w:r>
        <w:rPr>
          <w:rFonts w:ascii="Times New Roman" w:cs="Times New Roman" w:eastAsia="Times New Roman" w:hAnsi="Times New Roman"/>
          <w:sz w:val="18"/>
          <w:szCs w:val="18"/>
          <w:color w:val="auto"/>
        </w:rPr>
        <w:t>As of December 31, 2023, the total number of shares reserved for future stock-based awards under the 2023 Plan was approximately 19 million shares, calculated as follows: 12 million shares plus the number of shares available for issuance (and not subject to outstanding awards) under the 2018 Plan. All shares of common stock issued to date in respect of the exercise of options, RSUs, or other equity awards have been issued from authorized, but unissued common stock.</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Based Award Activity and Valuation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Stock Option Activity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our stock option activity, consisting of service-based non-qualified stock options, is presented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2"/>
                <w:szCs w:val="12"/>
                <w:color w:val="auto"/>
              </w:rPr>
            </w:pPr>
          </w:p>
        </w:tc>
        <w:tc>
          <w:tcPr>
            <w:tcW w:w="860" w:type="dxa"/>
            <w:vAlign w:val="bottom"/>
            <w:vMerge w:val="restart"/>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2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8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8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6"/>
                <w:szCs w:val="16"/>
                <w:color w:val="auto"/>
              </w:rPr>
            </w:pPr>
          </w:p>
        </w:tc>
        <w:tc>
          <w:tcPr>
            <w:tcW w:w="8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60" w:type="dxa"/>
            <w:vAlign w:val="bottom"/>
          </w:tcPr>
          <w:p>
            <w:pPr>
              <w:spacing w:after="0"/>
              <w:rPr>
                <w:sz w:val="14"/>
                <w:szCs w:val="14"/>
                <w:color w:val="auto"/>
              </w:rPr>
            </w:pPr>
          </w:p>
        </w:tc>
        <w:tc>
          <w:tcPr>
            <w:tcW w:w="8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outstanding as of December 31, 2022</w:t>
            </w:r>
          </w:p>
        </w:tc>
        <w:tc>
          <w:tcPr>
            <w:tcW w:w="2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Cancelled or expired (1)</w:t>
            </w:r>
          </w:p>
        </w:tc>
        <w:tc>
          <w:tcPr>
            <w:tcW w:w="18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(1,699 )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59.54</w:t>
            </w: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Options outstanding as of December 31, 2023</w:t>
            </w:r>
          </w:p>
        </w:tc>
        <w:tc>
          <w:tcPr>
            <w:tcW w:w="1800" w:type="dxa"/>
            <w:vAlign w:val="bottom"/>
            <w:tcBorders>
              <w:top w:val="single" w:sz="8" w:color="CFF0FC"/>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3,927</w:t>
            </w:r>
          </w:p>
        </w:tc>
        <w:tc>
          <w:tcPr>
            <w:tcW w:w="28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98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8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FF0FC"/>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2023</w:t>
            </w:r>
          </w:p>
        </w:tc>
        <w:tc>
          <w:tcPr>
            <w:tcW w:w="180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2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9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after December 31, 2023 (2)</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800" w:type="dxa"/>
            <w:vAlign w:val="bottom"/>
            <w:vMerge w:val="restart"/>
          </w:tcPr>
          <w:p>
            <w:pPr>
              <w:jc w:val="right"/>
              <w:ind w:right="750"/>
              <w:spacing w:after="0"/>
              <w:rPr>
                <w:sz w:val="20"/>
                <w:szCs w:val="20"/>
                <w:color w:val="auto"/>
              </w:rPr>
            </w:pPr>
            <w:r>
              <w:rPr>
                <w:rFonts w:ascii="Times New Roman" w:cs="Times New Roman" w:eastAsia="Times New Roman" w:hAnsi="Times New Roman"/>
                <w:sz w:val="18"/>
                <w:szCs w:val="18"/>
                <w:color w:val="auto"/>
              </w:rPr>
              <w:t>103</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3"/>
        </w:trPr>
        <w:tc>
          <w:tcPr>
            <w:tcW w:w="480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48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4808220</wp:posOffset>
            </wp:positionH>
            <wp:positionV relativeFrom="paragraph">
              <wp:posOffset>-1591945</wp:posOffset>
            </wp:positionV>
            <wp:extent cx="7683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4808220</wp:posOffset>
            </wp:positionH>
            <wp:positionV relativeFrom="paragraph">
              <wp:posOffset>-1249680</wp:posOffset>
            </wp:positionV>
            <wp:extent cx="7683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4808220</wp:posOffset>
            </wp:positionH>
            <wp:positionV relativeFrom="paragraph">
              <wp:posOffset>-1232535</wp:posOffset>
            </wp:positionV>
            <wp:extent cx="7683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93" w:lineRule="exact"/>
        <w:rPr>
          <w:sz w:val="20"/>
          <w:szCs w:val="20"/>
          <w:color w:val="auto"/>
        </w:rPr>
      </w:pPr>
    </w:p>
    <w:p>
      <w:pPr>
        <w:ind w:left="520" w:right="40" w:hanging="512"/>
        <w:spacing w:after="0" w:line="233" w:lineRule="auto"/>
        <w:tabs>
          <w:tab w:leader="none" w:pos="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1,100,000 stock options awarded in August 2013 to our former CEO, Stephen Kaufer, that expired during the third quarter of 2023. The expiration of these stock options had no impact to our stock-based compensation expense under GAAP during the third quarter of 2023.</w:t>
      </w:r>
    </w:p>
    <w:p>
      <w:pPr>
        <w:ind w:left="520" w:right="320" w:hanging="512"/>
        <w:spacing w:after="0" w:line="237" w:lineRule="auto"/>
        <w:tabs>
          <w:tab w:leader="none" w:pos="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accounts for forfeitures as they occur, rather than estimate expected forfeitures as allowed under GAAP and therefore do not include a forfeiture rate in our vested and expected to vest calculation unless necessary for a performance condition award.</w:t>
      </w:r>
    </w:p>
    <w:p>
      <w:pPr>
        <w:spacing w:after="0" w:line="183"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Aggregate intrinsic value represents the difference between the closing stock price of our common stock and the exercise price of outstanding, in-the-money options. Our closing stock price as reported on Nasdaq as of December 31, 2023 was $21.53. The total intrinsic value of stock options exercised for the years ended December 31, 2023 and 2022 was not material, and for the year ended December 31, 2021 was $9 million.</w:t>
      </w:r>
    </w:p>
    <w:p>
      <w:pPr>
        <w:spacing w:after="0" w:line="177" w:lineRule="exact"/>
        <w:rPr>
          <w:sz w:val="20"/>
          <w:szCs w:val="20"/>
          <w:color w:val="auto"/>
        </w:rPr>
      </w:pPr>
    </w:p>
    <w:p>
      <w:pPr>
        <w:ind w:right="580" w:firstLine="509"/>
        <w:spacing w:after="0" w:line="281" w:lineRule="auto"/>
        <w:rPr>
          <w:sz w:val="20"/>
          <w:szCs w:val="20"/>
          <w:color w:val="auto"/>
        </w:rPr>
      </w:pPr>
      <w:r>
        <w:rPr>
          <w:rFonts w:ascii="Times New Roman" w:cs="Times New Roman" w:eastAsia="Times New Roman" w:hAnsi="Times New Roman"/>
          <w:sz w:val="18"/>
          <w:szCs w:val="18"/>
          <w:color w:val="auto"/>
        </w:rPr>
        <w:t>The fair value of stock option grants has been estimated at the date of grant using the Black–Scholes option pricing model with the following weighted average assumptions for the periods presented:</w:t>
      </w:r>
    </w:p>
    <w:p>
      <w:pPr>
        <w:spacing w:after="0" w:line="170"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8"/>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3.70 %</w:t>
            </w:r>
          </w:p>
        </w:tc>
        <w:tc>
          <w:tcPr>
            <w:tcW w:w="2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20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0.83 %</w:t>
            </w:r>
          </w:p>
        </w:tc>
      </w:tr>
      <w:tr>
        <w:trPr>
          <w:trHeight w:val="238"/>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2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53.43 %</w:t>
            </w:r>
          </w:p>
        </w:tc>
        <w:tc>
          <w:tcPr>
            <w:tcW w:w="22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51.63 %</w:t>
            </w:r>
          </w:p>
        </w:tc>
        <w:tc>
          <w:tcPr>
            <w:tcW w:w="20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49.61 %</w:t>
            </w:r>
          </w:p>
        </w:tc>
      </w:tr>
      <w:tr>
        <w:trPr>
          <w:trHeight w:val="249"/>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1"/>
                <w:szCs w:val="21"/>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4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grant date fair value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8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-770255</wp:posOffset>
            </wp:positionV>
            <wp:extent cx="4991735" cy="15430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991735" cy="154305"/>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-461645</wp:posOffset>
            </wp:positionV>
            <wp:extent cx="4991735" cy="15430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991735" cy="154305"/>
                    </a:xfrm>
                    <a:prstGeom prst="rect">
                      <a:avLst/>
                    </a:prstGeom>
                    <a:noFill/>
                  </pic:spPr>
                </pic:pic>
              </a:graphicData>
            </a:graphic>
          </wp:anchor>
        </w:drawing>
      </w:r>
    </w:p>
    <w:p>
      <w:pPr>
        <w:spacing w:after="0" w:line="177" w:lineRule="exact"/>
        <w:rPr>
          <w:sz w:val="20"/>
          <w:szCs w:val="20"/>
          <w:color w:val="auto"/>
        </w:rPr>
      </w:pPr>
    </w:p>
    <w:p>
      <w:pPr>
        <w:ind w:right="240" w:firstLine="509"/>
        <w:spacing w:after="0" w:line="265" w:lineRule="auto"/>
        <w:rPr>
          <w:sz w:val="20"/>
          <w:szCs w:val="20"/>
          <w:color w:val="auto"/>
        </w:rPr>
      </w:pPr>
      <w:r>
        <w:rPr>
          <w:rFonts w:ascii="Times New Roman" w:cs="Times New Roman" w:eastAsia="Times New Roman" w:hAnsi="Times New Roman"/>
          <w:sz w:val="18"/>
          <w:szCs w:val="18"/>
          <w:color w:val="auto"/>
        </w:rPr>
        <w:t>The total fair value of stock options vested for the years ended December 31, 2023, 2022 and 2021 were $7 million, $16 million, and $31 million, respectively. Cash received from stock option exercises for the years ended December 31, 2023 and 2022 was not material, and for the year ended December 31, 2021 was $8 million.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RSU Activity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our RSU activity, consisting of service-based vesting terms, is presented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6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6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Grant-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5"/>
        </w:trPr>
        <w:tc>
          <w:tcPr>
            <w:tcW w:w="6620" w:type="dxa"/>
            <w:vAlign w:val="bottom"/>
          </w:tcPr>
          <w:p>
            <w:pPr>
              <w:spacing w:after="0"/>
              <w:rPr>
                <w:sz w:val="15"/>
                <w:szCs w:val="15"/>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20" w:type="dxa"/>
            <w:vAlign w:val="bottom"/>
          </w:tcPr>
          <w:p>
            <w:pPr>
              <w:spacing w:after="0"/>
              <w:rPr>
                <w:sz w:val="15"/>
                <w:szCs w:val="15"/>
                <w:color w:val="auto"/>
              </w:rPr>
            </w:pPr>
          </w:p>
        </w:tc>
        <w:tc>
          <w:tcPr>
            <w:tcW w:w="11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Date Fair</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87"/>
        </w:trPr>
        <w:tc>
          <w:tcPr>
            <w:tcW w:w="6620" w:type="dxa"/>
            <w:vAlign w:val="bottom"/>
          </w:tcPr>
          <w:p>
            <w:pPr>
              <w:spacing w:after="0"/>
              <w:rPr>
                <w:sz w:val="16"/>
                <w:szCs w:val="16"/>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6"/>
                <w:szCs w:val="16"/>
                <w:color w:val="auto"/>
              </w:rPr>
            </w:pPr>
          </w:p>
        </w:tc>
        <w:tc>
          <w:tcPr>
            <w:tcW w:w="11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Value Per Share</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64"/>
        </w:trPr>
        <w:tc>
          <w:tcPr>
            <w:tcW w:w="6620" w:type="dxa"/>
            <w:vAlign w:val="bottom"/>
          </w:tcPr>
          <w:p>
            <w:pPr>
              <w:spacing w:after="0"/>
              <w:rPr>
                <w:sz w:val="14"/>
                <w:szCs w:val="14"/>
                <w:color w:val="auto"/>
              </w:rPr>
            </w:pPr>
          </w:p>
        </w:tc>
        <w:tc>
          <w:tcPr>
            <w:tcW w:w="1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center"/>
              <w:ind w:right="14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4"/>
                <w:szCs w:val="14"/>
                <w:color w:val="auto"/>
              </w:rPr>
            </w:pPr>
          </w:p>
        </w:tc>
      </w:tr>
      <w:tr>
        <w:trPr>
          <w:trHeight w:val="241"/>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RSUs outstanding as of December 31, 2022</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8,572</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8,043</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released (1)</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(3,688 )</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(1,407 )</w:t>
            </w: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0"/>
        </w:trPr>
        <w:tc>
          <w:tcPr>
            <w:tcW w:w="6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Unvested RSUs outstanding as of December 31, 2023 (2)</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11,520</w:t>
            </w: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440" w:type="dxa"/>
            <w:vAlign w:val="bottom"/>
            <w:tcBorders>
              <w:top w:val="single" w:sz="8" w:color="CFF0FC"/>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top w:val="single" w:sz="8" w:color="CFF0FC"/>
            </w:tcBorders>
          </w:tcPr>
          <w:p>
            <w:pPr>
              <w:spacing w:after="0"/>
              <w:rPr>
                <w:sz w:val="20"/>
                <w:szCs w:val="20"/>
                <w:color w:val="auto"/>
              </w:rPr>
            </w:pPr>
          </w:p>
        </w:tc>
      </w:tr>
      <w:tr>
        <w:trPr>
          <w:trHeight w:val="20"/>
        </w:trPr>
        <w:tc>
          <w:tcPr>
            <w:tcW w:w="6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5082540</wp:posOffset>
            </wp:positionH>
            <wp:positionV relativeFrom="paragraph">
              <wp:posOffset>-187960</wp:posOffset>
            </wp:positionV>
            <wp:extent cx="7683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65" w:lineRule="exact"/>
        <w:rPr>
          <w:sz w:val="20"/>
          <w:szCs w:val="20"/>
          <w:color w:val="auto"/>
        </w:rPr>
      </w:pPr>
    </w:p>
    <w:p>
      <w:pPr>
        <w:jc w:val="both"/>
        <w:ind w:left="520" w:right="200" w:hanging="512"/>
        <w:spacing w:after="0" w:line="229" w:lineRule="auto"/>
        <w:tabs>
          <w:tab w:leader="none" w:pos="5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approximately 840,000 RSUs withheld due to net share settlement to satisfy required employee tax withholding requirements. Potential shares which had been convertible under RSUs that were withheld under net share settlement remain in the authorized but unissued pool under the 2023 Plan and can be reissued by the Company. Total payments for the employees’ tax obligations to the taxing authorities due to net share settlements are reflected as a financing activity within the consolidated statements of cash flows.</w:t>
      </w:r>
    </w:p>
    <w:p>
      <w:pPr>
        <w:ind w:left="520" w:right="320" w:hanging="512"/>
        <w:spacing w:after="0" w:line="237" w:lineRule="auto"/>
        <w:tabs>
          <w:tab w:leader="none" w:pos="5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accounts for forfeitures as they occur, rather than estimate expected forfeitures as allowed under GAAP and therefore do not include a forfeiture rate in our vested and expected to vest calculation unless necessary for a performance condition award.</w:t>
      </w:r>
    </w:p>
    <w:p>
      <w:pPr>
        <w:spacing w:after="0" w:line="183" w:lineRule="exact"/>
        <w:rPr>
          <w:sz w:val="20"/>
          <w:szCs w:val="20"/>
          <w:color w:val="auto"/>
        </w:rPr>
      </w:pPr>
    </w:p>
    <w:p>
      <w:pPr>
        <w:ind w:right="480" w:firstLine="509"/>
        <w:spacing w:after="0" w:line="281" w:lineRule="auto"/>
        <w:rPr>
          <w:sz w:val="20"/>
          <w:szCs w:val="20"/>
          <w:color w:val="auto"/>
        </w:rPr>
      </w:pPr>
      <w:r>
        <w:rPr>
          <w:rFonts w:ascii="Times New Roman" w:cs="Times New Roman" w:eastAsia="Times New Roman" w:hAnsi="Times New Roman"/>
          <w:sz w:val="18"/>
          <w:szCs w:val="18"/>
          <w:color w:val="auto"/>
        </w:rPr>
        <w:t>The total fair value of RSUs vested for the years ended December 31, 2023, 2022 and 2021 was $109 million, $108 million, and $144 million, respectively.</w:t>
      </w:r>
    </w:p>
    <w:p>
      <w:pPr>
        <w:spacing w:after="0" w:line="163"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On December 31, 2021, the Section 16 Committee of our Board of Directors approved and granted to Stephen Kaufer, the Company’s CEO at the time, the following: (i) stock option to purchase 115,200 shares of common stock, 25% of which vested and became exercisable on August 1, 2022, while the balance vests in quarterly installments over the following three years; with an estimated grant-date fair value per option of $12.59, using a Black-Scholes option pricing model; (ii) stock option to purchase 110,026 shares of common stock, which will vest and become exercisable in full on August 1, 2024; with an estimated grant-date fair value per option of $13.18,</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using a Black-Scholes option pricing model; and (iii) 106,382 RSUs, 25% of which vested and settled on August 1, 2022, while the balance vests in quarterly installments over the following three years, with an estimated grant-date fair value of $27.26 per RSU, based on the quoted price of our common stock on the date of grant. The estimated fair value of these awards totaled $6 million and was fully recognized as stock-based compensation expense to the consolidated statement of operations for the year ended December 31, 2021, given the Company concluded there was no substantive future requisite service condition for these awards that existed at grant date for GAAP purposes. During the year ended December 31, 2022, the Company reversed $3 million of this previously recorded stock-based compensation expense related to these awards as the Company concluded that certain awards scheduled to vest were no longer achievable as a result of new terms executed in Mr. Kaufer's Consulting Service Agreement entered into on May 3, 2022.</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our performance-based RSUs ("PSUs") and market-based RSUs (“MSUs”) activity is presented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 xml:space="preserve">PSUs </w:t>
            </w:r>
            <w:r>
              <w:rPr>
                <w:rFonts w:ascii="Times New Roman" w:cs="Times New Roman" w:eastAsia="Times New Roman" w:hAnsi="Times New Roman"/>
                <w:sz w:val="10"/>
                <w:szCs w:val="10"/>
                <w:b w:val="1"/>
                <w:bCs w:val="1"/>
                <w:color w:val="auto"/>
              </w:rPr>
              <w:t>(1)</w:t>
            </w: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 xml:space="preserve">MSUs </w:t>
            </w:r>
            <w:r>
              <w:rPr>
                <w:rFonts w:ascii="Times New Roman" w:cs="Times New Roman" w:eastAsia="Times New Roman" w:hAnsi="Times New Roman"/>
                <w:sz w:val="10"/>
                <w:szCs w:val="10"/>
                <w:b w:val="1"/>
                <w:bCs w:val="1"/>
                <w:color w:val="auto"/>
              </w:rPr>
              <w:t>(2)</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ind w:right="42"/>
              <w:spacing w:after="0" w:line="15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ind w:right="62"/>
              <w:spacing w:after="0" w:line="15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Grant-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Grant-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75"/>
        </w:trPr>
        <w:tc>
          <w:tcPr>
            <w:tcW w:w="4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Date Fair</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Date Fair</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12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2"/>
                <w:szCs w:val="12"/>
                <w:color w:val="auto"/>
              </w:rPr>
            </w:pPr>
          </w:p>
        </w:tc>
        <w:tc>
          <w:tcPr>
            <w:tcW w:w="82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Value Per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20" w:type="dxa"/>
            <w:vAlign w:val="bottom"/>
          </w:tcPr>
          <w:p>
            <w:pPr>
              <w:spacing w:after="0"/>
              <w:rPr>
                <w:sz w:val="12"/>
                <w:szCs w:val="12"/>
                <w:color w:val="auto"/>
              </w:rPr>
            </w:pPr>
          </w:p>
        </w:tc>
        <w:tc>
          <w:tcPr>
            <w:tcW w:w="12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2"/>
                <w:szCs w:val="12"/>
                <w:color w:val="auto"/>
              </w:rPr>
            </w:pPr>
          </w:p>
        </w:tc>
        <w:tc>
          <w:tcPr>
            <w:tcW w:w="82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Value Per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7"/>
        </w:trPr>
        <w:tc>
          <w:tcPr>
            <w:tcW w:w="42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and outstanding as of December 31, 2022</w:t>
            </w: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(27 )</w:t>
            </w: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4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(54 )</w:t>
            </w: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2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Unvested and outstanding as of December 31, 2023</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4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36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top w:val="single" w:sz="8" w:color="CFF0FC"/>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0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32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3335655</wp:posOffset>
            </wp:positionH>
            <wp:positionV relativeFrom="paragraph">
              <wp:posOffset>-187960</wp:posOffset>
            </wp:positionV>
            <wp:extent cx="7683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-187960</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ind w:left="520" w:right="40" w:hanging="512"/>
        <w:spacing w:after="0" w:line="225" w:lineRule="auto"/>
        <w:tabs>
          <w:tab w:leader="none" w:pos="5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PSUs awarded in February 2023. The PSU awards provide for vesting in two equal annual installments on each of December 31, 2024 and December 31, 2025, based on the extent to which the Company achieves certain financial metrics relative to targets established by the Company’s Compensation Committee of its Board of Directors. The estimated grant-date fair value per PSU was measured based on the quoted price of our common stock at the date of grant, calculated upon the establishment of performance targets, and will be amortized on a straight-line basis over the requisite service period. Based upon actual attainment relative to the target financial metrics, employees have the ability to receive up to 200% of the target number originally granted, or to be issued none at all. Probable outcome for performance-based awards is updated based upon changes in actual and forecasted operating results or expected achievement of performance goals, as applicable, and the impact of modifications, if any.</w:t>
      </w:r>
    </w:p>
    <w:p>
      <w:pPr>
        <w:ind w:left="520" w:right="60" w:hanging="512"/>
        <w:spacing w:after="0" w:line="227" w:lineRule="auto"/>
        <w:tabs>
          <w:tab w:leader="none" w:pos="5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MSUs shall vest three years from grant date, generally with 25% vesting if the weighted-average stock price over a 30-day trading period during the vesting period is equal to or greater than $35.00 but less than $45.00, 50% vesting if equal to or greater than $45.00 but less than $55.00, and 100% vesting if equal to or greater than $55.00, subject to continuous employment with, or performance of services for, the Company. A Monte-Carlo simulation model, which simulated the present value of the potential outcomes of future stock prices was used to calculate the grant-date fair value of our MSU awards. The estimated grant-date fair value of these awards is amortized on a straight-line basis over the requisite service period and is not adjusted based on the actual number of awards that ultimately vest.</w:t>
      </w:r>
    </w:p>
    <w:p>
      <w:pPr>
        <w:spacing w:after="0" w:line="184" w:lineRule="exact"/>
        <w:rPr>
          <w:sz w:val="20"/>
          <w:szCs w:val="20"/>
          <w:color w:val="auto"/>
        </w:rPr>
      </w:pPr>
    </w:p>
    <w:p>
      <w:pPr>
        <w:ind w:right="320" w:firstLine="509"/>
        <w:spacing w:after="0" w:line="281" w:lineRule="auto"/>
        <w:rPr>
          <w:sz w:val="20"/>
          <w:szCs w:val="20"/>
          <w:color w:val="auto"/>
        </w:rPr>
      </w:pPr>
      <w:r>
        <w:rPr>
          <w:rFonts w:ascii="Times New Roman" w:cs="Times New Roman" w:eastAsia="Times New Roman" w:hAnsi="Times New Roman"/>
          <w:sz w:val="18"/>
          <w:szCs w:val="18"/>
          <w:color w:val="auto"/>
        </w:rPr>
        <w:t>As of December 31, 2023, total unrecognized compensation cost related to stock-based awards, substantially RSUs, was $241 million, which the Company expects to recognize over a weighted-average period of 2.6 years.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8"/>
          <w:szCs w:val="18"/>
          <w:color w:val="auto"/>
        </w:rPr>
        <w:t>In addition to common stock, we are authorized to issue up to 100 million preferred shares, with $ 0.001 par value per share, with terms determined by our Board of Directors, without further action by our stockholders. As of December 31, 2023, no preferred shares had been issued.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and Class B Common Stock</w:t>
      </w:r>
    </w:p>
    <w:p>
      <w:pPr>
        <w:spacing w:after="0" w:line="121"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Our authorized common stock consists of 1.6 billion shares of common stock with par value of $0.001 per share, and 400 million shares of Class B common stock with par value of $0.001 per share. Both classes of common stock qualify for and share equally in dividends, if declared by our Board of Directors. Common stock is entitled to one vote per share and Class B common stock is entitled to 10 votes per share. Holders of Tripadvisor common</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8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stock, acting as a single class, are entitled to elect a number of directors equal to 25% of the total number of directors, rounded up to the next whole number, which was three directors as of December 31, 2023. Class B common stockholders may, at any time, convert their shares into common stock, on a one for one share basis. Upon conversion, the Class B common stock is retired and is not available for reissue. In the event of liquidation, dissolution, distribution of assets or winding-up of Tripadvisor the holders of both classes of common stock have equal rights to receive all the assets of Tripadvisor after the rights of the holders of the preferred stock have been satisfied. There were 149,775,361 and 124,881,494 shares of common stock issued and outstanding, respectively, and 12,799,999 shares of Class B common stock issued and outstanding at December 31, 2023.</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21"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8"/>
          <w:szCs w:val="18"/>
          <w:color w:val="auto"/>
        </w:rPr>
        <w:t>Accumulated other comprehensive income (loss) is comprised of accumulated foreign currency translation adjustments, as follows as of the dates presented:</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r>
      <w:tr>
        <w:trPr>
          <w:trHeight w:val="169"/>
        </w:trPr>
        <w:tc>
          <w:tcPr>
            <w:tcW w:w="6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(in</w:t>
            </w:r>
          </w:p>
        </w:tc>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4"/>
                <w:szCs w:val="14"/>
                <w:color w:val="auto"/>
              </w:rPr>
            </w:pPr>
          </w:p>
        </w:tc>
      </w:tr>
      <w:tr>
        <w:trPr>
          <w:trHeight w:val="238"/>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Cumulative foreign currency translation adjustments, net of tax (1)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(82 )</w:t>
            </w:r>
          </w:p>
        </w:tc>
      </w:tr>
      <w:tr>
        <w:trPr>
          <w:trHeight w:val="20"/>
        </w:trPr>
        <w:tc>
          <w:tcPr>
            <w:tcW w:w="69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(82 )</w:t>
            </w:r>
          </w:p>
        </w:tc>
      </w:tr>
      <w:tr>
        <w:trPr>
          <w:trHeight w:val="20"/>
        </w:trPr>
        <w:tc>
          <w:tcPr>
            <w:tcW w:w="6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5681980</wp:posOffset>
            </wp:positionH>
            <wp:positionV relativeFrom="paragraph">
              <wp:posOffset>-187960</wp:posOffset>
            </wp:positionV>
            <wp:extent cx="596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-187960</wp:posOffset>
            </wp:positionV>
            <wp:extent cx="596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8" w:lineRule="exact"/>
        <w:rPr>
          <w:sz w:val="20"/>
          <w:szCs w:val="20"/>
          <w:color w:val="auto"/>
        </w:rPr>
      </w:pPr>
    </w:p>
    <w:p>
      <w:pPr>
        <w:ind w:left="1140" w:hanging="383"/>
        <w:spacing w:after="0"/>
        <w:tabs>
          <w:tab w:leader="none" w:pos="114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Deferred income tax liabilities related to these amounts are not material.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November 1, 2019, our Board of Directors authorized the repurchase of an additional $100 million in shares of our common stock under an existing share repurchase program, which increased the amount available to the Company under this share repurchase program to $250 million. Our Board of Directors authorized and directed management, working with the Executive Committee of our Board of Directors, to affect the share repurchase program in compliance with applicable legal requirements. As of December 31, 2022, the Company had $75 million remaining under this existing share repurchase program to repurchase shares of its common stock. During the three months ended June 30, 2023, we repurchased 4,724,729 shares of our outstanding common stock at an average price of $15.85 per share, exclusive of fees, commissions, and excise taxes or $75 million in the aggregate, which completed this share repurchase program.</w:t>
      </w:r>
    </w:p>
    <w:p>
      <w:pPr>
        <w:spacing w:after="0" w:line="1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On September 7, 2023, our Board of Directors authorized the repurchase of $250 million in shares of our common stock under a new share repurchase program. Our Board of Directors authorized and directed management, working with the Executive Committee of our Board of Directors, to affect the share repurchase program in compliance with applicable legal requirements. The Executive Committee will determine the price, timing, amount and method of such repurchases based on its evaluation of market conditions and other factors, and at prices determined to be attractive and in the best interests of both the Company and its stockholders. This share repurchase program, which has a term of two years, does not obligate the Company to acquire any particular number of shares and may be modified, suspended or discontinued at any time. During the three months ended December 31, 2023, we repurchased 1,324,524 shares of our outstanding common stock at an average price of $18.85 per share, exclusive of fees, commissions, and excise taxes, or $25 million, under this share repurchase program. As of December 31, 2023, we had $225 million remaining available to repurchase shares of our common stock under this share repurchase program.</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2023, the Company held 24,893,867 shares of its common stock in treasury with an aggregate cost of $822 million.</w:t>
      </w:r>
    </w:p>
    <w:p>
      <w:pPr>
        <w:spacing w:after="0" w:line="225" w:lineRule="exact"/>
        <w:rPr>
          <w:sz w:val="20"/>
          <w:szCs w:val="20"/>
          <w:color w:val="auto"/>
        </w:rPr>
      </w:pPr>
    </w:p>
    <w:p>
      <w:pPr>
        <w:ind w:right="60" w:firstLine="509"/>
        <w:spacing w:after="0" w:line="280" w:lineRule="auto"/>
        <w:rPr>
          <w:sz w:val="20"/>
          <w:szCs w:val="20"/>
          <w:color w:val="auto"/>
        </w:rPr>
      </w:pPr>
      <w:r>
        <w:rPr>
          <w:rFonts w:ascii="Times New Roman" w:cs="Times New Roman" w:eastAsia="Times New Roman" w:hAnsi="Times New Roman"/>
          <w:sz w:val="17"/>
          <w:szCs w:val="17"/>
          <w:color w:val="auto"/>
        </w:rPr>
        <w:t xml:space="preserve">On August 16, 2022, the Inflation Reduction Act was signed into law, and imposed a nondeductible 1% excise tax on the net value of certain stock repurchases made after December 31, 2022. </w:t>
      </w:r>
      <w:r>
        <w:rPr>
          <w:rFonts w:ascii="Times New Roman" w:cs="Times New Roman" w:eastAsia="Times New Roman" w:hAnsi="Times New Roman"/>
          <w:sz w:val="17"/>
          <w:szCs w:val="17"/>
          <w:color w:val="252525"/>
        </w:rPr>
        <w:t>However, for purposes of calculating the excise tax, repurchasing corporations are permitted to net the fair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52525"/>
        </w:rPr>
        <w:t xml:space="preserve">market value of certain new stock issuances against the fair market value of stock repurchases during the same taxable year. </w:t>
      </w:r>
      <w:r>
        <w:rPr>
          <w:rFonts w:ascii="Times New Roman" w:cs="Times New Roman" w:eastAsia="Times New Roman" w:hAnsi="Times New Roman"/>
          <w:sz w:val="17"/>
          <w:szCs w:val="17"/>
          <w:color w:val="000000"/>
        </w:rPr>
        <w:t>For the year ended December</w:t>
      </w:r>
      <w:r>
        <w:rPr>
          <w:rFonts w:ascii="Times New Roman" w:cs="Times New Roman" w:eastAsia="Times New Roman" w:hAnsi="Times New Roman"/>
          <w:sz w:val="17"/>
          <w:szCs w:val="17"/>
          <w:color w:val="252525"/>
        </w:rPr>
        <w:t xml:space="preserve"> </w:t>
      </w:r>
      <w:r>
        <w:rPr>
          <w:rFonts w:ascii="Times New Roman" w:cs="Times New Roman" w:eastAsia="Times New Roman" w:hAnsi="Times New Roman"/>
          <w:sz w:val="17"/>
          <w:szCs w:val="17"/>
          <w:color w:val="000000"/>
        </w:rPr>
        <w:t>31, 2023, the excise tax liability incurred and recorded to accrued expenses and other current liabilities on our consolidated balance sheet was not material.</w:t>
      </w: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8" w:name="page109"/>
    <w:bookmarkEnd w:id="108"/>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During the years ended December 31, 2023, 2022 and 2021, our Board of Directors did not declare any dividends on our outstanding common stock. Any determination to pay dividends in the future will be at the discretion of our Board of Directors and will depend on our results of operations, earnings, capital requirements, financial condition, future prospects, contractual restrictions and other factors deemed relevant by our Board of Directors.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EARNINGS PER SHARE</w:t>
      </w:r>
    </w:p>
    <w:p>
      <w:pPr>
        <w:spacing w:after="0" w:line="229" w:lineRule="exact"/>
        <w:rPr>
          <w:sz w:val="20"/>
          <w:szCs w:val="20"/>
          <w:color w:val="auto"/>
        </w:rPr>
      </w:pPr>
    </w:p>
    <w:p>
      <w:pPr>
        <w:ind w:right="660" w:firstLine="509"/>
        <w:spacing w:after="0" w:line="281" w:lineRule="auto"/>
        <w:rPr>
          <w:sz w:val="20"/>
          <w:szCs w:val="20"/>
          <w:color w:val="auto"/>
        </w:rPr>
      </w:pPr>
      <w:r>
        <w:rPr>
          <w:rFonts w:ascii="Times New Roman" w:cs="Times New Roman" w:eastAsia="Times New Roman" w:hAnsi="Times New Roman"/>
          <w:sz w:val="18"/>
          <w:szCs w:val="18"/>
          <w:color w:val="auto"/>
        </w:rPr>
        <w:t>Below is a reconciliation of the weighted average number of shares of common stock outstanding in calculating Diluted EPS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(shares in thousands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and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in millions, except</w:t>
            </w:r>
          </w:p>
        </w:tc>
        <w:tc>
          <w:tcPr>
            <w:tcW w:w="1560" w:type="dxa"/>
            <w:vAlign w:val="bottom"/>
            <w:gridSpan w:val="3"/>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per share amounts)</w:t>
            </w:r>
          </w:p>
        </w:tc>
        <w:tc>
          <w:tcPr>
            <w:tcW w:w="100" w:type="dxa"/>
            <w:vAlign w:val="bottom"/>
          </w:tcPr>
          <w:p>
            <w:pPr>
              <w:spacing w:after="0"/>
              <w:rPr>
                <w:sz w:val="14"/>
                <w:szCs w:val="14"/>
                <w:color w:val="auto"/>
              </w:rPr>
            </w:pPr>
          </w:p>
        </w:tc>
      </w:tr>
      <w:tr>
        <w:trPr>
          <w:trHeight w:val="223"/>
        </w:trPr>
        <w:tc>
          <w:tcPr>
            <w:tcW w:w="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7"/>
              </w:rPr>
              <w:t>Numerator:</w:t>
            </w:r>
          </w:p>
        </w:tc>
        <w:tc>
          <w:tcPr>
            <w:tcW w:w="5720" w:type="dxa"/>
            <w:vAlign w:val="bottom"/>
            <w:tcBorders>
              <w:bottom w:val="single" w:sz="8" w:color="CFF0FC"/>
            </w:tcBorders>
            <w:gridSpan w:val="2"/>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38"/>
        </w:trPr>
        <w:tc>
          <w:tcPr>
            <w:tcW w:w="20" w:type="dxa"/>
            <w:vAlign w:val="bottom"/>
          </w:tcPr>
          <w:p>
            <w:pPr>
              <w:spacing w:after="0"/>
              <w:rPr>
                <w:sz w:val="20"/>
                <w:szCs w:val="20"/>
                <w:color w:val="auto"/>
              </w:rPr>
            </w:pPr>
          </w:p>
        </w:tc>
        <w:tc>
          <w:tcPr>
            <w:tcW w:w="66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Net income (loss) used to compute Basic EPS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(148 )</w:t>
            </w:r>
          </w:p>
        </w:tc>
      </w:tr>
      <w:tr>
        <w:trPr>
          <w:trHeight w:val="247"/>
        </w:trPr>
        <w:tc>
          <w:tcPr>
            <w:tcW w:w="20" w:type="dxa"/>
            <w:vAlign w:val="bottom"/>
            <w:tcBorders>
              <w:bottom w:val="single" w:sz="8" w:color="CFF0FC"/>
            </w:tcBorders>
            <w:shd w:val="clear" w:color="auto" w:fill="CFF0FC"/>
          </w:tcPr>
          <w:p>
            <w:pPr>
              <w:spacing w:after="0"/>
              <w:rPr>
                <w:sz w:val="21"/>
                <w:szCs w:val="21"/>
                <w:color w:val="auto"/>
              </w:rPr>
            </w:pPr>
          </w:p>
        </w:tc>
        <w:tc>
          <w:tcPr>
            <w:tcW w:w="6640" w:type="dxa"/>
            <w:vAlign w:val="bottom"/>
            <w:tcBorders>
              <w:bottom w:val="single" w:sz="8" w:color="CFF0FC"/>
            </w:tcBorders>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Interest expense on 2026 Senior Notes, net of tax</w:t>
            </w:r>
          </w:p>
        </w:tc>
        <w:tc>
          <w:tcPr>
            <w:tcW w:w="1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66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Net income (loss) used to compute Diluted EPS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(148 )</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gridSpan w:val="2"/>
            <w:shd w:val="clear" w:color="auto" w:fill="CFF0FC"/>
          </w:tcPr>
          <w:p>
            <w:pPr>
              <w:spacing w:after="0" w:line="170" w:lineRule="exact"/>
              <w:rPr>
                <w:sz w:val="20"/>
                <w:szCs w:val="20"/>
                <w:color w:val="auto"/>
              </w:rPr>
            </w:pPr>
            <w:r>
              <w:rPr>
                <w:rFonts w:ascii="Times New Roman" w:cs="Times New Roman" w:eastAsia="Times New Roman" w:hAnsi="Times New Roman"/>
                <w:sz w:val="18"/>
                <w:szCs w:val="18"/>
                <w:b w:val="1"/>
                <w:bCs w:val="1"/>
                <w:color w:val="auto"/>
                <w:w w:val="98"/>
              </w:rPr>
              <w:t>Denominator:</w:t>
            </w:r>
          </w:p>
        </w:tc>
        <w:tc>
          <w:tcPr>
            <w:tcW w:w="55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238"/>
        </w:trPr>
        <w:tc>
          <w:tcPr>
            <w:tcW w:w="20" w:type="dxa"/>
            <w:vAlign w:val="bottom"/>
          </w:tcPr>
          <w:p>
            <w:pPr>
              <w:spacing w:after="0"/>
              <w:rPr>
                <w:sz w:val="20"/>
                <w:szCs w:val="20"/>
                <w:color w:val="auto"/>
              </w:rPr>
            </w:pPr>
          </w:p>
        </w:tc>
        <w:tc>
          <w:tcPr>
            <w:tcW w:w="66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Weighted average shares used to compute Basic EPS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139,412</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139,923</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137,234</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664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Weighted average effect of dilutive securities:</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66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Stock-based awards (Note 13)</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20" w:type="dxa"/>
            <w:vAlign w:val="bottom"/>
            <w:shd w:val="clear" w:color="auto" w:fill="CFF0FC"/>
          </w:tcPr>
          <w:p>
            <w:pPr>
              <w:spacing w:after="0"/>
              <w:rPr>
                <w:sz w:val="21"/>
                <w:szCs w:val="21"/>
                <w:color w:val="auto"/>
              </w:rPr>
            </w:pPr>
          </w:p>
        </w:tc>
        <w:tc>
          <w:tcPr>
            <w:tcW w:w="664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2026 Senior Notes (Note 8)</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20" w:type="dxa"/>
            <w:vAlign w:val="bottom"/>
            <w:tcBorders>
              <w:top w:val="single" w:sz="8" w:color="CFF0FC"/>
            </w:tcBorders>
          </w:tcPr>
          <w:p>
            <w:pPr>
              <w:spacing w:after="0"/>
              <w:rPr>
                <w:sz w:val="20"/>
                <w:szCs w:val="20"/>
                <w:color w:val="auto"/>
              </w:rPr>
            </w:pPr>
          </w:p>
        </w:tc>
        <w:tc>
          <w:tcPr>
            <w:tcW w:w="6640" w:type="dxa"/>
            <w:vAlign w:val="bottom"/>
            <w:tcBorders>
              <w:top w:val="single" w:sz="8" w:color="CFF0FC"/>
            </w:tcBorders>
            <w:gridSpan w:val="3"/>
          </w:tcPr>
          <w:p>
            <w:pPr>
              <w:ind w:left="180"/>
              <w:spacing w:after="0"/>
              <w:rPr>
                <w:sz w:val="20"/>
                <w:szCs w:val="20"/>
                <w:color w:val="auto"/>
              </w:rPr>
            </w:pPr>
            <w:r>
              <w:rPr>
                <w:rFonts w:ascii="Times New Roman" w:cs="Times New Roman" w:eastAsia="Times New Roman" w:hAnsi="Times New Roman"/>
                <w:sz w:val="18"/>
                <w:szCs w:val="18"/>
                <w:color w:val="auto"/>
              </w:rPr>
              <w:t>Weighted average shares used to compute Diluted EPS</w:t>
            </w:r>
          </w:p>
        </w:tc>
        <w:tc>
          <w:tcPr>
            <w:tcW w:w="18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144,815</w:t>
            </w:r>
          </w:p>
        </w:tc>
        <w:tc>
          <w:tcPr>
            <w:tcW w:w="28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145,670</w:t>
            </w:r>
          </w:p>
        </w:tc>
        <w:tc>
          <w:tcPr>
            <w:tcW w:w="24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137,234</w:t>
            </w:r>
          </w:p>
        </w:tc>
        <w:tc>
          <w:tcPr>
            <w:tcW w:w="100" w:type="dxa"/>
            <w:vAlign w:val="bottom"/>
            <w:tcBorders>
              <w:top w:val="single" w:sz="8" w:color="CFF0FC"/>
            </w:tcBorders>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20" w:type="dxa"/>
            <w:vAlign w:val="bottom"/>
            <w:shd w:val="clear" w:color="auto" w:fill="CFF0FC"/>
          </w:tcPr>
          <w:p>
            <w:pPr>
              <w:spacing w:after="0"/>
              <w:rPr>
                <w:sz w:val="19"/>
                <w:szCs w:val="19"/>
                <w:color w:val="auto"/>
              </w:rPr>
            </w:pPr>
          </w:p>
        </w:tc>
        <w:tc>
          <w:tcPr>
            <w:tcW w:w="66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EPS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(1.08 )</w:t>
            </w:r>
          </w:p>
        </w:tc>
      </w:tr>
      <w:tr>
        <w:trPr>
          <w:trHeight w:val="234"/>
        </w:trPr>
        <w:tc>
          <w:tcPr>
            <w:tcW w:w="20" w:type="dxa"/>
            <w:vAlign w:val="bottom"/>
          </w:tcPr>
          <w:p>
            <w:pPr>
              <w:spacing w:after="0"/>
              <w:rPr>
                <w:sz w:val="20"/>
                <w:szCs w:val="20"/>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 EPS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5082540</wp:posOffset>
            </wp:positionH>
            <wp:positionV relativeFrom="paragraph">
              <wp:posOffset>-1449705</wp:posOffset>
            </wp:positionV>
            <wp:extent cx="7683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-1449705</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-1449705</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-490855</wp:posOffset>
            </wp:positionV>
            <wp:extent cx="7683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-490855</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-490855</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Potential common shares, consisting of outstanding stock options, RSUs and those issuable under the 2026 Senior Notes, totaling approximately 14.8 million, 11.4 million, and 16.1 million, for the years ended December 31, 2023, 2022 and 2021, respectively, have been excluded from the calculations of Diluted EPS because their effect would have been antidilutive. In addition, potential common shares of certain performance-based awards of approximately 1.1 million, 0.3 million, and 0.1 million, for the years ended December 31, 2023, 2022 and 2021, respectively, for which all targets required to trigger vesting had not been achieved, were excluded from the calculation of weighted average shares used to compute Diluted EPS for those reporting periods.</w:t>
      </w:r>
    </w:p>
    <w:p>
      <w:pPr>
        <w:spacing w:after="0" w:line="186" w:lineRule="exact"/>
        <w:rPr>
          <w:sz w:val="20"/>
          <w:szCs w:val="20"/>
          <w:color w:val="auto"/>
        </w:rPr>
      </w:pPr>
    </w:p>
    <w:p>
      <w:pPr>
        <w:ind w:right="60" w:firstLine="509"/>
        <w:spacing w:after="0" w:line="220" w:lineRule="exact"/>
        <w:rPr>
          <w:sz w:val="20"/>
          <w:szCs w:val="20"/>
          <w:color w:val="auto"/>
        </w:rPr>
      </w:pPr>
      <w:r>
        <w:rPr>
          <w:rFonts w:ascii="Times New Roman" w:cs="Times New Roman" w:eastAsia="Times New Roman" w:hAnsi="Times New Roman"/>
          <w:sz w:val="18"/>
          <w:szCs w:val="18"/>
          <w:color w:val="auto"/>
        </w:rPr>
        <w:t>The earnings per share amounts are the same for our common stock and Class B common stock because the holders of each class are legally entitled to equal per share distributions whether through dividends or in liquidation. In addition, our non-vested RSUs are entitled to dividend equivalents, which are payable to the holder subject to, and only upon vesting of, the underlying awards and are therefore forfeitable. Given such dividend equivalents are forfeitable, we do not consider them to be participating securities and, consequently, they are not subject to the two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method of determining earnings per share.</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OTHER INCOME (EXPENSE),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(expense), net, consists of the following for the periods presented: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5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5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exchange gains (losses), net (1)</w:t>
            </w:r>
          </w:p>
        </w:tc>
        <w:tc>
          <w:tcPr>
            <w:tcW w:w="2720" w:type="dxa"/>
            <w:vAlign w:val="bottom"/>
            <w:gridSpan w:val="2"/>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(5 )</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(5 )</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8"/>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(losses) from equity investment, net</w:t>
            </w:r>
          </w:p>
        </w:tc>
        <w:tc>
          <w:tcPr>
            <w:tcW w:w="1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(2 )</w:t>
            </w:r>
          </w:p>
        </w:tc>
        <w:tc>
          <w:tcPr>
            <w:tcW w:w="36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43"/>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6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
        </w:trPr>
        <w:tc>
          <w:tcPr>
            <w:tcW w:w="4520" w:type="dxa"/>
            <w:vAlign w:val="bottom"/>
            <w:shd w:val="clear" w:color="auto" w:fill="CFF0FC"/>
          </w:tcPr>
          <w:p>
            <w:pPr>
              <w:spacing w:after="0" w:line="20" w:lineRule="exact"/>
              <w:rPr>
                <w:sz w:val="1"/>
                <w:szCs w:val="1"/>
                <w:color w:val="auto"/>
              </w:rPr>
            </w:pPr>
          </w:p>
        </w:tc>
        <w:tc>
          <w:tcPr>
            <w:tcW w:w="160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Pr>
          <w:p>
            <w:pPr>
              <w:spacing w:after="0"/>
              <w:rPr>
                <w:sz w:val="20"/>
                <w:szCs w:val="20"/>
                <w:color w:val="auto"/>
              </w:rPr>
            </w:pP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(4 )</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(5 )</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6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107</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3"/>
        </w:trPr>
        <w:tc>
          <w:tcPr>
            <w:tcW w:w="452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45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4842510</wp:posOffset>
            </wp:positionH>
            <wp:positionV relativeFrom="paragraph">
              <wp:posOffset>-1232535</wp:posOffset>
            </wp:positionV>
            <wp:extent cx="768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-1232535</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-1232535</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93" w:lineRule="exact"/>
        <w:rPr>
          <w:sz w:val="20"/>
          <w:szCs w:val="20"/>
          <w:color w:val="auto"/>
        </w:rPr>
      </w:pPr>
    </w:p>
    <w:p>
      <w:pPr>
        <w:ind w:left="760" w:right="480" w:hanging="378"/>
        <w:spacing w:after="0" w:line="258" w:lineRule="auto"/>
        <w:tabs>
          <w:tab w:leader="none" w:pos="7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currency exchange gains (losses), net, are related to foreign exchange transaction gains and losses due to required conversion from transaction currency to functional currency, offset by any foreign currency forward contract gains and losses.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Liberty TripAdvisor Holdings, Inc. and Tripadvisor</w:t>
      </w:r>
    </w:p>
    <w:p>
      <w:pPr>
        <w:spacing w:after="0" w:line="119"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LTRIP is a controlling stockholder of Tripadvisor. We consider LTRIP a related party. Refer to “Note 1: </w:t>
      </w:r>
      <w:r>
        <w:rPr>
          <w:rFonts w:ascii="Times New Roman" w:cs="Times New Roman" w:eastAsia="Times New Roman" w:hAnsi="Times New Roman"/>
          <w:sz w:val="18"/>
          <w:szCs w:val="18"/>
          <w:i w:val="1"/>
          <w:iCs w:val="1"/>
          <w:color w:val="auto"/>
        </w:rPr>
        <w:t>Organization and Business Description</w:t>
      </w:r>
      <w:r>
        <w:rPr>
          <w:rFonts w:ascii="Times New Roman" w:cs="Times New Roman" w:eastAsia="Times New Roman" w:hAnsi="Times New Roman"/>
          <w:sz w:val="18"/>
          <w:szCs w:val="18"/>
          <w:color w:val="auto"/>
        </w:rPr>
        <w:t>”, which describes the evolution of our relationship with LTRIP, including LTRIP’s stock ownership of Tripadvisor and deemed voting power as of December 31, 2023. We had no related party transactions with LTRIP during the years ended December 31, 2023, 2022 and 2021.</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Chelsea Investment Holding Company PTE Ltd. and Tripadvisor</w:t>
      </w:r>
    </w:p>
    <w:p>
      <w:pPr>
        <w:spacing w:after="0" w:line="121"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 xml:space="preserve">Refer to the discussion regarding our equity method investment in Chelsea Investment Holding Company PTD Ltd. in the section titled “Non-Marketable Investments” within “Note 3: </w:t>
      </w:r>
      <w:r>
        <w:rPr>
          <w:rFonts w:ascii="Times New Roman" w:cs="Times New Roman" w:eastAsia="Times New Roman" w:hAnsi="Times New Roman"/>
          <w:sz w:val="18"/>
          <w:szCs w:val="18"/>
          <w:i w:val="1"/>
          <w:iCs w:val="1"/>
          <w:color w:val="auto"/>
        </w:rPr>
        <w:t>Financial Instruments and Fair Value Measurements</w:t>
      </w:r>
      <w:r>
        <w:rPr>
          <w:rFonts w:ascii="Times New Roman" w:cs="Times New Roman" w:eastAsia="Times New Roman" w:hAnsi="Times New Roman"/>
          <w:sz w:val="18"/>
          <w:szCs w:val="18"/>
          <w:color w:val="auto"/>
        </w:rPr>
        <w:t>” for a description of our relationship and existing commercial arrangements with Chelsea Investment Holding Company PTE Ltd and/or its subsidiaries. We had no material related party transactions with Chelsea Investment Holding Company PTE Ltd or its subsidiaries during the years ended December 31, 2023, 2022 and 2021.</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SEGMENT AND GEOGRAPHIC INFORMATION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have three reportable segments: (1) Brand Tripadvisor (formerly Tripadvisor Core); (2) Viator; and (3) TheFork. Our Brand Tripadvisor segment includes the following revenue sources: (1) Tripadvisor-branded hotels – consisting of hotel meta revenue, primarily click-based advertising revenue, and also hotel B2B revenue, which includes primarily subscription-based advertising and hotel sponsored placements revenue; (2) Media and advertising revenue – consisting primarily of display-based advertising revenue (also referred to as “media advertising”); (3) Tripadvisor experiences and dining revenue – consisting of intercompany (intersegment) revenue related to affiliate marketing commissions earned primarily from experience bookings, and to a lesser extent, restaurant reservation bookings on Tripadvisor-branded websites and mobile apps, fulfilled by Viator and TheFork, respectively, which are eliminated on a consolidated basis, in addition to external revenue generated from Tripadvisor restaurant offerings; and (4) Other revenue – consisting of cruises, alternative accommodation rentals, flights, and rental cars revenue. The nature of the services provided and related revenue recognition policies are summarized by reportable segment in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operating segments are determined based on how our chief executive officer, who also serves as our chief operating decision maker (“CODM") manages our business, regularly accesses information, and evaluates performance for operating decision-making purposes, including allocation of resources. Adjusted EBITDA is our segment profit measure and a key measure used by our CODM and Board of Directors to understand and evaluate the operating performance of our business and on which internal budgets and forecasts are based and approved. We define Adjusted EBITDA as net income (loss) plus: (1) (provision) benefit for income taxes; (2) other income (expense), net; (3) depreciation and amortization; (4) stock-based compensation and other stock-settled obligations; (5) goodwill, long-lived asset, and intangible assets impairments; (6) legal reserves and settlements; (7) restructuring and other related reorganization costs; and (8) non-recurring expenses and income.</w:t>
      </w:r>
    </w:p>
    <w:p>
      <w:pPr>
        <w:spacing w:after="0" w:line="18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Direct costs are included in the applicable operating segments, including certain corporate general and administrative personnel costs, which have been allocated to each segment. We base these allocations on time-spent analyses, headcount, and other allocation methods we believe are reasonable. We do not allocate certain shared expenses to our reportable segments, such as certain information system costs, technical infrastructure costs, and other costs supporting the Tripadvisor platform and operations, that we do not believe are a material driver of individual segment performance, which is consistent with the financial information used by our CODM. We include these expenses in our Brand Tripadvisor segment. Our allocation methodology is periodically evaluated and may change.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0" w:name="page111"/>
    <w:bookmarkEnd w:id="110"/>
    <w:p>
      <w:pPr>
        <w:spacing w:after="0" w:line="19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following tables present our reportable segment information for the years ended December 31, 2023, 2022 and 2021 and includes a reconciliation of Adjusted EBITDA to Net income (loss). We record depreciation and amortization, stock-based compensation and other stock-settled obligations, goodwill, long-lived asset and intangible asset impairments, legal reserves and settlements, and other non-recurring expenses and income, net, which are excluded from segment operating performance, in "Corporate &amp; Eliminations". In addition, we do not report total assets, capital expenditures and related depreciation expense by segment as our CODM does not use this information to evaluate operating segment performance. Accordingly, we do not regularly provide such information by segment to our CODM.</w:t>
      </w:r>
    </w:p>
    <w:p>
      <w:pPr>
        <w:spacing w:after="0" w:line="78"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Our segment disclosure includes intersegment revenues, which consist of affiliate marketing fees for services provided by our Brand Tripadvisor segment to both our Viator and TheFork segments. These intersegment transactions are recorded by each segment at amounts that we believe approximate fair value as if the transactions were between third parties and, therefore, impact segment performance. However, the revenue and corresponding expense are eliminated in consolidation. The elimination of such intersegment transactions is included within the “Corporate &amp; Eliminations” column in the tables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0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Brand</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Viator (2)</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TheFork (3)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right"/>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&amp;</w:t>
            </w:r>
          </w:p>
        </w:tc>
        <w:tc>
          <w:tcPr>
            <w:tcW w:w="260" w:type="dxa"/>
            <w:vAlign w:val="bottom"/>
          </w:tcPr>
          <w:p>
            <w:pPr>
              <w:spacing w:after="0"/>
              <w:rPr>
                <w:sz w:val="11"/>
                <w:szCs w:val="11"/>
                <w:color w:val="auto"/>
              </w:rPr>
            </w:pPr>
          </w:p>
        </w:tc>
        <w:tc>
          <w:tcPr>
            <w:tcW w:w="10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Tripadvisor (1)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External revenue</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(134 )</w:t>
            </w:r>
          </w:p>
        </w:tc>
        <w:tc>
          <w:tcPr>
            <w:tcW w:w="2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4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300" w:type="dxa"/>
            <w:vAlign w:val="bottom"/>
            <w:gridSpan w:val="2"/>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(134 )</w:t>
            </w:r>
          </w:p>
        </w:tc>
        <w:tc>
          <w:tcPr>
            <w:tcW w:w="260" w:type="dxa"/>
            <w:vAlign w:val="bottom"/>
            <w:shd w:val="clear" w:color="auto" w:fill="CFF0FC"/>
          </w:tcPr>
          <w:p>
            <w:pPr>
              <w:jc w:val="right"/>
              <w:ind w:right="8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left w:val="single" w:sz="8" w:color="auto"/>
              <w:right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(87 )</w:t>
            </w: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3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(96 )</w:t>
            </w:r>
          </w:p>
        </w:tc>
        <w:tc>
          <w:tcPr>
            <w:tcW w:w="2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47"/>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Restructuring and other related reorganization costs (4)</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non-recurring expenses (income) (5)</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(3 )</w:t>
            </w:r>
          </w:p>
        </w:tc>
        <w:tc>
          <w:tcPr>
            <w:tcW w:w="26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6"/>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300" w:type="dxa"/>
            <w:vAlign w:val="bottom"/>
            <w:tcBorders>
              <w:left w:val="single" w:sz="8" w:color="CFF0FC"/>
              <w:right w:val="single" w:sz="8" w:color="CFF0FC"/>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40"/>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300" w:type="dxa"/>
            <w:vAlign w:val="bottom"/>
            <w:tcBorders>
              <w:left w:val="single" w:sz="8" w:color="CFF0FC"/>
              <w:right w:val="single" w:sz="8" w:color="CFF0FC"/>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r>
        <w:trPr>
          <w:trHeight w:val="280"/>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left w:val="single" w:sz="8" w:color="CFF0FC"/>
              <w:bottom w:val="single" w:sz="8" w:color="CFF0FC"/>
              <w:right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spacing w:after="0"/>
              <w:rPr>
                <w:sz w:val="24"/>
                <w:szCs w:val="24"/>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40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10"/>
          </w:tcPr>
          <w:p>
            <w:pPr>
              <w:jc w:val="center"/>
              <w:ind w:left="595"/>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080" w:type="dxa"/>
            <w:vAlign w:val="bottom"/>
          </w:tcPr>
          <w:p>
            <w:pPr>
              <w:spacing w:after="0"/>
              <w:rPr>
                <w:sz w:val="11"/>
                <w:szCs w:val="11"/>
                <w:color w:val="auto"/>
              </w:rPr>
            </w:pPr>
          </w:p>
        </w:tc>
        <w:tc>
          <w:tcPr>
            <w:tcW w:w="1380" w:type="dxa"/>
            <w:vAlign w:val="bottom"/>
            <w:gridSpan w:val="4"/>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Brand Tripadvisor</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8"/>
              </w:rPr>
              <w:t>Viator (2)</w:t>
            </w:r>
          </w:p>
        </w:tc>
        <w:tc>
          <w:tcPr>
            <w:tcW w:w="140" w:type="dxa"/>
            <w:vAlign w:val="bottom"/>
          </w:tcPr>
          <w:p>
            <w:pPr>
              <w:spacing w:after="0"/>
              <w:rPr>
                <w:sz w:val="11"/>
                <w:szCs w:val="11"/>
                <w:color w:val="auto"/>
              </w:rPr>
            </w:pPr>
          </w:p>
        </w:tc>
        <w:tc>
          <w:tcPr>
            <w:tcW w:w="1300" w:type="dxa"/>
            <w:vAlign w:val="bottom"/>
            <w:gridSpan w:val="4"/>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TheFork (3)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right"/>
              <w:ind w:right="50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&amp;</w:t>
            </w:r>
          </w:p>
        </w:tc>
        <w:tc>
          <w:tcPr>
            <w:tcW w:w="260" w:type="dxa"/>
            <w:vAlign w:val="bottom"/>
          </w:tcPr>
          <w:p>
            <w:pPr>
              <w:spacing w:after="0"/>
              <w:rPr>
                <w:sz w:val="11"/>
                <w:szCs w:val="11"/>
                <w:color w:val="auto"/>
              </w:rPr>
            </w:pPr>
          </w:p>
        </w:tc>
        <w:tc>
          <w:tcPr>
            <w:tcW w:w="10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gridSpan w:val="2"/>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gridSpan w:val="2"/>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External revenue</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6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(93 )</w:t>
            </w:r>
          </w:p>
        </w:tc>
        <w:tc>
          <w:tcPr>
            <w:tcW w:w="2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4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(93 )</w:t>
            </w:r>
          </w:p>
        </w:tc>
        <w:tc>
          <w:tcPr>
            <w:tcW w:w="260" w:type="dxa"/>
            <w:vAlign w:val="bottom"/>
            <w:shd w:val="clear" w:color="auto" w:fill="CFF0FC"/>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(39 )</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(97 )</w:t>
            </w: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r>
        <w:trPr>
          <w:trHeight w:val="23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(88 )</w:t>
            </w:r>
          </w:p>
        </w:tc>
        <w:tc>
          <w:tcPr>
            <w:tcW w:w="2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47"/>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Legal reserves and settlements</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(1 )</w:t>
            </w: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non-recurring expenses (income) (6)</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(8 )</w:t>
            </w:r>
          </w:p>
        </w:tc>
        <w:tc>
          <w:tcPr>
            <w:tcW w:w="26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6"/>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300" w:type="dxa"/>
            <w:vAlign w:val="bottom"/>
            <w:tcBorders>
              <w:left w:val="single" w:sz="8" w:color="CFF0FC"/>
              <w:right w:val="single" w:sz="8" w:color="CFF0FC"/>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40"/>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300" w:type="dxa"/>
            <w:vAlign w:val="bottom"/>
            <w:tcBorders>
              <w:left w:val="single" w:sz="8" w:color="CFF0FC"/>
              <w:right w:val="single" w:sz="8" w:color="CFF0FC"/>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80"/>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left w:val="single" w:sz="8" w:color="CFF0FC"/>
              <w:bottom w:val="single" w:sz="8" w:color="CFF0FC"/>
              <w:right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spacing w:after="0"/>
              <w:rPr>
                <w:sz w:val="24"/>
                <w:szCs w:val="24"/>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843"/>
        </w:trPr>
        <w:tc>
          <w:tcPr>
            <w:tcW w:w="4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40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3472815</wp:posOffset>
            </wp:positionH>
            <wp:positionV relativeFrom="paragraph">
              <wp:posOffset>-5334000</wp:posOffset>
            </wp:positionV>
            <wp:extent cx="7683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3472815</wp:posOffset>
            </wp:positionH>
            <wp:positionV relativeFrom="paragraph">
              <wp:posOffset>-5316855</wp:posOffset>
            </wp:positionV>
            <wp:extent cx="7683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-5334000</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-5316855</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-5334000</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-5316855</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-5334000</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-5316855</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-5334000</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-5316855</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-3741420</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-3724275</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3361690</wp:posOffset>
            </wp:positionH>
            <wp:positionV relativeFrom="paragraph">
              <wp:posOffset>-2662555</wp:posOffset>
            </wp:positionV>
            <wp:extent cx="7683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3361690</wp:posOffset>
            </wp:positionH>
            <wp:positionV relativeFrom="paragraph">
              <wp:posOffset>-2645410</wp:posOffset>
            </wp:positionV>
            <wp:extent cx="7683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-2662555</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-2645410</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-2662555</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-2645410</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-2662555</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-2645410</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-2662555</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-2645410</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-1069975</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-1052830</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10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080" w:type="dxa"/>
            <w:vAlign w:val="bottom"/>
          </w:tcPr>
          <w:p>
            <w:pPr>
              <w:spacing w:after="0"/>
              <w:rPr>
                <w:sz w:val="11"/>
                <w:szCs w:val="11"/>
                <w:color w:val="auto"/>
              </w:rPr>
            </w:pPr>
          </w:p>
        </w:tc>
        <w:tc>
          <w:tcPr>
            <w:tcW w:w="122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Brand Tripadvisor</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Viator (2)</w:t>
            </w:r>
          </w:p>
        </w:tc>
        <w:tc>
          <w:tcPr>
            <w:tcW w:w="140" w:type="dxa"/>
            <w:vAlign w:val="bottom"/>
          </w:tcPr>
          <w:p>
            <w:pPr>
              <w:spacing w:after="0"/>
              <w:rPr>
                <w:sz w:val="11"/>
                <w:szCs w:val="11"/>
                <w:color w:val="auto"/>
              </w:rPr>
            </w:pPr>
          </w:p>
        </w:tc>
        <w:tc>
          <w:tcPr>
            <w:tcW w:w="13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TheFork (3)</w:t>
            </w:r>
          </w:p>
        </w:tc>
        <w:tc>
          <w:tcPr>
            <w:tcW w:w="160" w:type="dxa"/>
            <w:vAlign w:val="bottom"/>
          </w:tcPr>
          <w:p>
            <w:pPr>
              <w:spacing w:after="0"/>
              <w:rPr>
                <w:sz w:val="11"/>
                <w:szCs w:val="11"/>
                <w:color w:val="auto"/>
              </w:rPr>
            </w:pPr>
          </w:p>
        </w:tc>
        <w:tc>
          <w:tcPr>
            <w:tcW w:w="1300" w:type="dxa"/>
            <w:vAlign w:val="bottom"/>
            <w:gridSpan w:val="2"/>
          </w:tcPr>
          <w:p>
            <w:pPr>
              <w:jc w:val="right"/>
              <w:ind w:right="46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&amp;</w:t>
            </w:r>
          </w:p>
        </w:tc>
        <w:tc>
          <w:tcPr>
            <w:tcW w:w="280" w:type="dxa"/>
            <w:vAlign w:val="bottom"/>
          </w:tcPr>
          <w:p>
            <w:pPr>
              <w:spacing w:after="0"/>
              <w:rPr>
                <w:sz w:val="11"/>
                <w:szCs w:val="11"/>
                <w:color w:val="auto"/>
              </w:rPr>
            </w:pPr>
          </w:p>
        </w:tc>
        <w:tc>
          <w:tcPr>
            <w:tcW w:w="10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(1)</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40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External revenue</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3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(32 )</w:t>
            </w:r>
          </w:p>
        </w:tc>
        <w:tc>
          <w:tcPr>
            <w:tcW w:w="2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(31 )</w:t>
            </w: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(46 )</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(111 )</w:t>
            </w:r>
          </w:p>
        </w:tc>
        <w:tc>
          <w:tcPr>
            <w:tcW w:w="28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(111 )</w:t>
            </w:r>
          </w:p>
        </w:tc>
        <w:tc>
          <w:tcPr>
            <w:tcW w:w="0" w:type="dxa"/>
            <w:vAlign w:val="bottom"/>
          </w:tcPr>
          <w:p>
            <w:pPr>
              <w:spacing w:after="0"/>
              <w:rPr>
                <w:sz w:val="1"/>
                <w:szCs w:val="1"/>
                <w:color w:val="auto"/>
              </w:rPr>
            </w:pPr>
          </w:p>
        </w:tc>
      </w:tr>
      <w:tr>
        <w:trPr>
          <w:trHeight w:val="247"/>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(120 )</w:t>
            </w:r>
          </w:p>
        </w:tc>
        <w:tc>
          <w:tcPr>
            <w:tcW w:w="2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0"/>
        </w:trPr>
        <w:tc>
          <w:tcPr>
            <w:tcW w:w="408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(131 )</w:t>
            </w:r>
          </w:p>
        </w:tc>
        <w:tc>
          <w:tcPr>
            <w:tcW w:w="0" w:type="dxa"/>
            <w:vAlign w:val="bottom"/>
          </w:tcPr>
          <w:p>
            <w:pPr>
              <w:spacing w:after="0"/>
              <w:rPr>
                <w:sz w:val="1"/>
                <w:szCs w:val="1"/>
                <w:color w:val="auto"/>
              </w:rPr>
            </w:pPr>
          </w:p>
        </w:tc>
      </w:tr>
      <w:tr>
        <w:trPr>
          <w:trHeight w:val="243"/>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0"/>
        </w:trPr>
        <w:tc>
          <w:tcPr>
            <w:tcW w:w="408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(185 )</w:t>
            </w:r>
          </w:p>
        </w:tc>
        <w:tc>
          <w:tcPr>
            <w:tcW w:w="0" w:type="dxa"/>
            <w:vAlign w:val="bottom"/>
          </w:tcPr>
          <w:p>
            <w:pPr>
              <w:spacing w:after="0"/>
              <w:rPr>
                <w:sz w:val="1"/>
                <w:szCs w:val="1"/>
                <w:color w:val="auto"/>
              </w:rPr>
            </w:pPr>
          </w:p>
        </w:tc>
      </w:tr>
      <w:tr>
        <w:trPr>
          <w:trHeight w:val="243"/>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(148 )</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3361690</wp:posOffset>
            </wp:positionH>
            <wp:positionV relativeFrom="paragraph">
              <wp:posOffset>-1471930</wp:posOffset>
            </wp:positionV>
            <wp:extent cx="7683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-1471930</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-1471930</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-1471930</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-1471930</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-821055</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1020" w:right="500" w:hanging="504"/>
        <w:spacing w:after="0" w:line="233" w:lineRule="auto"/>
        <w:tabs>
          <w:tab w:leader="none" w:pos="10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general and administrative personnel costs of $6 million, $5 million and $6 million for the years ended December 31, 2023, 2022 and 2021, respectively, were allocated to the Viator and TheFork segments.</w:t>
      </w:r>
    </w:p>
    <w:p>
      <w:pPr>
        <w:ind w:left="1020" w:right="520" w:hanging="504"/>
        <w:spacing w:after="0" w:line="221" w:lineRule="auto"/>
        <w:tabs>
          <w:tab w:leader="none" w:pos="10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allocated corporate general and administrative personnel costs from our Brand Tripadvisor segment of $3 million, $2 million and $3 million for the years ended December 31, 2023, 2022 and 2021, respectively.</w:t>
      </w:r>
    </w:p>
    <w:p>
      <w:pPr>
        <w:ind w:left="1020" w:right="520" w:hanging="504"/>
        <w:spacing w:after="0" w:line="221" w:lineRule="auto"/>
        <w:tabs>
          <w:tab w:leader="none" w:pos="10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allocated corporate general and administrative personnel costs from our Brand Tripadvisor segment of $3 million, $3 million and $3 million for the years ended December 31, 2023, 2022 and 2021, respectively.</w:t>
      </w:r>
    </w:p>
    <w:p>
      <w:pPr>
        <w:ind w:left="1020" w:hanging="504"/>
        <w:spacing w:after="0" w:line="221" w:lineRule="auto"/>
        <w:tabs>
          <w:tab w:leader="none" w:pos="10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“Note 7: </w:t>
      </w:r>
      <w:r>
        <w:rPr>
          <w:rFonts w:ascii="Times New Roman" w:cs="Times New Roman" w:eastAsia="Times New Roman" w:hAnsi="Times New Roman"/>
          <w:sz w:val="14"/>
          <w:szCs w:val="14"/>
          <w:i w:val="1"/>
          <w:iCs w:val="1"/>
          <w:color w:val="auto"/>
        </w:rPr>
        <w:t>Accrued Expenses and Other Current Liabilities</w:t>
      </w:r>
      <w:r>
        <w:rPr>
          <w:rFonts w:ascii="Times New Roman" w:cs="Times New Roman" w:eastAsia="Times New Roman" w:hAnsi="Times New Roman"/>
          <w:sz w:val="14"/>
          <w:szCs w:val="14"/>
          <w:color w:val="auto"/>
        </w:rPr>
        <w:t>” for information regarding restructuring and other related reorganization costs.</w:t>
      </w:r>
    </w:p>
    <w:p>
      <w:pPr>
        <w:ind w:left="1020" w:right="140" w:hanging="504"/>
        <w:spacing w:after="0" w:line="221" w:lineRule="auto"/>
        <w:tabs>
          <w:tab w:leader="none" w:pos="10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expensed $3 million of previously capitalized transaction costs during 2023, to general and administrative expenses on our consolidated statement of operations. The Company considers such costs to be non-recurring in nature.</w:t>
      </w:r>
    </w:p>
    <w:p>
      <w:pPr>
        <w:ind w:left="1020" w:right="100" w:hanging="504"/>
        <w:spacing w:after="0" w:line="231" w:lineRule="auto"/>
        <w:tabs>
          <w:tab w:leader="none" w:pos="10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incurred a loss of approximately $8 million during the fourth quarter of 2022, as the result of external fraud. This loss was recorded to general and administrative expenses on the consolidated statement of operations for December 31, 2022. The Company considers such costs to be non-recurring in nature. To the extent the Company recovers any losses in future periods related to this incident, the Company plans to reduce Adjusted EBITDA by the recovery amount in that same period.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and Geographic Information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disaggregate revenue into major products and revenue sources, as follows, for the periods presented:</w:t>
      </w:r>
    </w:p>
    <w:p>
      <w:pPr>
        <w:spacing w:after="0" w:line="124"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0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82"/>
        </w:trPr>
        <w:tc>
          <w:tcPr>
            <w:tcW w:w="500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r>
      <w:tr>
        <w:trPr>
          <w:trHeight w:val="23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Major products/revenue sources (1):</w:t>
            </w:r>
          </w:p>
        </w:tc>
        <w:tc>
          <w:tcPr>
            <w:tcW w:w="7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4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Brand Tripadvisor</w:t>
            </w: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70"/>
        </w:trPr>
        <w:tc>
          <w:tcPr>
            <w:tcW w:w="5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Tripadvisor-branded hotels</w:t>
            </w:r>
          </w:p>
        </w:tc>
        <w:tc>
          <w:tcPr>
            <w:tcW w:w="740" w:type="dxa"/>
            <w:vAlign w:val="bottom"/>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00" w:type="dxa"/>
            <w:vAlign w:val="bottom"/>
            <w:shd w:val="clear" w:color="auto" w:fill="CFF0FC"/>
          </w:tcPr>
          <w:p>
            <w:pPr>
              <w:spacing w:after="0"/>
              <w:rPr>
                <w:sz w:val="23"/>
                <w:szCs w:val="23"/>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shd w:val="clear" w:color="auto" w:fill="CFF0FC"/>
          </w:tcPr>
          <w:p>
            <w:pPr>
              <w:spacing w:after="0"/>
              <w:rPr>
                <w:sz w:val="23"/>
                <w:szCs w:val="23"/>
                <w:color w:val="auto"/>
              </w:rPr>
            </w:pPr>
          </w:p>
        </w:tc>
      </w:tr>
      <w:tr>
        <w:trPr>
          <w:trHeight w:val="263"/>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Media and advertising</w:t>
            </w:r>
          </w:p>
        </w:tc>
        <w:tc>
          <w:tcPr>
            <w:tcW w:w="74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22"/>
                <w:szCs w:val="22"/>
                <w:color w:val="auto"/>
              </w:rPr>
            </w:pPr>
          </w:p>
        </w:tc>
      </w:tr>
      <w:tr>
        <w:trPr>
          <w:trHeight w:val="276"/>
        </w:trPr>
        <w:tc>
          <w:tcPr>
            <w:tcW w:w="5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Tripadvisor experiences and dining </w:t>
            </w:r>
            <w:r>
              <w:rPr>
                <w:rFonts w:ascii="Times New Roman" w:cs="Times New Roman" w:eastAsia="Times New Roman" w:hAnsi="Times New Roman"/>
                <w:sz w:val="14"/>
                <w:szCs w:val="14"/>
                <w:color w:val="auto"/>
              </w:rPr>
              <w:t>(2)</w:t>
            </w:r>
          </w:p>
        </w:tc>
        <w:tc>
          <w:tcPr>
            <w:tcW w:w="740" w:type="dxa"/>
            <w:vAlign w:val="bottom"/>
            <w:shd w:val="clear" w:color="auto" w:fill="CFF0FC"/>
          </w:tcPr>
          <w:p>
            <w:pPr>
              <w:spacing w:after="0"/>
              <w:rPr>
                <w:sz w:val="24"/>
                <w:szCs w:val="2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FF0FC"/>
          </w:tcPr>
          <w:p>
            <w:pPr>
              <w:spacing w:after="0"/>
              <w:rPr>
                <w:sz w:val="24"/>
                <w:szCs w:val="24"/>
                <w:color w:val="auto"/>
              </w:rPr>
            </w:pPr>
          </w:p>
        </w:tc>
      </w:tr>
      <w:tr>
        <w:trPr>
          <w:trHeight w:val="250"/>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1"/>
                <w:szCs w:val="21"/>
                <w:color w:val="auto"/>
              </w:rPr>
            </w:pPr>
          </w:p>
        </w:tc>
      </w:tr>
      <w:tr>
        <w:trPr>
          <w:trHeight w:val="27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Brand Tripadvisor</w:t>
            </w:r>
          </w:p>
        </w:tc>
        <w:tc>
          <w:tcPr>
            <w:tcW w:w="740" w:type="dxa"/>
            <w:vAlign w:val="bottom"/>
            <w:shd w:val="clear" w:color="auto" w:fill="CFF0FC"/>
          </w:tcPr>
          <w:p>
            <w:pPr>
              <w:spacing w:after="0"/>
              <w:rPr>
                <w:sz w:val="23"/>
                <w:szCs w:val="23"/>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1,031</w:t>
            </w:r>
          </w:p>
        </w:tc>
        <w:tc>
          <w:tcPr>
            <w:tcW w:w="2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0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80" w:type="dxa"/>
            <w:vAlign w:val="bottom"/>
            <w:shd w:val="clear" w:color="auto" w:fill="CFF0FC"/>
          </w:tcPr>
          <w:p>
            <w:pPr>
              <w:spacing w:after="0"/>
              <w:rPr>
                <w:sz w:val="23"/>
                <w:szCs w:val="23"/>
                <w:color w:val="auto"/>
              </w:rPr>
            </w:pPr>
          </w:p>
        </w:tc>
      </w:tr>
      <w:tr>
        <w:trPr>
          <w:trHeight w:val="270"/>
        </w:trPr>
        <w:tc>
          <w:tcPr>
            <w:tcW w:w="50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Viator</w:t>
            </w:r>
          </w:p>
        </w:tc>
        <w:tc>
          <w:tcPr>
            <w:tcW w:w="740" w:type="dxa"/>
            <w:vAlign w:val="bottom"/>
            <w:shd w:val="clear" w:color="auto" w:fill="CFF0FC"/>
          </w:tcPr>
          <w:p>
            <w:pPr>
              <w:spacing w:after="0"/>
              <w:rPr>
                <w:sz w:val="23"/>
                <w:szCs w:val="23"/>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0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shd w:val="clear" w:color="auto" w:fill="CFF0FC"/>
          </w:tcPr>
          <w:p>
            <w:pPr>
              <w:spacing w:after="0"/>
              <w:rPr>
                <w:sz w:val="23"/>
                <w:szCs w:val="23"/>
                <w:color w:val="auto"/>
              </w:rPr>
            </w:pPr>
          </w:p>
        </w:tc>
      </w:tr>
      <w:tr>
        <w:trPr>
          <w:trHeight w:val="26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TheFork</w:t>
            </w:r>
          </w:p>
        </w:tc>
        <w:tc>
          <w:tcPr>
            <w:tcW w:w="74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22"/>
                <w:szCs w:val="22"/>
                <w:color w:val="auto"/>
              </w:rPr>
            </w:pPr>
          </w:p>
        </w:tc>
      </w:tr>
      <w:tr>
        <w:trPr>
          <w:trHeight w:val="25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Intersegment eliminations </w:t>
            </w:r>
            <w:r>
              <w:rPr>
                <w:rFonts w:ascii="Times New Roman" w:cs="Times New Roman" w:eastAsia="Times New Roman" w:hAnsi="Times New Roman"/>
                <w:sz w:val="14"/>
                <w:szCs w:val="14"/>
                <w:color w:val="auto"/>
              </w:rPr>
              <w:t>(2)</w:t>
            </w:r>
          </w:p>
        </w:tc>
        <w:tc>
          <w:tcPr>
            <w:tcW w:w="740" w:type="dxa"/>
            <w:vAlign w:val="bottom"/>
            <w:shd w:val="clear" w:color="auto" w:fill="CFF0FC"/>
          </w:tcPr>
          <w:p>
            <w:pPr>
              <w:spacing w:after="0"/>
              <w:rPr>
                <w:sz w:val="22"/>
                <w:szCs w:val="22"/>
                <w:color w:val="auto"/>
              </w:rPr>
            </w:pPr>
          </w:p>
        </w:tc>
        <w:tc>
          <w:tcPr>
            <w:tcW w:w="6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(134 )</w:t>
            </w:r>
          </w:p>
        </w:tc>
        <w:tc>
          <w:tcPr>
            <w:tcW w:w="14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(93 )</w:t>
            </w:r>
          </w:p>
        </w:tc>
        <w:tc>
          <w:tcPr>
            <w:tcW w:w="26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(32 )</w:t>
            </w:r>
          </w:p>
        </w:tc>
      </w:tr>
      <w:tr>
        <w:trPr>
          <w:trHeight w:val="243"/>
        </w:trPr>
        <w:tc>
          <w:tcPr>
            <w:tcW w:w="500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74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1,788</w:t>
            </w:r>
          </w:p>
        </w:tc>
        <w:tc>
          <w:tcPr>
            <w:tcW w:w="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200" w:type="dxa"/>
            <w:vAlign w:val="bottom"/>
            <w:tcBorders>
              <w:top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80" w:type="dxa"/>
            <w:vAlign w:val="bottom"/>
            <w:tcBorders>
              <w:top w:val="single" w:sz="8" w:color="CFF0FC"/>
            </w:tcBorders>
          </w:tcPr>
          <w:p>
            <w:pPr>
              <w:spacing w:after="0"/>
              <w:rPr>
                <w:sz w:val="21"/>
                <w:szCs w:val="21"/>
                <w:color w:val="auto"/>
              </w:rPr>
            </w:pPr>
          </w:p>
        </w:tc>
      </w:tr>
      <w:tr>
        <w:trPr>
          <w:trHeight w:val="20"/>
        </w:trPr>
        <w:tc>
          <w:tcPr>
            <w:tcW w:w="50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4645660</wp:posOffset>
            </wp:positionH>
            <wp:positionV relativeFrom="paragraph">
              <wp:posOffset>-187960</wp:posOffset>
            </wp:positionV>
            <wp:extent cx="5969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-187960</wp:posOffset>
            </wp:positionV>
            <wp:extent cx="5143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5143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5" w:lineRule="exact"/>
        <w:rPr>
          <w:sz w:val="20"/>
          <w:szCs w:val="20"/>
          <w:color w:val="auto"/>
        </w:rPr>
      </w:pPr>
    </w:p>
    <w:p>
      <w:pPr>
        <w:ind w:left="1460" w:hanging="374"/>
        <w:spacing w:after="0"/>
        <w:tabs>
          <w:tab w:leader="none" w:pos="14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revenue is recognized primarily at a point in time for all reported segments.</w:t>
      </w:r>
    </w:p>
    <w:p>
      <w:pPr>
        <w:spacing w:after="0" w:line="3" w:lineRule="exact"/>
        <w:rPr>
          <w:rFonts w:ascii="Times New Roman" w:cs="Times New Roman" w:eastAsia="Times New Roman" w:hAnsi="Times New Roman"/>
          <w:sz w:val="14"/>
          <w:szCs w:val="14"/>
          <w:color w:val="auto"/>
        </w:rPr>
      </w:pPr>
    </w:p>
    <w:p>
      <w:pPr>
        <w:ind w:left="1460" w:right="340" w:hanging="374"/>
        <w:spacing w:after="0" w:line="237" w:lineRule="auto"/>
        <w:tabs>
          <w:tab w:leader="none" w:pos="14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Tripadvisor experiences and dining revenue within the Brand Tripadvisor segment is shown gross of intersegment (intercompany) revenue, which is eliminated on a consolidated basis.</w:t>
      </w:r>
    </w:p>
    <w:p>
      <w:pPr>
        <w:spacing w:after="0" w:line="223" w:lineRule="exact"/>
        <w:rPr>
          <w:sz w:val="20"/>
          <w:szCs w:val="20"/>
          <w:color w:val="auto"/>
        </w:rPr>
      </w:pPr>
    </w:p>
    <w:p>
      <w:pPr>
        <w:ind w:right="200" w:firstLine="509"/>
        <w:spacing w:after="0" w:line="281" w:lineRule="auto"/>
        <w:rPr>
          <w:sz w:val="20"/>
          <w:szCs w:val="20"/>
          <w:color w:val="auto"/>
        </w:rPr>
      </w:pPr>
      <w:r>
        <w:rPr>
          <w:rFonts w:ascii="Times New Roman" w:cs="Times New Roman" w:eastAsia="Times New Roman" w:hAnsi="Times New Roman"/>
          <w:sz w:val="18"/>
          <w:szCs w:val="18"/>
          <w:color w:val="auto"/>
        </w:rPr>
        <w:t>The Company measures its geographic revenue based on the physical location of the Tripadvisor subsidiary which generates the revenue, which is consistent with our measurement of long-lived physical assets, or property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7"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and equipment, net. As such, this geographic classification does not necessarily align with where the consumer resides, where the consumer is physically located while using the Company's services, or the location of the travel service provider, experience operator or restaurant.</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revenue based on geographic location consists of the following for the periods presented:</w:t>
      </w:r>
    </w:p>
    <w:p>
      <w:pPr>
        <w:spacing w:after="0" w:line="124"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173"/>
        </w:trPr>
        <w:tc>
          <w:tcPr>
            <w:tcW w:w="5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8"/>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7"/>
        </w:trPr>
        <w:tc>
          <w:tcPr>
            <w:tcW w:w="5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3"/>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shd w:val="clear" w:color="auto" w:fill="CFF0FC"/>
          </w:tcPr>
          <w:p>
            <w:pPr>
              <w:spacing w:after="0"/>
              <w:rPr>
                <w:sz w:val="21"/>
                <w:szCs w:val="21"/>
                <w:color w:val="auto"/>
              </w:rPr>
            </w:pPr>
          </w:p>
        </w:tc>
      </w:tr>
      <w:tr>
        <w:trPr>
          <w:trHeight w:val="238"/>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Kingdom</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tcPr>
          <w:p>
            <w:pPr>
              <w:spacing w:after="0"/>
              <w:rPr>
                <w:sz w:val="20"/>
                <w:szCs w:val="20"/>
                <w:color w:val="auto"/>
              </w:rPr>
            </w:pPr>
          </w:p>
        </w:tc>
      </w:tr>
      <w:tr>
        <w:trPr>
          <w:trHeight w:val="243"/>
        </w:trPr>
        <w:tc>
          <w:tcPr>
            <w:tcW w:w="53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All other countries</w:t>
            </w: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0"/>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80" w:type="dxa"/>
            <w:vAlign w:val="bottom"/>
          </w:tcPr>
          <w:p>
            <w:pPr>
              <w:spacing w:after="0"/>
              <w:rPr>
                <w:sz w:val="20"/>
                <w:szCs w:val="20"/>
                <w:color w:val="auto"/>
              </w:rPr>
            </w:pPr>
          </w:p>
        </w:tc>
      </w:tr>
      <w:tr>
        <w:trPr>
          <w:trHeight w:val="20"/>
        </w:trPr>
        <w:tc>
          <w:tcPr>
            <w:tcW w:w="5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4782820</wp:posOffset>
            </wp:positionH>
            <wp:positionV relativeFrom="paragraph">
              <wp:posOffset>-187960</wp:posOffset>
            </wp:positionV>
            <wp:extent cx="596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-187960</wp:posOffset>
            </wp:positionV>
            <wp:extent cx="5143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5143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7"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8"/>
          <w:szCs w:val="18"/>
          <w:color w:val="auto"/>
        </w:rPr>
        <w:t>The Company’s property and equipment, net for the United States and all other countries based on the geographic location of the assets consists of the following as of the dates presented:</w:t>
      </w:r>
    </w:p>
    <w:p>
      <w:pPr>
        <w:spacing w:after="0" w:line="170"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4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42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173"/>
        </w:trPr>
        <w:tc>
          <w:tcPr>
            <w:tcW w:w="5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(in</w:t>
            </w:r>
          </w:p>
        </w:tc>
        <w:tc>
          <w:tcPr>
            <w:tcW w:w="5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4"/>
              </w:rPr>
              <w:t>millions)</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8"/>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7"/>
        </w:trPr>
        <w:tc>
          <w:tcPr>
            <w:tcW w:w="5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3"/>
        </w:trPr>
        <w:tc>
          <w:tcPr>
            <w:tcW w:w="54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720" w:type="dxa"/>
            <w:vAlign w:val="bottom"/>
            <w:shd w:val="clear" w:color="auto" w:fill="CFF0FC"/>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5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shd w:val="clear" w:color="auto" w:fill="CFF0FC"/>
          </w:tcPr>
          <w:p>
            <w:pPr>
              <w:spacing w:after="0"/>
              <w:rPr>
                <w:sz w:val="21"/>
                <w:szCs w:val="21"/>
                <w:color w:val="auto"/>
              </w:rPr>
            </w:pPr>
          </w:p>
        </w:tc>
      </w:tr>
      <w:tr>
        <w:trPr>
          <w:trHeight w:val="238"/>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 other countries</w:t>
            </w:r>
          </w:p>
        </w:tc>
        <w:tc>
          <w:tcPr>
            <w:tcW w:w="7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0"/>
                <w:szCs w:val="20"/>
                <w:color w:val="auto"/>
              </w:rPr>
            </w:pPr>
          </w:p>
        </w:tc>
      </w:tr>
      <w:tr>
        <w:trPr>
          <w:trHeight w:val="280"/>
        </w:trPr>
        <w:tc>
          <w:tcPr>
            <w:tcW w:w="54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auto"/>
            </w:tcBorders>
            <w:shd w:val="clear" w:color="auto" w:fill="CFF0FC"/>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-24765</wp:posOffset>
            </wp:positionV>
            <wp:extent cx="5143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-7620</wp:posOffset>
            </wp:positionV>
            <wp:extent cx="5143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Concentrations</w:t>
      </w:r>
    </w:p>
    <w:p>
      <w:pPr>
        <w:spacing w:after="0" w:line="227" w:lineRule="exact"/>
        <w:rPr>
          <w:sz w:val="20"/>
          <w:szCs w:val="20"/>
          <w:color w:val="auto"/>
        </w:rPr>
      </w:pPr>
    </w:p>
    <w:p>
      <w:pPr>
        <w:ind w:right="320" w:firstLine="509"/>
        <w:spacing w:after="0" w:line="283" w:lineRule="auto"/>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under the section entitled “Certain Risks and Concentrations” for information regarding our major customer concentrations.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of December 31, 2023, our management, with the participation of our Chief Executive Officer and President and our Chief Financial Officer, evaluated the effectiveness of our disclosure controls and procedures pursuant to Rule 13a-15(e) and 15d-15(e) promulgated under the Exchange Act. Based upon that evaluation, our Chief Executive Officer and President and our Chief Financial Officer concluded that, as of December 31, 2023, our disclosure controls and procedures were effective in ensuring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Chief Executive Officer and President and our Chief Financial Officer, as appropriate to allow timely decisions regarding required disclosure.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620" w:firstLine="509"/>
        <w:spacing w:after="0" w:line="281"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that occurred during the quarter ended December 31, 2023 that have materially affected, or are reasonably likely to materially affect, our internal control over financial reporting.</w:t>
      </w:r>
    </w:p>
    <w:p>
      <w:pPr>
        <w:spacing w:after="0" w:line="37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113" w:name="page114"/>
    <w:bookmarkEnd w:id="113"/>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defined in Rule 13a-15(f) of the Exchange Act. Internal control over financial reporting is a process to provide reasonable assurance regarding the reliability of our financial reporting for external purposes in accordance with GAAP. Under the supervision and with the participation of the Company’s management, including the Chief Executive Officer and President and the Chief Financial Officer, the Company conducted an evaluation of the effectiveness of our internal control over financial reporting based on the criteria for effective internal control over financial reporting described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86"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The Company’s management evaluated the effectiveness of the Company’s internal control over financial reporting as of December 31, 2023. Pursuant to Exchange Act Rule 13a-15(d) or 15d-15(d), management has concluded that, as of December 31, 2023, our internal control over financial reporting was effective. Management has reviewed its assessment with the Audit Committee. KPMG LLP, an independent registered public accounting firm, has audited the effectiveness of our internal control over financial reporting as of December 31, 2023, as stated in their report which is included below.</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2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Management does not expect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our company have been detected.</w:t>
      </w:r>
    </w:p>
    <w:p>
      <w:pPr>
        <w:spacing w:after="0" w:line="200" w:lineRule="exact"/>
        <w:rPr>
          <w:sz w:val="20"/>
          <w:szCs w:val="20"/>
          <w:color w:val="auto"/>
        </w:rPr>
      </w:pPr>
    </w:p>
    <w:p>
      <w:pPr>
        <w:spacing w:after="0" w:line="30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Tripadvisor, Inc.:</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119"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7"/>
          <w:szCs w:val="17"/>
          <w:color w:val="auto"/>
        </w:rPr>
        <w:t xml:space="preserve">We have audited Tripadvisor, Inc. and subsidiaries' (the Company) internal control over financial reporting as of December 31, 2023,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w:t>
      </w:r>
    </w:p>
    <w:p>
      <w:pPr>
        <w:spacing w:after="0" w:line="166"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as of December 31, 2023 and 2022, the related consolidated statements of operations, comprehensive income (loss), changes in stockholders’ equity, and cash flows for each of the years in the three-year period ended December 31, 2023, and the related notes (collectively, the consolidated financial statements), and our report dated February 16, 2024 expressed an unqualified opinion on those consolidated financial statements.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4" w:name="page115"/>
    <w:bookmarkEnd w:id="114"/>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federal securities laws and the applicable rules and regulations of the Securities and Exchange Commission and the PCAOB.</w:t>
      </w:r>
    </w:p>
    <w:p>
      <w:pPr>
        <w:spacing w:after="0" w:line="117"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3"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/s/ KPMG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16, 2024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During the fourth quarter of 2023, none of the Company’s directors or officers adopted or terminated a Rule 10b5-1 trading arrangement or a non-Rule 10b5-1 trading arrangement (each as defined in Item 408(c) of Regulation S-K).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our 2024 Proxy Statement, which proxy statement will be filed with the SEC not later than 120 days after the close of our fiscal year ended December 31, 2023.</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our 2024 Proxy Statement, which proxy statement will be filed with the SEC not later than 120 days after the close of our fiscal year ended December 31, 2023.</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5" w:name="page116"/>
    <w:bookmarkEnd w:id="115"/>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34"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our 2024 Proxy Statement, which proxy statement will be filed with the SEC not later than 120 days after the close of our fiscal year ended December 31, 2023.</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our 2024 Proxy Statement, which proxy statement will be filed with the SEC not later than 120 days after the close of our fiscal year ended December 31, 2023.</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The information required under this item is incorporated herein by reference to our 2024 Proxy Statement, which proxy statement will be filed with the SEC not later than 120 days after the close of our fiscal year ended December 31, 2023.</w:t>
      </w:r>
    </w:p>
    <w:p>
      <w:pPr>
        <w:spacing w:after="0" w:line="200" w:lineRule="exact"/>
        <w:rPr>
          <w:sz w:val="20"/>
          <w:szCs w:val="20"/>
          <w:color w:val="auto"/>
        </w:rPr>
      </w:pPr>
    </w:p>
    <w:p>
      <w:pPr>
        <w:spacing w:after="0" w:line="3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16" w:name="page117"/>
    <w:bookmarkEnd w:id="11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121" w:lineRule="exact"/>
        <w:rPr>
          <w:sz w:val="20"/>
          <w:szCs w:val="20"/>
          <w:color w:val="auto"/>
        </w:rPr>
      </w:pPr>
    </w:p>
    <w:p>
      <w:pPr>
        <w:ind w:left="760" w:hanging="243"/>
        <w:spacing w:after="0"/>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filed as part of this Annual Report on Form 10-K:</w:t>
      </w:r>
    </w:p>
    <w:p>
      <w:pPr>
        <w:spacing w:after="0" w:line="114" w:lineRule="exact"/>
        <w:rPr>
          <w:rFonts w:ascii="Times New Roman" w:cs="Times New Roman" w:eastAsia="Times New Roman" w:hAnsi="Times New Roman"/>
          <w:sz w:val="18"/>
          <w:szCs w:val="18"/>
          <w:color w:val="auto"/>
        </w:rPr>
      </w:pPr>
    </w:p>
    <w:p>
      <w:pPr>
        <w:ind w:left="1020" w:right="200" w:firstLine="6"/>
        <w:spacing w:after="0" w:line="283" w:lineRule="auto"/>
        <w:tabs>
          <w:tab w:leader="none" w:pos="12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The consolidated financial statements and report of independent registered public accounting firms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by this item are included in Part II, Item 8.</w:t>
      </w:r>
    </w:p>
    <w:p>
      <w:pPr>
        <w:spacing w:after="0" w:line="53" w:lineRule="exact"/>
        <w:rPr>
          <w:sz w:val="20"/>
          <w:szCs w:val="20"/>
          <w:color w:val="auto"/>
        </w:rPr>
      </w:pPr>
    </w:p>
    <w:p>
      <w:pPr>
        <w:ind w:left="1020" w:right="220"/>
        <w:spacing w:after="0" w:line="281"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or not required, or because the required information is shown either in the consolidated financial statements or in the notes thereto.</w:t>
      </w:r>
    </w:p>
    <w:p>
      <w:pPr>
        <w:sectPr>
          <w:pgSz w:w="11900" w:h="16838" w:orient="portrait"/>
          <w:cols w:equalWidth="0" w:num="1">
            <w:col w:w="11140"/>
          </w:cols>
          <w:pgMar w:left="320" w:top="1412" w:right="439" w:bottom="1440" w:gutter="0" w:footer="0" w:header="0"/>
        </w:sectPr>
      </w:pP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 Exhibits: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Exhibit</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500" w:type="dxa"/>
            <w:vAlign w:val="bottom"/>
            <w:gridSpan w:val="22"/>
            <w:vMerge w:val="restart"/>
          </w:tcPr>
          <w:p>
            <w:pPr>
              <w:ind w:left="80"/>
              <w:spacing w:after="0"/>
              <w:rPr>
                <w:sz w:val="20"/>
                <w:szCs w:val="20"/>
                <w:color w:val="auto"/>
              </w:rPr>
            </w:pPr>
            <w:r>
              <w:rPr>
                <w:rFonts w:ascii="Times New Roman" w:cs="Times New Roman" w:eastAsia="Times New Roman" w:hAnsi="Times New Roman"/>
                <w:sz w:val="14"/>
                <w:szCs w:val="14"/>
                <w:color w:val="auto"/>
              </w:rPr>
              <w:t>Exhibit Description</w:t>
            </w:r>
          </w:p>
        </w:tc>
        <w:tc>
          <w:tcPr>
            <w:tcW w:w="0" w:type="dxa"/>
            <w:vAlign w:val="bottom"/>
          </w:tcPr>
          <w:p>
            <w:pPr>
              <w:spacing w:after="0"/>
              <w:rPr>
                <w:sz w:val="1"/>
                <w:szCs w:val="1"/>
                <w:color w:val="auto"/>
              </w:rPr>
            </w:pPr>
          </w:p>
        </w:tc>
      </w:tr>
      <w:tr>
        <w:trPr>
          <w:trHeight w:val="185"/>
        </w:trPr>
        <w:tc>
          <w:tcPr>
            <w:tcW w:w="9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No.</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2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9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5"/>
                <w:szCs w:val="15"/>
                <w:color w:val="auto"/>
              </w:rPr>
            </w:pPr>
          </w:p>
        </w:tc>
        <w:tc>
          <w:tcPr>
            <w:tcW w:w="2880" w:type="dxa"/>
            <w:vAlign w:val="bottom"/>
            <w:tcBorders>
              <w:bottom w:val="single" w:sz="8" w:color="0000EE"/>
            </w:tcBorders>
            <w:gridSpan w:val="10"/>
          </w:tcPr>
          <w:p>
            <w:pPr>
              <w:spacing w:after="0" w:line="182" w:lineRule="exact"/>
              <w:rPr>
                <w:rFonts w:ascii="Times New Roman" w:cs="Times New Roman" w:eastAsia="Times New Roman" w:hAnsi="Times New Roman"/>
                <w:sz w:val="18"/>
                <w:szCs w:val="18"/>
                <w:color w:val="auto"/>
              </w:rPr>
            </w:pPr>
            <w:hyperlink r:id="rId458">
              <w:r>
                <w:rPr>
                  <w:rFonts w:ascii="Times New Roman" w:cs="Times New Roman" w:eastAsia="Times New Roman" w:hAnsi="Times New Roman"/>
                  <w:sz w:val="18"/>
                  <w:szCs w:val="18"/>
                  <w:color w:val="auto"/>
                </w:rPr>
                <w:t>Restated Certificate of Incorporation of</w:t>
              </w:r>
            </w:hyperlink>
          </w:p>
        </w:tc>
        <w:tc>
          <w:tcPr>
            <w:tcW w:w="800" w:type="dxa"/>
            <w:vAlign w:val="bottom"/>
            <w:gridSpan w:val="17"/>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gridSpan w:val="27"/>
          </w:tcPr>
          <w:p>
            <w:pPr>
              <w:spacing w:after="0" w:line="195" w:lineRule="exact"/>
              <w:rPr>
                <w:rFonts w:ascii="Times New Roman" w:cs="Times New Roman" w:eastAsia="Times New Roman" w:hAnsi="Times New Roman"/>
                <w:sz w:val="18"/>
                <w:szCs w:val="18"/>
                <w:color w:val="auto"/>
              </w:rPr>
            </w:pPr>
            <w:hyperlink r:id="rId458">
              <w:r>
                <w:rPr>
                  <w:rFonts w:ascii="Times New Roman" w:cs="Times New Roman" w:eastAsia="Times New Roman" w:hAnsi="Times New Roman"/>
                  <w:sz w:val="18"/>
                  <w:szCs w:val="18"/>
                  <w:color w:val="auto"/>
                </w:rPr>
                <w:t>Tripadvisor, Inc.</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3420" w:type="dxa"/>
            <w:vAlign w:val="bottom"/>
            <w:tcBorders>
              <w:bottom w:val="single" w:sz="8" w:color="0000EE"/>
            </w:tcBorders>
            <w:gridSpan w:val="21"/>
          </w:tcPr>
          <w:p>
            <w:pPr>
              <w:spacing w:after="0"/>
              <w:rPr>
                <w:rFonts w:ascii="Times New Roman" w:cs="Times New Roman" w:eastAsia="Times New Roman" w:hAnsi="Times New Roman"/>
                <w:sz w:val="18"/>
                <w:szCs w:val="18"/>
                <w:color w:val="auto"/>
              </w:rPr>
            </w:pPr>
            <w:hyperlink r:id="rId459">
              <w:r>
                <w:rPr>
                  <w:rFonts w:ascii="Times New Roman" w:cs="Times New Roman" w:eastAsia="Times New Roman" w:hAnsi="Times New Roman"/>
                  <w:sz w:val="18"/>
                  <w:szCs w:val="18"/>
                  <w:color w:val="auto"/>
                </w:rPr>
                <w:t>Amended and Restated Bylaws of Tripadvisor,</w:t>
              </w:r>
            </w:hyperlink>
          </w:p>
        </w:tc>
        <w:tc>
          <w:tcPr>
            <w:tcW w:w="26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0000EE"/>
            </w:tcBorders>
          </w:tcPr>
          <w:p>
            <w:pPr>
              <w:spacing w:after="0" w:line="195" w:lineRule="exact"/>
              <w:rPr>
                <w:rFonts w:ascii="Times New Roman" w:cs="Times New Roman" w:eastAsia="Times New Roman" w:hAnsi="Times New Roman"/>
                <w:sz w:val="18"/>
                <w:szCs w:val="18"/>
                <w:color w:val="auto"/>
                <w:w w:val="94"/>
              </w:rPr>
            </w:pPr>
            <w:hyperlink r:id="rId459">
              <w:r>
                <w:rPr>
                  <w:rFonts w:ascii="Times New Roman" w:cs="Times New Roman" w:eastAsia="Times New Roman" w:hAnsi="Times New Roman"/>
                  <w:sz w:val="18"/>
                  <w:szCs w:val="18"/>
                  <w:color w:val="auto"/>
                  <w:w w:val="94"/>
                </w:rPr>
                <w:t>Inc.</w:t>
              </w:r>
            </w:hyperlink>
          </w:p>
        </w:tc>
        <w:tc>
          <w:tcPr>
            <w:tcW w:w="340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3280" w:type="dxa"/>
            <w:vAlign w:val="bottom"/>
            <w:tcBorders>
              <w:bottom w:val="single" w:sz="8" w:color="0000EE"/>
            </w:tcBorders>
            <w:gridSpan w:val="16"/>
          </w:tcPr>
          <w:p>
            <w:pPr>
              <w:spacing w:after="0"/>
              <w:rPr>
                <w:rFonts w:ascii="Times New Roman" w:cs="Times New Roman" w:eastAsia="Times New Roman" w:hAnsi="Times New Roman"/>
                <w:sz w:val="18"/>
                <w:szCs w:val="18"/>
                <w:color w:val="auto"/>
              </w:rPr>
            </w:pPr>
            <w:hyperlink r:id="rId460">
              <w:r>
                <w:rPr>
                  <w:rFonts w:ascii="Times New Roman" w:cs="Times New Roman" w:eastAsia="Times New Roman" w:hAnsi="Times New Roman"/>
                  <w:sz w:val="18"/>
                  <w:szCs w:val="18"/>
                  <w:color w:val="auto"/>
                </w:rPr>
                <w:t>Amendment No. 1 to Amended and Restated</w:t>
              </w:r>
            </w:hyperlink>
          </w:p>
        </w:tc>
        <w:tc>
          <w:tcPr>
            <w:tcW w:w="400" w:type="dxa"/>
            <w:vAlign w:val="bottom"/>
            <w:gridSpan w:val="11"/>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gridSpan w:val="27"/>
          </w:tcPr>
          <w:p>
            <w:pPr>
              <w:spacing w:after="0" w:line="195" w:lineRule="exact"/>
              <w:rPr>
                <w:rFonts w:ascii="Times New Roman" w:cs="Times New Roman" w:eastAsia="Times New Roman" w:hAnsi="Times New Roman"/>
                <w:sz w:val="18"/>
                <w:szCs w:val="18"/>
                <w:color w:val="auto"/>
              </w:rPr>
            </w:pPr>
            <w:hyperlink r:id="rId460">
              <w:r>
                <w:rPr>
                  <w:rFonts w:ascii="Times New Roman" w:cs="Times New Roman" w:eastAsia="Times New Roman" w:hAnsi="Times New Roman"/>
                  <w:sz w:val="18"/>
                  <w:szCs w:val="18"/>
                  <w:color w:val="auto"/>
                </w:rPr>
                <w:t>Bylaws of Tripadvisor, Inc.</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3160" w:type="dxa"/>
            <w:vAlign w:val="bottom"/>
            <w:tcBorders>
              <w:bottom w:val="single" w:sz="8" w:color="0000EE"/>
            </w:tcBorders>
            <w:gridSpan w:val="14"/>
          </w:tcPr>
          <w:p>
            <w:pPr>
              <w:spacing w:after="0"/>
              <w:rPr>
                <w:rFonts w:ascii="Times New Roman" w:cs="Times New Roman" w:eastAsia="Times New Roman" w:hAnsi="Times New Roman"/>
                <w:sz w:val="18"/>
                <w:szCs w:val="18"/>
                <w:color w:val="auto"/>
              </w:rPr>
            </w:pPr>
            <w:hyperlink r:id="rId461">
              <w:r>
                <w:rPr>
                  <w:rFonts w:ascii="Times New Roman" w:cs="Times New Roman" w:eastAsia="Times New Roman" w:hAnsi="Times New Roman"/>
                  <w:sz w:val="18"/>
                  <w:szCs w:val="18"/>
                  <w:color w:val="auto"/>
                </w:rPr>
                <w:t>Specimen Tripadvisor, Inc. Common Stock</w:t>
              </w:r>
            </w:hyperlink>
          </w:p>
        </w:tc>
        <w:tc>
          <w:tcPr>
            <w:tcW w:w="520" w:type="dxa"/>
            <w:vAlign w:val="bottom"/>
            <w:gridSpan w:val="13"/>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bottom w:val="single" w:sz="8" w:color="0000EE"/>
            </w:tcBorders>
            <w:gridSpan w:val="4"/>
          </w:tcPr>
          <w:p>
            <w:pPr>
              <w:spacing w:after="0" w:line="195" w:lineRule="exact"/>
              <w:rPr>
                <w:rFonts w:ascii="Times New Roman" w:cs="Times New Roman" w:eastAsia="Times New Roman" w:hAnsi="Times New Roman"/>
                <w:sz w:val="18"/>
                <w:szCs w:val="18"/>
                <w:color w:val="auto"/>
                <w:w w:val="97"/>
              </w:rPr>
            </w:pPr>
            <w:hyperlink r:id="rId461">
              <w:r>
                <w:rPr>
                  <w:rFonts w:ascii="Times New Roman" w:cs="Times New Roman" w:eastAsia="Times New Roman" w:hAnsi="Times New Roman"/>
                  <w:sz w:val="18"/>
                  <w:szCs w:val="18"/>
                  <w:color w:val="auto"/>
                  <w:w w:val="97"/>
                </w:rPr>
                <w:t>Certificate</w:t>
              </w:r>
            </w:hyperlink>
          </w:p>
        </w:tc>
        <w:tc>
          <w:tcPr>
            <w:tcW w:w="292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3000" w:type="dxa"/>
            <w:vAlign w:val="bottom"/>
            <w:tcBorders>
              <w:bottom w:val="single" w:sz="8" w:color="0000EE"/>
            </w:tcBorders>
            <w:gridSpan w:val="12"/>
          </w:tcPr>
          <w:p>
            <w:pPr>
              <w:spacing w:after="0"/>
              <w:rPr>
                <w:rFonts w:ascii="Times New Roman" w:cs="Times New Roman" w:eastAsia="Times New Roman" w:hAnsi="Times New Roman"/>
                <w:sz w:val="18"/>
                <w:szCs w:val="18"/>
                <w:color w:val="auto"/>
              </w:rPr>
            </w:pPr>
            <w:hyperlink r:id="rId462">
              <w:r>
                <w:rPr>
                  <w:rFonts w:ascii="Times New Roman" w:cs="Times New Roman" w:eastAsia="Times New Roman" w:hAnsi="Times New Roman"/>
                  <w:sz w:val="18"/>
                  <w:szCs w:val="18"/>
                  <w:color w:val="auto"/>
                </w:rPr>
                <w:t>Description of the Registrant’s Securities</w:t>
              </w:r>
            </w:hyperlink>
          </w:p>
        </w:tc>
        <w:tc>
          <w:tcPr>
            <w:tcW w:w="680" w:type="dxa"/>
            <w:vAlign w:val="bottom"/>
            <w:gridSpan w:val="15"/>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tcBorders>
              <w:bottom w:val="single" w:sz="8" w:color="0000EE"/>
            </w:tcBorders>
            <w:gridSpan w:val="27"/>
          </w:tcPr>
          <w:p>
            <w:pPr>
              <w:spacing w:after="0" w:line="195" w:lineRule="exact"/>
              <w:rPr>
                <w:rFonts w:ascii="Times New Roman" w:cs="Times New Roman" w:eastAsia="Times New Roman" w:hAnsi="Times New Roman"/>
                <w:sz w:val="18"/>
                <w:szCs w:val="18"/>
                <w:color w:val="auto"/>
              </w:rPr>
            </w:pPr>
            <w:hyperlink r:id="rId462">
              <w:r>
                <w:rPr>
                  <w:rFonts w:ascii="Times New Roman" w:cs="Times New Roman" w:eastAsia="Times New Roman" w:hAnsi="Times New Roman"/>
                  <w:sz w:val="18"/>
                  <w:szCs w:val="18"/>
                  <w:color w:val="auto"/>
                </w:rPr>
                <w:t>Registered Pursuant to Section 12 of the Securities</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Borders>
              <w:bottom w:val="single" w:sz="8" w:color="0000EE"/>
            </w:tcBorders>
            <w:gridSpan w:val="7"/>
          </w:tcPr>
          <w:p>
            <w:pPr>
              <w:spacing w:after="0" w:line="195" w:lineRule="exact"/>
              <w:rPr>
                <w:rFonts w:ascii="Times New Roman" w:cs="Times New Roman" w:eastAsia="Times New Roman" w:hAnsi="Times New Roman"/>
                <w:sz w:val="18"/>
                <w:szCs w:val="18"/>
                <w:color w:val="auto"/>
                <w:w w:val="99"/>
              </w:rPr>
            </w:pPr>
            <w:hyperlink r:id="rId462">
              <w:r>
                <w:rPr>
                  <w:rFonts w:ascii="Times New Roman" w:cs="Times New Roman" w:eastAsia="Times New Roman" w:hAnsi="Times New Roman"/>
                  <w:sz w:val="18"/>
                  <w:szCs w:val="18"/>
                  <w:color w:val="auto"/>
                  <w:w w:val="99"/>
                </w:rPr>
                <w:t>Exchange Act of 1934</w:t>
              </w:r>
            </w:hyperlink>
          </w:p>
        </w:tc>
        <w:tc>
          <w:tcPr>
            <w:tcW w:w="20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3640" w:type="dxa"/>
            <w:vAlign w:val="bottom"/>
            <w:tcBorders>
              <w:bottom w:val="single" w:sz="8" w:color="0000EE"/>
            </w:tcBorders>
            <w:gridSpan w:val="25"/>
          </w:tcPr>
          <w:p>
            <w:pPr>
              <w:spacing w:after="0"/>
              <w:rPr>
                <w:rFonts w:ascii="Times New Roman" w:cs="Times New Roman" w:eastAsia="Times New Roman" w:hAnsi="Times New Roman"/>
                <w:sz w:val="18"/>
                <w:szCs w:val="18"/>
                <w:color w:val="auto"/>
              </w:rPr>
            </w:pPr>
            <w:hyperlink r:id="rId463">
              <w:r>
                <w:rPr>
                  <w:rFonts w:ascii="Times New Roman" w:cs="Times New Roman" w:eastAsia="Times New Roman" w:hAnsi="Times New Roman"/>
                  <w:sz w:val="18"/>
                  <w:szCs w:val="18"/>
                  <w:color w:val="auto"/>
                </w:rPr>
                <w:t>Indenture, dated July 9, 2020, among Tripadvisor,</w:t>
              </w:r>
            </w:hyperlink>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80" w:type="dxa"/>
            <w:vAlign w:val="bottom"/>
            <w:tcBorders>
              <w:bottom w:val="single" w:sz="8" w:color="0000EE"/>
            </w:tcBorders>
            <w:gridSpan w:val="23"/>
          </w:tcPr>
          <w:p>
            <w:pPr>
              <w:spacing w:after="0" w:line="195" w:lineRule="exact"/>
              <w:rPr>
                <w:rFonts w:ascii="Times New Roman" w:cs="Times New Roman" w:eastAsia="Times New Roman" w:hAnsi="Times New Roman"/>
                <w:sz w:val="18"/>
                <w:szCs w:val="18"/>
                <w:color w:val="auto"/>
              </w:rPr>
            </w:pPr>
            <w:hyperlink r:id="rId463">
              <w:r>
                <w:rPr>
                  <w:rFonts w:ascii="Times New Roman" w:cs="Times New Roman" w:eastAsia="Times New Roman" w:hAnsi="Times New Roman"/>
                  <w:sz w:val="18"/>
                  <w:szCs w:val="18"/>
                  <w:color w:val="auto"/>
                </w:rPr>
                <w:t>Inc., the guarantors party thereto and U.S. Bank</w:t>
              </w:r>
            </w:hyperlink>
          </w:p>
        </w:tc>
        <w:tc>
          <w:tcPr>
            <w:tcW w:w="2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20" w:type="dxa"/>
            <w:vAlign w:val="bottom"/>
            <w:tcBorders>
              <w:bottom w:val="single" w:sz="8" w:color="0000EE"/>
            </w:tcBorders>
            <w:gridSpan w:val="18"/>
          </w:tcPr>
          <w:p>
            <w:pPr>
              <w:spacing w:after="0" w:line="195" w:lineRule="exact"/>
              <w:rPr>
                <w:rFonts w:ascii="Times New Roman" w:cs="Times New Roman" w:eastAsia="Times New Roman" w:hAnsi="Times New Roman"/>
                <w:sz w:val="18"/>
                <w:szCs w:val="18"/>
                <w:color w:val="auto"/>
              </w:rPr>
            </w:pPr>
            <w:hyperlink r:id="rId463">
              <w:r>
                <w:rPr>
                  <w:rFonts w:ascii="Times New Roman" w:cs="Times New Roman" w:eastAsia="Times New Roman" w:hAnsi="Times New Roman"/>
                  <w:sz w:val="18"/>
                  <w:szCs w:val="18"/>
                  <w:color w:val="auto"/>
                </w:rPr>
                <w:t>National Association, as trustee (as successor</w:t>
              </w:r>
            </w:hyperlink>
          </w:p>
        </w:tc>
        <w:tc>
          <w:tcPr>
            <w:tcW w:w="3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Borders>
              <w:bottom w:val="single" w:sz="8" w:color="0000EE"/>
            </w:tcBorders>
            <w:gridSpan w:val="26"/>
          </w:tcPr>
          <w:p>
            <w:pPr>
              <w:spacing w:after="0" w:line="195" w:lineRule="exact"/>
              <w:rPr>
                <w:rFonts w:ascii="Times New Roman" w:cs="Times New Roman" w:eastAsia="Times New Roman" w:hAnsi="Times New Roman"/>
                <w:sz w:val="18"/>
                <w:szCs w:val="18"/>
                <w:color w:val="auto"/>
                <w:w w:val="99"/>
              </w:rPr>
            </w:pPr>
            <w:hyperlink r:id="rId463">
              <w:r>
                <w:rPr>
                  <w:rFonts w:ascii="Times New Roman" w:cs="Times New Roman" w:eastAsia="Times New Roman" w:hAnsi="Times New Roman"/>
                  <w:sz w:val="18"/>
                  <w:szCs w:val="18"/>
                  <w:color w:val="auto"/>
                  <w:w w:val="99"/>
                </w:rPr>
                <w:t>trustee to Wilmington Trust, National Association)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3320" w:type="dxa"/>
            <w:vAlign w:val="bottom"/>
            <w:tcBorders>
              <w:bottom w:val="single" w:sz="8" w:color="0000EE"/>
            </w:tcBorders>
            <w:gridSpan w:val="18"/>
          </w:tcPr>
          <w:p>
            <w:pPr>
              <w:spacing w:after="0"/>
              <w:rPr>
                <w:rFonts w:ascii="Times New Roman" w:cs="Times New Roman" w:eastAsia="Times New Roman" w:hAnsi="Times New Roman"/>
                <w:sz w:val="18"/>
                <w:szCs w:val="18"/>
                <w:color w:val="auto"/>
                <w:w w:val="99"/>
              </w:rPr>
            </w:pPr>
            <w:hyperlink r:id="rId463">
              <w:r>
                <w:rPr>
                  <w:rFonts w:ascii="Times New Roman" w:cs="Times New Roman" w:eastAsia="Times New Roman" w:hAnsi="Times New Roman"/>
                  <w:sz w:val="18"/>
                  <w:szCs w:val="18"/>
                  <w:color w:val="auto"/>
                  <w:w w:val="99"/>
                </w:rPr>
                <w:t>Form of Senior Note (included in Exhibit 4.1)</w:t>
              </w:r>
            </w:hyperlink>
          </w:p>
        </w:tc>
        <w:tc>
          <w:tcPr>
            <w:tcW w:w="36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3360" w:type="dxa"/>
            <w:vAlign w:val="bottom"/>
            <w:tcBorders>
              <w:bottom w:val="single" w:sz="8" w:color="0000EE"/>
            </w:tcBorders>
            <w:gridSpan w:val="19"/>
          </w:tcPr>
          <w:p>
            <w:pPr>
              <w:spacing w:after="0"/>
              <w:rPr>
                <w:rFonts w:ascii="Times New Roman" w:cs="Times New Roman" w:eastAsia="Times New Roman" w:hAnsi="Times New Roman"/>
                <w:sz w:val="18"/>
                <w:szCs w:val="18"/>
                <w:color w:val="auto"/>
              </w:rPr>
            </w:pPr>
            <w:hyperlink r:id="rId464">
              <w:r>
                <w:rPr>
                  <w:rFonts w:ascii="Times New Roman" w:cs="Times New Roman" w:eastAsia="Times New Roman" w:hAnsi="Times New Roman"/>
                  <w:sz w:val="18"/>
                  <w:szCs w:val="18"/>
                  <w:color w:val="auto"/>
                </w:rPr>
                <w:t>Indenture, dated as of March 25, 2021, by and</w:t>
              </w:r>
            </w:hyperlink>
          </w:p>
        </w:tc>
        <w:tc>
          <w:tcPr>
            <w:tcW w:w="32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Borders>
              <w:bottom w:val="single" w:sz="8" w:color="0000EE"/>
            </w:tcBorders>
            <w:gridSpan w:val="17"/>
          </w:tcPr>
          <w:p>
            <w:pPr>
              <w:spacing w:after="0" w:line="195" w:lineRule="exact"/>
              <w:rPr>
                <w:rFonts w:ascii="Times New Roman" w:cs="Times New Roman" w:eastAsia="Times New Roman" w:hAnsi="Times New Roman"/>
                <w:sz w:val="18"/>
                <w:szCs w:val="18"/>
                <w:color w:val="auto"/>
              </w:rPr>
            </w:pPr>
            <w:hyperlink r:id="rId464">
              <w:r>
                <w:rPr>
                  <w:rFonts w:ascii="Times New Roman" w:cs="Times New Roman" w:eastAsia="Times New Roman" w:hAnsi="Times New Roman"/>
                  <w:sz w:val="18"/>
                  <w:szCs w:val="18"/>
                  <w:color w:val="auto"/>
                </w:rPr>
                <w:t>among Tripadvisor, Inc., the guarantors party</w:t>
              </w:r>
            </w:hyperlink>
          </w:p>
        </w:tc>
        <w:tc>
          <w:tcPr>
            <w:tcW w:w="3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tcBorders>
              <w:bottom w:val="single" w:sz="8" w:color="0000EE"/>
            </w:tcBorders>
            <w:gridSpan w:val="22"/>
          </w:tcPr>
          <w:p>
            <w:pPr>
              <w:spacing w:after="0" w:line="195" w:lineRule="exact"/>
              <w:rPr>
                <w:rFonts w:ascii="Times New Roman" w:cs="Times New Roman" w:eastAsia="Times New Roman" w:hAnsi="Times New Roman"/>
                <w:sz w:val="18"/>
                <w:szCs w:val="18"/>
                <w:color w:val="auto"/>
              </w:rPr>
            </w:pPr>
            <w:hyperlink r:id="rId464">
              <w:r>
                <w:rPr>
                  <w:rFonts w:ascii="Times New Roman" w:cs="Times New Roman" w:eastAsia="Times New Roman" w:hAnsi="Times New Roman"/>
                  <w:sz w:val="18"/>
                  <w:szCs w:val="18"/>
                  <w:color w:val="auto"/>
                </w:rPr>
                <w:t>thereto and U.S. Bank National Association, as</w:t>
              </w:r>
            </w:hyperlink>
          </w:p>
        </w:tc>
        <w:tc>
          <w:tcPr>
            <w:tcW w:w="2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0000EE"/>
            </w:tcBorders>
            <w:gridSpan w:val="2"/>
          </w:tcPr>
          <w:p>
            <w:pPr>
              <w:spacing w:after="0" w:line="195" w:lineRule="exact"/>
              <w:rPr>
                <w:rFonts w:ascii="Times New Roman" w:cs="Times New Roman" w:eastAsia="Times New Roman" w:hAnsi="Times New Roman"/>
                <w:sz w:val="18"/>
                <w:szCs w:val="18"/>
                <w:color w:val="auto"/>
                <w:w w:val="95"/>
              </w:rPr>
            </w:pPr>
            <w:hyperlink r:id="rId464">
              <w:r>
                <w:rPr>
                  <w:rFonts w:ascii="Times New Roman" w:cs="Times New Roman" w:eastAsia="Times New Roman" w:hAnsi="Times New Roman"/>
                  <w:sz w:val="18"/>
                  <w:szCs w:val="18"/>
                  <w:color w:val="auto"/>
                  <w:w w:val="95"/>
                </w:rPr>
                <w:t>trustee</w:t>
              </w:r>
            </w:hyperlink>
          </w:p>
        </w:tc>
        <w:tc>
          <w:tcPr>
            <w:tcW w:w="320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3320" w:type="dxa"/>
            <w:vAlign w:val="bottom"/>
            <w:tcBorders>
              <w:bottom w:val="single" w:sz="8" w:color="0000EE"/>
            </w:tcBorders>
            <w:gridSpan w:val="18"/>
          </w:tcPr>
          <w:p>
            <w:pPr>
              <w:spacing w:after="0"/>
              <w:rPr>
                <w:rFonts w:ascii="Times New Roman" w:cs="Times New Roman" w:eastAsia="Times New Roman" w:hAnsi="Times New Roman"/>
                <w:sz w:val="18"/>
                <w:szCs w:val="18"/>
                <w:color w:val="auto"/>
              </w:rPr>
            </w:pPr>
            <w:hyperlink r:id="rId464">
              <w:r>
                <w:rPr>
                  <w:rFonts w:ascii="Times New Roman" w:cs="Times New Roman" w:eastAsia="Times New Roman" w:hAnsi="Times New Roman"/>
                  <w:sz w:val="18"/>
                  <w:szCs w:val="18"/>
                  <w:color w:val="auto"/>
                </w:rPr>
                <w:t>Form of 0.25% Convertible Senior Notes due</w:t>
              </w:r>
            </w:hyperlink>
          </w:p>
        </w:tc>
        <w:tc>
          <w:tcPr>
            <w:tcW w:w="36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20" w:type="dxa"/>
            <w:vAlign w:val="bottom"/>
            <w:tcBorders>
              <w:bottom w:val="single" w:sz="8" w:color="0000EE"/>
            </w:tcBorders>
            <w:gridSpan w:val="13"/>
          </w:tcPr>
          <w:p>
            <w:pPr>
              <w:spacing w:after="0" w:line="195" w:lineRule="exact"/>
              <w:rPr>
                <w:rFonts w:ascii="Times New Roman" w:cs="Times New Roman" w:eastAsia="Times New Roman" w:hAnsi="Times New Roman"/>
                <w:sz w:val="18"/>
                <w:szCs w:val="18"/>
                <w:color w:val="auto"/>
                <w:w w:val="99"/>
              </w:rPr>
            </w:pPr>
            <w:hyperlink r:id="rId464">
              <w:r>
                <w:rPr>
                  <w:rFonts w:ascii="Times New Roman" w:cs="Times New Roman" w:eastAsia="Times New Roman" w:hAnsi="Times New Roman"/>
                  <w:sz w:val="18"/>
                  <w:szCs w:val="18"/>
                  <w:color w:val="auto"/>
                  <w:w w:val="99"/>
                </w:rPr>
                <w:t>2026 (included as Exhibit A to Exhibit 4.1)</w:t>
              </w:r>
            </w:hyperlink>
          </w:p>
        </w:tc>
        <w:tc>
          <w:tcPr>
            <w:tcW w:w="5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2860" w:type="dxa"/>
            <w:vAlign w:val="bottom"/>
            <w:tcBorders>
              <w:bottom w:val="single" w:sz="8" w:color="0000EE"/>
            </w:tcBorders>
            <w:gridSpan w:val="9"/>
          </w:tcPr>
          <w:p>
            <w:pPr>
              <w:spacing w:after="0"/>
              <w:rPr>
                <w:rFonts w:ascii="Times New Roman" w:cs="Times New Roman" w:eastAsia="Times New Roman" w:hAnsi="Times New Roman"/>
                <w:sz w:val="18"/>
                <w:szCs w:val="18"/>
                <w:color w:val="auto"/>
              </w:rPr>
            </w:pPr>
            <w:hyperlink r:id="rId465">
              <w:r>
                <w:rPr>
                  <w:rFonts w:ascii="Times New Roman" w:cs="Times New Roman" w:eastAsia="Times New Roman" w:hAnsi="Times New Roman"/>
                  <w:sz w:val="18"/>
                  <w:szCs w:val="18"/>
                  <w:color w:val="auto"/>
                </w:rPr>
                <w:t>Governance Agreement, by and among</w:t>
              </w:r>
            </w:hyperlink>
          </w:p>
        </w:tc>
        <w:tc>
          <w:tcPr>
            <w:tcW w:w="820" w:type="dxa"/>
            <w:vAlign w:val="bottom"/>
            <w:gridSpan w:val="18"/>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80" w:type="dxa"/>
            <w:vAlign w:val="bottom"/>
            <w:tcBorders>
              <w:bottom w:val="single" w:sz="8" w:color="0000EE"/>
            </w:tcBorders>
            <w:gridSpan w:val="24"/>
          </w:tcPr>
          <w:p>
            <w:pPr>
              <w:spacing w:after="0" w:line="195" w:lineRule="exact"/>
              <w:rPr>
                <w:rFonts w:ascii="Times New Roman" w:cs="Times New Roman" w:eastAsia="Times New Roman" w:hAnsi="Times New Roman"/>
                <w:sz w:val="18"/>
                <w:szCs w:val="18"/>
                <w:color w:val="auto"/>
              </w:rPr>
            </w:pPr>
            <w:hyperlink r:id="rId465">
              <w:r>
                <w:rPr>
                  <w:rFonts w:ascii="Times New Roman" w:cs="Times New Roman" w:eastAsia="Times New Roman" w:hAnsi="Times New Roman"/>
                  <w:sz w:val="18"/>
                  <w:szCs w:val="18"/>
                  <w:color w:val="auto"/>
                </w:rPr>
                <w:t>Tripadvisor, Inc., Liberty Interactive Corporation</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gridSpan w:val="27"/>
          </w:tcPr>
          <w:p>
            <w:pPr>
              <w:spacing w:after="0" w:line="195" w:lineRule="exact"/>
              <w:rPr>
                <w:rFonts w:ascii="Times New Roman" w:cs="Times New Roman" w:eastAsia="Times New Roman" w:hAnsi="Times New Roman"/>
                <w:sz w:val="18"/>
                <w:szCs w:val="18"/>
                <w:color w:val="auto"/>
              </w:rPr>
            </w:pPr>
            <w:hyperlink r:id="rId465">
              <w:r>
                <w:rPr>
                  <w:rFonts w:ascii="Times New Roman" w:cs="Times New Roman" w:eastAsia="Times New Roman" w:hAnsi="Times New Roman"/>
                  <w:sz w:val="18"/>
                  <w:szCs w:val="18"/>
                  <w:color w:val="auto"/>
                </w:rPr>
                <w:t>and Barry Diller, dated as of December 20, 2011</w:t>
              </w:r>
            </w:hyperlink>
          </w:p>
        </w:tc>
        <w:tc>
          <w:tcPr>
            <w:tcW w:w="0" w:type="dxa"/>
            <w:vAlign w:val="bottom"/>
          </w:tcPr>
          <w:p>
            <w:pPr>
              <w:spacing w:after="0"/>
              <w:rPr>
                <w:sz w:val="1"/>
                <w:szCs w:val="1"/>
                <w:color w:val="auto"/>
              </w:rPr>
            </w:pPr>
          </w:p>
        </w:tc>
      </w:tr>
      <w:tr>
        <w:trPr>
          <w:trHeight w:val="22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322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auto"/>
              </w:rPr>
              <w:t>Assignment and Assumption of Governance</w:t>
            </w:r>
          </w:p>
        </w:tc>
        <w:tc>
          <w:tcPr>
            <w:tcW w:w="260" w:type="dxa"/>
            <w:vAlign w:val="bottom"/>
            <w:tcBorders>
              <w:top w:val="single" w:sz="8" w:color="0000EE"/>
            </w:tcBorders>
            <w:gridSpan w:val="8"/>
          </w:tcPr>
          <w:p>
            <w:pPr>
              <w:spacing w:after="0"/>
              <w:rPr>
                <w:sz w:val="19"/>
                <w:szCs w:val="19"/>
                <w:color w:val="auto"/>
              </w:rPr>
            </w:pPr>
          </w:p>
        </w:tc>
        <w:tc>
          <w:tcPr>
            <w:tcW w:w="20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tcBorders>
              <w:bottom w:val="single" w:sz="8" w:color="0000EE"/>
            </w:tcBorders>
            <w:gridSpan w:val="22"/>
          </w:tcPr>
          <w:p>
            <w:pPr>
              <w:spacing w:after="0" w:line="195" w:lineRule="exact"/>
              <w:rPr>
                <w:sz w:val="20"/>
                <w:szCs w:val="20"/>
                <w:color w:val="auto"/>
              </w:rPr>
            </w:pPr>
            <w:r>
              <w:rPr>
                <w:rFonts w:ascii="Times New Roman" w:cs="Times New Roman" w:eastAsia="Times New Roman" w:hAnsi="Times New Roman"/>
                <w:sz w:val="18"/>
                <w:szCs w:val="18"/>
                <w:color w:val="auto"/>
              </w:rPr>
              <w:t>Agreement by and among Tripadvisor, Inc. and</w:t>
            </w:r>
          </w:p>
        </w:tc>
        <w:tc>
          <w:tcPr>
            <w:tcW w:w="2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80" w:type="dxa"/>
            <w:vAlign w:val="bottom"/>
            <w:tcBorders>
              <w:bottom w:val="single" w:sz="8" w:color="0000EE"/>
            </w:tcBorders>
            <w:gridSpan w:val="24"/>
          </w:tcPr>
          <w:p>
            <w:pPr>
              <w:spacing w:after="0" w:line="195" w:lineRule="exact"/>
              <w:rPr>
                <w:sz w:val="20"/>
                <w:szCs w:val="20"/>
                <w:color w:val="auto"/>
              </w:rPr>
            </w:pPr>
            <w:r>
              <w:rPr>
                <w:rFonts w:ascii="Times New Roman" w:cs="Times New Roman" w:eastAsia="Times New Roman" w:hAnsi="Times New Roman"/>
                <w:sz w:val="18"/>
                <w:szCs w:val="18"/>
                <w:color w:val="auto"/>
              </w:rPr>
              <w:t>Liberty Tripadvisor Holdings, dated as of August</w:t>
            </w: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bottom w:val="single" w:sz="8" w:color="0000EE"/>
            </w:tcBorders>
            <w:gridSpan w:val="3"/>
          </w:tcPr>
          <w:p>
            <w:pPr>
              <w:spacing w:after="0" w:line="195" w:lineRule="exact"/>
              <w:rPr>
                <w:sz w:val="20"/>
                <w:szCs w:val="20"/>
                <w:color w:val="auto"/>
              </w:rPr>
            </w:pPr>
            <w:r>
              <w:rPr>
                <w:rFonts w:ascii="Times New Roman" w:cs="Times New Roman" w:eastAsia="Times New Roman" w:hAnsi="Times New Roman"/>
                <w:sz w:val="18"/>
                <w:szCs w:val="18"/>
                <w:color w:val="auto"/>
                <w:w w:val="95"/>
              </w:rPr>
              <w:t>12, 2014</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9"/>
                <w:szCs w:val="19"/>
                <w:color w:val="auto"/>
              </w:rPr>
            </w:pPr>
          </w:p>
        </w:tc>
        <w:tc>
          <w:tcPr>
            <w:tcW w:w="2940" w:type="dxa"/>
            <w:vAlign w:val="bottom"/>
            <w:tcBorders>
              <w:bottom w:val="single" w:sz="8" w:color="0000EE"/>
            </w:tcBorders>
            <w:gridSpan w:val="11"/>
          </w:tcPr>
          <w:p>
            <w:pPr>
              <w:spacing w:after="0"/>
              <w:rPr>
                <w:rFonts w:ascii="Times New Roman" w:cs="Times New Roman" w:eastAsia="Times New Roman" w:hAnsi="Times New Roman"/>
                <w:sz w:val="18"/>
                <w:szCs w:val="18"/>
                <w:color w:val="auto"/>
              </w:rPr>
            </w:pPr>
            <w:hyperlink r:id="rId466">
              <w:r>
                <w:rPr>
                  <w:rFonts w:ascii="Times New Roman" w:cs="Times New Roman" w:eastAsia="Times New Roman" w:hAnsi="Times New Roman"/>
                  <w:sz w:val="18"/>
                  <w:szCs w:val="18"/>
                  <w:color w:val="auto"/>
                </w:rPr>
                <w:t>Tax Sharing Agreement by and between</w:t>
              </w:r>
            </w:hyperlink>
          </w:p>
        </w:tc>
        <w:tc>
          <w:tcPr>
            <w:tcW w:w="740" w:type="dxa"/>
            <w:vAlign w:val="bottom"/>
            <w:gridSpan w:val="16"/>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tcBorders>
              <w:bottom w:val="single" w:sz="8" w:color="0000EE"/>
            </w:tcBorders>
            <w:gridSpan w:val="20"/>
          </w:tcPr>
          <w:p>
            <w:pPr>
              <w:spacing w:after="0" w:line="195" w:lineRule="exact"/>
              <w:rPr>
                <w:rFonts w:ascii="Times New Roman" w:cs="Times New Roman" w:eastAsia="Times New Roman" w:hAnsi="Times New Roman"/>
                <w:sz w:val="18"/>
                <w:szCs w:val="18"/>
                <w:color w:val="auto"/>
              </w:rPr>
            </w:pPr>
            <w:hyperlink r:id="rId466">
              <w:r>
                <w:rPr>
                  <w:rFonts w:ascii="Times New Roman" w:cs="Times New Roman" w:eastAsia="Times New Roman" w:hAnsi="Times New Roman"/>
                  <w:sz w:val="18"/>
                  <w:szCs w:val="18"/>
                  <w:color w:val="auto"/>
                </w:rPr>
                <w:t>Tripadvisor, Inc. and Expedia, Inc., dated as of</w:t>
              </w:r>
            </w:hyperlink>
          </w:p>
        </w:tc>
        <w:tc>
          <w:tcPr>
            <w:tcW w:w="2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gridSpan w:val="27"/>
          </w:tcPr>
          <w:p>
            <w:pPr>
              <w:spacing w:after="0" w:line="195" w:lineRule="exact"/>
              <w:rPr>
                <w:rFonts w:ascii="Times New Roman" w:cs="Times New Roman" w:eastAsia="Times New Roman" w:hAnsi="Times New Roman"/>
                <w:sz w:val="18"/>
                <w:szCs w:val="18"/>
                <w:color w:val="auto"/>
              </w:rPr>
            </w:pPr>
            <w:hyperlink r:id="rId466">
              <w:r>
                <w:rPr>
                  <w:rFonts w:ascii="Times New Roman" w:cs="Times New Roman" w:eastAsia="Times New Roman" w:hAnsi="Times New Roman"/>
                  <w:sz w:val="18"/>
                  <w:szCs w:val="18"/>
                  <w:color w:val="auto"/>
                </w:rPr>
                <w:t>December 20, 2011</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color w:val="auto"/>
              </w:rPr>
              <w:t>Incorporated by Reference</w:t>
            </w:r>
          </w:p>
        </w:tc>
        <w:tc>
          <w:tcPr>
            <w:tcW w:w="6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78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rPr>
              <w:t>Filed</w:t>
            </w:r>
          </w:p>
        </w:tc>
        <w:tc>
          <w:tcPr>
            <w:tcW w:w="100" w:type="dxa"/>
            <w:vAlign w:val="bottom"/>
          </w:tcPr>
          <w:p>
            <w:pPr>
              <w:spacing w:after="0"/>
              <w:rPr>
                <w:sz w:val="11"/>
                <w:szCs w:val="11"/>
                <w:color w:val="auto"/>
              </w:rPr>
            </w:pPr>
          </w:p>
        </w:tc>
        <w:tc>
          <w:tcPr>
            <w:tcW w:w="96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rPr>
              <w:t>Form</w:t>
            </w:r>
          </w:p>
        </w:tc>
        <w:tc>
          <w:tcPr>
            <w:tcW w:w="320" w:type="dxa"/>
            <w:vAlign w:val="bottom"/>
          </w:tcPr>
          <w:p>
            <w:pPr>
              <w:spacing w:after="0"/>
              <w:rPr>
                <w:sz w:val="11"/>
                <w:szCs w:val="11"/>
                <w:color w:val="auto"/>
              </w:rPr>
            </w:pPr>
          </w:p>
        </w:tc>
        <w:tc>
          <w:tcPr>
            <w:tcW w:w="198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color w:val="auto"/>
              </w:rPr>
              <w:t>SEC File No.</w:t>
            </w:r>
          </w:p>
        </w:tc>
        <w:tc>
          <w:tcPr>
            <w:tcW w:w="640" w:type="dxa"/>
            <w:vAlign w:val="bottom"/>
          </w:tcPr>
          <w:p>
            <w:pPr>
              <w:jc w:val="center"/>
              <w:ind w:right="33"/>
              <w:spacing w:after="0" w:line="133" w:lineRule="exact"/>
              <w:rPr>
                <w:sz w:val="20"/>
                <w:szCs w:val="20"/>
                <w:color w:val="auto"/>
              </w:rPr>
            </w:pPr>
            <w:r>
              <w:rPr>
                <w:rFonts w:ascii="Times New Roman" w:cs="Times New Roman" w:eastAsia="Times New Roman" w:hAnsi="Times New Roman"/>
                <w:sz w:val="14"/>
                <w:szCs w:val="14"/>
                <w:color w:val="auto"/>
              </w:rPr>
              <w:t>Exhibit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rPr>
              <w:t>Filing</w:t>
            </w:r>
          </w:p>
        </w:tc>
        <w:tc>
          <w:tcPr>
            <w:tcW w:w="0" w:type="dxa"/>
            <w:vAlign w:val="bottom"/>
          </w:tcPr>
          <w:p>
            <w:pPr>
              <w:spacing w:after="0"/>
              <w:rPr>
                <w:sz w:val="1"/>
                <w:szCs w:val="1"/>
                <w:color w:val="auto"/>
              </w:rPr>
            </w:pPr>
          </w:p>
        </w:tc>
      </w:tr>
      <w:tr>
        <w:trPr>
          <w:trHeight w:val="185"/>
        </w:trPr>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Herewith</w:t>
            </w: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980" w:type="dxa"/>
            <w:vAlign w:val="bottom"/>
            <w:gridSpan w:val="3"/>
            <w:vMerge w:val="continue"/>
          </w:tcPr>
          <w:p>
            <w:pPr>
              <w:spacing w:after="0"/>
              <w:rPr>
                <w:sz w:val="16"/>
                <w:szCs w:val="16"/>
                <w:color w:val="auto"/>
              </w:rPr>
            </w:pPr>
          </w:p>
        </w:tc>
        <w:tc>
          <w:tcPr>
            <w:tcW w:w="640" w:type="dxa"/>
            <w:vAlign w:val="bottom"/>
          </w:tcPr>
          <w:p>
            <w:pPr>
              <w:jc w:val="center"/>
              <w:ind w:right="33"/>
              <w:spacing w:after="0"/>
              <w:rPr>
                <w:sz w:val="20"/>
                <w:szCs w:val="20"/>
                <w:color w:val="auto"/>
              </w:rPr>
            </w:pPr>
            <w:r>
              <w:rPr>
                <w:rFonts w:ascii="Times New Roman" w:cs="Times New Roman" w:eastAsia="Times New Roman" w:hAnsi="Times New Roman"/>
                <w:sz w:val="14"/>
                <w:szCs w:val="14"/>
                <w:color w:val="auto"/>
                <w:w w:val="96"/>
              </w:rPr>
              <w:t>No.</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Date</w:t>
            </w:r>
          </w:p>
        </w:tc>
        <w:tc>
          <w:tcPr>
            <w:tcW w:w="0" w:type="dxa"/>
            <w:vAlign w:val="bottom"/>
          </w:tcPr>
          <w:p>
            <w:pPr>
              <w:spacing w:after="0"/>
              <w:rPr>
                <w:sz w:val="1"/>
                <w:szCs w:val="1"/>
                <w:color w:val="auto"/>
              </w:rPr>
            </w:pPr>
          </w:p>
        </w:tc>
      </w:tr>
      <w:tr>
        <w:trPr>
          <w:trHeight w:val="228"/>
        </w:trPr>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top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w w:val="99"/>
              </w:rPr>
              <w:t>8-K</w:t>
            </w:r>
          </w:p>
        </w:tc>
        <w:tc>
          <w:tcPr>
            <w:tcW w:w="320" w:type="dxa"/>
            <w:vAlign w:val="bottom"/>
          </w:tcPr>
          <w:p>
            <w:pPr>
              <w:spacing w:after="0"/>
              <w:rPr>
                <w:sz w:val="19"/>
                <w:szCs w:val="19"/>
                <w:color w:val="auto"/>
              </w:rPr>
            </w:pPr>
          </w:p>
        </w:tc>
        <w:tc>
          <w:tcPr>
            <w:tcW w:w="1280" w:type="dxa"/>
            <w:vAlign w:val="bottom"/>
            <w:tcBorders>
              <w:top w:val="single" w:sz="8" w:color="auto"/>
            </w:tcBorders>
          </w:tcPr>
          <w:p>
            <w:pPr>
              <w:jc w:val="center"/>
              <w:ind w:left="142"/>
              <w:spacing w:after="0"/>
              <w:rPr>
                <w:sz w:val="20"/>
                <w:szCs w:val="20"/>
                <w:color w:val="auto"/>
              </w:rPr>
            </w:pPr>
            <w:r>
              <w:rPr>
                <w:rFonts w:ascii="Times New Roman" w:cs="Times New Roman" w:eastAsia="Times New Roman" w:hAnsi="Times New Roman"/>
                <w:sz w:val="18"/>
                <w:szCs w:val="18"/>
                <w:color w:val="auto"/>
                <w:w w:val="99"/>
              </w:rPr>
              <w:t>001-35362</w:t>
            </w:r>
          </w:p>
        </w:tc>
        <w:tc>
          <w:tcPr>
            <w:tcW w:w="3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2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Borders>
              <w:top w:val="single" w:sz="8" w:color="auto"/>
            </w:tcBorders>
          </w:tcPr>
          <w:p>
            <w:pPr>
              <w:jc w:val="center"/>
              <w:ind w:left="22"/>
              <w:spacing w:after="0"/>
              <w:rPr>
                <w:sz w:val="20"/>
                <w:szCs w:val="20"/>
                <w:color w:val="auto"/>
              </w:rPr>
            </w:pPr>
            <w:r>
              <w:rPr>
                <w:rFonts w:ascii="Times New Roman" w:cs="Times New Roman" w:eastAsia="Times New Roman" w:hAnsi="Times New Roman"/>
                <w:sz w:val="18"/>
                <w:szCs w:val="18"/>
                <w:color w:val="auto"/>
                <w:w w:val="99"/>
              </w:rPr>
              <w:t>12/27/11</w:t>
            </w:r>
          </w:p>
        </w:tc>
        <w:tc>
          <w:tcPr>
            <w:tcW w:w="0" w:type="dxa"/>
            <w:vAlign w:val="bottom"/>
          </w:tcPr>
          <w:p>
            <w:pPr>
              <w:spacing w:after="0"/>
              <w:rPr>
                <w:sz w:val="1"/>
                <w:szCs w:val="1"/>
                <w:color w:val="auto"/>
              </w:rPr>
            </w:pPr>
          </w:p>
        </w:tc>
      </w:tr>
      <w:tr>
        <w:trPr>
          <w:trHeight w:val="454"/>
        </w:trPr>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8-K</w:t>
            </w:r>
          </w:p>
        </w:tc>
        <w:tc>
          <w:tcPr>
            <w:tcW w:w="160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w w:val="99"/>
              </w:rPr>
              <w:t>001-35362</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36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color w:val="auto"/>
                <w:w w:val="99"/>
              </w:rPr>
              <w:t>12/27/11</w:t>
            </w:r>
          </w:p>
        </w:tc>
        <w:tc>
          <w:tcPr>
            <w:tcW w:w="0" w:type="dxa"/>
            <w:vAlign w:val="bottom"/>
          </w:tcPr>
          <w:p>
            <w:pPr>
              <w:spacing w:after="0"/>
              <w:rPr>
                <w:sz w:val="1"/>
                <w:szCs w:val="1"/>
                <w:color w:val="auto"/>
              </w:rPr>
            </w:pPr>
          </w:p>
        </w:tc>
      </w:tr>
      <w:tr>
        <w:trPr>
          <w:trHeight w:val="458"/>
        </w:trPr>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8-K</w:t>
            </w:r>
          </w:p>
        </w:tc>
        <w:tc>
          <w:tcPr>
            <w:tcW w:w="160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w w:val="99"/>
              </w:rPr>
              <w:t>001-35362</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36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color w:val="auto"/>
              </w:rPr>
              <w:t>2/12/13</w:t>
            </w:r>
          </w:p>
        </w:tc>
        <w:tc>
          <w:tcPr>
            <w:tcW w:w="0" w:type="dxa"/>
            <w:vAlign w:val="bottom"/>
          </w:tcPr>
          <w:p>
            <w:pPr>
              <w:spacing w:after="0"/>
              <w:rPr>
                <w:sz w:val="1"/>
                <w:szCs w:val="1"/>
                <w:color w:val="auto"/>
              </w:rPr>
            </w:pPr>
          </w:p>
        </w:tc>
      </w:tr>
      <w:tr>
        <w:trPr>
          <w:trHeight w:val="458"/>
        </w:trPr>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rPr>
              <w:t>S-4/A</w:t>
            </w:r>
          </w:p>
        </w:tc>
        <w:tc>
          <w:tcPr>
            <w:tcW w:w="198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333-175828-01</w:t>
            </w:r>
          </w:p>
        </w:tc>
        <w:tc>
          <w:tcPr>
            <w:tcW w:w="3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36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color w:val="auto"/>
                <w:w w:val="99"/>
              </w:rPr>
              <w:t>10/24/11</w:t>
            </w:r>
          </w:p>
        </w:tc>
        <w:tc>
          <w:tcPr>
            <w:tcW w:w="0" w:type="dxa"/>
            <w:vAlign w:val="bottom"/>
          </w:tcPr>
          <w:p>
            <w:pPr>
              <w:spacing w:after="0"/>
              <w:rPr>
                <w:sz w:val="1"/>
                <w:szCs w:val="1"/>
                <w:color w:val="auto"/>
              </w:rPr>
            </w:pPr>
          </w:p>
        </w:tc>
      </w:tr>
      <w:tr>
        <w:trPr>
          <w:trHeight w:val="458"/>
        </w:trPr>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7"/>
              </w:rPr>
              <w:t>10-K</w:t>
            </w:r>
          </w:p>
        </w:tc>
        <w:tc>
          <w:tcPr>
            <w:tcW w:w="160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w w:val="99"/>
              </w:rPr>
              <w:t>001-35362</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36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color w:val="auto"/>
              </w:rPr>
              <w:t>2/19/20</w:t>
            </w:r>
          </w:p>
        </w:tc>
        <w:tc>
          <w:tcPr>
            <w:tcW w:w="0" w:type="dxa"/>
            <w:vAlign w:val="bottom"/>
          </w:tcPr>
          <w:p>
            <w:pPr>
              <w:spacing w:after="0"/>
              <w:rPr>
                <w:sz w:val="1"/>
                <w:szCs w:val="1"/>
                <w:color w:val="auto"/>
              </w:rPr>
            </w:pPr>
          </w:p>
        </w:tc>
      </w:tr>
      <w:tr>
        <w:trPr>
          <w:trHeight w:val="674"/>
        </w:trPr>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8-K</w:t>
            </w:r>
          </w:p>
        </w:tc>
        <w:tc>
          <w:tcPr>
            <w:tcW w:w="160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w w:val="99"/>
              </w:rPr>
              <w:t>001-35362</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36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auto"/>
                <w:w w:val="99"/>
              </w:rPr>
              <w:t>7/9/20</w:t>
            </w:r>
          </w:p>
        </w:tc>
        <w:tc>
          <w:tcPr>
            <w:tcW w:w="0" w:type="dxa"/>
            <w:vAlign w:val="bottom"/>
          </w:tcPr>
          <w:p>
            <w:pPr>
              <w:spacing w:after="0"/>
              <w:rPr>
                <w:sz w:val="1"/>
                <w:szCs w:val="1"/>
                <w:color w:val="auto"/>
              </w:rPr>
            </w:pPr>
          </w:p>
        </w:tc>
      </w:tr>
      <w:tr>
        <w:trPr>
          <w:trHeight w:val="890"/>
        </w:trPr>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8-K</w:t>
            </w:r>
          </w:p>
        </w:tc>
        <w:tc>
          <w:tcPr>
            <w:tcW w:w="160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w w:val="99"/>
              </w:rPr>
              <w:t>001-35362</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36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auto"/>
                <w:w w:val="99"/>
              </w:rPr>
              <w:t>7/9/20</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8-K</w:t>
            </w:r>
          </w:p>
        </w:tc>
        <w:tc>
          <w:tcPr>
            <w:tcW w:w="160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w w:val="99"/>
              </w:rPr>
              <w:t>001-35362</w:t>
            </w: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36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color w:val="auto"/>
              </w:rPr>
              <w:t>3/25/21</w:t>
            </w:r>
          </w:p>
        </w:tc>
        <w:tc>
          <w:tcPr>
            <w:tcW w:w="0" w:type="dxa"/>
            <w:vAlign w:val="bottom"/>
          </w:tcPr>
          <w:p>
            <w:pPr>
              <w:spacing w:after="0"/>
              <w:rPr>
                <w:sz w:val="1"/>
                <w:szCs w:val="1"/>
                <w:color w:val="auto"/>
              </w:rPr>
            </w:pPr>
          </w:p>
        </w:tc>
      </w:tr>
      <w:tr>
        <w:trPr>
          <w:trHeight w:val="890"/>
        </w:trPr>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8-K</w:t>
            </w:r>
          </w:p>
        </w:tc>
        <w:tc>
          <w:tcPr>
            <w:tcW w:w="160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w w:val="99"/>
              </w:rPr>
              <w:t>001-35362</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36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color w:val="auto"/>
              </w:rPr>
              <w:t>3/25/21</w:t>
            </w:r>
          </w:p>
        </w:tc>
        <w:tc>
          <w:tcPr>
            <w:tcW w:w="0" w:type="dxa"/>
            <w:vAlign w:val="bottom"/>
          </w:tcPr>
          <w:p>
            <w:pPr>
              <w:spacing w:after="0"/>
              <w:rPr>
                <w:sz w:val="1"/>
                <w:szCs w:val="1"/>
                <w:color w:val="auto"/>
              </w:rPr>
            </w:pPr>
          </w:p>
        </w:tc>
      </w:tr>
      <w:tr>
        <w:trPr>
          <w:trHeight w:val="458"/>
        </w:trPr>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8-K</w:t>
            </w:r>
          </w:p>
        </w:tc>
        <w:tc>
          <w:tcPr>
            <w:tcW w:w="160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w w:val="99"/>
              </w:rPr>
              <w:t>001-35362</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36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color w:val="auto"/>
                <w:w w:val="99"/>
              </w:rPr>
              <w:t>12/27/11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X</w:t>
      </w:r>
    </w:p>
    <w:p>
      <w:pPr>
        <w:spacing w:after="0" w:line="25" w:lineRule="exact"/>
        <w:rPr>
          <w:sz w:val="20"/>
          <w:szCs w:val="20"/>
          <w:color w:val="auto"/>
        </w:rPr>
      </w:pPr>
    </w:p>
    <w:p>
      <w:pPr>
        <w:ind w:left="1280"/>
        <w:spacing w:after="0"/>
        <w:tabs>
          <w:tab w:leader="none" w:pos="2500" w:val="left"/>
          <w:tab w:leader="none" w:pos="4320" w:val="left"/>
          <w:tab w:leader="none" w:pos="536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001-35362</w:t>
      </w:r>
      <w:r>
        <w:rPr>
          <w:sz w:val="20"/>
          <w:szCs w:val="20"/>
          <w:color w:val="auto"/>
        </w:rPr>
        <w:tab/>
      </w: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12/27/11</w:t>
      </w:r>
    </w:p>
    <w:p>
      <w:pPr>
        <w:spacing w:after="0" w:line="625" w:lineRule="exact"/>
        <w:rPr>
          <w:sz w:val="20"/>
          <w:szCs w:val="20"/>
          <w:color w:val="auto"/>
        </w:rPr>
      </w:pPr>
    </w:p>
    <w:p>
      <w:pPr>
        <w:sectPr>
          <w:pgSz w:w="11900" w:h="16838" w:orient="portrait"/>
          <w:cols w:equalWidth="0" w:num="2">
            <w:col w:w="4780" w:space="220"/>
            <w:col w:w="6140"/>
          </w:cols>
          <w:pgMar w:left="320" w:top="1412" w:right="439" w:bottom="1440" w:gutter="0" w:footer="0" w:header="0"/>
          <w:type w:val="continuous"/>
        </w:sectPr>
      </w:pPr>
    </w:p>
    <w:p>
      <w:pPr>
        <w:spacing w:after="0" w:line="2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491490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2" w:right="439" w:bottom="1440" w:gutter="0" w:footer="0" w:header="0"/>
          <w:type w:val="continuous"/>
        </w:sectPr>
      </w:pPr>
    </w:p>
    <w:bookmarkStart w:id="117" w:name="page118"/>
    <w:bookmarkEnd w:id="117"/>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640" w:type="dxa"/>
            <w:vAlign w:val="bottom"/>
            <w:tcBorders>
              <w:bottom w:val="single" w:sz="8" w:color="0000EE"/>
            </w:tcBorders>
            <w:gridSpan w:val="31"/>
          </w:tcPr>
          <w:p>
            <w:pPr>
              <w:spacing w:after="0"/>
              <w:rPr>
                <w:rFonts w:ascii="Times New Roman" w:cs="Times New Roman" w:eastAsia="Times New Roman" w:hAnsi="Times New Roman"/>
                <w:sz w:val="18"/>
                <w:szCs w:val="18"/>
                <w:color w:val="auto"/>
              </w:rPr>
            </w:pPr>
            <w:hyperlink r:id="rId468">
              <w:r>
                <w:rPr>
                  <w:rFonts w:ascii="Times New Roman" w:cs="Times New Roman" w:eastAsia="Times New Roman" w:hAnsi="Times New Roman"/>
                  <w:sz w:val="18"/>
                  <w:szCs w:val="18"/>
                  <w:color w:val="auto"/>
                </w:rPr>
                <w:t>Tripadvisor, Inc. Deferred Compensation Plan for</w:t>
              </w:r>
            </w:hyperlink>
          </w:p>
        </w:tc>
        <w:tc>
          <w:tcPr>
            <w:tcW w:w="40" w:type="dxa"/>
            <w:vAlign w:val="bottom"/>
            <w:gridSpan w:val="2"/>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820" w:type="dxa"/>
            <w:vAlign w:val="bottom"/>
            <w:tcBorders>
              <w:bottom w:val="single" w:sz="8" w:color="0000EE"/>
            </w:tcBorders>
            <w:gridSpan w:val="10"/>
          </w:tcPr>
          <w:p>
            <w:pPr>
              <w:spacing w:after="0" w:line="195" w:lineRule="exact"/>
              <w:rPr>
                <w:rFonts w:ascii="Times New Roman" w:cs="Times New Roman" w:eastAsia="Times New Roman" w:hAnsi="Times New Roman"/>
                <w:sz w:val="18"/>
                <w:szCs w:val="18"/>
                <w:color w:val="auto"/>
                <w:w w:val="99"/>
              </w:rPr>
            </w:pPr>
            <w:hyperlink r:id="rId468">
              <w:r>
                <w:rPr>
                  <w:rFonts w:ascii="Times New Roman" w:cs="Times New Roman" w:eastAsia="Times New Roman" w:hAnsi="Times New Roman"/>
                  <w:sz w:val="18"/>
                  <w:szCs w:val="18"/>
                  <w:color w:val="auto"/>
                  <w:w w:val="99"/>
                </w:rPr>
                <w:t>Non-Employee Directors</w:t>
              </w:r>
            </w:hyperlink>
          </w:p>
        </w:tc>
        <w:tc>
          <w:tcPr>
            <w:tcW w:w="1860" w:type="dxa"/>
            <w:vAlign w:val="bottom"/>
            <w:gridSpan w:val="23"/>
          </w:tcPr>
          <w:p>
            <w:pPr>
              <w:spacing w:after="0"/>
              <w:rPr>
                <w:sz w:val="17"/>
                <w:szCs w:val="17"/>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3400" w:type="dxa"/>
            <w:vAlign w:val="bottom"/>
            <w:tcBorders>
              <w:bottom w:val="single" w:sz="8" w:color="0000EE"/>
            </w:tcBorders>
            <w:gridSpan w:val="23"/>
          </w:tcPr>
          <w:p>
            <w:pPr>
              <w:spacing w:after="0"/>
              <w:rPr>
                <w:rFonts w:ascii="Times New Roman" w:cs="Times New Roman" w:eastAsia="Times New Roman" w:hAnsi="Times New Roman"/>
                <w:sz w:val="18"/>
                <w:szCs w:val="18"/>
                <w:color w:val="auto"/>
              </w:rPr>
            </w:pPr>
            <w:hyperlink r:id="rId469">
              <w:r>
                <w:rPr>
                  <w:rFonts w:ascii="Times New Roman" w:cs="Times New Roman" w:eastAsia="Times New Roman" w:hAnsi="Times New Roman"/>
                  <w:sz w:val="18"/>
                  <w:szCs w:val="18"/>
                  <w:color w:val="auto"/>
                </w:rPr>
                <w:t>Corporate Headquarters Lease with Normandy</w:t>
              </w:r>
            </w:hyperlink>
          </w:p>
        </w:tc>
        <w:tc>
          <w:tcPr>
            <w:tcW w:w="280" w:type="dxa"/>
            <w:vAlign w:val="bottom"/>
            <w:gridSpan w:val="10"/>
          </w:tcPr>
          <w:p>
            <w:pPr>
              <w:spacing w:after="0"/>
              <w:rPr>
                <w:sz w:val="19"/>
                <w:szCs w:val="19"/>
                <w:color w:val="auto"/>
              </w:rPr>
            </w:pPr>
          </w:p>
        </w:tc>
      </w:tr>
      <w:tr>
        <w:trPr>
          <w:trHeight w:val="196"/>
        </w:trPr>
        <w:tc>
          <w:tcPr>
            <w:tcW w:w="1120" w:type="dxa"/>
            <w:vAlign w:val="bottom"/>
          </w:tcPr>
          <w:p>
            <w:pPr>
              <w:spacing w:after="0"/>
              <w:rPr>
                <w:sz w:val="17"/>
                <w:szCs w:val="17"/>
                <w:color w:val="auto"/>
              </w:rPr>
            </w:pPr>
          </w:p>
        </w:tc>
        <w:tc>
          <w:tcPr>
            <w:tcW w:w="3440" w:type="dxa"/>
            <w:vAlign w:val="bottom"/>
            <w:tcBorders>
              <w:bottom w:val="single" w:sz="8" w:color="0000EE"/>
            </w:tcBorders>
            <w:gridSpan w:val="24"/>
          </w:tcPr>
          <w:p>
            <w:pPr>
              <w:spacing w:after="0" w:line="195" w:lineRule="exact"/>
              <w:rPr>
                <w:rFonts w:ascii="Times New Roman" w:cs="Times New Roman" w:eastAsia="Times New Roman" w:hAnsi="Times New Roman"/>
                <w:sz w:val="18"/>
                <w:szCs w:val="18"/>
                <w:color w:val="auto"/>
              </w:rPr>
            </w:pPr>
            <w:hyperlink r:id="rId469">
              <w:r>
                <w:rPr>
                  <w:rFonts w:ascii="Times New Roman" w:cs="Times New Roman" w:eastAsia="Times New Roman" w:hAnsi="Times New Roman"/>
                  <w:sz w:val="18"/>
                  <w:szCs w:val="18"/>
                  <w:color w:val="auto"/>
                </w:rPr>
                <w:t>Gap-V Needham Building 3, LLC, as landlord,</w:t>
              </w:r>
            </w:hyperlink>
          </w:p>
        </w:tc>
        <w:tc>
          <w:tcPr>
            <w:tcW w:w="240" w:type="dxa"/>
            <w:vAlign w:val="bottom"/>
            <w:gridSpan w:val="9"/>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680" w:type="dxa"/>
            <w:vAlign w:val="bottom"/>
            <w:gridSpan w:val="33"/>
          </w:tcPr>
          <w:p>
            <w:pPr>
              <w:spacing w:after="0" w:line="195" w:lineRule="exact"/>
              <w:rPr>
                <w:rFonts w:ascii="Times New Roman" w:cs="Times New Roman" w:eastAsia="Times New Roman" w:hAnsi="Times New Roman"/>
                <w:sz w:val="18"/>
                <w:szCs w:val="18"/>
                <w:color w:val="auto"/>
              </w:rPr>
            </w:pPr>
            <w:hyperlink r:id="rId469">
              <w:r>
                <w:rPr>
                  <w:rFonts w:ascii="Times New Roman" w:cs="Times New Roman" w:eastAsia="Times New Roman" w:hAnsi="Times New Roman"/>
                  <w:sz w:val="18"/>
                  <w:szCs w:val="18"/>
                  <w:color w:val="auto"/>
                </w:rPr>
                <w:t>dated as of June 20, 2013</w:t>
              </w:r>
            </w:hyperlink>
          </w:p>
        </w:tc>
      </w:tr>
      <w:tr>
        <w:trPr>
          <w:trHeight w:val="20"/>
        </w:trPr>
        <w:tc>
          <w:tcPr>
            <w:tcW w:w="1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3660" w:type="dxa"/>
            <w:vAlign w:val="bottom"/>
            <w:tcBorders>
              <w:bottom w:val="single" w:sz="8" w:color="0000EE"/>
            </w:tcBorders>
            <w:gridSpan w:val="32"/>
          </w:tcPr>
          <w:p>
            <w:pPr>
              <w:spacing w:after="0"/>
              <w:rPr>
                <w:rFonts w:ascii="Times New Roman" w:cs="Times New Roman" w:eastAsia="Times New Roman" w:hAnsi="Times New Roman"/>
                <w:sz w:val="18"/>
                <w:szCs w:val="18"/>
                <w:color w:val="auto"/>
              </w:rPr>
            </w:pPr>
            <w:hyperlink r:id="rId470">
              <w:r>
                <w:rPr>
                  <w:rFonts w:ascii="Times New Roman" w:cs="Times New Roman" w:eastAsia="Times New Roman" w:hAnsi="Times New Roman"/>
                  <w:sz w:val="18"/>
                  <w:szCs w:val="18"/>
                  <w:color w:val="auto"/>
                </w:rPr>
                <w:t>Guaranty dated June 20, 2013 by Tripadvisor, Inc.</w:t>
              </w:r>
            </w:hyperlink>
          </w:p>
        </w:tc>
        <w:tc>
          <w:tcPr>
            <w:tcW w:w="20" w:type="dxa"/>
            <w:vAlign w:val="bottom"/>
          </w:tcPr>
          <w:p>
            <w:pPr>
              <w:spacing w:after="0"/>
              <w:rPr>
                <w:sz w:val="19"/>
                <w:szCs w:val="19"/>
                <w:color w:val="auto"/>
              </w:rPr>
            </w:pPr>
          </w:p>
        </w:tc>
      </w:tr>
      <w:tr>
        <w:trPr>
          <w:trHeight w:val="196"/>
        </w:trPr>
        <w:tc>
          <w:tcPr>
            <w:tcW w:w="1120" w:type="dxa"/>
            <w:vAlign w:val="bottom"/>
          </w:tcPr>
          <w:p>
            <w:pPr>
              <w:spacing w:after="0"/>
              <w:rPr>
                <w:sz w:val="17"/>
                <w:szCs w:val="17"/>
                <w:color w:val="auto"/>
              </w:rPr>
            </w:pPr>
          </w:p>
        </w:tc>
        <w:tc>
          <w:tcPr>
            <w:tcW w:w="3360" w:type="dxa"/>
            <w:vAlign w:val="bottom"/>
            <w:tcBorders>
              <w:bottom w:val="single" w:sz="8" w:color="0000EE"/>
            </w:tcBorders>
            <w:gridSpan w:val="22"/>
          </w:tcPr>
          <w:p>
            <w:pPr>
              <w:spacing w:after="0" w:line="195" w:lineRule="exact"/>
              <w:rPr>
                <w:rFonts w:ascii="Times New Roman" w:cs="Times New Roman" w:eastAsia="Times New Roman" w:hAnsi="Times New Roman"/>
                <w:sz w:val="18"/>
                <w:szCs w:val="18"/>
                <w:color w:val="auto"/>
              </w:rPr>
            </w:pPr>
            <w:hyperlink r:id="rId470">
              <w:r>
                <w:rPr>
                  <w:rFonts w:ascii="Times New Roman" w:cs="Times New Roman" w:eastAsia="Times New Roman" w:hAnsi="Times New Roman"/>
                  <w:sz w:val="18"/>
                  <w:szCs w:val="18"/>
                  <w:color w:val="auto"/>
                </w:rPr>
                <w:t>for the benefit of Normandy Gap-V Needham</w:t>
              </w:r>
            </w:hyperlink>
          </w:p>
        </w:tc>
        <w:tc>
          <w:tcPr>
            <w:tcW w:w="320" w:type="dxa"/>
            <w:vAlign w:val="bottom"/>
            <w:gridSpan w:val="11"/>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2080" w:type="dxa"/>
            <w:vAlign w:val="bottom"/>
            <w:tcBorders>
              <w:bottom w:val="single" w:sz="8" w:color="0000EE"/>
            </w:tcBorders>
            <w:gridSpan w:val="11"/>
          </w:tcPr>
          <w:p>
            <w:pPr>
              <w:spacing w:after="0" w:line="195" w:lineRule="exact"/>
              <w:rPr>
                <w:rFonts w:ascii="Times New Roman" w:cs="Times New Roman" w:eastAsia="Times New Roman" w:hAnsi="Times New Roman"/>
                <w:sz w:val="18"/>
                <w:szCs w:val="18"/>
                <w:color w:val="auto"/>
                <w:w w:val="99"/>
              </w:rPr>
            </w:pPr>
            <w:hyperlink r:id="rId470">
              <w:r>
                <w:rPr>
                  <w:rFonts w:ascii="Times New Roman" w:cs="Times New Roman" w:eastAsia="Times New Roman" w:hAnsi="Times New Roman"/>
                  <w:sz w:val="18"/>
                  <w:szCs w:val="18"/>
                  <w:color w:val="auto"/>
                  <w:w w:val="99"/>
                </w:rPr>
                <w:t>Building 3, LLC, as landlord</w:t>
              </w:r>
            </w:hyperlink>
          </w:p>
        </w:tc>
        <w:tc>
          <w:tcPr>
            <w:tcW w:w="1600" w:type="dxa"/>
            <w:vAlign w:val="bottom"/>
            <w:gridSpan w:val="22"/>
          </w:tcPr>
          <w:p>
            <w:pPr>
              <w:spacing w:after="0"/>
              <w:rPr>
                <w:sz w:val="17"/>
                <w:szCs w:val="17"/>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3680" w:type="dxa"/>
            <w:vAlign w:val="bottom"/>
            <w:tcBorders>
              <w:bottom w:val="single" w:sz="8" w:color="0000EE"/>
            </w:tcBorders>
            <w:gridSpan w:val="33"/>
          </w:tcPr>
          <w:p>
            <w:pPr>
              <w:spacing w:after="0"/>
              <w:rPr>
                <w:rFonts w:ascii="Times New Roman" w:cs="Times New Roman" w:eastAsia="Times New Roman" w:hAnsi="Times New Roman"/>
                <w:sz w:val="18"/>
                <w:szCs w:val="18"/>
                <w:color w:val="auto"/>
              </w:rPr>
            </w:pPr>
            <w:hyperlink r:id="rId471">
              <w:r>
                <w:rPr>
                  <w:rFonts w:ascii="Times New Roman" w:cs="Times New Roman" w:eastAsia="Times New Roman" w:hAnsi="Times New Roman"/>
                  <w:sz w:val="18"/>
                  <w:szCs w:val="18"/>
                  <w:color w:val="auto"/>
                </w:rPr>
                <w:t>Amendment and Restatement Agreement, dated as</w:t>
              </w:r>
            </w:hyperlink>
          </w:p>
        </w:tc>
      </w:tr>
      <w:tr>
        <w:trPr>
          <w:trHeight w:val="196"/>
        </w:trPr>
        <w:tc>
          <w:tcPr>
            <w:tcW w:w="1120" w:type="dxa"/>
            <w:vAlign w:val="bottom"/>
          </w:tcPr>
          <w:p>
            <w:pPr>
              <w:spacing w:after="0"/>
              <w:rPr>
                <w:sz w:val="17"/>
                <w:szCs w:val="17"/>
                <w:color w:val="auto"/>
              </w:rPr>
            </w:pPr>
          </w:p>
        </w:tc>
        <w:tc>
          <w:tcPr>
            <w:tcW w:w="3680" w:type="dxa"/>
            <w:vAlign w:val="bottom"/>
            <w:tcBorders>
              <w:bottom w:val="single" w:sz="8" w:color="0000EE"/>
            </w:tcBorders>
            <w:gridSpan w:val="33"/>
          </w:tcPr>
          <w:p>
            <w:pPr>
              <w:spacing w:after="0" w:line="195" w:lineRule="exact"/>
              <w:rPr>
                <w:rFonts w:ascii="Times New Roman" w:cs="Times New Roman" w:eastAsia="Times New Roman" w:hAnsi="Times New Roman"/>
                <w:sz w:val="18"/>
                <w:szCs w:val="18"/>
                <w:color w:val="auto"/>
                <w:w w:val="99"/>
              </w:rPr>
            </w:pPr>
            <w:hyperlink r:id="rId471">
              <w:r>
                <w:rPr>
                  <w:rFonts w:ascii="Times New Roman" w:cs="Times New Roman" w:eastAsia="Times New Roman" w:hAnsi="Times New Roman"/>
                  <w:sz w:val="18"/>
                  <w:szCs w:val="18"/>
                  <w:color w:val="auto"/>
                  <w:w w:val="99"/>
                </w:rPr>
                <w:t>of June 29, 2023, to the Credit Agreement dated as</w:t>
              </w:r>
            </w:hyperlink>
          </w:p>
        </w:tc>
      </w:tr>
      <w:tr>
        <w:trPr>
          <w:trHeight w:val="196"/>
        </w:trPr>
        <w:tc>
          <w:tcPr>
            <w:tcW w:w="1120" w:type="dxa"/>
            <w:vAlign w:val="bottom"/>
          </w:tcPr>
          <w:p>
            <w:pPr>
              <w:spacing w:after="0"/>
              <w:rPr>
                <w:sz w:val="17"/>
                <w:szCs w:val="17"/>
                <w:color w:val="auto"/>
              </w:rPr>
            </w:pPr>
          </w:p>
        </w:tc>
        <w:tc>
          <w:tcPr>
            <w:tcW w:w="3680" w:type="dxa"/>
            <w:vAlign w:val="bottom"/>
            <w:tcBorders>
              <w:bottom w:val="single" w:sz="8" w:color="0000EE"/>
            </w:tcBorders>
            <w:gridSpan w:val="33"/>
          </w:tcPr>
          <w:p>
            <w:pPr>
              <w:spacing w:after="0" w:line="195" w:lineRule="exact"/>
              <w:rPr>
                <w:rFonts w:ascii="Times New Roman" w:cs="Times New Roman" w:eastAsia="Times New Roman" w:hAnsi="Times New Roman"/>
                <w:sz w:val="18"/>
                <w:szCs w:val="18"/>
                <w:color w:val="auto"/>
              </w:rPr>
            </w:pPr>
            <w:hyperlink r:id="rId471">
              <w:r>
                <w:rPr>
                  <w:rFonts w:ascii="Times New Roman" w:cs="Times New Roman" w:eastAsia="Times New Roman" w:hAnsi="Times New Roman"/>
                  <w:sz w:val="18"/>
                  <w:szCs w:val="18"/>
                  <w:color w:val="auto"/>
                </w:rPr>
                <w:t>of June 26, 2015 (as amended as of May 12, 2017,</w:t>
              </w:r>
            </w:hyperlink>
          </w:p>
        </w:tc>
      </w:tr>
      <w:tr>
        <w:trPr>
          <w:trHeight w:val="196"/>
        </w:trPr>
        <w:tc>
          <w:tcPr>
            <w:tcW w:w="1120" w:type="dxa"/>
            <w:vAlign w:val="bottom"/>
          </w:tcPr>
          <w:p>
            <w:pPr>
              <w:spacing w:after="0"/>
              <w:rPr>
                <w:sz w:val="17"/>
                <w:szCs w:val="17"/>
                <w:color w:val="auto"/>
              </w:rPr>
            </w:pPr>
          </w:p>
        </w:tc>
        <w:tc>
          <w:tcPr>
            <w:tcW w:w="3320" w:type="dxa"/>
            <w:vAlign w:val="bottom"/>
            <w:tcBorders>
              <w:bottom w:val="single" w:sz="8" w:color="0000EE"/>
            </w:tcBorders>
            <w:gridSpan w:val="20"/>
          </w:tcPr>
          <w:p>
            <w:pPr>
              <w:spacing w:after="0" w:line="195" w:lineRule="exact"/>
              <w:rPr>
                <w:rFonts w:ascii="Times New Roman" w:cs="Times New Roman" w:eastAsia="Times New Roman" w:hAnsi="Times New Roman"/>
                <w:sz w:val="18"/>
                <w:szCs w:val="18"/>
                <w:color w:val="auto"/>
              </w:rPr>
            </w:pPr>
            <w:hyperlink r:id="rId471">
              <w:r>
                <w:rPr>
                  <w:rFonts w:ascii="Times New Roman" w:cs="Times New Roman" w:eastAsia="Times New Roman" w:hAnsi="Times New Roman"/>
                  <w:sz w:val="18"/>
                  <w:szCs w:val="18"/>
                  <w:color w:val="auto"/>
                </w:rPr>
                <w:t>May 5, 2020 and December 17, 2020, among</w:t>
              </w:r>
            </w:hyperlink>
          </w:p>
        </w:tc>
        <w:tc>
          <w:tcPr>
            <w:tcW w:w="360" w:type="dxa"/>
            <w:vAlign w:val="bottom"/>
            <w:gridSpan w:val="13"/>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340" w:type="dxa"/>
            <w:vAlign w:val="bottom"/>
            <w:tcBorders>
              <w:bottom w:val="single" w:sz="8" w:color="0000EE"/>
            </w:tcBorders>
            <w:gridSpan w:val="21"/>
          </w:tcPr>
          <w:p>
            <w:pPr>
              <w:spacing w:after="0" w:line="195" w:lineRule="exact"/>
              <w:rPr>
                <w:rFonts w:ascii="Times New Roman" w:cs="Times New Roman" w:eastAsia="Times New Roman" w:hAnsi="Times New Roman"/>
                <w:sz w:val="18"/>
                <w:szCs w:val="18"/>
                <w:color w:val="auto"/>
              </w:rPr>
            </w:pPr>
            <w:hyperlink r:id="rId471">
              <w:r>
                <w:rPr>
                  <w:rFonts w:ascii="Times New Roman" w:cs="Times New Roman" w:eastAsia="Times New Roman" w:hAnsi="Times New Roman"/>
                  <w:sz w:val="18"/>
                  <w:szCs w:val="18"/>
                  <w:color w:val="auto"/>
                </w:rPr>
                <w:t>Tripadvisor, Inc., Tripadvisor Holdings, LLC,</w:t>
              </w:r>
            </w:hyperlink>
          </w:p>
        </w:tc>
        <w:tc>
          <w:tcPr>
            <w:tcW w:w="340" w:type="dxa"/>
            <w:vAlign w:val="bottom"/>
            <w:gridSpan w:val="12"/>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240" w:type="dxa"/>
            <w:vAlign w:val="bottom"/>
            <w:tcBorders>
              <w:bottom w:val="single" w:sz="8" w:color="0000EE"/>
            </w:tcBorders>
            <w:gridSpan w:val="17"/>
          </w:tcPr>
          <w:p>
            <w:pPr>
              <w:spacing w:after="0" w:line="195" w:lineRule="exact"/>
              <w:rPr>
                <w:rFonts w:ascii="Times New Roman" w:cs="Times New Roman" w:eastAsia="Times New Roman" w:hAnsi="Times New Roman"/>
                <w:sz w:val="18"/>
                <w:szCs w:val="18"/>
                <w:color w:val="auto"/>
              </w:rPr>
            </w:pPr>
            <w:hyperlink r:id="rId471">
              <w:r>
                <w:rPr>
                  <w:rFonts w:ascii="Times New Roman" w:cs="Times New Roman" w:eastAsia="Times New Roman" w:hAnsi="Times New Roman"/>
                  <w:sz w:val="18"/>
                  <w:szCs w:val="18"/>
                  <w:color w:val="auto"/>
                </w:rPr>
                <w:t>Tripadvisor, LLC, the other Borrowers party</w:t>
              </w:r>
            </w:hyperlink>
          </w:p>
        </w:tc>
        <w:tc>
          <w:tcPr>
            <w:tcW w:w="440" w:type="dxa"/>
            <w:vAlign w:val="bottom"/>
            <w:gridSpan w:val="16"/>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520" w:type="dxa"/>
            <w:vAlign w:val="bottom"/>
            <w:tcBorders>
              <w:bottom w:val="single" w:sz="8" w:color="0000EE"/>
            </w:tcBorders>
            <w:gridSpan w:val="27"/>
          </w:tcPr>
          <w:p>
            <w:pPr>
              <w:spacing w:after="0" w:line="195" w:lineRule="exact"/>
              <w:rPr>
                <w:rFonts w:ascii="Times New Roman" w:cs="Times New Roman" w:eastAsia="Times New Roman" w:hAnsi="Times New Roman"/>
                <w:sz w:val="18"/>
                <w:szCs w:val="18"/>
                <w:color w:val="auto"/>
              </w:rPr>
            </w:pPr>
            <w:hyperlink r:id="rId471">
              <w:r>
                <w:rPr>
                  <w:rFonts w:ascii="Times New Roman" w:cs="Times New Roman" w:eastAsia="Times New Roman" w:hAnsi="Times New Roman"/>
                  <w:sz w:val="18"/>
                  <w:szCs w:val="18"/>
                  <w:color w:val="auto"/>
                </w:rPr>
                <w:t>thereto, the Lenders party thereto and JPMorgan</w:t>
              </w:r>
            </w:hyperlink>
          </w:p>
        </w:tc>
        <w:tc>
          <w:tcPr>
            <w:tcW w:w="160" w:type="dxa"/>
            <w:vAlign w:val="bottom"/>
            <w:gridSpan w:val="6"/>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160" w:type="dxa"/>
            <w:vAlign w:val="bottom"/>
            <w:tcBorders>
              <w:bottom w:val="single" w:sz="8" w:color="0000EE"/>
            </w:tcBorders>
            <w:gridSpan w:val="16"/>
          </w:tcPr>
          <w:p>
            <w:pPr>
              <w:spacing w:after="0" w:line="195" w:lineRule="exact"/>
              <w:rPr>
                <w:rFonts w:ascii="Times New Roman" w:cs="Times New Roman" w:eastAsia="Times New Roman" w:hAnsi="Times New Roman"/>
                <w:sz w:val="18"/>
                <w:szCs w:val="18"/>
                <w:color w:val="auto"/>
                <w:w w:val="99"/>
              </w:rPr>
            </w:pPr>
            <w:hyperlink r:id="rId471">
              <w:r>
                <w:rPr>
                  <w:rFonts w:ascii="Times New Roman" w:cs="Times New Roman" w:eastAsia="Times New Roman" w:hAnsi="Times New Roman"/>
                  <w:sz w:val="18"/>
                  <w:szCs w:val="18"/>
                  <w:color w:val="auto"/>
                  <w:w w:val="99"/>
                </w:rPr>
                <w:t>Chase Bank, N.A., as Administrative Agent</w:t>
              </w:r>
            </w:hyperlink>
          </w:p>
        </w:tc>
        <w:tc>
          <w:tcPr>
            <w:tcW w:w="520" w:type="dxa"/>
            <w:vAlign w:val="bottom"/>
            <w:gridSpan w:val="17"/>
          </w:tcPr>
          <w:p>
            <w:pPr>
              <w:spacing w:after="0"/>
              <w:rPr>
                <w:sz w:val="17"/>
                <w:szCs w:val="17"/>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3320" w:type="dxa"/>
            <w:vAlign w:val="bottom"/>
            <w:tcBorders>
              <w:bottom w:val="single" w:sz="8" w:color="0000EE"/>
            </w:tcBorders>
            <w:gridSpan w:val="20"/>
          </w:tcPr>
          <w:p>
            <w:pPr>
              <w:spacing w:after="0"/>
              <w:rPr>
                <w:rFonts w:ascii="Times New Roman" w:cs="Times New Roman" w:eastAsia="Times New Roman" w:hAnsi="Times New Roman"/>
                <w:sz w:val="18"/>
                <w:szCs w:val="18"/>
                <w:color w:val="auto"/>
              </w:rPr>
            </w:pPr>
            <w:hyperlink r:id="rId472">
              <w:r>
                <w:rPr>
                  <w:rFonts w:ascii="Times New Roman" w:cs="Times New Roman" w:eastAsia="Times New Roman" w:hAnsi="Times New Roman"/>
                  <w:sz w:val="18"/>
                  <w:szCs w:val="18"/>
                  <w:color w:val="auto"/>
                </w:rPr>
                <w:t>Executive Severance Plan and Summary Plan</w:t>
              </w:r>
            </w:hyperlink>
          </w:p>
        </w:tc>
        <w:tc>
          <w:tcPr>
            <w:tcW w:w="360" w:type="dxa"/>
            <w:vAlign w:val="bottom"/>
            <w:gridSpan w:val="13"/>
          </w:tcPr>
          <w:p>
            <w:pPr>
              <w:spacing w:after="0"/>
              <w:rPr>
                <w:sz w:val="19"/>
                <w:szCs w:val="19"/>
                <w:color w:val="auto"/>
              </w:rPr>
            </w:pPr>
          </w:p>
        </w:tc>
      </w:tr>
      <w:tr>
        <w:trPr>
          <w:trHeight w:val="196"/>
        </w:trPr>
        <w:tc>
          <w:tcPr>
            <w:tcW w:w="1120" w:type="dxa"/>
            <w:vAlign w:val="bottom"/>
          </w:tcPr>
          <w:p>
            <w:pPr>
              <w:spacing w:after="0"/>
              <w:rPr>
                <w:sz w:val="17"/>
                <w:szCs w:val="17"/>
                <w:color w:val="auto"/>
              </w:rPr>
            </w:pPr>
          </w:p>
        </w:tc>
        <w:tc>
          <w:tcPr>
            <w:tcW w:w="840" w:type="dxa"/>
            <w:vAlign w:val="bottom"/>
            <w:tcBorders>
              <w:bottom w:val="single" w:sz="8" w:color="0000EE"/>
            </w:tcBorders>
            <w:gridSpan w:val="4"/>
          </w:tcPr>
          <w:p>
            <w:pPr>
              <w:spacing w:after="0" w:line="195" w:lineRule="exact"/>
              <w:rPr>
                <w:rFonts w:ascii="Times New Roman" w:cs="Times New Roman" w:eastAsia="Times New Roman" w:hAnsi="Times New Roman"/>
                <w:sz w:val="18"/>
                <w:szCs w:val="18"/>
                <w:color w:val="auto"/>
                <w:w w:val="97"/>
              </w:rPr>
            </w:pPr>
            <w:hyperlink r:id="rId472">
              <w:r>
                <w:rPr>
                  <w:rFonts w:ascii="Times New Roman" w:cs="Times New Roman" w:eastAsia="Times New Roman" w:hAnsi="Times New Roman"/>
                  <w:sz w:val="18"/>
                  <w:szCs w:val="18"/>
                  <w:color w:val="auto"/>
                  <w:w w:val="97"/>
                </w:rPr>
                <w:t>Description</w:t>
              </w:r>
            </w:hyperlink>
          </w:p>
        </w:tc>
        <w:tc>
          <w:tcPr>
            <w:tcW w:w="2840" w:type="dxa"/>
            <w:vAlign w:val="bottom"/>
            <w:gridSpan w:val="29"/>
          </w:tcPr>
          <w:p>
            <w:pPr>
              <w:spacing w:after="0"/>
              <w:rPr>
                <w:sz w:val="17"/>
                <w:szCs w:val="17"/>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2880" w:type="dxa"/>
            <w:vAlign w:val="bottom"/>
            <w:tcBorders>
              <w:bottom w:val="single" w:sz="8" w:color="0000EE"/>
            </w:tcBorders>
            <w:gridSpan w:val="13"/>
          </w:tcPr>
          <w:p>
            <w:pPr>
              <w:spacing w:after="0"/>
              <w:rPr>
                <w:rFonts w:ascii="Times New Roman" w:cs="Times New Roman" w:eastAsia="Times New Roman" w:hAnsi="Times New Roman"/>
                <w:sz w:val="18"/>
                <w:szCs w:val="18"/>
                <w:color w:val="auto"/>
              </w:rPr>
            </w:pPr>
            <w:hyperlink r:id="rId473">
              <w:r>
                <w:rPr>
                  <w:rFonts w:ascii="Times New Roman" w:cs="Times New Roman" w:eastAsia="Times New Roman" w:hAnsi="Times New Roman"/>
                  <w:sz w:val="18"/>
                  <w:szCs w:val="18"/>
                  <w:color w:val="auto"/>
                </w:rPr>
                <w:t>Form of Option Agreement (Domestic)</w:t>
              </w:r>
            </w:hyperlink>
          </w:p>
        </w:tc>
        <w:tc>
          <w:tcPr>
            <w:tcW w:w="800" w:type="dxa"/>
            <w:vAlign w:val="bottom"/>
            <w:gridSpan w:val="20"/>
          </w:tcPr>
          <w:p>
            <w:pPr>
              <w:spacing w:after="0"/>
              <w:rPr>
                <w:sz w:val="19"/>
                <w:szCs w:val="19"/>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3100" w:type="dxa"/>
            <w:vAlign w:val="bottom"/>
            <w:tcBorders>
              <w:bottom w:val="single" w:sz="8" w:color="0000EE"/>
            </w:tcBorders>
            <w:gridSpan w:val="15"/>
          </w:tcPr>
          <w:p>
            <w:pPr>
              <w:spacing w:after="0"/>
              <w:rPr>
                <w:rFonts w:ascii="Times New Roman" w:cs="Times New Roman" w:eastAsia="Times New Roman" w:hAnsi="Times New Roman"/>
                <w:sz w:val="18"/>
                <w:szCs w:val="18"/>
                <w:color w:val="auto"/>
              </w:rPr>
            </w:pPr>
            <w:hyperlink r:id="rId474">
              <w:r>
                <w:rPr>
                  <w:rFonts w:ascii="Times New Roman" w:cs="Times New Roman" w:eastAsia="Times New Roman" w:hAnsi="Times New Roman"/>
                  <w:sz w:val="18"/>
                  <w:szCs w:val="18"/>
                  <w:color w:val="auto"/>
                </w:rPr>
                <w:t>Form of Option Agreement (International)</w:t>
              </w:r>
            </w:hyperlink>
          </w:p>
        </w:tc>
        <w:tc>
          <w:tcPr>
            <w:tcW w:w="580" w:type="dxa"/>
            <w:vAlign w:val="bottom"/>
            <w:gridSpan w:val="18"/>
          </w:tcPr>
          <w:p>
            <w:pPr>
              <w:spacing w:after="0"/>
              <w:rPr>
                <w:sz w:val="19"/>
                <w:szCs w:val="19"/>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3060" w:type="dxa"/>
            <w:vAlign w:val="bottom"/>
            <w:tcBorders>
              <w:bottom w:val="single" w:sz="8" w:color="0000EE"/>
            </w:tcBorders>
            <w:gridSpan w:val="14"/>
          </w:tcPr>
          <w:p>
            <w:pPr>
              <w:spacing w:after="0"/>
              <w:rPr>
                <w:rFonts w:ascii="Times New Roman" w:cs="Times New Roman" w:eastAsia="Times New Roman" w:hAnsi="Times New Roman"/>
                <w:sz w:val="18"/>
                <w:szCs w:val="18"/>
                <w:color w:val="auto"/>
              </w:rPr>
            </w:pPr>
            <w:hyperlink r:id="rId475">
              <w:r>
                <w:rPr>
                  <w:rFonts w:ascii="Times New Roman" w:cs="Times New Roman" w:eastAsia="Times New Roman" w:hAnsi="Times New Roman"/>
                  <w:sz w:val="18"/>
                  <w:szCs w:val="18"/>
                  <w:color w:val="auto"/>
                </w:rPr>
                <w:t>Form of Restricted Stock Unit Agreement</w:t>
              </w:r>
            </w:hyperlink>
          </w:p>
        </w:tc>
        <w:tc>
          <w:tcPr>
            <w:tcW w:w="620" w:type="dxa"/>
            <w:vAlign w:val="bottom"/>
            <w:gridSpan w:val="19"/>
          </w:tcPr>
          <w:p>
            <w:pPr>
              <w:spacing w:after="0"/>
              <w:rPr>
                <w:sz w:val="19"/>
                <w:szCs w:val="19"/>
                <w:color w:val="auto"/>
              </w:rPr>
            </w:pPr>
          </w:p>
        </w:tc>
      </w:tr>
      <w:tr>
        <w:trPr>
          <w:trHeight w:val="196"/>
        </w:trPr>
        <w:tc>
          <w:tcPr>
            <w:tcW w:w="1120" w:type="dxa"/>
            <w:vAlign w:val="bottom"/>
          </w:tcPr>
          <w:p>
            <w:pPr>
              <w:spacing w:after="0"/>
              <w:rPr>
                <w:sz w:val="17"/>
                <w:szCs w:val="17"/>
                <w:color w:val="auto"/>
              </w:rPr>
            </w:pPr>
          </w:p>
        </w:tc>
        <w:tc>
          <w:tcPr>
            <w:tcW w:w="860" w:type="dxa"/>
            <w:vAlign w:val="bottom"/>
            <w:tcBorders>
              <w:bottom w:val="single" w:sz="8" w:color="0000EE"/>
            </w:tcBorders>
            <w:gridSpan w:val="5"/>
          </w:tcPr>
          <w:p>
            <w:pPr>
              <w:spacing w:after="0" w:line="195" w:lineRule="exact"/>
              <w:rPr>
                <w:rFonts w:ascii="Times New Roman" w:cs="Times New Roman" w:eastAsia="Times New Roman" w:hAnsi="Times New Roman"/>
                <w:sz w:val="18"/>
                <w:szCs w:val="18"/>
                <w:color w:val="auto"/>
              </w:rPr>
            </w:pPr>
            <w:hyperlink r:id="rId475">
              <w:r>
                <w:rPr>
                  <w:rFonts w:ascii="Times New Roman" w:cs="Times New Roman" w:eastAsia="Times New Roman" w:hAnsi="Times New Roman"/>
                  <w:sz w:val="18"/>
                  <w:szCs w:val="18"/>
                  <w:color w:val="auto"/>
                </w:rPr>
                <w:t>(Domestic)</w:t>
              </w:r>
            </w:hyperlink>
          </w:p>
        </w:tc>
        <w:tc>
          <w:tcPr>
            <w:tcW w:w="2820" w:type="dxa"/>
            <w:vAlign w:val="bottom"/>
            <w:gridSpan w:val="28"/>
          </w:tcPr>
          <w:p>
            <w:pPr>
              <w:spacing w:after="0"/>
              <w:rPr>
                <w:sz w:val="17"/>
                <w:szCs w:val="17"/>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3060" w:type="dxa"/>
            <w:vAlign w:val="bottom"/>
            <w:tcBorders>
              <w:bottom w:val="single" w:sz="8" w:color="0000EE"/>
            </w:tcBorders>
            <w:gridSpan w:val="14"/>
          </w:tcPr>
          <w:p>
            <w:pPr>
              <w:spacing w:after="0"/>
              <w:rPr>
                <w:rFonts w:ascii="Times New Roman" w:cs="Times New Roman" w:eastAsia="Times New Roman" w:hAnsi="Times New Roman"/>
                <w:sz w:val="18"/>
                <w:szCs w:val="18"/>
                <w:color w:val="auto"/>
              </w:rPr>
            </w:pPr>
            <w:hyperlink r:id="rId476">
              <w:r>
                <w:rPr>
                  <w:rFonts w:ascii="Times New Roman" w:cs="Times New Roman" w:eastAsia="Times New Roman" w:hAnsi="Times New Roman"/>
                  <w:sz w:val="18"/>
                  <w:szCs w:val="18"/>
                  <w:color w:val="auto"/>
                </w:rPr>
                <w:t>Form of Restricted Stock Unit Agreement</w:t>
              </w:r>
            </w:hyperlink>
          </w:p>
        </w:tc>
        <w:tc>
          <w:tcPr>
            <w:tcW w:w="620" w:type="dxa"/>
            <w:vAlign w:val="bottom"/>
            <w:gridSpan w:val="19"/>
          </w:tcPr>
          <w:p>
            <w:pPr>
              <w:spacing w:after="0"/>
              <w:rPr>
                <w:sz w:val="19"/>
                <w:szCs w:val="19"/>
                <w:color w:val="auto"/>
              </w:rPr>
            </w:pPr>
          </w:p>
        </w:tc>
      </w:tr>
      <w:tr>
        <w:trPr>
          <w:trHeight w:val="196"/>
        </w:trPr>
        <w:tc>
          <w:tcPr>
            <w:tcW w:w="1120" w:type="dxa"/>
            <w:vAlign w:val="bottom"/>
          </w:tcPr>
          <w:p>
            <w:pPr>
              <w:spacing w:after="0"/>
              <w:rPr>
                <w:sz w:val="17"/>
                <w:szCs w:val="17"/>
                <w:color w:val="auto"/>
              </w:rPr>
            </w:pPr>
          </w:p>
        </w:tc>
        <w:tc>
          <w:tcPr>
            <w:tcW w:w="1040" w:type="dxa"/>
            <w:vAlign w:val="bottom"/>
            <w:tcBorders>
              <w:bottom w:val="single" w:sz="8" w:color="0000EE"/>
            </w:tcBorders>
            <w:gridSpan w:val="6"/>
          </w:tcPr>
          <w:p>
            <w:pPr>
              <w:spacing w:after="0" w:line="195" w:lineRule="exact"/>
              <w:rPr>
                <w:rFonts w:ascii="Times New Roman" w:cs="Times New Roman" w:eastAsia="Times New Roman" w:hAnsi="Times New Roman"/>
                <w:sz w:val="18"/>
                <w:szCs w:val="18"/>
                <w:color w:val="auto"/>
                <w:w w:val="98"/>
              </w:rPr>
            </w:pPr>
            <w:hyperlink r:id="rId476">
              <w:r>
                <w:rPr>
                  <w:rFonts w:ascii="Times New Roman" w:cs="Times New Roman" w:eastAsia="Times New Roman" w:hAnsi="Times New Roman"/>
                  <w:sz w:val="18"/>
                  <w:szCs w:val="18"/>
                  <w:color w:val="auto"/>
                  <w:w w:val="98"/>
                </w:rPr>
                <w:t>(International)</w:t>
              </w:r>
            </w:hyperlink>
          </w:p>
        </w:tc>
        <w:tc>
          <w:tcPr>
            <w:tcW w:w="2640" w:type="dxa"/>
            <w:vAlign w:val="bottom"/>
            <w:gridSpan w:val="27"/>
          </w:tcPr>
          <w:p>
            <w:pPr>
              <w:spacing w:after="0"/>
              <w:rPr>
                <w:sz w:val="17"/>
                <w:szCs w:val="17"/>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3060" w:type="dxa"/>
            <w:vAlign w:val="bottom"/>
            <w:tcBorders>
              <w:bottom w:val="single" w:sz="8" w:color="0000EE"/>
            </w:tcBorders>
            <w:gridSpan w:val="14"/>
          </w:tcPr>
          <w:p>
            <w:pPr>
              <w:spacing w:after="0"/>
              <w:rPr>
                <w:rFonts w:ascii="Times New Roman" w:cs="Times New Roman" w:eastAsia="Times New Roman" w:hAnsi="Times New Roman"/>
                <w:sz w:val="18"/>
                <w:szCs w:val="18"/>
                <w:color w:val="auto"/>
              </w:rPr>
            </w:pPr>
            <w:hyperlink r:id="rId477">
              <w:r>
                <w:rPr>
                  <w:rFonts w:ascii="Times New Roman" w:cs="Times New Roman" w:eastAsia="Times New Roman" w:hAnsi="Times New Roman"/>
                  <w:sz w:val="18"/>
                  <w:szCs w:val="18"/>
                  <w:color w:val="auto"/>
                </w:rPr>
                <w:t>Form of Restricted Stock Unit Agreement</w:t>
              </w:r>
            </w:hyperlink>
          </w:p>
        </w:tc>
        <w:tc>
          <w:tcPr>
            <w:tcW w:w="620" w:type="dxa"/>
            <w:vAlign w:val="bottom"/>
            <w:gridSpan w:val="19"/>
          </w:tcPr>
          <w:p>
            <w:pPr>
              <w:spacing w:after="0"/>
              <w:rPr>
                <w:sz w:val="19"/>
                <w:szCs w:val="19"/>
                <w:color w:val="auto"/>
              </w:rPr>
            </w:pPr>
          </w:p>
        </w:tc>
      </w:tr>
      <w:tr>
        <w:trPr>
          <w:trHeight w:val="196"/>
        </w:trPr>
        <w:tc>
          <w:tcPr>
            <w:tcW w:w="1120" w:type="dxa"/>
            <w:vAlign w:val="bottom"/>
          </w:tcPr>
          <w:p>
            <w:pPr>
              <w:spacing w:after="0"/>
              <w:rPr>
                <w:sz w:val="17"/>
                <w:szCs w:val="17"/>
                <w:color w:val="auto"/>
              </w:rPr>
            </w:pPr>
          </w:p>
        </w:tc>
        <w:tc>
          <w:tcPr>
            <w:tcW w:w="620" w:type="dxa"/>
            <w:vAlign w:val="bottom"/>
            <w:tcBorders>
              <w:bottom w:val="single" w:sz="8" w:color="0000EE"/>
            </w:tcBorders>
            <w:gridSpan w:val="3"/>
          </w:tcPr>
          <w:p>
            <w:pPr>
              <w:spacing w:after="0" w:line="195" w:lineRule="exact"/>
              <w:rPr>
                <w:rFonts w:ascii="Times New Roman" w:cs="Times New Roman" w:eastAsia="Times New Roman" w:hAnsi="Times New Roman"/>
                <w:sz w:val="18"/>
                <w:szCs w:val="18"/>
                <w:color w:val="auto"/>
                <w:w w:val="96"/>
              </w:rPr>
            </w:pPr>
            <w:hyperlink r:id="rId477">
              <w:r>
                <w:rPr>
                  <w:rFonts w:ascii="Times New Roman" w:cs="Times New Roman" w:eastAsia="Times New Roman" w:hAnsi="Times New Roman"/>
                  <w:sz w:val="18"/>
                  <w:szCs w:val="18"/>
                  <w:color w:val="auto"/>
                  <w:w w:val="96"/>
                </w:rPr>
                <w:t>(French)</w:t>
              </w:r>
            </w:hyperlink>
          </w:p>
        </w:tc>
        <w:tc>
          <w:tcPr>
            <w:tcW w:w="3060" w:type="dxa"/>
            <w:vAlign w:val="bottom"/>
            <w:gridSpan w:val="30"/>
          </w:tcPr>
          <w:p>
            <w:pPr>
              <w:spacing w:after="0"/>
              <w:rPr>
                <w:sz w:val="17"/>
                <w:szCs w:val="17"/>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3060" w:type="dxa"/>
            <w:vAlign w:val="bottom"/>
            <w:tcBorders>
              <w:bottom w:val="single" w:sz="8" w:color="0000EE"/>
            </w:tcBorders>
            <w:gridSpan w:val="14"/>
          </w:tcPr>
          <w:p>
            <w:pPr>
              <w:spacing w:after="0"/>
              <w:rPr>
                <w:rFonts w:ascii="Times New Roman" w:cs="Times New Roman" w:eastAsia="Times New Roman" w:hAnsi="Times New Roman"/>
                <w:sz w:val="18"/>
                <w:szCs w:val="18"/>
                <w:color w:val="auto"/>
              </w:rPr>
            </w:pPr>
            <w:hyperlink r:id="rId478">
              <w:r>
                <w:rPr>
                  <w:rFonts w:ascii="Times New Roman" w:cs="Times New Roman" w:eastAsia="Times New Roman" w:hAnsi="Times New Roman"/>
                  <w:sz w:val="18"/>
                  <w:szCs w:val="18"/>
                  <w:color w:val="auto"/>
                </w:rPr>
                <w:t>Form of Restricted Stock Unit Agreement</w:t>
              </w:r>
            </w:hyperlink>
          </w:p>
        </w:tc>
        <w:tc>
          <w:tcPr>
            <w:tcW w:w="620" w:type="dxa"/>
            <w:vAlign w:val="bottom"/>
            <w:gridSpan w:val="19"/>
          </w:tcPr>
          <w:p>
            <w:pPr>
              <w:spacing w:after="0"/>
              <w:rPr>
                <w:sz w:val="19"/>
                <w:szCs w:val="19"/>
                <w:color w:val="auto"/>
              </w:rPr>
            </w:pPr>
          </w:p>
        </w:tc>
      </w:tr>
      <w:tr>
        <w:trPr>
          <w:trHeight w:val="196"/>
        </w:trPr>
        <w:tc>
          <w:tcPr>
            <w:tcW w:w="1120" w:type="dxa"/>
            <w:vAlign w:val="bottom"/>
          </w:tcPr>
          <w:p>
            <w:pPr>
              <w:spacing w:after="0"/>
              <w:rPr>
                <w:sz w:val="17"/>
                <w:szCs w:val="17"/>
                <w:color w:val="auto"/>
              </w:rPr>
            </w:pPr>
          </w:p>
        </w:tc>
        <w:tc>
          <w:tcPr>
            <w:tcW w:w="1560" w:type="dxa"/>
            <w:vAlign w:val="bottom"/>
            <w:tcBorders>
              <w:bottom w:val="single" w:sz="8" w:color="0000EE"/>
            </w:tcBorders>
            <w:gridSpan w:val="9"/>
          </w:tcPr>
          <w:p>
            <w:pPr>
              <w:spacing w:after="0" w:line="195" w:lineRule="exact"/>
              <w:rPr>
                <w:rFonts w:ascii="Times New Roman" w:cs="Times New Roman" w:eastAsia="Times New Roman" w:hAnsi="Times New Roman"/>
                <w:sz w:val="18"/>
                <w:szCs w:val="18"/>
                <w:color w:val="auto"/>
              </w:rPr>
            </w:pPr>
            <w:hyperlink r:id="rId478">
              <w:r>
                <w:rPr>
                  <w:rFonts w:ascii="Times New Roman" w:cs="Times New Roman" w:eastAsia="Times New Roman" w:hAnsi="Times New Roman"/>
                  <w:sz w:val="18"/>
                  <w:szCs w:val="18"/>
                  <w:color w:val="auto"/>
                </w:rPr>
                <w:t>(Performance Based)</w:t>
              </w:r>
            </w:hyperlink>
          </w:p>
        </w:tc>
        <w:tc>
          <w:tcPr>
            <w:tcW w:w="2120" w:type="dxa"/>
            <w:vAlign w:val="bottom"/>
            <w:gridSpan w:val="24"/>
          </w:tcPr>
          <w:p>
            <w:pPr>
              <w:spacing w:after="0"/>
              <w:rPr>
                <w:sz w:val="17"/>
                <w:szCs w:val="17"/>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3500" w:type="dxa"/>
            <w:vAlign w:val="bottom"/>
            <w:tcBorders>
              <w:bottom w:val="single" w:sz="8" w:color="0000EE"/>
            </w:tcBorders>
            <w:gridSpan w:val="26"/>
          </w:tcPr>
          <w:p>
            <w:pPr>
              <w:spacing w:after="0"/>
              <w:rPr>
                <w:rFonts w:ascii="Times New Roman" w:cs="Times New Roman" w:eastAsia="Times New Roman" w:hAnsi="Times New Roman"/>
                <w:sz w:val="18"/>
                <w:szCs w:val="18"/>
                <w:color w:val="auto"/>
                <w:w w:val="99"/>
              </w:rPr>
            </w:pPr>
            <w:hyperlink r:id="rId479">
              <w:r>
                <w:rPr>
                  <w:rFonts w:ascii="Times New Roman" w:cs="Times New Roman" w:eastAsia="Times New Roman" w:hAnsi="Times New Roman"/>
                  <w:sz w:val="18"/>
                  <w:szCs w:val="18"/>
                  <w:color w:val="auto"/>
                  <w:w w:val="99"/>
                </w:rPr>
                <w:t>Form of Restricted Stock Unit Agreement (Non-</w:t>
              </w:r>
            </w:hyperlink>
          </w:p>
        </w:tc>
        <w:tc>
          <w:tcPr>
            <w:tcW w:w="180" w:type="dxa"/>
            <w:vAlign w:val="bottom"/>
            <w:gridSpan w:val="7"/>
          </w:tcPr>
          <w:p>
            <w:pPr>
              <w:spacing w:after="0"/>
              <w:rPr>
                <w:sz w:val="19"/>
                <w:szCs w:val="19"/>
                <w:color w:val="auto"/>
              </w:rPr>
            </w:pPr>
          </w:p>
        </w:tc>
      </w:tr>
      <w:tr>
        <w:trPr>
          <w:trHeight w:val="196"/>
        </w:trPr>
        <w:tc>
          <w:tcPr>
            <w:tcW w:w="1120" w:type="dxa"/>
            <w:vAlign w:val="bottom"/>
          </w:tcPr>
          <w:p>
            <w:pPr>
              <w:spacing w:after="0"/>
              <w:rPr>
                <w:sz w:val="17"/>
                <w:szCs w:val="17"/>
                <w:color w:val="auto"/>
              </w:rPr>
            </w:pPr>
          </w:p>
        </w:tc>
        <w:tc>
          <w:tcPr>
            <w:tcW w:w="1540" w:type="dxa"/>
            <w:vAlign w:val="bottom"/>
            <w:tcBorders>
              <w:bottom w:val="single" w:sz="8" w:color="0000EE"/>
            </w:tcBorders>
            <w:gridSpan w:val="8"/>
          </w:tcPr>
          <w:p>
            <w:pPr>
              <w:spacing w:after="0" w:line="195" w:lineRule="exact"/>
              <w:rPr>
                <w:rFonts w:ascii="Times New Roman" w:cs="Times New Roman" w:eastAsia="Times New Roman" w:hAnsi="Times New Roman"/>
                <w:sz w:val="18"/>
                <w:szCs w:val="18"/>
                <w:color w:val="auto"/>
              </w:rPr>
            </w:pPr>
            <w:hyperlink r:id="rId479">
              <w:r>
                <w:rPr>
                  <w:rFonts w:ascii="Times New Roman" w:cs="Times New Roman" w:eastAsia="Times New Roman" w:hAnsi="Times New Roman"/>
                  <w:sz w:val="18"/>
                  <w:szCs w:val="18"/>
                  <w:color w:val="auto"/>
                </w:rPr>
                <w:t>Employee Directors)</w:t>
              </w:r>
            </w:hyperlink>
          </w:p>
        </w:tc>
        <w:tc>
          <w:tcPr>
            <w:tcW w:w="2140" w:type="dxa"/>
            <w:vAlign w:val="bottom"/>
            <w:gridSpan w:val="25"/>
          </w:tcPr>
          <w:p>
            <w:pPr>
              <w:spacing w:after="0"/>
              <w:rPr>
                <w:sz w:val="17"/>
                <w:szCs w:val="17"/>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3580" w:type="dxa"/>
            <w:vAlign w:val="bottom"/>
            <w:tcBorders>
              <w:bottom w:val="single" w:sz="8" w:color="0000EE"/>
            </w:tcBorders>
            <w:gridSpan w:val="29"/>
          </w:tcPr>
          <w:p>
            <w:pPr>
              <w:spacing w:after="0"/>
              <w:rPr>
                <w:rFonts w:ascii="Times New Roman" w:cs="Times New Roman" w:eastAsia="Times New Roman" w:hAnsi="Times New Roman"/>
                <w:sz w:val="18"/>
                <w:szCs w:val="18"/>
                <w:color w:val="auto"/>
              </w:rPr>
            </w:pPr>
            <w:hyperlink r:id="rId480">
              <w:r>
                <w:rPr>
                  <w:rFonts w:ascii="Times New Roman" w:cs="Times New Roman" w:eastAsia="Times New Roman" w:hAnsi="Times New Roman"/>
                  <w:sz w:val="18"/>
                  <w:szCs w:val="18"/>
                  <w:color w:val="auto"/>
                </w:rPr>
                <w:t>Governance Agreement dated as of November 6,</w:t>
              </w:r>
            </w:hyperlink>
          </w:p>
        </w:tc>
        <w:tc>
          <w:tcPr>
            <w:tcW w:w="100" w:type="dxa"/>
            <w:vAlign w:val="bottom"/>
            <w:gridSpan w:val="4"/>
          </w:tcPr>
          <w:p>
            <w:pPr>
              <w:spacing w:after="0"/>
              <w:rPr>
                <w:sz w:val="19"/>
                <w:szCs w:val="19"/>
                <w:color w:val="auto"/>
              </w:rPr>
            </w:pPr>
          </w:p>
        </w:tc>
      </w:tr>
      <w:tr>
        <w:trPr>
          <w:trHeight w:val="196"/>
        </w:trPr>
        <w:tc>
          <w:tcPr>
            <w:tcW w:w="1120" w:type="dxa"/>
            <w:vAlign w:val="bottom"/>
          </w:tcPr>
          <w:p>
            <w:pPr>
              <w:spacing w:after="0"/>
              <w:rPr>
                <w:sz w:val="17"/>
                <w:szCs w:val="17"/>
                <w:color w:val="auto"/>
              </w:rPr>
            </w:pPr>
          </w:p>
        </w:tc>
        <w:tc>
          <w:tcPr>
            <w:tcW w:w="3300" w:type="dxa"/>
            <w:vAlign w:val="bottom"/>
            <w:tcBorders>
              <w:bottom w:val="single" w:sz="8" w:color="0000EE"/>
            </w:tcBorders>
            <w:gridSpan w:val="19"/>
          </w:tcPr>
          <w:p>
            <w:pPr>
              <w:spacing w:after="0" w:line="195" w:lineRule="exact"/>
              <w:rPr>
                <w:rFonts w:ascii="Times New Roman" w:cs="Times New Roman" w:eastAsia="Times New Roman" w:hAnsi="Times New Roman"/>
                <w:sz w:val="18"/>
                <w:szCs w:val="18"/>
                <w:color w:val="auto"/>
              </w:rPr>
            </w:pPr>
            <w:hyperlink r:id="rId480">
              <w:r>
                <w:rPr>
                  <w:rFonts w:ascii="Times New Roman" w:cs="Times New Roman" w:eastAsia="Times New Roman" w:hAnsi="Times New Roman"/>
                  <w:sz w:val="18"/>
                  <w:szCs w:val="18"/>
                  <w:color w:val="auto"/>
                </w:rPr>
                <w:t>2019 between Tripadvisor, Inc. and Trip.com</w:t>
              </w:r>
            </w:hyperlink>
          </w:p>
        </w:tc>
        <w:tc>
          <w:tcPr>
            <w:tcW w:w="380" w:type="dxa"/>
            <w:vAlign w:val="bottom"/>
            <w:gridSpan w:val="14"/>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80" w:type="dxa"/>
            <w:vAlign w:val="bottom"/>
            <w:tcBorders>
              <w:bottom w:val="single" w:sz="8" w:color="0000EE"/>
            </w:tcBorders>
            <w:gridSpan w:val="7"/>
          </w:tcPr>
          <w:p>
            <w:pPr>
              <w:spacing w:after="0" w:line="195" w:lineRule="exact"/>
              <w:rPr>
                <w:rFonts w:ascii="Times New Roman" w:cs="Times New Roman" w:eastAsia="Times New Roman" w:hAnsi="Times New Roman"/>
                <w:sz w:val="18"/>
                <w:szCs w:val="18"/>
                <w:color w:val="auto"/>
                <w:w w:val="98"/>
              </w:rPr>
            </w:pPr>
            <w:hyperlink r:id="rId480">
              <w:r>
                <w:rPr>
                  <w:rFonts w:ascii="Times New Roman" w:cs="Times New Roman" w:eastAsia="Times New Roman" w:hAnsi="Times New Roman"/>
                  <w:sz w:val="18"/>
                  <w:szCs w:val="18"/>
                  <w:color w:val="auto"/>
                  <w:w w:val="98"/>
                </w:rPr>
                <w:t>Group Limited</w:t>
              </w:r>
            </w:hyperlink>
          </w:p>
        </w:tc>
        <w:tc>
          <w:tcPr>
            <w:tcW w:w="2600" w:type="dxa"/>
            <w:vAlign w:val="bottom"/>
            <w:gridSpan w:val="26"/>
          </w:tcPr>
          <w:p>
            <w:pPr>
              <w:spacing w:after="0"/>
              <w:rPr>
                <w:sz w:val="17"/>
                <w:szCs w:val="17"/>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3460" w:type="dxa"/>
            <w:vAlign w:val="bottom"/>
            <w:tcBorders>
              <w:bottom w:val="single" w:sz="8" w:color="0000EE"/>
            </w:tcBorders>
            <w:gridSpan w:val="25"/>
          </w:tcPr>
          <w:p>
            <w:pPr>
              <w:spacing w:after="0"/>
              <w:rPr>
                <w:rFonts w:ascii="Times New Roman" w:cs="Times New Roman" w:eastAsia="Times New Roman" w:hAnsi="Times New Roman"/>
                <w:sz w:val="18"/>
                <w:szCs w:val="18"/>
                <w:color w:val="auto"/>
              </w:rPr>
            </w:pPr>
            <w:hyperlink r:id="rId481">
              <w:r>
                <w:rPr>
                  <w:rFonts w:ascii="Times New Roman" w:cs="Times New Roman" w:eastAsia="Times New Roman" w:hAnsi="Times New Roman"/>
                  <w:sz w:val="18"/>
                  <w:szCs w:val="18"/>
                  <w:color w:val="auto"/>
                </w:rPr>
                <w:t>Employment Agreement, dated as of March 29,</w:t>
              </w:r>
            </w:hyperlink>
          </w:p>
        </w:tc>
        <w:tc>
          <w:tcPr>
            <w:tcW w:w="220" w:type="dxa"/>
            <w:vAlign w:val="bottom"/>
            <w:gridSpan w:val="8"/>
          </w:tcPr>
          <w:p>
            <w:pPr>
              <w:spacing w:after="0"/>
              <w:rPr>
                <w:sz w:val="19"/>
                <w:szCs w:val="19"/>
                <w:color w:val="auto"/>
              </w:rPr>
            </w:pPr>
          </w:p>
        </w:tc>
      </w:tr>
      <w:tr>
        <w:trPr>
          <w:trHeight w:val="196"/>
        </w:trPr>
        <w:tc>
          <w:tcPr>
            <w:tcW w:w="1120" w:type="dxa"/>
            <w:vAlign w:val="bottom"/>
          </w:tcPr>
          <w:p>
            <w:pPr>
              <w:spacing w:after="0"/>
              <w:rPr>
                <w:sz w:val="17"/>
                <w:szCs w:val="17"/>
                <w:color w:val="auto"/>
              </w:rPr>
            </w:pPr>
          </w:p>
        </w:tc>
        <w:tc>
          <w:tcPr>
            <w:tcW w:w="3560" w:type="dxa"/>
            <w:vAlign w:val="bottom"/>
            <w:tcBorders>
              <w:bottom w:val="single" w:sz="8" w:color="0000EE"/>
            </w:tcBorders>
            <w:gridSpan w:val="28"/>
          </w:tcPr>
          <w:p>
            <w:pPr>
              <w:spacing w:after="0" w:line="195" w:lineRule="exact"/>
              <w:rPr>
                <w:rFonts w:ascii="Times New Roman" w:cs="Times New Roman" w:eastAsia="Times New Roman" w:hAnsi="Times New Roman"/>
                <w:sz w:val="18"/>
                <w:szCs w:val="18"/>
                <w:color w:val="auto"/>
                <w:w w:val="99"/>
              </w:rPr>
            </w:pPr>
            <w:hyperlink r:id="rId481">
              <w:r>
                <w:rPr>
                  <w:rFonts w:ascii="Times New Roman" w:cs="Times New Roman" w:eastAsia="Times New Roman" w:hAnsi="Times New Roman"/>
                  <w:sz w:val="18"/>
                  <w:szCs w:val="18"/>
                  <w:color w:val="auto"/>
                  <w:w w:val="99"/>
                </w:rPr>
                <w:t>2021 between Tripadvisor, LLC and Seth Kalvert</w:t>
              </w:r>
            </w:hyperlink>
          </w:p>
        </w:tc>
        <w:tc>
          <w:tcPr>
            <w:tcW w:w="120" w:type="dxa"/>
            <w:vAlign w:val="bottom"/>
            <w:gridSpan w:val="5"/>
          </w:tcPr>
          <w:p>
            <w:pPr>
              <w:spacing w:after="0"/>
              <w:rPr>
                <w:sz w:val="17"/>
                <w:szCs w:val="17"/>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2540" w:type="dxa"/>
            <w:vAlign w:val="bottom"/>
            <w:tcBorders>
              <w:bottom w:val="single" w:sz="8" w:color="0000EE"/>
            </w:tcBorders>
            <w:gridSpan w:val="12"/>
          </w:tcPr>
          <w:p>
            <w:pPr>
              <w:spacing w:after="0"/>
              <w:rPr>
                <w:rFonts w:ascii="Times New Roman" w:cs="Times New Roman" w:eastAsia="Times New Roman" w:hAnsi="Times New Roman"/>
                <w:sz w:val="18"/>
                <w:szCs w:val="18"/>
                <w:color w:val="auto"/>
                <w:w w:val="99"/>
              </w:rPr>
            </w:pPr>
            <w:hyperlink r:id="rId482">
              <w:r>
                <w:rPr>
                  <w:rFonts w:ascii="Times New Roman" w:cs="Times New Roman" w:eastAsia="Times New Roman" w:hAnsi="Times New Roman"/>
                  <w:sz w:val="18"/>
                  <w:szCs w:val="18"/>
                  <w:color w:val="auto"/>
                  <w:w w:val="99"/>
                </w:rPr>
                <w:t>Form of Capped Call Confirmation</w:t>
              </w:r>
            </w:hyperlink>
          </w:p>
        </w:tc>
        <w:tc>
          <w:tcPr>
            <w:tcW w:w="1140" w:type="dxa"/>
            <w:vAlign w:val="bottom"/>
            <w:gridSpan w:val="21"/>
          </w:tcPr>
          <w:p>
            <w:pPr>
              <w:spacing w:after="0"/>
              <w:rPr>
                <w:sz w:val="19"/>
                <w:szCs w:val="19"/>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3680" w:type="dxa"/>
            <w:vAlign w:val="bottom"/>
            <w:tcBorders>
              <w:bottom w:val="single" w:sz="8" w:color="0000EE"/>
            </w:tcBorders>
            <w:gridSpan w:val="33"/>
          </w:tcPr>
          <w:p>
            <w:pPr>
              <w:spacing w:after="0"/>
              <w:rPr>
                <w:rFonts w:ascii="Times New Roman" w:cs="Times New Roman" w:eastAsia="Times New Roman" w:hAnsi="Times New Roman"/>
                <w:sz w:val="18"/>
                <w:szCs w:val="18"/>
                <w:color w:val="auto"/>
              </w:rPr>
            </w:pPr>
            <w:hyperlink r:id="rId483">
              <w:r>
                <w:rPr>
                  <w:rFonts w:ascii="Times New Roman" w:cs="Times New Roman" w:eastAsia="Times New Roman" w:hAnsi="Times New Roman"/>
                  <w:sz w:val="18"/>
                  <w:szCs w:val="18"/>
                  <w:color w:val="auto"/>
                </w:rPr>
                <w:t>Employment Letter Agreement dated May 2, 2022</w:t>
              </w:r>
            </w:hyperlink>
          </w:p>
        </w:tc>
      </w:tr>
      <w:tr>
        <w:trPr>
          <w:trHeight w:val="196"/>
        </w:trPr>
        <w:tc>
          <w:tcPr>
            <w:tcW w:w="1120" w:type="dxa"/>
            <w:vAlign w:val="bottom"/>
          </w:tcPr>
          <w:p>
            <w:pPr>
              <w:spacing w:after="0"/>
              <w:rPr>
                <w:sz w:val="17"/>
                <w:szCs w:val="17"/>
                <w:color w:val="auto"/>
              </w:rPr>
            </w:pPr>
          </w:p>
        </w:tc>
        <w:tc>
          <w:tcPr>
            <w:tcW w:w="3280" w:type="dxa"/>
            <w:vAlign w:val="bottom"/>
            <w:tcBorders>
              <w:bottom w:val="single" w:sz="8" w:color="0000EE"/>
            </w:tcBorders>
            <w:gridSpan w:val="18"/>
          </w:tcPr>
          <w:p>
            <w:pPr>
              <w:spacing w:after="0" w:line="195" w:lineRule="exact"/>
              <w:rPr>
                <w:rFonts w:ascii="Times New Roman" w:cs="Times New Roman" w:eastAsia="Times New Roman" w:hAnsi="Times New Roman"/>
                <w:sz w:val="18"/>
                <w:szCs w:val="18"/>
                <w:color w:val="auto"/>
                <w:w w:val="99"/>
              </w:rPr>
            </w:pPr>
            <w:hyperlink r:id="rId483">
              <w:r>
                <w:rPr>
                  <w:rFonts w:ascii="Times New Roman" w:cs="Times New Roman" w:eastAsia="Times New Roman" w:hAnsi="Times New Roman"/>
                  <w:sz w:val="18"/>
                  <w:szCs w:val="18"/>
                  <w:color w:val="auto"/>
                  <w:w w:val="99"/>
                </w:rPr>
                <w:t>between Tripadvisor LLC and Matt Goldberg</w:t>
              </w:r>
            </w:hyperlink>
          </w:p>
        </w:tc>
        <w:tc>
          <w:tcPr>
            <w:tcW w:w="400" w:type="dxa"/>
            <w:vAlign w:val="bottom"/>
            <w:gridSpan w:val="15"/>
          </w:tcPr>
          <w:p>
            <w:pPr>
              <w:spacing w:after="0"/>
              <w:rPr>
                <w:sz w:val="17"/>
                <w:szCs w:val="17"/>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3620" w:type="dxa"/>
            <w:vAlign w:val="bottom"/>
            <w:tcBorders>
              <w:bottom w:val="single" w:sz="8" w:color="0000EE"/>
            </w:tcBorders>
            <w:gridSpan w:val="30"/>
          </w:tcPr>
          <w:p>
            <w:pPr>
              <w:spacing w:after="0"/>
              <w:rPr>
                <w:rFonts w:ascii="Times New Roman" w:cs="Times New Roman" w:eastAsia="Times New Roman" w:hAnsi="Times New Roman"/>
                <w:sz w:val="18"/>
                <w:szCs w:val="18"/>
                <w:color w:val="auto"/>
              </w:rPr>
            </w:pPr>
            <w:hyperlink r:id="rId484">
              <w:r>
                <w:rPr>
                  <w:rFonts w:ascii="Times New Roman" w:cs="Times New Roman" w:eastAsia="Times New Roman" w:hAnsi="Times New Roman"/>
                  <w:sz w:val="18"/>
                  <w:szCs w:val="18"/>
                  <w:color w:val="auto"/>
                </w:rPr>
                <w:t>Employment Letter Agreement dated October 10,</w:t>
              </w:r>
            </w:hyperlink>
          </w:p>
        </w:tc>
        <w:tc>
          <w:tcPr>
            <w:tcW w:w="60" w:type="dxa"/>
            <w:vAlign w:val="bottom"/>
            <w:gridSpan w:val="3"/>
          </w:tcPr>
          <w:p>
            <w:pPr>
              <w:spacing w:after="0"/>
              <w:rPr>
                <w:sz w:val="19"/>
                <w:szCs w:val="19"/>
                <w:color w:val="auto"/>
              </w:rPr>
            </w:pPr>
          </w:p>
        </w:tc>
      </w:tr>
      <w:tr>
        <w:trPr>
          <w:trHeight w:val="196"/>
        </w:trPr>
        <w:tc>
          <w:tcPr>
            <w:tcW w:w="1120" w:type="dxa"/>
            <w:vAlign w:val="bottom"/>
          </w:tcPr>
          <w:p>
            <w:pPr>
              <w:spacing w:after="0"/>
              <w:rPr>
                <w:sz w:val="17"/>
                <w:szCs w:val="17"/>
                <w:color w:val="auto"/>
              </w:rPr>
            </w:pPr>
          </w:p>
        </w:tc>
        <w:tc>
          <w:tcPr>
            <w:tcW w:w="3240" w:type="dxa"/>
            <w:vAlign w:val="bottom"/>
            <w:tcBorders>
              <w:bottom w:val="single" w:sz="8" w:color="0000EE"/>
            </w:tcBorders>
            <w:gridSpan w:val="17"/>
          </w:tcPr>
          <w:p>
            <w:pPr>
              <w:spacing w:after="0" w:line="195" w:lineRule="exact"/>
              <w:rPr>
                <w:rFonts w:ascii="Times New Roman" w:cs="Times New Roman" w:eastAsia="Times New Roman" w:hAnsi="Times New Roman"/>
                <w:sz w:val="18"/>
                <w:szCs w:val="18"/>
                <w:color w:val="auto"/>
              </w:rPr>
            </w:pPr>
            <w:hyperlink r:id="rId484">
              <w:r>
                <w:rPr>
                  <w:rFonts w:ascii="Times New Roman" w:cs="Times New Roman" w:eastAsia="Times New Roman" w:hAnsi="Times New Roman"/>
                  <w:sz w:val="18"/>
                  <w:szCs w:val="18"/>
                  <w:color w:val="auto"/>
                </w:rPr>
                <w:t>2022 between Tripadvisor LLC and Michael</w:t>
              </w:r>
            </w:hyperlink>
          </w:p>
        </w:tc>
        <w:tc>
          <w:tcPr>
            <w:tcW w:w="440" w:type="dxa"/>
            <w:vAlign w:val="bottom"/>
            <w:gridSpan w:val="16"/>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680" w:type="dxa"/>
            <w:vAlign w:val="bottom"/>
            <w:gridSpan w:val="33"/>
          </w:tcPr>
          <w:p>
            <w:pPr>
              <w:spacing w:after="0" w:line="195" w:lineRule="exact"/>
              <w:rPr>
                <w:rFonts w:ascii="Times New Roman" w:cs="Times New Roman" w:eastAsia="Times New Roman" w:hAnsi="Times New Roman"/>
                <w:sz w:val="18"/>
                <w:szCs w:val="18"/>
                <w:color w:val="auto"/>
              </w:rPr>
            </w:pPr>
            <w:hyperlink r:id="rId484">
              <w:r>
                <w:rPr>
                  <w:rFonts w:ascii="Times New Roman" w:cs="Times New Roman" w:eastAsia="Times New Roman" w:hAnsi="Times New Roman"/>
                  <w:sz w:val="18"/>
                  <w:szCs w:val="18"/>
                  <w:color w:val="auto"/>
                </w:rPr>
                <w:t>Noonan</w:t>
              </w:r>
            </w:hyperlink>
          </w:p>
        </w:tc>
      </w:tr>
      <w:tr>
        <w:trPr>
          <w:trHeight w:val="20"/>
        </w:trPr>
        <w:tc>
          <w:tcPr>
            <w:tcW w:w="1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120" w:type="dxa"/>
            <w:vAlign w:val="bottom"/>
            <w:gridSpan w:val="31"/>
          </w:tcPr>
          <w:p>
            <w:pPr>
              <w:spacing w:after="0" w:line="20" w:lineRule="exact"/>
              <w:rPr>
                <w:sz w:val="1"/>
                <w:szCs w:val="1"/>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3680" w:type="dxa"/>
            <w:vAlign w:val="bottom"/>
            <w:tcBorders>
              <w:bottom w:val="single" w:sz="8" w:color="0000EE"/>
            </w:tcBorders>
            <w:gridSpan w:val="33"/>
          </w:tcPr>
          <w:p>
            <w:pPr>
              <w:spacing w:after="0"/>
              <w:rPr>
                <w:sz w:val="20"/>
                <w:szCs w:val="20"/>
                <w:color w:val="auto"/>
              </w:rPr>
            </w:pPr>
            <w:r>
              <w:rPr>
                <w:rFonts w:ascii="Times New Roman" w:cs="Times New Roman" w:eastAsia="Times New Roman" w:hAnsi="Times New Roman"/>
                <w:sz w:val="18"/>
                <w:szCs w:val="18"/>
                <w:color w:val="auto"/>
              </w:rPr>
              <w:t>Tripadvisor, Inc. 2023 Stock and Annual Incentive</w:t>
            </w:r>
          </w:p>
        </w:tc>
      </w:tr>
      <w:tr>
        <w:trPr>
          <w:trHeight w:val="196"/>
        </w:trPr>
        <w:tc>
          <w:tcPr>
            <w:tcW w:w="1120" w:type="dxa"/>
            <w:vAlign w:val="bottom"/>
          </w:tcPr>
          <w:p>
            <w:pPr>
              <w:spacing w:after="0"/>
              <w:rPr>
                <w:sz w:val="17"/>
                <w:szCs w:val="17"/>
                <w:color w:val="auto"/>
              </w:rPr>
            </w:pPr>
          </w:p>
        </w:tc>
        <w:tc>
          <w:tcPr>
            <w:tcW w:w="320" w:type="dxa"/>
            <w:vAlign w:val="bottom"/>
            <w:tcBorders>
              <w:bottom w:val="single" w:sz="8" w:color="0000EE"/>
            </w:tcBorders>
          </w:tcPr>
          <w:p>
            <w:pPr>
              <w:spacing w:after="0" w:line="195" w:lineRule="exact"/>
              <w:rPr>
                <w:sz w:val="20"/>
                <w:szCs w:val="20"/>
                <w:color w:val="auto"/>
              </w:rPr>
            </w:pPr>
            <w:r>
              <w:rPr>
                <w:rFonts w:ascii="Times New Roman" w:cs="Times New Roman" w:eastAsia="Times New Roman" w:hAnsi="Times New Roman"/>
                <w:sz w:val="18"/>
                <w:szCs w:val="18"/>
                <w:color w:val="auto"/>
                <w:w w:val="93"/>
              </w:rPr>
              <w:t>Plan</w:t>
            </w:r>
          </w:p>
        </w:tc>
        <w:tc>
          <w:tcPr>
            <w:tcW w:w="3360" w:type="dxa"/>
            <w:vAlign w:val="bottom"/>
            <w:gridSpan w:val="32"/>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920" w:type="dxa"/>
        <w:tblCellMar>
          <w:top w:w="0" w:type="dxa"/>
          <w:left w:w="0" w:type="dxa"/>
          <w:bottom w:w="0" w:type="dxa"/>
          <w:right w:w="0" w:type="dxa"/>
        </w:tblCellMar>
      </w:tblPr>
      <w:tr>
        <w:trPr>
          <w:trHeight w:val="234"/>
        </w:trPr>
        <w:tc>
          <w:tcPr>
            <w:tcW w:w="8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S-8</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333-178637</w:t>
            </w:r>
          </w:p>
        </w:tc>
        <w:tc>
          <w:tcPr>
            <w:tcW w:w="10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4.6</w:t>
            </w:r>
          </w:p>
        </w:tc>
        <w:tc>
          <w:tcPr>
            <w:tcW w:w="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6"/>
              </w:rPr>
              <w:t>12/20/11</w:t>
            </w:r>
          </w:p>
        </w:tc>
      </w:tr>
      <w:tr>
        <w:trPr>
          <w:trHeight w:val="458"/>
        </w:trPr>
        <w:tc>
          <w:tcPr>
            <w:tcW w:w="8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10-Q</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001-35362</w:t>
            </w:r>
          </w:p>
        </w:tc>
        <w:tc>
          <w:tcPr>
            <w:tcW w:w="10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10.1</w:t>
            </w:r>
          </w:p>
        </w:tc>
        <w:tc>
          <w:tcPr>
            <w:tcW w:w="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7/24/13</w:t>
            </w:r>
          </w:p>
        </w:tc>
      </w:tr>
      <w:tr>
        <w:trPr>
          <w:trHeight w:val="674"/>
        </w:trPr>
        <w:tc>
          <w:tcPr>
            <w:tcW w:w="8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10-Q</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001-35362</w:t>
            </w:r>
          </w:p>
        </w:tc>
        <w:tc>
          <w:tcPr>
            <w:tcW w:w="10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10.2</w:t>
            </w:r>
          </w:p>
        </w:tc>
        <w:tc>
          <w:tcPr>
            <w:tcW w:w="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7/24/13</w:t>
            </w:r>
          </w:p>
        </w:tc>
      </w:tr>
      <w:tr>
        <w:trPr>
          <w:trHeight w:val="674"/>
        </w:trPr>
        <w:tc>
          <w:tcPr>
            <w:tcW w:w="8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8-K</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001-35362</w:t>
            </w:r>
          </w:p>
        </w:tc>
        <w:tc>
          <w:tcPr>
            <w:tcW w:w="10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10.1</w:t>
            </w:r>
          </w:p>
        </w:tc>
        <w:tc>
          <w:tcPr>
            <w:tcW w:w="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7/6/23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8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10-Q</w:t>
            </w:r>
          </w:p>
        </w:tc>
        <w:tc>
          <w:tcPr>
            <w:tcW w:w="1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001-35362</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10.4</w:t>
            </w:r>
          </w:p>
        </w:tc>
        <w:tc>
          <w:tcPr>
            <w:tcW w:w="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8/8/17</w:t>
            </w:r>
          </w:p>
        </w:tc>
      </w:tr>
      <w:tr>
        <w:trPr>
          <w:trHeight w:val="458"/>
        </w:trPr>
        <w:tc>
          <w:tcPr>
            <w:tcW w:w="8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10-Q</w:t>
            </w:r>
          </w:p>
        </w:tc>
        <w:tc>
          <w:tcPr>
            <w:tcW w:w="1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001-35362</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10.2</w:t>
            </w:r>
          </w:p>
        </w:tc>
        <w:tc>
          <w:tcPr>
            <w:tcW w:w="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5/6/21</w:t>
            </w:r>
          </w:p>
        </w:tc>
      </w:tr>
      <w:tr>
        <w:trPr>
          <w:trHeight w:val="243"/>
        </w:trPr>
        <w:tc>
          <w:tcPr>
            <w:tcW w:w="8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10-Q</w:t>
            </w:r>
          </w:p>
        </w:tc>
        <w:tc>
          <w:tcPr>
            <w:tcW w:w="1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001-35362</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10.3</w:t>
            </w:r>
          </w:p>
        </w:tc>
        <w:tc>
          <w:tcPr>
            <w:tcW w:w="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5/6/21</w:t>
            </w:r>
          </w:p>
        </w:tc>
      </w:tr>
      <w:tr>
        <w:trPr>
          <w:trHeight w:val="243"/>
        </w:trPr>
        <w:tc>
          <w:tcPr>
            <w:tcW w:w="8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10-Q</w:t>
            </w:r>
          </w:p>
        </w:tc>
        <w:tc>
          <w:tcPr>
            <w:tcW w:w="1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001-35362</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w:t>
            </w:r>
          </w:p>
        </w:tc>
        <w:tc>
          <w:tcPr>
            <w:tcW w:w="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5/3/23</w:t>
            </w:r>
          </w:p>
        </w:tc>
      </w:tr>
      <w:tr>
        <w:trPr>
          <w:trHeight w:val="458"/>
        </w:trPr>
        <w:tc>
          <w:tcPr>
            <w:tcW w:w="8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10-Q</w:t>
            </w:r>
          </w:p>
        </w:tc>
        <w:tc>
          <w:tcPr>
            <w:tcW w:w="1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001-35362</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10.2</w:t>
            </w:r>
          </w:p>
        </w:tc>
        <w:tc>
          <w:tcPr>
            <w:tcW w:w="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5/3/23</w:t>
            </w:r>
          </w:p>
        </w:tc>
      </w:tr>
      <w:tr>
        <w:trPr>
          <w:trHeight w:val="458"/>
        </w:trPr>
        <w:tc>
          <w:tcPr>
            <w:tcW w:w="8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10-Q</w:t>
            </w:r>
          </w:p>
        </w:tc>
        <w:tc>
          <w:tcPr>
            <w:tcW w:w="1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001-35362</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10.3</w:t>
            </w:r>
          </w:p>
        </w:tc>
        <w:tc>
          <w:tcPr>
            <w:tcW w:w="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5/3/23</w:t>
            </w:r>
          </w:p>
        </w:tc>
      </w:tr>
      <w:tr>
        <w:trPr>
          <w:trHeight w:val="458"/>
        </w:trPr>
        <w:tc>
          <w:tcPr>
            <w:tcW w:w="8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10-Q</w:t>
            </w:r>
          </w:p>
        </w:tc>
        <w:tc>
          <w:tcPr>
            <w:tcW w:w="1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001-35362</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10.4</w:t>
            </w:r>
          </w:p>
        </w:tc>
        <w:tc>
          <w:tcPr>
            <w:tcW w:w="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5/3/23</w:t>
            </w:r>
          </w:p>
        </w:tc>
      </w:tr>
      <w:tr>
        <w:trPr>
          <w:trHeight w:val="458"/>
        </w:trPr>
        <w:tc>
          <w:tcPr>
            <w:tcW w:w="8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10-Q</w:t>
            </w:r>
          </w:p>
        </w:tc>
        <w:tc>
          <w:tcPr>
            <w:tcW w:w="1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001-35362</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10.2</w:t>
            </w:r>
          </w:p>
        </w:tc>
        <w:tc>
          <w:tcPr>
            <w:tcW w:w="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8/1/18</w:t>
            </w:r>
          </w:p>
        </w:tc>
      </w:tr>
      <w:tr>
        <w:trPr>
          <w:trHeight w:val="458"/>
        </w:trPr>
        <w:tc>
          <w:tcPr>
            <w:tcW w:w="8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8-K</w:t>
            </w:r>
          </w:p>
        </w:tc>
        <w:tc>
          <w:tcPr>
            <w:tcW w:w="1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001-35362</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w:t>
            </w:r>
          </w:p>
        </w:tc>
        <w:tc>
          <w:tcPr>
            <w:tcW w:w="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11/6/19</w:t>
            </w:r>
          </w:p>
        </w:tc>
      </w:tr>
      <w:tr>
        <w:trPr>
          <w:trHeight w:val="674"/>
        </w:trPr>
        <w:tc>
          <w:tcPr>
            <w:tcW w:w="8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10-Q</w:t>
            </w:r>
          </w:p>
        </w:tc>
        <w:tc>
          <w:tcPr>
            <w:tcW w:w="1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001-35362</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10.7</w:t>
            </w:r>
          </w:p>
        </w:tc>
        <w:tc>
          <w:tcPr>
            <w:tcW w:w="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5/6/21</w:t>
            </w:r>
          </w:p>
        </w:tc>
      </w:tr>
      <w:tr>
        <w:trPr>
          <w:trHeight w:val="458"/>
        </w:trPr>
        <w:tc>
          <w:tcPr>
            <w:tcW w:w="8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8-K</w:t>
            </w:r>
          </w:p>
        </w:tc>
        <w:tc>
          <w:tcPr>
            <w:tcW w:w="1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001-35362</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w:t>
            </w:r>
          </w:p>
        </w:tc>
        <w:tc>
          <w:tcPr>
            <w:tcW w:w="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3/25/21</w:t>
            </w:r>
          </w:p>
        </w:tc>
      </w:tr>
      <w:tr>
        <w:trPr>
          <w:trHeight w:val="243"/>
        </w:trPr>
        <w:tc>
          <w:tcPr>
            <w:tcW w:w="8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8-K</w:t>
            </w:r>
          </w:p>
        </w:tc>
        <w:tc>
          <w:tcPr>
            <w:tcW w:w="1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001-35362</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w:t>
            </w:r>
          </w:p>
        </w:tc>
        <w:tc>
          <w:tcPr>
            <w:tcW w:w="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5/4/22</w:t>
            </w:r>
          </w:p>
        </w:tc>
      </w:tr>
      <w:tr>
        <w:trPr>
          <w:trHeight w:val="458"/>
        </w:trPr>
        <w:tc>
          <w:tcPr>
            <w:tcW w:w="8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8-K</w:t>
            </w:r>
          </w:p>
        </w:tc>
        <w:tc>
          <w:tcPr>
            <w:tcW w:w="17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001-35362</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w:t>
            </w:r>
          </w:p>
        </w:tc>
        <w:tc>
          <w:tcPr>
            <w:tcW w:w="9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6"/>
              </w:rPr>
              <w:t>10/11/22</w:t>
            </w: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w:t>
      </w:r>
    </w:p>
    <w:p>
      <w:pPr>
        <w:spacing w:after="0" w:line="200" w:lineRule="exact"/>
        <w:rPr>
          <w:sz w:val="20"/>
          <w:szCs w:val="20"/>
          <w:color w:val="auto"/>
        </w:rPr>
      </w:pPr>
    </w:p>
    <w:p>
      <w:pPr>
        <w:spacing w:after="0" w:line="23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483870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800" w:space="600"/>
            <w:col w:w="5560"/>
          </w:cols>
          <w:pgMar w:left="340" w:top="1416" w:right="599" w:bottom="1440" w:gutter="0" w:footer="0" w:header="0"/>
        </w:sectPr>
      </w:pPr>
    </w:p>
    <w:bookmarkStart w:id="118" w:name="page119"/>
    <w:bookmarkEnd w:id="118"/>
    <w:tbl>
      <w:tblPr>
        <w:tblLayout w:type="fixed"/>
        <w:tblInd w:w="2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36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Subsidiaries of the Registrant</w:t>
            </w:r>
          </w:p>
        </w:tc>
      </w:tr>
      <w:tr>
        <w:trPr>
          <w:trHeight w:val="20"/>
        </w:trPr>
        <w:tc>
          <w:tcPr>
            <w:tcW w:w="1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35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auto"/>
                <w:w w:val="99"/>
              </w:rPr>
              <w:t>Consent of KPMG LLP, Independent Registered</w:t>
            </w:r>
          </w:p>
        </w:tc>
        <w:tc>
          <w:tcPr>
            <w:tcW w:w="160" w:type="dxa"/>
            <w:vAlign w:val="bottom"/>
          </w:tcPr>
          <w:p>
            <w:pPr>
              <w:spacing w:after="0"/>
              <w:rPr>
                <w:sz w:val="19"/>
                <w:szCs w:val="19"/>
                <w:color w:val="auto"/>
              </w:rPr>
            </w:pPr>
          </w:p>
        </w:tc>
      </w:tr>
      <w:tr>
        <w:trPr>
          <w:trHeight w:val="196"/>
        </w:trPr>
        <w:tc>
          <w:tcPr>
            <w:tcW w:w="1120" w:type="dxa"/>
            <w:vAlign w:val="bottom"/>
          </w:tcPr>
          <w:p>
            <w:pPr>
              <w:spacing w:after="0"/>
              <w:rPr>
                <w:sz w:val="17"/>
                <w:szCs w:val="17"/>
                <w:color w:val="auto"/>
              </w:rPr>
            </w:pPr>
          </w:p>
        </w:tc>
        <w:tc>
          <w:tcPr>
            <w:tcW w:w="1740" w:type="dxa"/>
            <w:vAlign w:val="bottom"/>
            <w:tcBorders>
              <w:bottom w:val="single" w:sz="8" w:color="0000EE"/>
            </w:tcBorders>
            <w:gridSpan w:val="2"/>
          </w:tcPr>
          <w:p>
            <w:pPr>
              <w:spacing w:after="0" w:line="195" w:lineRule="exact"/>
              <w:rPr>
                <w:sz w:val="20"/>
                <w:szCs w:val="20"/>
                <w:color w:val="auto"/>
              </w:rPr>
            </w:pPr>
            <w:r>
              <w:rPr>
                <w:rFonts w:ascii="Times New Roman" w:cs="Times New Roman" w:eastAsia="Times New Roman" w:hAnsi="Times New Roman"/>
                <w:sz w:val="18"/>
                <w:szCs w:val="18"/>
                <w:color w:val="auto"/>
                <w:w w:val="98"/>
              </w:rPr>
              <w:t>Public Accounting Firm</w:t>
            </w:r>
          </w:p>
        </w:tc>
        <w:tc>
          <w:tcPr>
            <w:tcW w:w="1940" w:type="dxa"/>
            <w:vAlign w:val="bottom"/>
            <w:gridSpan w:val="8"/>
          </w:tcPr>
          <w:p>
            <w:pPr>
              <w:spacing w:after="0"/>
              <w:rPr>
                <w:sz w:val="17"/>
                <w:szCs w:val="17"/>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34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auto"/>
                <w:w w:val="99"/>
              </w:rPr>
              <w:t>Power of Attorney (included in signature page)</w:t>
            </w:r>
          </w:p>
        </w:tc>
        <w:tc>
          <w:tcPr>
            <w:tcW w:w="280" w:type="dxa"/>
            <w:vAlign w:val="bottom"/>
            <w:gridSpan w:val="2"/>
          </w:tcPr>
          <w:p>
            <w:pPr>
              <w:spacing w:after="0"/>
              <w:rPr>
                <w:sz w:val="19"/>
                <w:szCs w:val="19"/>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1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auto"/>
              </w:rPr>
              <w:t>Certification of the Chief Executive Officer</w:t>
            </w:r>
          </w:p>
        </w:tc>
        <w:tc>
          <w:tcPr>
            <w:tcW w:w="500" w:type="dxa"/>
            <w:vAlign w:val="bottom"/>
            <w:gridSpan w:val="3"/>
          </w:tcPr>
          <w:p>
            <w:pPr>
              <w:spacing w:after="0"/>
              <w:rPr>
                <w:sz w:val="19"/>
                <w:szCs w:val="19"/>
                <w:color w:val="auto"/>
              </w:rPr>
            </w:pPr>
          </w:p>
        </w:tc>
      </w:tr>
      <w:tr>
        <w:trPr>
          <w:trHeight w:val="196"/>
        </w:trPr>
        <w:tc>
          <w:tcPr>
            <w:tcW w:w="1120" w:type="dxa"/>
            <w:vAlign w:val="bottom"/>
          </w:tcPr>
          <w:p>
            <w:pPr>
              <w:spacing w:after="0"/>
              <w:rPr>
                <w:sz w:val="17"/>
                <w:szCs w:val="17"/>
                <w:color w:val="auto"/>
              </w:rPr>
            </w:pPr>
          </w:p>
        </w:tc>
        <w:tc>
          <w:tcPr>
            <w:tcW w:w="3680" w:type="dxa"/>
            <w:vAlign w:val="bottom"/>
            <w:tcBorders>
              <w:bottom w:val="single" w:sz="8" w:color="0000EE"/>
            </w:tcBorders>
            <w:gridSpan w:val="10"/>
          </w:tcPr>
          <w:p>
            <w:pPr>
              <w:spacing w:after="0" w:line="195" w:lineRule="exact"/>
              <w:rPr>
                <w:sz w:val="20"/>
                <w:szCs w:val="20"/>
                <w:color w:val="auto"/>
              </w:rPr>
            </w:pPr>
            <w:r>
              <w:rPr>
                <w:rFonts w:ascii="Times New Roman" w:cs="Times New Roman" w:eastAsia="Times New Roman" w:hAnsi="Times New Roman"/>
                <w:sz w:val="18"/>
                <w:szCs w:val="18"/>
                <w:color w:val="auto"/>
                <w:w w:val="99"/>
              </w:rPr>
              <w:t>pursuant to Section 302 of the Sarbanes-Oxley Act</w:t>
            </w:r>
          </w:p>
        </w:tc>
      </w:tr>
      <w:tr>
        <w:trPr>
          <w:trHeight w:val="196"/>
        </w:trPr>
        <w:tc>
          <w:tcPr>
            <w:tcW w:w="1120" w:type="dxa"/>
            <w:vAlign w:val="bottom"/>
          </w:tcPr>
          <w:p>
            <w:pPr>
              <w:spacing w:after="0"/>
              <w:rPr>
                <w:sz w:val="17"/>
                <w:szCs w:val="17"/>
                <w:color w:val="auto"/>
              </w:rPr>
            </w:pPr>
          </w:p>
        </w:tc>
        <w:tc>
          <w:tcPr>
            <w:tcW w:w="560" w:type="dxa"/>
            <w:vAlign w:val="bottom"/>
            <w:tcBorders>
              <w:bottom w:val="single" w:sz="8" w:color="0000EE"/>
            </w:tcBorders>
          </w:tcPr>
          <w:p>
            <w:pPr>
              <w:spacing w:after="0" w:line="195" w:lineRule="exact"/>
              <w:rPr>
                <w:sz w:val="20"/>
                <w:szCs w:val="20"/>
                <w:color w:val="auto"/>
              </w:rPr>
            </w:pPr>
            <w:r>
              <w:rPr>
                <w:rFonts w:ascii="Times New Roman" w:cs="Times New Roman" w:eastAsia="Times New Roman" w:hAnsi="Times New Roman"/>
                <w:sz w:val="18"/>
                <w:szCs w:val="18"/>
                <w:color w:val="auto"/>
                <w:w w:val="97"/>
              </w:rPr>
              <w:t>of 2002</w:t>
            </w:r>
          </w:p>
        </w:tc>
        <w:tc>
          <w:tcPr>
            <w:tcW w:w="3120" w:type="dxa"/>
            <w:vAlign w:val="bottom"/>
            <w:gridSpan w:val="9"/>
          </w:tcPr>
          <w:p>
            <w:pPr>
              <w:spacing w:after="0"/>
              <w:rPr>
                <w:sz w:val="17"/>
                <w:szCs w:val="17"/>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1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rPr>
              <w:t>Certification of the Chief Financial Officer</w:t>
            </w:r>
          </w:p>
        </w:tc>
        <w:tc>
          <w:tcPr>
            <w:tcW w:w="540" w:type="dxa"/>
            <w:vAlign w:val="bottom"/>
            <w:gridSpan w:val="4"/>
          </w:tcPr>
          <w:p>
            <w:pPr>
              <w:spacing w:after="0"/>
              <w:rPr>
                <w:sz w:val="19"/>
                <w:szCs w:val="19"/>
                <w:color w:val="auto"/>
              </w:rPr>
            </w:pPr>
          </w:p>
        </w:tc>
      </w:tr>
      <w:tr>
        <w:trPr>
          <w:trHeight w:val="196"/>
        </w:trPr>
        <w:tc>
          <w:tcPr>
            <w:tcW w:w="1120" w:type="dxa"/>
            <w:vAlign w:val="bottom"/>
          </w:tcPr>
          <w:p>
            <w:pPr>
              <w:spacing w:after="0"/>
              <w:rPr>
                <w:sz w:val="17"/>
                <w:szCs w:val="17"/>
                <w:color w:val="auto"/>
              </w:rPr>
            </w:pPr>
          </w:p>
        </w:tc>
        <w:tc>
          <w:tcPr>
            <w:tcW w:w="3680" w:type="dxa"/>
            <w:vAlign w:val="bottom"/>
            <w:tcBorders>
              <w:bottom w:val="single" w:sz="8" w:color="0000EE"/>
            </w:tcBorders>
            <w:gridSpan w:val="10"/>
          </w:tcPr>
          <w:p>
            <w:pPr>
              <w:spacing w:after="0" w:line="195" w:lineRule="exact"/>
              <w:rPr>
                <w:sz w:val="20"/>
                <w:szCs w:val="20"/>
                <w:color w:val="auto"/>
              </w:rPr>
            </w:pPr>
            <w:r>
              <w:rPr>
                <w:rFonts w:ascii="Times New Roman" w:cs="Times New Roman" w:eastAsia="Times New Roman" w:hAnsi="Times New Roman"/>
                <w:sz w:val="18"/>
                <w:szCs w:val="18"/>
                <w:color w:val="auto"/>
                <w:w w:val="99"/>
              </w:rPr>
              <w:t>pursuant to Section 302 of the Sarbanes-Oxley Act</w:t>
            </w:r>
          </w:p>
        </w:tc>
      </w:tr>
      <w:tr>
        <w:trPr>
          <w:trHeight w:val="196"/>
        </w:trPr>
        <w:tc>
          <w:tcPr>
            <w:tcW w:w="1120" w:type="dxa"/>
            <w:vAlign w:val="bottom"/>
          </w:tcPr>
          <w:p>
            <w:pPr>
              <w:spacing w:after="0"/>
              <w:rPr>
                <w:sz w:val="17"/>
                <w:szCs w:val="17"/>
                <w:color w:val="auto"/>
              </w:rPr>
            </w:pPr>
          </w:p>
        </w:tc>
        <w:tc>
          <w:tcPr>
            <w:tcW w:w="560" w:type="dxa"/>
            <w:vAlign w:val="bottom"/>
            <w:tcBorders>
              <w:bottom w:val="single" w:sz="8" w:color="0000EE"/>
            </w:tcBorders>
          </w:tcPr>
          <w:p>
            <w:pPr>
              <w:spacing w:after="0" w:line="195" w:lineRule="exact"/>
              <w:rPr>
                <w:sz w:val="20"/>
                <w:szCs w:val="20"/>
                <w:color w:val="auto"/>
              </w:rPr>
            </w:pPr>
            <w:r>
              <w:rPr>
                <w:rFonts w:ascii="Times New Roman" w:cs="Times New Roman" w:eastAsia="Times New Roman" w:hAnsi="Times New Roman"/>
                <w:sz w:val="18"/>
                <w:szCs w:val="18"/>
                <w:color w:val="auto"/>
                <w:w w:val="97"/>
              </w:rPr>
              <w:t>of 2002</w:t>
            </w:r>
          </w:p>
        </w:tc>
        <w:tc>
          <w:tcPr>
            <w:tcW w:w="3120" w:type="dxa"/>
            <w:vAlign w:val="bottom"/>
            <w:gridSpan w:val="9"/>
          </w:tcPr>
          <w:p>
            <w:pPr>
              <w:spacing w:after="0"/>
              <w:rPr>
                <w:sz w:val="17"/>
                <w:szCs w:val="17"/>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1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auto"/>
              </w:rPr>
              <w:t>Certification of the Chief Executive Officer</w:t>
            </w:r>
          </w:p>
        </w:tc>
        <w:tc>
          <w:tcPr>
            <w:tcW w:w="500" w:type="dxa"/>
            <w:vAlign w:val="bottom"/>
            <w:gridSpan w:val="3"/>
          </w:tcPr>
          <w:p>
            <w:pPr>
              <w:spacing w:after="0"/>
              <w:rPr>
                <w:sz w:val="19"/>
                <w:szCs w:val="19"/>
                <w:color w:val="auto"/>
              </w:rPr>
            </w:pPr>
          </w:p>
        </w:tc>
      </w:tr>
      <w:tr>
        <w:trPr>
          <w:trHeight w:val="196"/>
        </w:trPr>
        <w:tc>
          <w:tcPr>
            <w:tcW w:w="1120" w:type="dxa"/>
            <w:vAlign w:val="bottom"/>
          </w:tcPr>
          <w:p>
            <w:pPr>
              <w:spacing w:after="0"/>
              <w:rPr>
                <w:sz w:val="17"/>
                <w:szCs w:val="17"/>
                <w:color w:val="auto"/>
              </w:rPr>
            </w:pPr>
          </w:p>
        </w:tc>
        <w:tc>
          <w:tcPr>
            <w:tcW w:w="3680" w:type="dxa"/>
            <w:vAlign w:val="bottom"/>
            <w:tcBorders>
              <w:bottom w:val="single" w:sz="8" w:color="0000EE"/>
            </w:tcBorders>
            <w:gridSpan w:val="10"/>
          </w:tcPr>
          <w:p>
            <w:pPr>
              <w:spacing w:after="0" w:line="195" w:lineRule="exact"/>
              <w:rPr>
                <w:sz w:val="20"/>
                <w:szCs w:val="20"/>
                <w:color w:val="auto"/>
              </w:rPr>
            </w:pPr>
            <w:r>
              <w:rPr>
                <w:rFonts w:ascii="Times New Roman" w:cs="Times New Roman" w:eastAsia="Times New Roman" w:hAnsi="Times New Roman"/>
                <w:sz w:val="18"/>
                <w:szCs w:val="18"/>
                <w:color w:val="auto"/>
                <w:w w:val="99"/>
              </w:rPr>
              <w:t>pursuant to Section 906 of the Sarbanes-Oxley Act</w:t>
            </w:r>
          </w:p>
        </w:tc>
      </w:tr>
      <w:tr>
        <w:trPr>
          <w:trHeight w:val="196"/>
        </w:trPr>
        <w:tc>
          <w:tcPr>
            <w:tcW w:w="1120" w:type="dxa"/>
            <w:vAlign w:val="bottom"/>
          </w:tcPr>
          <w:p>
            <w:pPr>
              <w:spacing w:after="0"/>
              <w:rPr>
                <w:sz w:val="17"/>
                <w:szCs w:val="17"/>
                <w:color w:val="auto"/>
              </w:rPr>
            </w:pPr>
          </w:p>
        </w:tc>
        <w:tc>
          <w:tcPr>
            <w:tcW w:w="560" w:type="dxa"/>
            <w:vAlign w:val="bottom"/>
            <w:tcBorders>
              <w:bottom w:val="single" w:sz="8" w:color="0000EE"/>
            </w:tcBorders>
          </w:tcPr>
          <w:p>
            <w:pPr>
              <w:spacing w:after="0" w:line="195" w:lineRule="exact"/>
              <w:rPr>
                <w:sz w:val="20"/>
                <w:szCs w:val="20"/>
                <w:color w:val="auto"/>
              </w:rPr>
            </w:pPr>
            <w:r>
              <w:rPr>
                <w:rFonts w:ascii="Times New Roman" w:cs="Times New Roman" w:eastAsia="Times New Roman" w:hAnsi="Times New Roman"/>
                <w:sz w:val="18"/>
                <w:szCs w:val="18"/>
                <w:color w:val="auto"/>
                <w:w w:val="97"/>
              </w:rPr>
              <w:t>of 2002</w:t>
            </w:r>
          </w:p>
        </w:tc>
        <w:tc>
          <w:tcPr>
            <w:tcW w:w="3120" w:type="dxa"/>
            <w:vAlign w:val="bottom"/>
            <w:gridSpan w:val="9"/>
          </w:tcPr>
          <w:p>
            <w:pPr>
              <w:spacing w:after="0"/>
              <w:rPr>
                <w:sz w:val="17"/>
                <w:szCs w:val="17"/>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31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rPr>
              <w:t>Certification of the Chief Financial Officer</w:t>
            </w:r>
          </w:p>
        </w:tc>
        <w:tc>
          <w:tcPr>
            <w:tcW w:w="540" w:type="dxa"/>
            <w:vAlign w:val="bottom"/>
            <w:gridSpan w:val="4"/>
          </w:tcPr>
          <w:p>
            <w:pPr>
              <w:spacing w:after="0"/>
              <w:rPr>
                <w:sz w:val="19"/>
                <w:szCs w:val="19"/>
                <w:color w:val="auto"/>
              </w:rPr>
            </w:pPr>
          </w:p>
        </w:tc>
      </w:tr>
      <w:tr>
        <w:trPr>
          <w:trHeight w:val="196"/>
        </w:trPr>
        <w:tc>
          <w:tcPr>
            <w:tcW w:w="1120" w:type="dxa"/>
            <w:vAlign w:val="bottom"/>
          </w:tcPr>
          <w:p>
            <w:pPr>
              <w:spacing w:after="0"/>
              <w:rPr>
                <w:sz w:val="17"/>
                <w:szCs w:val="17"/>
                <w:color w:val="auto"/>
              </w:rPr>
            </w:pPr>
          </w:p>
        </w:tc>
        <w:tc>
          <w:tcPr>
            <w:tcW w:w="3680" w:type="dxa"/>
            <w:vAlign w:val="bottom"/>
            <w:tcBorders>
              <w:bottom w:val="single" w:sz="8" w:color="0000EE"/>
            </w:tcBorders>
            <w:gridSpan w:val="10"/>
          </w:tcPr>
          <w:p>
            <w:pPr>
              <w:spacing w:after="0" w:line="195" w:lineRule="exact"/>
              <w:rPr>
                <w:sz w:val="20"/>
                <w:szCs w:val="20"/>
                <w:color w:val="auto"/>
              </w:rPr>
            </w:pPr>
            <w:r>
              <w:rPr>
                <w:rFonts w:ascii="Times New Roman" w:cs="Times New Roman" w:eastAsia="Times New Roman" w:hAnsi="Times New Roman"/>
                <w:sz w:val="18"/>
                <w:szCs w:val="18"/>
                <w:color w:val="auto"/>
                <w:w w:val="99"/>
              </w:rPr>
              <w:t>pursuant to Section 906 of the Sarbanes-Oxley Act</w:t>
            </w:r>
          </w:p>
        </w:tc>
      </w:tr>
      <w:tr>
        <w:trPr>
          <w:trHeight w:val="196"/>
        </w:trPr>
        <w:tc>
          <w:tcPr>
            <w:tcW w:w="1120" w:type="dxa"/>
            <w:vAlign w:val="bottom"/>
          </w:tcPr>
          <w:p>
            <w:pPr>
              <w:spacing w:after="0"/>
              <w:rPr>
                <w:sz w:val="17"/>
                <w:szCs w:val="17"/>
                <w:color w:val="auto"/>
              </w:rPr>
            </w:pPr>
          </w:p>
        </w:tc>
        <w:tc>
          <w:tcPr>
            <w:tcW w:w="560" w:type="dxa"/>
            <w:vAlign w:val="bottom"/>
            <w:tcBorders>
              <w:bottom w:val="single" w:sz="8" w:color="0000EE"/>
            </w:tcBorders>
          </w:tcPr>
          <w:p>
            <w:pPr>
              <w:spacing w:after="0" w:line="195" w:lineRule="exact"/>
              <w:rPr>
                <w:sz w:val="20"/>
                <w:szCs w:val="20"/>
                <w:color w:val="auto"/>
              </w:rPr>
            </w:pPr>
            <w:r>
              <w:rPr>
                <w:rFonts w:ascii="Times New Roman" w:cs="Times New Roman" w:eastAsia="Times New Roman" w:hAnsi="Times New Roman"/>
                <w:sz w:val="18"/>
                <w:szCs w:val="18"/>
                <w:color w:val="auto"/>
                <w:w w:val="97"/>
              </w:rPr>
              <w:t>of 2002</w:t>
            </w:r>
          </w:p>
        </w:tc>
        <w:tc>
          <w:tcPr>
            <w:tcW w:w="3120" w:type="dxa"/>
            <w:vAlign w:val="bottom"/>
            <w:gridSpan w:val="9"/>
          </w:tcPr>
          <w:p>
            <w:pPr>
              <w:spacing w:after="0"/>
              <w:rPr>
                <w:sz w:val="17"/>
                <w:szCs w:val="17"/>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30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rPr>
              <w:t>Tripadvisor, Inc. Incentive Compensation</w:t>
            </w:r>
          </w:p>
        </w:tc>
        <w:tc>
          <w:tcPr>
            <w:tcW w:w="640" w:type="dxa"/>
            <w:vAlign w:val="bottom"/>
            <w:gridSpan w:val="6"/>
          </w:tcPr>
          <w:p>
            <w:pPr>
              <w:spacing w:after="0"/>
              <w:rPr>
                <w:sz w:val="19"/>
                <w:szCs w:val="19"/>
                <w:color w:val="auto"/>
              </w:rPr>
            </w:pPr>
          </w:p>
        </w:tc>
      </w:tr>
      <w:tr>
        <w:trPr>
          <w:trHeight w:val="196"/>
        </w:trPr>
        <w:tc>
          <w:tcPr>
            <w:tcW w:w="1120" w:type="dxa"/>
            <w:vAlign w:val="bottom"/>
          </w:tcPr>
          <w:p>
            <w:pPr>
              <w:spacing w:after="0"/>
              <w:rPr>
                <w:sz w:val="17"/>
                <w:szCs w:val="17"/>
                <w:color w:val="auto"/>
              </w:rPr>
            </w:pPr>
          </w:p>
        </w:tc>
        <w:tc>
          <w:tcPr>
            <w:tcW w:w="3080" w:type="dxa"/>
            <w:vAlign w:val="bottom"/>
            <w:tcBorders>
              <w:bottom w:val="single" w:sz="8" w:color="0000EE"/>
            </w:tcBorders>
            <w:gridSpan w:val="5"/>
          </w:tcPr>
          <w:p>
            <w:pPr>
              <w:spacing w:after="0" w:line="195" w:lineRule="exact"/>
              <w:rPr>
                <w:sz w:val="20"/>
                <w:szCs w:val="20"/>
                <w:color w:val="auto"/>
              </w:rPr>
            </w:pPr>
            <w:r>
              <w:rPr>
                <w:rFonts w:ascii="Times New Roman" w:cs="Times New Roman" w:eastAsia="Times New Roman" w:hAnsi="Times New Roman"/>
                <w:sz w:val="18"/>
                <w:szCs w:val="18"/>
                <w:color w:val="auto"/>
                <w:w w:val="98"/>
              </w:rPr>
              <w:t>Clawback Policy, dated November 1, 2023</w:t>
            </w:r>
          </w:p>
        </w:tc>
        <w:tc>
          <w:tcPr>
            <w:tcW w:w="600" w:type="dxa"/>
            <w:vAlign w:val="bottom"/>
            <w:gridSpan w:val="5"/>
          </w:tcPr>
          <w:p>
            <w:pPr>
              <w:spacing w:after="0"/>
              <w:rPr>
                <w:sz w:val="17"/>
                <w:szCs w:val="17"/>
                <w:color w:val="auto"/>
              </w:rPr>
            </w:pPr>
          </w:p>
        </w:tc>
      </w:tr>
      <w:tr>
        <w:trPr>
          <w:trHeight w:val="245"/>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6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w:t>
            </w:r>
          </w:p>
        </w:tc>
      </w:tr>
      <w:tr>
        <w:trPr>
          <w:trHeight w:val="216"/>
        </w:trPr>
        <w:tc>
          <w:tcPr>
            <w:tcW w:w="1120" w:type="dxa"/>
            <w:vAlign w:val="bottom"/>
          </w:tcPr>
          <w:p>
            <w:pPr>
              <w:spacing w:after="0"/>
              <w:rPr>
                <w:sz w:val="18"/>
                <w:szCs w:val="18"/>
                <w:color w:val="auto"/>
              </w:rPr>
            </w:pPr>
          </w:p>
        </w:tc>
        <w:tc>
          <w:tcPr>
            <w:tcW w:w="36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 Data</w:t>
            </w:r>
          </w:p>
        </w:tc>
      </w:tr>
      <w:tr>
        <w:trPr>
          <w:trHeight w:val="216"/>
        </w:trPr>
        <w:tc>
          <w:tcPr>
            <w:tcW w:w="1120" w:type="dxa"/>
            <w:vAlign w:val="bottom"/>
          </w:tcPr>
          <w:p>
            <w:pPr>
              <w:spacing w:after="0"/>
              <w:rPr>
                <w:sz w:val="18"/>
                <w:szCs w:val="18"/>
                <w:color w:val="auto"/>
              </w:rPr>
            </w:pPr>
          </w:p>
        </w:tc>
        <w:tc>
          <w:tcPr>
            <w:tcW w:w="36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File because its XBRL tags are embedded within</w:t>
            </w:r>
          </w:p>
        </w:tc>
      </w:tr>
      <w:tr>
        <w:trPr>
          <w:trHeight w:val="234"/>
        </w:trPr>
        <w:tc>
          <w:tcPr>
            <w:tcW w:w="1120" w:type="dxa"/>
            <w:vAlign w:val="bottom"/>
          </w:tcPr>
          <w:p>
            <w:pPr>
              <w:spacing w:after="0"/>
              <w:rPr>
                <w:sz w:val="20"/>
                <w:szCs w:val="20"/>
                <w:color w:val="auto"/>
              </w:rPr>
            </w:pPr>
          </w:p>
        </w:tc>
        <w:tc>
          <w:tcPr>
            <w:tcW w:w="36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2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6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w:t>
            </w:r>
          </w:p>
        </w:tc>
      </w:tr>
      <w:tr>
        <w:trPr>
          <w:trHeight w:val="234"/>
        </w:trPr>
        <w:tc>
          <w:tcPr>
            <w:tcW w:w="1120" w:type="dxa"/>
            <w:vAlign w:val="bottom"/>
          </w:tcPr>
          <w:p>
            <w:pPr>
              <w:spacing w:after="0"/>
              <w:rPr>
                <w:sz w:val="20"/>
                <w:szCs w:val="20"/>
                <w:color w:val="auto"/>
              </w:rPr>
            </w:pPr>
          </w:p>
        </w:tc>
        <w:tc>
          <w:tcPr>
            <w:tcW w:w="36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Embedded Linkbases Document.</w:t>
            </w:r>
          </w:p>
        </w:tc>
      </w:tr>
    </w:tbl>
    <w:p>
      <w:pPr>
        <w:spacing w:after="0" w:line="9" w:lineRule="exact"/>
        <w:rPr>
          <w:sz w:val="20"/>
          <w:szCs w:val="20"/>
          <w:color w:val="auto"/>
        </w:rPr>
      </w:pPr>
    </w:p>
    <w:p>
      <w:pPr>
        <w:ind w:left="1140" w:right="480" w:hanging="1119"/>
        <w:spacing w:after="0" w:line="312" w:lineRule="auto"/>
        <w:tabs>
          <w:tab w:leader="none" w:pos="11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X</w:t>
      </w:r>
    </w:p>
    <w:p>
      <w:pPr>
        <w:spacing w:after="0" w:line="229" w:lineRule="exact"/>
        <w:rPr>
          <w:sz w:val="20"/>
          <w:szCs w:val="20"/>
          <w:color w:val="auto"/>
        </w:rPr>
      </w:pPr>
    </w:p>
    <w:p>
      <w:pPr>
        <w:sectPr>
          <w:pgSz w:w="11900" w:h="16838" w:orient="portrait"/>
          <w:cols w:equalWidth="0" w:num="2">
            <w:col w:w="4820" w:space="600"/>
            <w:col w:w="4719"/>
          </w:cols>
          <w:pgMar w:left="320" w:top="1416" w:right="1440" w:bottom="1440" w:gutter="0" w:footer="0" w:header="0"/>
        </w:sectPr>
      </w:pPr>
    </w:p>
    <w:p>
      <w:pPr>
        <w:spacing w:after="0"/>
        <w:rPr>
          <w:sz w:val="20"/>
          <w:szCs w:val="20"/>
          <w:color w:val="auto"/>
        </w:rPr>
      </w:pPr>
      <w:r>
        <w:rPr>
          <w:rFonts w:ascii="Times New Roman" w:cs="Times New Roman" w:eastAsia="Times New Roman" w:hAnsi="Times New Roman"/>
          <w:sz w:val="17"/>
          <w:szCs w:val="17"/>
          <w:i w:val="1"/>
          <w:iCs w:val="1"/>
          <w:color w:val="auto"/>
        </w:rPr>
        <w:t>+ Indicates a management contract or a compensatory plan, contract or arrangement.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6" w:right="1440" w:bottom="1440" w:gutter="0" w:footer="0" w:header="0"/>
          <w:type w:val="continuous"/>
        </w:sectPr>
      </w:pPr>
    </w:p>
    <w:bookmarkStart w:id="119" w:name="page120"/>
    <w:bookmarkEnd w:id="11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Section 13 or 15(d) of Securities Exchange Act of 1934, the Registrant has duly caused this report to be signed on its behalf by the undersigned, hereunto duly authorized.</w:t>
      </w:r>
    </w:p>
    <w:p>
      <w:pPr>
        <w:spacing w:after="0" w:line="16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TRIPADVISOR, INC.</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7680" w:type="dxa"/>
            <w:vAlign w:val="bottom"/>
          </w:tcPr>
          <w:p>
            <w:pPr>
              <w:ind w:left="7200"/>
              <w:spacing w:after="0"/>
              <w:rPr>
                <w:sz w:val="20"/>
                <w:szCs w:val="20"/>
                <w:color w:val="auto"/>
              </w:rPr>
            </w:pPr>
            <w:r>
              <w:rPr>
                <w:rFonts w:ascii="Times New Roman" w:cs="Times New Roman" w:eastAsia="Times New Roman" w:hAnsi="Times New Roman"/>
                <w:sz w:val="18"/>
                <w:szCs w:val="18"/>
                <w:color w:val="auto"/>
              </w:rPr>
              <w:t>By:</w:t>
            </w:r>
          </w:p>
        </w:tc>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 GOLDBERG</w:t>
            </w:r>
          </w:p>
        </w:tc>
      </w:tr>
      <w:tr>
        <w:trPr>
          <w:trHeight w:val="191"/>
        </w:trPr>
        <w:tc>
          <w:tcPr>
            <w:tcW w:w="7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February 16, 2024</w:t>
            </w:r>
          </w:p>
        </w:tc>
        <w:tc>
          <w:tcPr>
            <w:tcW w:w="3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Matt Goldberg</w:t>
            </w:r>
          </w:p>
        </w:tc>
      </w:tr>
      <w:tr>
        <w:trPr>
          <w:trHeight w:val="234"/>
        </w:trPr>
        <w:tc>
          <w:tcPr>
            <w:tcW w:w="768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bl>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We, the undersigned officers and directors of Tripadvisor, Inc., hereby severally constitute and appoint Matt Goldberg and Michael Noonan, and each of them singly, our true and lawful attorneys, with full power to them and each of them singly, to sign for us in our names in the capacities indicated below, all amendments to this report, and generally to do all things in our names and on our behalf in such capacities to enable Tripadvisor, Inc. to comply with the provisions of the Securities Exchange Act of 1934, and all requirements of the Securities and Exchange Commission.</w:t>
      </w:r>
    </w:p>
    <w:p>
      <w:pPr>
        <w:spacing w:after="0" w:line="182" w:lineRule="exact"/>
        <w:rPr>
          <w:sz w:val="20"/>
          <w:szCs w:val="20"/>
          <w:color w:val="auto"/>
        </w:rPr>
      </w:pPr>
    </w:p>
    <w:p>
      <w:pPr>
        <w:ind w:right="300" w:firstLine="509"/>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as of February 16,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28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0" w:type="dxa"/>
            <w:vAlign w:val="bottom"/>
          </w:tcPr>
          <w:p>
            <w:pPr>
              <w:spacing w:after="0"/>
              <w:rPr>
                <w:sz w:val="1"/>
                <w:szCs w:val="1"/>
                <w:color w:val="auto"/>
              </w:rPr>
            </w:pPr>
          </w:p>
        </w:tc>
      </w:tr>
      <w:tr>
        <w:trPr>
          <w:trHeight w:val="312"/>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MATT GOLDBERG</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President and Director</w:t>
            </w:r>
          </w:p>
        </w:tc>
        <w:tc>
          <w:tcPr>
            <w:tcW w:w="0" w:type="dxa"/>
            <w:vAlign w:val="bottom"/>
          </w:tcPr>
          <w:p>
            <w:pPr>
              <w:spacing w:after="0"/>
              <w:rPr>
                <w:sz w:val="1"/>
                <w:szCs w:val="1"/>
                <w:color w:val="auto"/>
              </w:rPr>
            </w:pPr>
          </w:p>
        </w:tc>
      </w:tr>
      <w:tr>
        <w:trPr>
          <w:trHeight w:val="32"/>
        </w:trPr>
        <w:tc>
          <w:tcPr>
            <w:tcW w:w="4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228"/>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 Goldberg</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7"/>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MICHAEL NOONAN</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0" w:type="dxa"/>
            <w:vAlign w:val="bottom"/>
          </w:tcPr>
          <w:p>
            <w:pPr>
              <w:spacing w:after="0"/>
              <w:rPr>
                <w:sz w:val="1"/>
                <w:szCs w:val="1"/>
                <w:color w:val="auto"/>
              </w:rPr>
            </w:pPr>
          </w:p>
        </w:tc>
      </w:tr>
      <w:tr>
        <w:trPr>
          <w:trHeight w:val="32"/>
        </w:trPr>
        <w:tc>
          <w:tcPr>
            <w:tcW w:w="4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228"/>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Noonan</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7"/>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GEOFFREY GOUVALARIS</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Accounting Officer</w:t>
            </w:r>
          </w:p>
        </w:tc>
        <w:tc>
          <w:tcPr>
            <w:tcW w:w="0" w:type="dxa"/>
            <w:vAlign w:val="bottom"/>
          </w:tcPr>
          <w:p>
            <w:pPr>
              <w:spacing w:after="0"/>
              <w:rPr>
                <w:sz w:val="1"/>
                <w:szCs w:val="1"/>
                <w:color w:val="auto"/>
              </w:rPr>
            </w:pPr>
          </w:p>
        </w:tc>
      </w:tr>
      <w:tr>
        <w:trPr>
          <w:trHeight w:val="32"/>
        </w:trPr>
        <w:tc>
          <w:tcPr>
            <w:tcW w:w="4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0" w:type="dxa"/>
            <w:vAlign w:val="bottom"/>
          </w:tcPr>
          <w:p>
            <w:pPr>
              <w:spacing w:after="0"/>
              <w:rPr>
                <w:sz w:val="1"/>
                <w:szCs w:val="1"/>
                <w:color w:val="auto"/>
              </w:rPr>
            </w:pPr>
          </w:p>
        </w:tc>
      </w:tr>
      <w:tr>
        <w:trPr>
          <w:trHeight w:val="228"/>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Geoffrey Gouvalaris</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59"/>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GREGORY B. MAFFEI</w:t>
            </w:r>
          </w:p>
        </w:tc>
        <w:tc>
          <w:tcPr>
            <w:tcW w:w="1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Chairman of the Board</w:t>
            </w:r>
          </w:p>
        </w:tc>
        <w:tc>
          <w:tcPr>
            <w:tcW w:w="0" w:type="dxa"/>
            <w:vAlign w:val="bottom"/>
          </w:tcPr>
          <w:p>
            <w:pPr>
              <w:spacing w:after="0"/>
              <w:rPr>
                <w:sz w:val="1"/>
                <w:szCs w:val="1"/>
                <w:color w:val="auto"/>
              </w:rPr>
            </w:pPr>
          </w:p>
        </w:tc>
      </w:tr>
      <w:tr>
        <w:trPr>
          <w:trHeight w:val="26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Gregory B. Maffei</w:t>
            </w: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4"/>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TRYNKA SHINEMAN BLAKE</w:t>
            </w:r>
          </w:p>
        </w:tc>
        <w:tc>
          <w:tcPr>
            <w:tcW w:w="1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Trynka Shineman Blake</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JAY C. HOAG</w:t>
            </w:r>
          </w:p>
        </w:tc>
        <w:tc>
          <w:tcPr>
            <w:tcW w:w="1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28"/>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Jay C. Hoag</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9"/>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BETSY MORGAN</w:t>
            </w:r>
          </w:p>
        </w:tc>
        <w:tc>
          <w:tcPr>
            <w:tcW w:w="1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28"/>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Betsy Morgan</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9"/>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GREG O’HARA</w:t>
            </w:r>
          </w:p>
        </w:tc>
        <w:tc>
          <w:tcPr>
            <w:tcW w:w="1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28"/>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Greg O’Hara</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9"/>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JEREMY PHILIPS</w:t>
            </w:r>
          </w:p>
        </w:tc>
        <w:tc>
          <w:tcPr>
            <w:tcW w:w="1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5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Jeremy Philips</w:t>
            </w: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7"/>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ALBERT E. ROSENTHALER</w:t>
            </w:r>
          </w:p>
        </w:tc>
        <w:tc>
          <w:tcPr>
            <w:tcW w:w="1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0" w:type="dxa"/>
            <w:vAlign w:val="bottom"/>
          </w:tcPr>
          <w:p>
            <w:pPr>
              <w:spacing w:after="0"/>
              <w:rPr>
                <w:sz w:val="1"/>
                <w:szCs w:val="1"/>
                <w:color w:val="auto"/>
              </w:rPr>
            </w:pPr>
          </w:p>
        </w:tc>
      </w:tr>
      <w:tr>
        <w:trPr>
          <w:trHeight w:val="228"/>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Albert E. Rosenthaler</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6"/>
        </w:trPr>
        <w:tc>
          <w:tcPr>
            <w:tcW w:w="4280" w:type="dxa"/>
            <w:vAlign w:val="bottom"/>
          </w:tcPr>
          <w:p>
            <w:pPr>
              <w:spacing w:after="0"/>
              <w:rPr>
                <w:sz w:val="24"/>
                <w:szCs w:val="24"/>
                <w:color w:val="auto"/>
              </w:rPr>
            </w:pPr>
          </w:p>
        </w:tc>
        <w:tc>
          <w:tcPr>
            <w:tcW w:w="6960" w:type="dxa"/>
            <w:vAlign w:val="bottom"/>
            <w:gridSpan w:val="3"/>
          </w:tcPr>
          <w:p>
            <w:pPr>
              <w:jc w:val="right"/>
              <w:ind w:right="5391"/>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762"/>
        </w:trPr>
        <w:tc>
          <w:tcPr>
            <w:tcW w:w="42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20" w:name="page121"/>
    <w:bookmarkEnd w:id="120"/>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572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Jane Jie Sun</w:t>
            </w:r>
          </w:p>
        </w:tc>
        <w:tc>
          <w:tcPr>
            <w:tcW w:w="1620" w:type="dxa"/>
            <w:vAlign w:val="bottom"/>
          </w:tcPr>
          <w:p>
            <w:pPr>
              <w:spacing w:after="0"/>
              <w:rPr>
                <w:sz w:val="19"/>
                <w:szCs w:val="19"/>
                <w:color w:val="auto"/>
              </w:rPr>
            </w:pPr>
          </w:p>
        </w:tc>
        <w:tc>
          <w:tcPr>
            <w:tcW w:w="5720" w:type="dxa"/>
            <w:vAlign w:val="bottom"/>
          </w:tcPr>
          <w:p>
            <w:pPr>
              <w:spacing w:after="0"/>
              <w:rPr>
                <w:sz w:val="19"/>
                <w:szCs w:val="19"/>
                <w:color w:val="auto"/>
              </w:rPr>
            </w:pPr>
          </w:p>
        </w:tc>
      </w:tr>
      <w:tr>
        <w:trPr>
          <w:trHeight w:val="245"/>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S. WIESENTHAL</w:t>
            </w:r>
          </w:p>
        </w:tc>
        <w:tc>
          <w:tcPr>
            <w:tcW w:w="1620" w:type="dxa"/>
            <w:vAlign w:val="bottom"/>
            <w:tcBorders>
              <w:bottom w:val="single" w:sz="8" w:color="auto"/>
            </w:tcBorders>
          </w:tcPr>
          <w:p>
            <w:pPr>
              <w:spacing w:after="0"/>
              <w:rPr>
                <w:sz w:val="21"/>
                <w:szCs w:val="21"/>
                <w:color w:val="auto"/>
              </w:rPr>
            </w:pPr>
          </w:p>
        </w:tc>
        <w:tc>
          <w:tcPr>
            <w:tcW w:w="572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S. Wiesenthal</w:t>
            </w:r>
          </w:p>
        </w:tc>
        <w:tc>
          <w:tcPr>
            <w:tcW w:w="1620" w:type="dxa"/>
            <w:vAlign w:val="bottom"/>
          </w:tcPr>
          <w:p>
            <w:pPr>
              <w:spacing w:after="0"/>
              <w:rPr>
                <w:sz w:val="20"/>
                <w:szCs w:val="20"/>
                <w:color w:val="auto"/>
              </w:rPr>
            </w:pPr>
          </w:p>
        </w:tc>
        <w:tc>
          <w:tcPr>
            <w:tcW w:w="5720" w:type="dxa"/>
            <w:vAlign w:val="bottom"/>
          </w:tcPr>
          <w:p>
            <w:pPr>
              <w:spacing w:after="0"/>
              <w:rPr>
                <w:sz w:val="20"/>
                <w:szCs w:val="20"/>
                <w:color w:val="auto"/>
              </w:rPr>
            </w:pPr>
          </w:p>
        </w:tc>
      </w:tr>
      <w:tr>
        <w:trPr>
          <w:trHeight w:val="642"/>
        </w:trPr>
        <w:tc>
          <w:tcPr>
            <w:tcW w:w="3900" w:type="dxa"/>
            <w:vAlign w:val="bottom"/>
          </w:tcPr>
          <w:p>
            <w:pPr>
              <w:spacing w:after="0"/>
              <w:rPr>
                <w:sz w:val="24"/>
                <w:szCs w:val="24"/>
                <w:color w:val="auto"/>
              </w:rPr>
            </w:pPr>
          </w:p>
        </w:tc>
        <w:tc>
          <w:tcPr>
            <w:tcW w:w="7340" w:type="dxa"/>
            <w:vAlign w:val="bottom"/>
            <w:gridSpan w:val="2"/>
          </w:tcPr>
          <w:p>
            <w:pPr>
              <w:jc w:val="right"/>
              <w:ind w:right="5390"/>
              <w:spacing w:after="0"/>
              <w:rPr>
                <w:sz w:val="20"/>
                <w:szCs w:val="20"/>
                <w:color w:val="auto"/>
              </w:rPr>
            </w:pPr>
            <w:r>
              <w:rPr>
                <w:rFonts w:ascii="Times New Roman" w:cs="Times New Roman" w:eastAsia="Times New Roman" w:hAnsi="Times New Roman"/>
                <w:sz w:val="18"/>
                <w:szCs w:val="18"/>
                <w:color w:val="auto"/>
              </w:rPr>
              <w:t>119</w:t>
            </w:r>
          </w:p>
        </w:tc>
      </w:tr>
      <w:tr>
        <w:trPr>
          <w:trHeight w:val="762"/>
        </w:trPr>
        <w:tc>
          <w:tcPr>
            <w:tcW w:w="39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5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0"/>
          <w:szCs w:val="20"/>
          <w:color w:val="auto"/>
        </w:rPr>
        <w:t>[Type here]</w:t>
      </w:r>
    </w:p>
    <w:p>
      <w:pPr>
        <w:spacing w:after="0" w:line="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22"/>
          <w:szCs w:val="22"/>
          <w:color w:val="auto"/>
        </w:rPr>
        <w:t>EXECUTION VERSION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ASSIGNMENT AND ASSUMPTION OF GOVERNANCE AGREEMENT</w:t>
      </w:r>
    </w:p>
    <w:p>
      <w:pPr>
        <w:spacing w:after="0" w:line="209" w:lineRule="exact"/>
        <w:rPr>
          <w:sz w:val="20"/>
          <w:szCs w:val="20"/>
          <w:color w:val="auto"/>
        </w:rPr>
      </w:pPr>
    </w:p>
    <w:p>
      <w:pPr>
        <w:jc w:val="both"/>
        <w:ind w:left="1240" w:right="1220" w:firstLine="749"/>
        <w:spacing w:after="0" w:line="266" w:lineRule="auto"/>
        <w:rPr>
          <w:sz w:val="20"/>
          <w:szCs w:val="20"/>
          <w:color w:val="auto"/>
        </w:rPr>
      </w:pPr>
      <w:r>
        <w:rPr>
          <w:rFonts w:ascii="Times New Roman" w:cs="Times New Roman" w:eastAsia="Times New Roman" w:hAnsi="Times New Roman"/>
          <w:sz w:val="20"/>
          <w:szCs w:val="20"/>
          <w:color w:val="auto"/>
        </w:rPr>
        <w:t>This Assignment and Assumption of Governance Agreement (this “</w:t>
      </w:r>
      <w:r>
        <w:rPr>
          <w:rFonts w:ascii="Times New Roman" w:cs="Times New Roman" w:eastAsia="Times New Roman" w:hAnsi="Times New Roman"/>
          <w:sz w:val="20"/>
          <w:szCs w:val="20"/>
          <w:u w:val="single" w:color="auto"/>
          <w:color w:val="auto"/>
        </w:rPr>
        <w:t>Assignment</w:t>
      </w:r>
      <w:r>
        <w:rPr>
          <w:rFonts w:ascii="Times New Roman" w:cs="Times New Roman" w:eastAsia="Times New Roman" w:hAnsi="Times New Roman"/>
          <w:sz w:val="20"/>
          <w:szCs w:val="20"/>
          <w:color w:val="auto"/>
        </w:rPr>
        <w:t>”) is made as of August 12, 2014 by and among Liberty TripAdvisor Holdings, Inc., a Delaware corporation (“</w:t>
      </w:r>
      <w:r>
        <w:rPr>
          <w:rFonts w:ascii="Times New Roman" w:cs="Times New Roman" w:eastAsia="Times New Roman" w:hAnsi="Times New Roman"/>
          <w:sz w:val="20"/>
          <w:szCs w:val="20"/>
          <w:u w:val="single" w:color="auto"/>
          <w:color w:val="auto"/>
        </w:rPr>
        <w:t>Assignee</w:t>
      </w:r>
      <w:r>
        <w:rPr>
          <w:rFonts w:ascii="Times New Roman" w:cs="Times New Roman" w:eastAsia="Times New Roman" w:hAnsi="Times New Roman"/>
          <w:sz w:val="20"/>
          <w:szCs w:val="20"/>
          <w:color w:val="auto"/>
        </w:rPr>
        <w:t>”), Liberty Interactive Corporation, a Delaware corporation (“</w:t>
      </w:r>
      <w:r>
        <w:rPr>
          <w:rFonts w:ascii="Times New Roman" w:cs="Times New Roman" w:eastAsia="Times New Roman" w:hAnsi="Times New Roman"/>
          <w:sz w:val="20"/>
          <w:szCs w:val="20"/>
          <w:u w:val="single" w:color="auto"/>
          <w:color w:val="auto"/>
        </w:rPr>
        <w:t>Liberty</w:t>
      </w:r>
      <w:r>
        <w:rPr>
          <w:rFonts w:ascii="Times New Roman" w:cs="Times New Roman" w:eastAsia="Times New Roman" w:hAnsi="Times New Roman"/>
          <w:sz w:val="20"/>
          <w:szCs w:val="20"/>
          <w:color w:val="auto"/>
        </w:rPr>
        <w:t>”), and TripAdvisor, Inc., a Delaware corporation (“</w:t>
      </w:r>
      <w:r>
        <w:rPr>
          <w:rFonts w:ascii="Times New Roman" w:cs="Times New Roman" w:eastAsia="Times New Roman" w:hAnsi="Times New Roman"/>
          <w:sz w:val="20"/>
          <w:szCs w:val="20"/>
          <w:u w:val="single" w:color="auto"/>
          <w:color w:val="auto"/>
        </w:rPr>
        <w:t>TripAdvisor</w:t>
      </w:r>
      <w:r>
        <w:rPr>
          <w:rFonts w:ascii="Times New Roman" w:cs="Times New Roman" w:eastAsia="Times New Roman" w:hAnsi="Times New Roman"/>
          <w:sz w:val="20"/>
          <w:szCs w:val="20"/>
          <w:color w:val="auto"/>
        </w:rPr>
        <w:t>”). Capitalized terms used and not otherwise defined herein have the meanings given such terms in the Governance Agreement (as defined below).</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 I T N E S S E T H :</w:t>
      </w:r>
    </w:p>
    <w:p>
      <w:pPr>
        <w:spacing w:after="0" w:line="317" w:lineRule="exact"/>
        <w:rPr>
          <w:sz w:val="20"/>
          <w:szCs w:val="20"/>
          <w:color w:val="auto"/>
        </w:rPr>
      </w:pPr>
    </w:p>
    <w:p>
      <w:pPr>
        <w:ind w:left="1240" w:right="1640" w:firstLine="749"/>
        <w:spacing w:after="0" w:line="258" w:lineRule="auto"/>
        <w:rPr>
          <w:sz w:val="20"/>
          <w:szCs w:val="20"/>
          <w:color w:val="auto"/>
        </w:rPr>
      </w:pPr>
      <w:r>
        <w:rPr>
          <w:rFonts w:ascii="Times New Roman" w:cs="Times New Roman" w:eastAsia="Times New Roman" w:hAnsi="Times New Roman"/>
          <w:sz w:val="22"/>
          <w:szCs w:val="22"/>
          <w:color w:val="auto"/>
        </w:rPr>
        <w:t>WHEREAS, TripAdvisor and Liberty are parties to that certain Governance Agreement, dated as of December 20, 2011 (the “</w:t>
      </w:r>
      <w:r>
        <w:rPr>
          <w:rFonts w:ascii="Times New Roman" w:cs="Times New Roman" w:eastAsia="Times New Roman" w:hAnsi="Times New Roman"/>
          <w:sz w:val="22"/>
          <w:szCs w:val="22"/>
          <w:u w:val="single" w:color="auto"/>
          <w:color w:val="auto"/>
        </w:rPr>
        <w:t>Governance Agreement</w:t>
      </w:r>
      <w:r>
        <w:rPr>
          <w:rFonts w:ascii="Times New Roman" w:cs="Times New Roman" w:eastAsia="Times New Roman" w:hAnsi="Times New Roman"/>
          <w:sz w:val="22"/>
          <w:szCs w:val="22"/>
          <w:color w:val="auto"/>
        </w:rPr>
        <w:t>”);</w:t>
      </w:r>
    </w:p>
    <w:p>
      <w:pPr>
        <w:spacing w:after="0" w:line="157" w:lineRule="exact"/>
        <w:rPr>
          <w:sz w:val="20"/>
          <w:szCs w:val="20"/>
          <w:color w:val="auto"/>
        </w:rPr>
      </w:pPr>
    </w:p>
    <w:p>
      <w:pPr>
        <w:ind w:left="1240" w:right="1380" w:firstLine="749"/>
        <w:spacing w:after="0" w:line="262" w:lineRule="auto"/>
        <w:rPr>
          <w:sz w:val="20"/>
          <w:szCs w:val="20"/>
          <w:color w:val="auto"/>
        </w:rPr>
      </w:pPr>
      <w:r>
        <w:rPr>
          <w:rFonts w:ascii="Times New Roman" w:cs="Times New Roman" w:eastAsia="Times New Roman" w:hAnsi="Times New Roman"/>
          <w:sz w:val="20"/>
          <w:szCs w:val="20"/>
          <w:color w:val="auto"/>
        </w:rPr>
        <w:t>WHEREAS, Liberty has determined to engage in a transaction, pursuant to which all Company Common Shares Beneficially Owned by Liberty, together with certain other assets, will be contributed to Assignee and then all of the capital stock of Assignee will be distributed by means of a dividend (the “</w:t>
      </w:r>
      <w:r>
        <w:rPr>
          <w:rFonts w:ascii="Times New Roman" w:cs="Times New Roman" w:eastAsia="Times New Roman" w:hAnsi="Times New Roman"/>
          <w:sz w:val="20"/>
          <w:szCs w:val="20"/>
          <w:u w:val="single" w:color="auto"/>
          <w:color w:val="auto"/>
        </w:rPr>
        <w:t>TripCo Spin-Off</w:t>
      </w:r>
      <w:r>
        <w:rPr>
          <w:rFonts w:ascii="Times New Roman" w:cs="Times New Roman" w:eastAsia="Times New Roman" w:hAnsi="Times New Roman"/>
          <w:sz w:val="20"/>
          <w:szCs w:val="20"/>
          <w:color w:val="auto"/>
        </w:rPr>
        <w:t>”) to holders of Liberty’s Series A Liberty Ventures common stock, par value $0.01 per share, and Liberty’s Series B Liberty Ventures common stock, par value $0.01 per share, as described more fully in the Registration Statement on Form S-1, as amended (Registration No. 333-195705), filed by Assignee with the Securities and Exchange Commission;</w:t>
      </w:r>
    </w:p>
    <w:p>
      <w:pPr>
        <w:spacing w:after="0" w:line="157" w:lineRule="exact"/>
        <w:rPr>
          <w:sz w:val="20"/>
          <w:szCs w:val="20"/>
          <w:color w:val="auto"/>
        </w:rPr>
      </w:pPr>
    </w:p>
    <w:p>
      <w:pPr>
        <w:ind w:left="1240" w:right="1500" w:firstLine="749"/>
        <w:spacing w:after="0" w:line="280" w:lineRule="auto"/>
        <w:rPr>
          <w:sz w:val="20"/>
          <w:szCs w:val="20"/>
          <w:color w:val="auto"/>
        </w:rPr>
      </w:pPr>
      <w:r>
        <w:rPr>
          <w:rFonts w:ascii="Times New Roman" w:cs="Times New Roman" w:eastAsia="Times New Roman" w:hAnsi="Times New Roman"/>
          <w:sz w:val="20"/>
          <w:szCs w:val="20"/>
          <w:color w:val="auto"/>
        </w:rPr>
        <w:t>WHEREAS, in accordance with Section 5.01 of the Governance Agreement, the parties desire to effect the assignment by Liberty and assumption by Assignee of Liberty’s rights, benefits and obligations under the Governance Agreement in connection with the TripCo Spin- Off; and</w:t>
      </w:r>
    </w:p>
    <w:p>
      <w:pPr>
        <w:spacing w:after="0" w:line="139" w:lineRule="exact"/>
        <w:rPr>
          <w:sz w:val="20"/>
          <w:szCs w:val="20"/>
          <w:color w:val="auto"/>
        </w:rPr>
      </w:pPr>
    </w:p>
    <w:p>
      <w:pPr>
        <w:ind w:left="1240" w:right="1240" w:firstLine="749"/>
        <w:spacing w:after="0" w:line="239" w:lineRule="auto"/>
        <w:rPr>
          <w:sz w:val="20"/>
          <w:szCs w:val="20"/>
          <w:color w:val="auto"/>
        </w:rPr>
      </w:pPr>
      <w:r>
        <w:rPr>
          <w:rFonts w:ascii="Times New Roman" w:cs="Times New Roman" w:eastAsia="Times New Roman" w:hAnsi="Times New Roman"/>
          <w:sz w:val="22"/>
          <w:szCs w:val="22"/>
          <w:color w:val="auto"/>
        </w:rPr>
        <w:t>WHEREAS, on or prior to the date hereof, pursuant to Section 5.01(b)(ii) of the Governance Agreement, the board of directors of TripAdvisor has approved the Transfer of Company Common Shares to Assignee in the TripCo Spin-Off for purposes of Section 203(a)(1) of the Delaware General Corporation Law.</w:t>
      </w:r>
    </w:p>
    <w:p>
      <w:pPr>
        <w:spacing w:after="0" w:line="179" w:lineRule="exact"/>
        <w:rPr>
          <w:sz w:val="20"/>
          <w:szCs w:val="20"/>
          <w:color w:val="auto"/>
        </w:rPr>
      </w:pPr>
    </w:p>
    <w:p>
      <w:pPr>
        <w:ind w:left="1240" w:right="1600" w:firstLine="749"/>
        <w:spacing w:after="0" w:line="258" w:lineRule="auto"/>
        <w:rPr>
          <w:sz w:val="20"/>
          <w:szCs w:val="20"/>
          <w:color w:val="auto"/>
        </w:rPr>
      </w:pPr>
      <w:r>
        <w:rPr>
          <w:rFonts w:ascii="Times New Roman" w:cs="Times New Roman" w:eastAsia="Times New Roman" w:hAnsi="Times New Roman"/>
          <w:sz w:val="22"/>
          <w:szCs w:val="22"/>
          <w:color w:val="auto"/>
        </w:rPr>
        <w:t>NOW THEREFORE, for good and valuable consideration, the receipt and sufficiency of which are hereby acknowledged, the parties hereto agree as follows:</w:t>
      </w:r>
    </w:p>
    <w:p>
      <w:pPr>
        <w:spacing w:after="0" w:line="153" w:lineRule="exact"/>
        <w:rPr>
          <w:sz w:val="20"/>
          <w:szCs w:val="20"/>
          <w:color w:val="auto"/>
        </w:rPr>
      </w:pPr>
    </w:p>
    <w:p>
      <w:pPr>
        <w:ind w:left="1240" w:right="2260" w:firstLine="745"/>
        <w:spacing w:after="0" w:line="261" w:lineRule="auto"/>
        <w:tabs>
          <w:tab w:leader="none" w:pos="2455"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Representations and Warranties of TripAdvisor</w:t>
      </w:r>
      <w:r>
        <w:rPr>
          <w:rFonts w:ascii="Times New Roman" w:cs="Times New Roman" w:eastAsia="Times New Roman" w:hAnsi="Times New Roman"/>
          <w:sz w:val="22"/>
          <w:szCs w:val="22"/>
          <w:color w:val="auto"/>
        </w:rPr>
        <w:t>. TripAdvisor represents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warrants to Liberty and Assignee that:</w:t>
      </w:r>
    </w:p>
    <w:p>
      <w:pPr>
        <w:spacing w:after="0" w:line="154" w:lineRule="exact"/>
        <w:rPr>
          <w:rFonts w:ascii="Times New Roman" w:cs="Times New Roman" w:eastAsia="Times New Roman" w:hAnsi="Times New Roman"/>
          <w:sz w:val="22"/>
          <w:szCs w:val="22"/>
          <w:color w:val="auto"/>
        </w:rPr>
      </w:pPr>
    </w:p>
    <w:p>
      <w:pPr>
        <w:ind w:left="1240" w:right="1420" w:firstLine="1494"/>
        <w:spacing w:after="0" w:line="239" w:lineRule="auto"/>
        <w:tabs>
          <w:tab w:leader="none" w:pos="3021"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TripAdvisor is a corporation duly organized, validly existing and in good standing under the laws of the State of Delaware and has the corporate power and authority to enter into this Assignment and to carry out its obligations hereunder and under the Governance Agreement;</w:t>
      </w:r>
    </w:p>
    <w:p>
      <w:pPr>
        <w:spacing w:after="0" w:line="178" w:lineRule="exact"/>
        <w:rPr>
          <w:rFonts w:ascii="Times New Roman" w:cs="Times New Roman" w:eastAsia="Times New Roman" w:hAnsi="Times New Roman"/>
          <w:sz w:val="22"/>
          <w:szCs w:val="22"/>
          <w:color w:val="auto"/>
        </w:rPr>
      </w:pPr>
    </w:p>
    <w:p>
      <w:pPr>
        <w:ind w:left="2980" w:hanging="246"/>
        <w:spacing w:after="0"/>
        <w:tabs>
          <w:tab w:leader="none" w:pos="298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of this Assignment by</w:t>
      </w:r>
    </w:p>
    <w:p>
      <w:pPr>
        <w:spacing w:after="0" w:line="1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2"/>
          <w:szCs w:val="22"/>
          <w:color w:val="auto"/>
        </w:rPr>
        <w:t>TripAdvisor has been duly authorized by all necessary corporate action on the part of</w:t>
      </w:r>
    </w:p>
    <w:tbl>
      <w:tblPr>
        <w:tblLayout w:type="fixed"/>
        <w:tblInd w:w="0" w:type="dxa"/>
        <w:tblCellMar>
          <w:top w:w="0" w:type="dxa"/>
          <w:left w:w="0" w:type="dxa"/>
          <w:bottom w:w="0" w:type="dxa"/>
          <w:right w:w="0" w:type="dxa"/>
        </w:tblCellMar>
      </w:tblPr>
      <w:tr>
        <w:trPr>
          <w:trHeight w:val="190"/>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Active 16238788.5</w:t>
            </w:r>
          </w:p>
        </w:tc>
        <w:tc>
          <w:tcPr>
            <w:tcW w:w="9800" w:type="dxa"/>
            <w:vAlign w:val="bottom"/>
          </w:tcPr>
          <w:p>
            <w:pPr>
              <w:ind w:left="320"/>
              <w:spacing w:after="0"/>
              <w:rPr>
                <w:sz w:val="20"/>
                <w:szCs w:val="20"/>
                <w:color w:val="auto"/>
              </w:rPr>
            </w:pPr>
            <w:r>
              <w:rPr>
                <w:rFonts w:ascii="Arial" w:cs="Arial" w:eastAsia="Arial" w:hAnsi="Arial"/>
                <w:sz w:val="14"/>
                <w:szCs w:val="14"/>
                <w:color w:val="auto"/>
              </w:rPr>
              <w:t>W/2306689</w:t>
            </w:r>
          </w:p>
        </w:tc>
      </w:tr>
      <w:tr>
        <w:trPr>
          <w:trHeight w:val="796"/>
        </w:trPr>
        <w:tc>
          <w:tcPr>
            <w:tcW w:w="1440" w:type="dxa"/>
            <w:vAlign w:val="bottom"/>
            <w:tcBorders>
              <w:bottom w:val="single" w:sz="8" w:color="9A9A9A"/>
            </w:tcBorders>
          </w:tcPr>
          <w:p>
            <w:pPr>
              <w:spacing w:after="0"/>
              <w:rPr>
                <w:sz w:val="24"/>
                <w:szCs w:val="24"/>
                <w:color w:val="auto"/>
              </w:rPr>
            </w:pPr>
          </w:p>
        </w:tc>
        <w:tc>
          <w:tcPr>
            <w:tcW w:w="9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2" w:name="page123"/>
    <w:bookmarkEnd w:id="122"/>
    <w:p>
      <w:pPr>
        <w:ind w:left="1240" w:right="1660"/>
        <w:spacing w:after="0" w:line="307" w:lineRule="auto"/>
        <w:rPr>
          <w:sz w:val="20"/>
          <w:szCs w:val="20"/>
          <w:color w:val="auto"/>
        </w:rPr>
      </w:pPr>
      <w:r>
        <w:rPr>
          <w:rFonts w:ascii="Times New Roman" w:cs="Times New Roman" w:eastAsia="Times New Roman" w:hAnsi="Times New Roman"/>
          <w:sz w:val="20"/>
          <w:szCs w:val="20"/>
          <w:color w:val="auto"/>
        </w:rPr>
        <w:t>TripAdvisor and no other corporate proceedings on the part of TripAdvisor are necessary to authorize this Assignment or the matters contemplated hereby or by the Governance Agreement;</w:t>
      </w:r>
    </w:p>
    <w:p>
      <w:pPr>
        <w:spacing w:after="0" w:line="113" w:lineRule="exact"/>
        <w:rPr>
          <w:sz w:val="20"/>
          <w:szCs w:val="20"/>
          <w:color w:val="auto"/>
        </w:rPr>
      </w:pPr>
    </w:p>
    <w:p>
      <w:pPr>
        <w:ind w:left="1240" w:right="1340" w:firstLine="1494"/>
        <w:spacing w:after="0" w:line="239" w:lineRule="auto"/>
        <w:tabs>
          <w:tab w:leader="none" w:pos="3025"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Assignment has been duly executed and delivered by TripAdvisor and constitutes a valid and binding obligation of TripAdvisor, and, assuming this Assignment constitutes a valid and binding obligation of Liberty and Assignee, is enforceable against TripAdvisor in accordance with its terms;</w:t>
      </w:r>
    </w:p>
    <w:p>
      <w:pPr>
        <w:spacing w:after="0" w:line="178" w:lineRule="exact"/>
        <w:rPr>
          <w:rFonts w:ascii="Times New Roman" w:cs="Times New Roman" w:eastAsia="Times New Roman" w:hAnsi="Times New Roman"/>
          <w:sz w:val="22"/>
          <w:szCs w:val="22"/>
          <w:color w:val="auto"/>
        </w:rPr>
      </w:pPr>
    </w:p>
    <w:p>
      <w:pPr>
        <w:ind w:left="1240" w:right="1460" w:firstLine="1494"/>
        <w:spacing w:after="0" w:line="239" w:lineRule="auto"/>
        <w:tabs>
          <w:tab w:leader="none" w:pos="302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and delivery of this Assignment by TripAdvisor, and the performance of its obligations hereunder and under the Governance Agreement, do not constitute a breach or violation of, or conflict with, TripAdvisor’s restated certificate of incorporation or amended and restated by-laws; and</w:t>
      </w:r>
    </w:p>
    <w:p>
      <w:pPr>
        <w:spacing w:after="0" w:line="178" w:lineRule="exact"/>
        <w:rPr>
          <w:rFonts w:ascii="Times New Roman" w:cs="Times New Roman" w:eastAsia="Times New Roman" w:hAnsi="Times New Roman"/>
          <w:sz w:val="22"/>
          <w:szCs w:val="22"/>
          <w:color w:val="auto"/>
        </w:rPr>
      </w:pPr>
    </w:p>
    <w:p>
      <w:pPr>
        <w:ind w:left="3000" w:hanging="266"/>
        <w:spacing w:after="0"/>
        <w:tabs>
          <w:tab w:leader="none" w:pos="300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execution of this Assignment, the board of directors of</w:t>
      </w:r>
    </w:p>
    <w:p>
      <w:pPr>
        <w:spacing w:after="0" w:line="14" w:lineRule="exact"/>
        <w:rPr>
          <w:sz w:val="20"/>
          <w:szCs w:val="20"/>
          <w:color w:val="auto"/>
        </w:rPr>
      </w:pPr>
    </w:p>
    <w:p>
      <w:pPr>
        <w:ind w:left="1240" w:right="2220"/>
        <w:spacing w:after="0" w:line="237" w:lineRule="auto"/>
        <w:rPr>
          <w:sz w:val="20"/>
          <w:szCs w:val="20"/>
          <w:color w:val="auto"/>
        </w:rPr>
      </w:pPr>
      <w:r>
        <w:rPr>
          <w:rFonts w:ascii="Times New Roman" w:cs="Times New Roman" w:eastAsia="Times New Roman" w:hAnsi="Times New Roman"/>
          <w:sz w:val="22"/>
          <w:szCs w:val="22"/>
          <w:color w:val="auto"/>
        </w:rPr>
        <w:t xml:space="preserve">TripAdvisor has duly adopted a resolution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which resolution has not been amended, modified or rescinded.</w:t>
      </w:r>
    </w:p>
    <w:p>
      <w:pPr>
        <w:spacing w:after="0" w:line="174" w:lineRule="exact"/>
        <w:rPr>
          <w:sz w:val="20"/>
          <w:szCs w:val="20"/>
          <w:color w:val="auto"/>
        </w:rPr>
      </w:pPr>
    </w:p>
    <w:p>
      <w:pPr>
        <w:ind w:left="1240" w:right="2060" w:firstLine="745"/>
        <w:spacing w:after="0" w:line="261" w:lineRule="auto"/>
        <w:tabs>
          <w:tab w:leader="none" w:pos="2467"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Representations and Warranties of Liberty</w:t>
      </w:r>
      <w:r>
        <w:rPr>
          <w:rFonts w:ascii="Times New Roman" w:cs="Times New Roman" w:eastAsia="Times New Roman" w:hAnsi="Times New Roman"/>
          <w:sz w:val="22"/>
          <w:szCs w:val="22"/>
          <w:color w:val="auto"/>
        </w:rPr>
        <w:t>. Liberty represents and warrants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TripAdvisor that:</w:t>
      </w:r>
    </w:p>
    <w:p>
      <w:pPr>
        <w:spacing w:after="0" w:line="154" w:lineRule="exact"/>
        <w:rPr>
          <w:rFonts w:ascii="Times New Roman" w:cs="Times New Roman" w:eastAsia="Times New Roman" w:hAnsi="Times New Roman"/>
          <w:sz w:val="22"/>
          <w:szCs w:val="22"/>
          <w:color w:val="auto"/>
        </w:rPr>
      </w:pPr>
    </w:p>
    <w:p>
      <w:pPr>
        <w:ind w:left="1240" w:right="1560" w:firstLine="1494"/>
        <w:spacing w:after="0" w:line="280" w:lineRule="auto"/>
        <w:tabs>
          <w:tab w:leader="none" w:pos="3018" w:val="left"/>
        </w:tabs>
        <w:numPr>
          <w:ilvl w:val="2"/>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Liberty is a corporation duly organized, validly existing and in good standing under the laws of the State of Delaware and has the corporate power and authority to enter into this Assignment and to carry out its obligations hereunder and under the Governance Agreement;</w:t>
      </w:r>
    </w:p>
    <w:p>
      <w:pPr>
        <w:spacing w:after="0" w:line="138" w:lineRule="exact"/>
        <w:rPr>
          <w:rFonts w:ascii="Times New Roman" w:cs="Times New Roman" w:eastAsia="Times New Roman" w:hAnsi="Times New Roman"/>
          <w:sz w:val="20"/>
          <w:szCs w:val="20"/>
          <w:color w:val="auto"/>
        </w:rPr>
      </w:pPr>
    </w:p>
    <w:p>
      <w:pPr>
        <w:ind w:left="1240" w:right="1480" w:firstLine="1310"/>
        <w:spacing w:after="0" w:line="239" w:lineRule="auto"/>
        <w:tabs>
          <w:tab w:leader="none" w:pos="2842"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of this Assignment by Liberty has been duly authorized by all necessary corporate action on the part of Liberty and no other corporate proceedings on the part of Liberty are necessary to authorize this Assignment or the matters contemplated hereby or by the Governance Agreement;</w:t>
      </w:r>
    </w:p>
    <w:p>
      <w:pPr>
        <w:spacing w:after="0" w:line="178" w:lineRule="exact"/>
        <w:rPr>
          <w:rFonts w:ascii="Times New Roman" w:cs="Times New Roman" w:eastAsia="Times New Roman" w:hAnsi="Times New Roman"/>
          <w:sz w:val="22"/>
          <w:szCs w:val="22"/>
          <w:color w:val="auto"/>
        </w:rPr>
      </w:pPr>
    </w:p>
    <w:p>
      <w:pPr>
        <w:ind w:left="1240" w:right="1280" w:firstLine="1310"/>
        <w:spacing w:after="0" w:line="280" w:lineRule="auto"/>
        <w:tabs>
          <w:tab w:leader="none" w:pos="2842"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Assignment has been duly executed and delivered by Liberty and constitutes a valid and binding obligation of Liberty, and, assuming this Assignment constitutes a valid and binding obligation of TripAdvisor, is enforceable against Liberty in accordance with its terms;</w:t>
      </w:r>
    </w:p>
    <w:p>
      <w:pPr>
        <w:spacing w:after="0" w:line="138" w:lineRule="exact"/>
        <w:rPr>
          <w:rFonts w:ascii="Times New Roman" w:cs="Times New Roman" w:eastAsia="Times New Roman" w:hAnsi="Times New Roman"/>
          <w:sz w:val="20"/>
          <w:szCs w:val="20"/>
          <w:color w:val="auto"/>
        </w:rPr>
      </w:pPr>
    </w:p>
    <w:p>
      <w:pPr>
        <w:ind w:left="1240" w:right="1280" w:firstLine="1494"/>
        <w:spacing w:after="0" w:line="239" w:lineRule="auto"/>
        <w:tabs>
          <w:tab w:leader="none" w:pos="3026" w:val="left"/>
        </w:tabs>
        <w:numPr>
          <w:ilvl w:val="2"/>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and delivery of the Assignment by Liberty and the performance of its obligations hereunder and under the Governance Agreement, do not constitute a breach or violation of, or conflict with, Liberty’s restated certificate of incorporation or amended and restated bylaws;</w:t>
      </w:r>
    </w:p>
    <w:p>
      <w:pPr>
        <w:spacing w:after="0" w:line="178" w:lineRule="exact"/>
        <w:rPr>
          <w:rFonts w:ascii="Times New Roman" w:cs="Times New Roman" w:eastAsia="Times New Roman" w:hAnsi="Times New Roman"/>
          <w:sz w:val="22"/>
          <w:szCs w:val="22"/>
          <w:color w:val="auto"/>
        </w:rPr>
      </w:pPr>
    </w:p>
    <w:p>
      <w:pPr>
        <w:ind w:left="1240" w:right="1500" w:firstLine="1494"/>
        <w:spacing w:after="0" w:line="244" w:lineRule="auto"/>
        <w:tabs>
          <w:tab w:leader="none" w:pos="3023" w:val="left"/>
        </w:tabs>
        <w:numPr>
          <w:ilvl w:val="2"/>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Assignment is being entered into in connection with the TripCo Spin- off, which constitutes a Distribution Transaction involving Assignee, a Qualified Distribution Transferee, pursuant to Section 5.01 of the Governance Agreement; and</w:t>
      </w:r>
    </w:p>
    <w:p>
      <w:pPr>
        <w:spacing w:after="0" w:line="172" w:lineRule="exact"/>
        <w:rPr>
          <w:rFonts w:ascii="Times New Roman" w:cs="Times New Roman" w:eastAsia="Times New Roman" w:hAnsi="Times New Roman"/>
          <w:sz w:val="22"/>
          <w:szCs w:val="22"/>
          <w:color w:val="auto"/>
        </w:rPr>
      </w:pPr>
    </w:p>
    <w:p>
      <w:pPr>
        <w:ind w:left="3000" w:hanging="266"/>
        <w:spacing w:after="0"/>
        <w:tabs>
          <w:tab w:leader="none" w:pos="3000" w:val="left"/>
        </w:tabs>
        <w:numPr>
          <w:ilvl w:val="2"/>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TripCo Spin-Off, Liberty has contributed all</w:t>
      </w:r>
    </w:p>
    <w:p>
      <w:pPr>
        <w:spacing w:after="0" w:line="1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2"/>
          <w:szCs w:val="22"/>
          <w:color w:val="auto"/>
        </w:rPr>
        <w:t>Company Common Shares Beneficially Owned by it to TripCo.</w:t>
      </w:r>
    </w:p>
    <w:p>
      <w:pPr>
        <w:spacing w:after="0" w:line="29" w:lineRule="exact"/>
        <w:rPr>
          <w:sz w:val="20"/>
          <w:szCs w:val="20"/>
          <w:color w:val="auto"/>
        </w:rPr>
      </w:pPr>
    </w:p>
    <w:p>
      <w:pPr>
        <w:ind w:left="1240" w:right="1500" w:firstLine="745"/>
        <w:spacing w:after="0" w:line="244" w:lineRule="auto"/>
        <w:tabs>
          <w:tab w:leader="none" w:pos="2473"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Representations and Warranties of Assignee and Liberty</w:t>
      </w:r>
      <w:r>
        <w:rPr>
          <w:rFonts w:ascii="Times New Roman" w:cs="Times New Roman" w:eastAsia="Times New Roman" w:hAnsi="Times New Roman"/>
          <w:sz w:val="22"/>
          <w:szCs w:val="22"/>
          <w:color w:val="auto"/>
        </w:rPr>
        <w:t>. Assignee and Liberty each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represent and warrant to TripAdvisor that: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Active 16238788.5</w:t>
            </w:r>
          </w:p>
        </w:tc>
        <w:tc>
          <w:tcPr>
            <w:tcW w:w="8140" w:type="dxa"/>
            <w:vAlign w:val="bottom"/>
          </w:tcPr>
          <w:p>
            <w:pPr>
              <w:jc w:val="right"/>
              <w:ind w:right="5941"/>
              <w:spacing w:after="0"/>
              <w:rPr>
                <w:sz w:val="20"/>
                <w:szCs w:val="20"/>
                <w:color w:val="auto"/>
              </w:rPr>
            </w:pPr>
            <w:r>
              <w:rPr>
                <w:rFonts w:ascii="Times New Roman" w:cs="Times New Roman" w:eastAsia="Times New Roman" w:hAnsi="Times New Roman"/>
                <w:sz w:val="20"/>
                <w:szCs w:val="20"/>
                <w:color w:val="auto"/>
              </w:rPr>
              <w:t>2</w:t>
            </w:r>
          </w:p>
        </w:tc>
      </w:tr>
      <w:tr>
        <w:trPr>
          <w:trHeight w:val="1044"/>
        </w:trPr>
        <w:tc>
          <w:tcPr>
            <w:tcW w:w="3100" w:type="dxa"/>
            <w:vAlign w:val="bottom"/>
            <w:tcBorders>
              <w:bottom w:val="single" w:sz="8" w:color="9A9A9A"/>
            </w:tcBorders>
          </w:tcPr>
          <w:p>
            <w:pPr>
              <w:spacing w:after="0"/>
              <w:rPr>
                <w:sz w:val="24"/>
                <w:szCs w:val="24"/>
                <w:color w:val="auto"/>
              </w:rPr>
            </w:pPr>
          </w:p>
        </w:tc>
        <w:tc>
          <w:tcPr>
            <w:tcW w:w="8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123" w:name="page124"/>
    <w:bookmarkEnd w:id="123"/>
    <w:p>
      <w:pPr>
        <w:spacing w:after="0" w:line="102" w:lineRule="exact"/>
        <w:rPr>
          <w:sz w:val="20"/>
          <w:szCs w:val="20"/>
          <w:color w:val="auto"/>
        </w:rPr>
      </w:pPr>
    </w:p>
    <w:p>
      <w:pPr>
        <w:ind w:left="1240" w:right="1840" w:firstLine="1494"/>
        <w:spacing w:after="0" w:line="239" w:lineRule="auto"/>
        <w:tabs>
          <w:tab w:leader="none" w:pos="3017" w:val="left"/>
        </w:tabs>
        <w:numPr>
          <w:ilvl w:val="2"/>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Assignee is a corporation duly organized, validly existing and in good standing under the laws of the State of Delaware and has the corporate power and authority to enter into this Assignment and to carry out its obligations hereunder and, following the TripCo Spin-Off, under the Governance Agreement;</w:t>
      </w:r>
    </w:p>
    <w:p>
      <w:pPr>
        <w:spacing w:after="0" w:line="178" w:lineRule="exact"/>
        <w:rPr>
          <w:rFonts w:ascii="Times New Roman" w:cs="Times New Roman" w:eastAsia="Times New Roman" w:hAnsi="Times New Roman"/>
          <w:sz w:val="22"/>
          <w:szCs w:val="22"/>
          <w:color w:val="auto"/>
        </w:rPr>
      </w:pPr>
    </w:p>
    <w:p>
      <w:pPr>
        <w:jc w:val="both"/>
        <w:ind w:left="1240" w:right="1420" w:firstLine="1494"/>
        <w:spacing w:after="0" w:line="239" w:lineRule="auto"/>
        <w:tabs>
          <w:tab w:leader="none" w:pos="3020" w:val="left"/>
        </w:tabs>
        <w:numPr>
          <w:ilvl w:val="2"/>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of this Assignment by Assignee has been duly authorized by all necessary corporate action on the part of Assignee and no other corporate proceedings on the part of Assignee are necessary to authorize this Assignment or the matters contemplated hereby or by the Governance Agreement;</w:t>
      </w:r>
    </w:p>
    <w:p>
      <w:pPr>
        <w:spacing w:after="0" w:line="178" w:lineRule="exact"/>
        <w:rPr>
          <w:rFonts w:ascii="Times New Roman" w:cs="Times New Roman" w:eastAsia="Times New Roman" w:hAnsi="Times New Roman"/>
          <w:sz w:val="22"/>
          <w:szCs w:val="22"/>
          <w:color w:val="auto"/>
        </w:rPr>
      </w:pPr>
    </w:p>
    <w:p>
      <w:pPr>
        <w:ind w:left="1240" w:right="1260" w:firstLine="1310"/>
        <w:spacing w:after="0" w:line="280" w:lineRule="auto"/>
        <w:tabs>
          <w:tab w:leader="none" w:pos="2842"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Assignment has been duly executed and delivered by Assignee and constitutes a valid and binding obligation of Assignee, and, assuming this Assignment constitutes a valid and binding obligation of TripAdvisor, is enforceable against Assignee in accordance with its terms; and</w:t>
      </w:r>
    </w:p>
    <w:p>
      <w:pPr>
        <w:spacing w:after="0" w:line="138" w:lineRule="exact"/>
        <w:rPr>
          <w:rFonts w:ascii="Times New Roman" w:cs="Times New Roman" w:eastAsia="Times New Roman" w:hAnsi="Times New Roman"/>
          <w:sz w:val="20"/>
          <w:szCs w:val="20"/>
          <w:color w:val="auto"/>
        </w:rPr>
      </w:pPr>
    </w:p>
    <w:p>
      <w:pPr>
        <w:ind w:left="1240" w:right="1460" w:firstLine="1494"/>
        <w:spacing w:after="0" w:line="239" w:lineRule="auto"/>
        <w:tabs>
          <w:tab w:leader="none" w:pos="3025" w:val="left"/>
        </w:tabs>
        <w:numPr>
          <w:ilvl w:val="2"/>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and delivery of this Assignment by the Assignee, and, following the TripCo Spin-Off, the performance by the Assignee of its obligations hereunder and under the Governance Agreement, do not constitute a breach or violation of, or conflict with, Assignee’s certificate of incorporation or bylaws.</w:t>
      </w:r>
    </w:p>
    <w:p>
      <w:pPr>
        <w:spacing w:after="0" w:line="174" w:lineRule="exact"/>
        <w:rPr>
          <w:rFonts w:ascii="Times New Roman" w:cs="Times New Roman" w:eastAsia="Times New Roman" w:hAnsi="Times New Roman"/>
          <w:sz w:val="22"/>
          <w:szCs w:val="22"/>
          <w:color w:val="auto"/>
        </w:rPr>
      </w:pPr>
    </w:p>
    <w:p>
      <w:pPr>
        <w:ind w:left="2740" w:hanging="755"/>
        <w:spacing w:after="0"/>
        <w:tabs>
          <w:tab w:leader="none" w:pos="274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Assignment and Assumption, Certain Acknowledgements</w:t>
      </w:r>
      <w:r>
        <w:rPr>
          <w:rFonts w:ascii="Times New Roman" w:cs="Times New Roman" w:eastAsia="Times New Roman" w:hAnsi="Times New Roman"/>
          <w:sz w:val="22"/>
          <w:szCs w:val="22"/>
          <w:color w:val="auto"/>
        </w:rPr>
        <w:t>.</w:t>
      </w:r>
    </w:p>
    <w:p>
      <w:pPr>
        <w:spacing w:after="0" w:line="209" w:lineRule="exact"/>
        <w:rPr>
          <w:rFonts w:ascii="Times New Roman" w:cs="Times New Roman" w:eastAsia="Times New Roman" w:hAnsi="Times New Roman"/>
          <w:sz w:val="22"/>
          <w:szCs w:val="22"/>
          <w:color w:val="auto"/>
        </w:rPr>
      </w:pPr>
    </w:p>
    <w:p>
      <w:pPr>
        <w:ind w:left="1240" w:right="2200" w:firstLine="1494"/>
        <w:spacing w:after="0" w:line="258" w:lineRule="auto"/>
        <w:tabs>
          <w:tab w:leader="none" w:pos="3010" w:val="left"/>
        </w:tabs>
        <w:numPr>
          <w:ilvl w:val="2"/>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immediately prior to the TripCo Spin-Off (but subject to the consummation of the TripCo Spin-Off):</w:t>
      </w:r>
    </w:p>
    <w:p>
      <w:pPr>
        <w:spacing w:after="0" w:line="157" w:lineRule="exact"/>
        <w:rPr>
          <w:rFonts w:ascii="Times New Roman" w:cs="Times New Roman" w:eastAsia="Times New Roman" w:hAnsi="Times New Roman"/>
          <w:sz w:val="22"/>
          <w:szCs w:val="22"/>
          <w:color w:val="auto"/>
        </w:rPr>
      </w:pPr>
    </w:p>
    <w:p>
      <w:pPr>
        <w:ind w:left="4180" w:right="1320" w:hanging="263"/>
        <w:spacing w:after="0" w:line="244" w:lineRule="auto"/>
        <w:tabs>
          <w:tab w:leader="none" w:pos="4180" w:val="left"/>
        </w:tabs>
        <w:numPr>
          <w:ilvl w:val="5"/>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Liberty assigns all of its rights and obligations under the Governance Agreement (including its rights pursuant to Articles II and III and Section 7.08 thereof) to Assignee;</w:t>
      </w:r>
    </w:p>
    <w:p>
      <w:pPr>
        <w:spacing w:after="0" w:line="172" w:lineRule="exact"/>
        <w:rPr>
          <w:rFonts w:ascii="Times New Roman" w:cs="Times New Roman" w:eastAsia="Times New Roman" w:hAnsi="Times New Roman"/>
          <w:sz w:val="22"/>
          <w:szCs w:val="22"/>
          <w:color w:val="auto"/>
        </w:rPr>
      </w:pPr>
    </w:p>
    <w:p>
      <w:pPr>
        <w:ind w:left="4160" w:right="1280" w:hanging="318"/>
        <w:spacing w:after="0" w:line="239" w:lineRule="auto"/>
        <w:tabs>
          <w:tab w:leader="none" w:pos="4160" w:val="left"/>
        </w:tabs>
        <w:numPr>
          <w:ilvl w:val="4"/>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Assignee accepts such assignment of rights hereunder and assumes and agrees to perform all liabilities and obligations of Liberty under the Governance Agreement to be performed following the effectiveness of the TripCo Spin-Off; and</w:t>
      </w:r>
    </w:p>
    <w:p>
      <w:pPr>
        <w:spacing w:after="0" w:line="178" w:lineRule="exact"/>
        <w:rPr>
          <w:rFonts w:ascii="Times New Roman" w:cs="Times New Roman" w:eastAsia="Times New Roman" w:hAnsi="Times New Roman"/>
          <w:sz w:val="22"/>
          <w:szCs w:val="22"/>
          <w:color w:val="auto"/>
        </w:rPr>
      </w:pPr>
    </w:p>
    <w:p>
      <w:pPr>
        <w:ind w:left="4140" w:right="1480" w:hanging="373"/>
        <w:spacing w:after="0" w:line="262" w:lineRule="auto"/>
        <w:tabs>
          <w:tab w:leader="none" w:pos="4140" w:val="left"/>
        </w:tabs>
        <w:numPr>
          <w:ilvl w:val="3"/>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Assignee is substituted for Liberty as “Liberty” for all purposes under the Governance Agreement and upon the TripCo Spin-Off, all references in the Governance Agreement to “Liberty” will be deemed to refer to Assignee, and references to the “Liberty Stockholder Group” will be deemed to refer to the stockholder group composed of Assignee and those Subsidiaries of Assignee, that, from time to time, hold Equity Securities of TripAdvisor.</w:t>
      </w:r>
    </w:p>
    <w:p>
      <w:pPr>
        <w:spacing w:after="0" w:line="157" w:lineRule="exact"/>
        <w:rPr>
          <w:rFonts w:ascii="Times New Roman" w:cs="Times New Roman" w:eastAsia="Times New Roman" w:hAnsi="Times New Roman"/>
          <w:sz w:val="20"/>
          <w:szCs w:val="20"/>
          <w:color w:val="auto"/>
        </w:rPr>
      </w:pPr>
    </w:p>
    <w:p>
      <w:pPr>
        <w:jc w:val="both"/>
        <w:ind w:left="1240" w:right="1500" w:firstLine="1494"/>
        <w:spacing w:after="0" w:line="265" w:lineRule="auto"/>
        <w:tabs>
          <w:tab w:leader="none" w:pos="3025" w:val="left"/>
        </w:tabs>
        <w:numPr>
          <w:ilvl w:val="2"/>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Liberty acknowledges that (i) it shall not be entitled to any benefits under the Governance Agreement following the TripCo Spin-Off (including, for the avoidance of doubt, any</w:t>
      </w:r>
    </w:p>
    <w:p>
      <w:pPr>
        <w:ind w:left="1240"/>
        <w:spacing w:after="0" w:line="234" w:lineRule="auto"/>
        <w:rPr>
          <w:sz w:val="20"/>
          <w:szCs w:val="20"/>
          <w:color w:val="auto"/>
        </w:rPr>
      </w:pPr>
      <w:r>
        <w:rPr>
          <w:rFonts w:ascii="Times New Roman" w:cs="Times New Roman" w:eastAsia="Times New Roman" w:hAnsi="Times New Roman"/>
          <w:sz w:val="22"/>
          <w:szCs w:val="22"/>
          <w:color w:val="auto"/>
        </w:rPr>
        <w:t>benefits available to Liberty prior to the TripCo Spin-Off arising from the approval of</w:t>
      </w:r>
    </w:p>
    <w:tbl>
      <w:tblPr>
        <w:tblLayout w:type="fixed"/>
        <w:tblInd w:w="0" w:type="dxa"/>
        <w:tblCellMar>
          <w:top w:w="0" w:type="dxa"/>
          <w:left w:w="0" w:type="dxa"/>
          <w:bottom w:w="0" w:type="dxa"/>
          <w:right w:w="0" w:type="dxa"/>
        </w:tblCellMar>
      </w:tblPr>
      <w:tr>
        <w:trPr>
          <w:trHeight w:val="258"/>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Active 16238788.5</w:t>
            </w:r>
          </w:p>
        </w:tc>
        <w:tc>
          <w:tcPr>
            <w:tcW w:w="8140" w:type="dxa"/>
            <w:vAlign w:val="bottom"/>
          </w:tcPr>
          <w:p>
            <w:pPr>
              <w:jc w:val="right"/>
              <w:ind w:right="5941"/>
              <w:spacing w:after="0"/>
              <w:rPr>
                <w:sz w:val="20"/>
                <w:szCs w:val="20"/>
                <w:color w:val="auto"/>
              </w:rPr>
            </w:pPr>
            <w:r>
              <w:rPr>
                <w:rFonts w:ascii="Times New Roman" w:cs="Times New Roman" w:eastAsia="Times New Roman" w:hAnsi="Times New Roman"/>
                <w:sz w:val="20"/>
                <w:szCs w:val="20"/>
                <w:color w:val="auto"/>
              </w:rPr>
              <w:t>3</w:t>
            </w:r>
          </w:p>
        </w:tc>
      </w:tr>
      <w:tr>
        <w:trPr>
          <w:trHeight w:val="1044"/>
        </w:trPr>
        <w:tc>
          <w:tcPr>
            <w:tcW w:w="3100" w:type="dxa"/>
            <w:vAlign w:val="bottom"/>
            <w:tcBorders>
              <w:bottom w:val="single" w:sz="8" w:color="9A9A9A"/>
            </w:tcBorders>
          </w:tcPr>
          <w:p>
            <w:pPr>
              <w:spacing w:after="0"/>
              <w:rPr>
                <w:sz w:val="24"/>
                <w:szCs w:val="24"/>
                <w:color w:val="auto"/>
              </w:rPr>
            </w:pPr>
          </w:p>
        </w:tc>
        <w:tc>
          <w:tcPr>
            <w:tcW w:w="8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ind w:left="1240" w:right="1420"/>
        <w:spacing w:after="0" w:line="236" w:lineRule="auto"/>
        <w:rPr>
          <w:sz w:val="20"/>
          <w:szCs w:val="20"/>
          <w:color w:val="auto"/>
        </w:rPr>
      </w:pPr>
      <w:r>
        <w:rPr>
          <w:rFonts w:ascii="Times New Roman" w:cs="Times New Roman" w:eastAsia="Times New Roman" w:hAnsi="Times New Roman"/>
          <w:sz w:val="22"/>
          <w:szCs w:val="22"/>
          <w:color w:val="auto"/>
        </w:rPr>
        <w:t>the Board of Directors of the receipt of common stock of TripAdvisor as a result of TripAdvisor’s spin-off from Expedia, Inc. for purposes of Section 203(a)(1) of the Delaware General Corporation Law (“</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 and (ii) TripAdvisor shall not be subject to any liability to Liberty under the Governance Agreement following the TripCo Spin-Off (except for any liability arising from any breach of the Governance Agreement by TripAdvisor or relating to any actions or events occurring, in each case, on or prior to the date of the TripCo Spin-Off).</w:t>
      </w:r>
    </w:p>
    <w:p>
      <w:pPr>
        <w:spacing w:after="0" w:line="179" w:lineRule="exact"/>
        <w:rPr>
          <w:sz w:val="20"/>
          <w:szCs w:val="20"/>
          <w:color w:val="auto"/>
        </w:rPr>
      </w:pPr>
    </w:p>
    <w:p>
      <w:pPr>
        <w:ind w:left="1240" w:right="1400" w:firstLine="1494"/>
        <w:spacing w:after="0" w:line="239" w:lineRule="auto"/>
        <w:tabs>
          <w:tab w:leader="none" w:pos="3025"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TripAdvisor acknowledges that Liberty shall not be subject to any liability to it under the Governance Agreement following the TripCo Spin-Off (except for any liability arising from any breach of the Governance Agreement by Liberty or relating to any actions or events occurring, in each case, on or prior to the date of the TripCo Spin-Off).</w:t>
      </w:r>
    </w:p>
    <w:p>
      <w:pPr>
        <w:spacing w:after="0" w:line="178" w:lineRule="exact"/>
        <w:rPr>
          <w:rFonts w:ascii="Times New Roman" w:cs="Times New Roman" w:eastAsia="Times New Roman" w:hAnsi="Times New Roman"/>
          <w:sz w:val="22"/>
          <w:szCs w:val="22"/>
          <w:color w:val="auto"/>
        </w:rPr>
      </w:pPr>
    </w:p>
    <w:p>
      <w:pPr>
        <w:ind w:left="1240" w:right="1760" w:firstLine="1494"/>
        <w:spacing w:after="0" w:line="244" w:lineRule="auto"/>
        <w:tabs>
          <w:tab w:leader="none" w:pos="302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TripAdvisor and Liberty acknowledge that the Chairman Termination Date occurred on December 11, 2012, and, as a result, Mr. Diller’s rights under the Governance Agreement were terminated as of December 11, 2012.</w:t>
      </w:r>
    </w:p>
    <w:p>
      <w:pPr>
        <w:spacing w:after="0" w:line="172" w:lineRule="exact"/>
        <w:rPr>
          <w:rFonts w:ascii="Times New Roman" w:cs="Times New Roman" w:eastAsia="Times New Roman" w:hAnsi="Times New Roman"/>
          <w:sz w:val="22"/>
          <w:szCs w:val="22"/>
          <w:color w:val="auto"/>
        </w:rPr>
      </w:pPr>
    </w:p>
    <w:p>
      <w:pPr>
        <w:ind w:left="3020" w:hanging="286"/>
        <w:spacing w:after="0"/>
        <w:tabs>
          <w:tab w:leader="none" w:pos="302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Assignee acknowledges and confirms that, as of the time of the TripCo</w:t>
      </w:r>
    </w:p>
    <w:p>
      <w:pPr>
        <w:spacing w:after="0" w:line="14" w:lineRule="exact"/>
        <w:rPr>
          <w:sz w:val="20"/>
          <w:szCs w:val="20"/>
          <w:color w:val="auto"/>
        </w:rPr>
      </w:pPr>
    </w:p>
    <w:p>
      <w:pPr>
        <w:ind w:left="1240" w:right="1940"/>
        <w:spacing w:after="0" w:line="235" w:lineRule="auto"/>
        <w:rPr>
          <w:sz w:val="20"/>
          <w:szCs w:val="20"/>
          <w:color w:val="auto"/>
        </w:rPr>
      </w:pPr>
      <w:r>
        <w:rPr>
          <w:rFonts w:ascii="Times New Roman" w:cs="Times New Roman" w:eastAsia="Times New Roman" w:hAnsi="Times New Roman"/>
          <w:sz w:val="22"/>
          <w:szCs w:val="22"/>
          <w:color w:val="auto"/>
        </w:rPr>
        <w:t>Spin-Off, Gregory B. Maffei and Christopher W. Shean shall be the members on the Board of Directors whom Assignee has designated as its nominees pursuant to Section 2.01(a) of the Governance Agreement.</w:t>
      </w:r>
    </w:p>
    <w:p>
      <w:pPr>
        <w:spacing w:after="0" w:line="177" w:lineRule="exact"/>
        <w:rPr>
          <w:sz w:val="20"/>
          <w:szCs w:val="20"/>
          <w:color w:val="auto"/>
        </w:rPr>
      </w:pPr>
    </w:p>
    <w:p>
      <w:pPr>
        <w:ind w:left="1240" w:right="1300" w:firstLine="1494"/>
        <w:spacing w:after="0" w:line="244" w:lineRule="auto"/>
        <w:tabs>
          <w:tab w:leader="none" w:pos="302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Section 7.01 of the Governance Agreement, effective upon the completion of the TripCo Spin-Off, the address for all notices, requests and other communications to Assignee pursuant to the Governance Agreement will be:</w:t>
      </w:r>
    </w:p>
    <w:p>
      <w:pPr>
        <w:spacing w:after="0" w:line="17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Liberty TripAdvisor Holdings, Inc.</w:t>
      </w:r>
    </w:p>
    <w:p>
      <w:pPr>
        <w:spacing w:after="0" w:line="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12300 Liberty Boulevard</w:t>
      </w:r>
    </w:p>
    <w:p>
      <w:pPr>
        <w:ind w:left="1980"/>
        <w:spacing w:after="0" w:line="230" w:lineRule="auto"/>
        <w:rPr>
          <w:sz w:val="20"/>
          <w:szCs w:val="20"/>
          <w:color w:val="auto"/>
        </w:rPr>
      </w:pPr>
      <w:r>
        <w:rPr>
          <w:rFonts w:ascii="Times New Roman" w:cs="Times New Roman" w:eastAsia="Times New Roman" w:hAnsi="Times New Roman"/>
          <w:sz w:val="22"/>
          <w:szCs w:val="22"/>
          <w:color w:val="auto"/>
        </w:rPr>
        <w:t>Englewood, CO 80112</w:t>
      </w:r>
    </w:p>
    <w:p>
      <w:pPr>
        <w:ind w:left="1980"/>
        <w:spacing w:after="0" w:line="230" w:lineRule="auto"/>
        <w:rPr>
          <w:sz w:val="20"/>
          <w:szCs w:val="20"/>
          <w:color w:val="auto"/>
        </w:rPr>
      </w:pPr>
      <w:r>
        <w:rPr>
          <w:rFonts w:ascii="Times New Roman" w:cs="Times New Roman" w:eastAsia="Times New Roman" w:hAnsi="Times New Roman"/>
          <w:sz w:val="22"/>
          <w:szCs w:val="22"/>
          <w:color w:val="auto"/>
        </w:rPr>
        <w:t>Attention: Richard N. Baer, Senior Vice President and General Counsel Facsimile:</w:t>
      </w:r>
    </w:p>
    <w:p>
      <w:pPr>
        <w:spacing w:after="0" w:line="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720-875-5300</w:t>
      </w:r>
    </w:p>
    <w:p>
      <w:pPr>
        <w:spacing w:after="0" w:line="218" w:lineRule="exact"/>
        <w:rPr>
          <w:sz w:val="20"/>
          <w:szCs w:val="20"/>
          <w:color w:val="auto"/>
        </w:rPr>
      </w:pPr>
    </w:p>
    <w:p>
      <w:pPr>
        <w:ind w:left="2740" w:hanging="755"/>
        <w:spacing w:after="0"/>
        <w:tabs>
          <w:tab w:leader="none" w:pos="274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Miscellaneous</w:t>
      </w:r>
      <w:r>
        <w:rPr>
          <w:rFonts w:ascii="Times New Roman" w:cs="Times New Roman" w:eastAsia="Times New Roman" w:hAnsi="Times New Roman"/>
          <w:sz w:val="22"/>
          <w:szCs w:val="22"/>
          <w:color w:val="auto"/>
        </w:rPr>
        <w:t>.</w:t>
      </w:r>
    </w:p>
    <w:p>
      <w:pPr>
        <w:spacing w:after="0" w:line="209" w:lineRule="exact"/>
        <w:rPr>
          <w:rFonts w:ascii="Times New Roman" w:cs="Times New Roman" w:eastAsia="Times New Roman" w:hAnsi="Times New Roman"/>
          <w:sz w:val="22"/>
          <w:szCs w:val="22"/>
          <w:color w:val="auto"/>
        </w:rPr>
      </w:pPr>
    </w:p>
    <w:p>
      <w:pPr>
        <w:ind w:left="1240" w:right="1340" w:firstLine="1314"/>
        <w:spacing w:after="0" w:line="26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 From and after the execution and delivery of this Assignment, the Governance Agreement shall be deemed to be assigned and assumed as herein provided (it being understood that no assignment, assumption or substitution hereunder shall be effective until immediately prior to the TripCo Spin-Off (and subject to the consummation of the TripCo Spin- Off)), and the Governance Agreement shall continue in full force and effect and is hereby ratified and confirmed.</w:t>
      </w:r>
    </w:p>
    <w:p>
      <w:pPr>
        <w:spacing w:after="0" w:line="155" w:lineRule="exact"/>
        <w:rPr>
          <w:sz w:val="20"/>
          <w:szCs w:val="20"/>
          <w:color w:val="auto"/>
        </w:rPr>
      </w:pPr>
    </w:p>
    <w:p>
      <w:pPr>
        <w:ind w:left="1240" w:right="1480" w:firstLine="1494"/>
        <w:spacing w:after="0" w:line="264" w:lineRule="auto"/>
        <w:tabs>
          <w:tab w:leader="none" w:pos="3019"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Assignment may be amended, modified and supplemented, and any of the provisions contained herein may be waived, only by a written instrument signed by the parties hereto or their successors and permitted assigns;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following the TripCo Spin-Off, Liberty’s execution of such amendment, modification or supplement will not be required for the effectiveness thereof, except to the extent such amendment, modification or supplement would have, or would reasonably be expected to have, an adverse effect upon Liberty.</w:t>
      </w:r>
    </w:p>
    <w:p>
      <w:pPr>
        <w:spacing w:after="0" w:line="5" w:lineRule="exact"/>
        <w:rPr>
          <w:rFonts w:ascii="Times New Roman" w:cs="Times New Roman" w:eastAsia="Times New Roman" w:hAnsi="Times New Roman"/>
          <w:sz w:val="20"/>
          <w:szCs w:val="20"/>
          <w:color w:val="auto"/>
        </w:rPr>
      </w:pPr>
    </w:p>
    <w:p>
      <w:pPr>
        <w:ind w:left="3020" w:hanging="286"/>
        <w:spacing w:after="0"/>
        <w:tabs>
          <w:tab w:leader="none" w:pos="30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this Assignment nor any of the rights, interests or obligations under this</w:t>
      </w:r>
    </w:p>
    <w:p>
      <w:pPr>
        <w:spacing w:after="0" w:line="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2"/>
          <w:szCs w:val="22"/>
          <w:color w:val="auto"/>
        </w:rPr>
        <w:t>Assignment will be assigned, in whole or in part, by any party hereto without the prior</w:t>
      </w:r>
    </w:p>
    <w:tbl>
      <w:tblPr>
        <w:tblLayout w:type="fixed"/>
        <w:tblInd w:w="0" w:type="dxa"/>
        <w:tblCellMar>
          <w:top w:w="0" w:type="dxa"/>
          <w:left w:w="0" w:type="dxa"/>
          <w:bottom w:w="0" w:type="dxa"/>
          <w:right w:w="0" w:type="dxa"/>
        </w:tblCellMar>
      </w:tblPr>
      <w:tr>
        <w:trPr>
          <w:trHeight w:val="258"/>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Active 16238788.5</w:t>
            </w:r>
          </w:p>
        </w:tc>
        <w:tc>
          <w:tcPr>
            <w:tcW w:w="8140" w:type="dxa"/>
            <w:vAlign w:val="bottom"/>
          </w:tcPr>
          <w:p>
            <w:pPr>
              <w:jc w:val="right"/>
              <w:ind w:right="5941"/>
              <w:spacing w:after="0"/>
              <w:rPr>
                <w:sz w:val="20"/>
                <w:szCs w:val="20"/>
                <w:color w:val="auto"/>
              </w:rPr>
            </w:pPr>
            <w:r>
              <w:rPr>
                <w:rFonts w:ascii="Times New Roman" w:cs="Times New Roman" w:eastAsia="Times New Roman" w:hAnsi="Times New Roman"/>
                <w:sz w:val="20"/>
                <w:szCs w:val="20"/>
                <w:color w:val="auto"/>
              </w:rPr>
              <w:t>4</w:t>
            </w:r>
          </w:p>
        </w:tc>
      </w:tr>
      <w:tr>
        <w:trPr>
          <w:trHeight w:val="1044"/>
        </w:trPr>
        <w:tc>
          <w:tcPr>
            <w:tcW w:w="3100" w:type="dxa"/>
            <w:vAlign w:val="bottom"/>
            <w:tcBorders>
              <w:bottom w:val="single" w:sz="8" w:color="9A9A9A"/>
            </w:tcBorders>
          </w:tcPr>
          <w:p>
            <w:pPr>
              <w:spacing w:after="0"/>
              <w:rPr>
                <w:sz w:val="24"/>
                <w:szCs w:val="24"/>
                <w:color w:val="auto"/>
              </w:rPr>
            </w:pPr>
          </w:p>
        </w:tc>
        <w:tc>
          <w:tcPr>
            <w:tcW w:w="8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125" w:name="page126"/>
    <w:bookmarkEnd w:id="125"/>
    <w:p>
      <w:pPr>
        <w:ind w:left="1240" w:right="1280"/>
        <w:spacing w:after="0" w:line="234" w:lineRule="auto"/>
        <w:rPr>
          <w:sz w:val="20"/>
          <w:szCs w:val="20"/>
          <w:color w:val="auto"/>
        </w:rPr>
      </w:pPr>
      <w:r>
        <w:rPr>
          <w:rFonts w:ascii="Times New Roman" w:cs="Times New Roman" w:eastAsia="Times New Roman" w:hAnsi="Times New Roman"/>
          <w:sz w:val="22"/>
          <w:szCs w:val="22"/>
          <w:color w:val="auto"/>
        </w:rPr>
        <w:t xml:space="preserve">written consent of the other parties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following the TripCo Spin- Off, Liberty’s consent will not be required for such assignment, except to the extent such assignment would have, or would reasonably be expected to have, an adverse effect upon Liberty. Any purported assignment without such prior written consent will be void. Subject to the preceding sentences, this Assignment will be binding upon, inure to the benefit of, and be enforceable by, the parties and their respective successors and assigns. This Assignment shall not confer any rights or remedies upon any Person other than the parties to this Assignment and their respective successors and permitted assigns.</w:t>
      </w:r>
    </w:p>
    <w:p>
      <w:pPr>
        <w:spacing w:after="0" w:line="184" w:lineRule="exact"/>
        <w:rPr>
          <w:sz w:val="20"/>
          <w:szCs w:val="20"/>
          <w:color w:val="auto"/>
        </w:rPr>
      </w:pPr>
    </w:p>
    <w:p>
      <w:pPr>
        <w:ind w:left="1240" w:right="1480" w:firstLine="1494"/>
        <w:spacing w:after="0" w:line="239" w:lineRule="auto"/>
        <w:tabs>
          <w:tab w:leader="none" w:pos="302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Assignment sets forth the entire agreement and understanding between the parties as to the subject matter hereof and merges and supersedes all prior representations, agreements and understandings, written or oral, of any and every nature among them, other than as set forth in the Governance Agreement.</w:t>
      </w:r>
    </w:p>
    <w:p>
      <w:pPr>
        <w:spacing w:after="0" w:line="178" w:lineRule="exact"/>
        <w:rPr>
          <w:rFonts w:ascii="Times New Roman" w:cs="Times New Roman" w:eastAsia="Times New Roman" w:hAnsi="Times New Roman"/>
          <w:sz w:val="22"/>
          <w:szCs w:val="22"/>
          <w:color w:val="auto"/>
        </w:rPr>
      </w:pPr>
    </w:p>
    <w:p>
      <w:pPr>
        <w:ind w:left="1240" w:right="1560" w:firstLine="1494"/>
        <w:spacing w:after="0" w:line="239" w:lineRule="auto"/>
        <w:tabs>
          <w:tab w:leader="none" w:pos="301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Assignment shall be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w:t>
      </w:r>
    </w:p>
    <w:p>
      <w:pPr>
        <w:spacing w:after="0" w:line="178" w:lineRule="exact"/>
        <w:rPr>
          <w:rFonts w:ascii="Times New Roman" w:cs="Times New Roman" w:eastAsia="Times New Roman" w:hAnsi="Times New Roman"/>
          <w:sz w:val="22"/>
          <w:szCs w:val="22"/>
          <w:color w:val="auto"/>
        </w:rPr>
      </w:pPr>
    </w:p>
    <w:p>
      <w:pPr>
        <w:ind w:left="1240" w:right="1740" w:firstLine="1494"/>
        <w:spacing w:after="0" w:line="244" w:lineRule="auto"/>
        <w:tabs>
          <w:tab w:leader="none" w:pos="3021"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headings in this Assignment are for convenience of reference only and shall not constitute a part of this Assignment, nor shall they affect its meaning, construction or effect.</w:t>
      </w:r>
    </w:p>
    <w:p>
      <w:pPr>
        <w:spacing w:after="0" w:line="172" w:lineRule="exact"/>
        <w:rPr>
          <w:rFonts w:ascii="Times New Roman" w:cs="Times New Roman" w:eastAsia="Times New Roman" w:hAnsi="Times New Roman"/>
          <w:sz w:val="22"/>
          <w:szCs w:val="22"/>
          <w:color w:val="auto"/>
        </w:rPr>
      </w:pPr>
    </w:p>
    <w:p>
      <w:pPr>
        <w:ind w:left="1240" w:right="1520" w:firstLine="1494"/>
        <w:spacing w:after="0" w:line="265" w:lineRule="auto"/>
        <w:tabs>
          <w:tab w:leader="none" w:pos="3023"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Assignment may be executed via facsimile or pdf and in any number of counterparts, each of which shall be deemed to be an original instrument and all of which together</w:t>
      </w:r>
    </w:p>
    <w:p>
      <w:pPr>
        <w:ind w:left="1240"/>
        <w:spacing w:after="0" w:line="234" w:lineRule="auto"/>
        <w:rPr>
          <w:sz w:val="20"/>
          <w:szCs w:val="20"/>
          <w:color w:val="auto"/>
        </w:rPr>
      </w:pPr>
      <w:r>
        <w:rPr>
          <w:rFonts w:ascii="Times New Roman" w:cs="Times New Roman" w:eastAsia="Times New Roman" w:hAnsi="Times New Roman"/>
          <w:sz w:val="22"/>
          <w:szCs w:val="22"/>
          <w:color w:val="auto"/>
        </w:rPr>
        <w:t>shall constitute one and the same instrument.</w:t>
      </w:r>
    </w:p>
    <w:tbl>
      <w:tblPr>
        <w:tblLayout w:type="fixed"/>
        <w:tblInd w:w="0" w:type="dxa"/>
        <w:tblCellMar>
          <w:top w:w="0" w:type="dxa"/>
          <w:left w:w="0" w:type="dxa"/>
          <w:bottom w:w="0" w:type="dxa"/>
          <w:right w:w="0" w:type="dxa"/>
        </w:tblCellMar>
      </w:tblPr>
      <w:tr>
        <w:trPr>
          <w:trHeight w:val="258"/>
        </w:trPr>
        <w:tc>
          <w:tcPr>
            <w:tcW w:w="3100" w:type="dxa"/>
            <w:vAlign w:val="bottom"/>
          </w:tcPr>
          <w:p>
            <w:pPr>
              <w:spacing w:after="0"/>
              <w:rPr>
                <w:sz w:val="20"/>
                <w:szCs w:val="20"/>
                <w:color w:val="auto"/>
              </w:rPr>
            </w:pPr>
            <w:r>
              <w:rPr>
                <w:rFonts w:ascii="Times New Roman" w:cs="Times New Roman" w:eastAsia="Times New Roman" w:hAnsi="Times New Roman"/>
                <w:sz w:val="14"/>
                <w:szCs w:val="14"/>
                <w:color w:val="auto"/>
              </w:rPr>
              <w:t>Active 16238788.5</w:t>
            </w:r>
          </w:p>
        </w:tc>
        <w:tc>
          <w:tcPr>
            <w:tcW w:w="8140" w:type="dxa"/>
            <w:vAlign w:val="bottom"/>
          </w:tcPr>
          <w:p>
            <w:pPr>
              <w:jc w:val="right"/>
              <w:ind w:right="5941"/>
              <w:spacing w:after="0"/>
              <w:rPr>
                <w:sz w:val="20"/>
                <w:szCs w:val="20"/>
                <w:color w:val="auto"/>
              </w:rPr>
            </w:pPr>
            <w:r>
              <w:rPr>
                <w:rFonts w:ascii="Times New Roman" w:cs="Times New Roman" w:eastAsia="Times New Roman" w:hAnsi="Times New Roman"/>
                <w:sz w:val="20"/>
                <w:szCs w:val="20"/>
                <w:color w:val="auto"/>
              </w:rPr>
              <w:t>5</w:t>
            </w:r>
          </w:p>
        </w:tc>
      </w:tr>
      <w:tr>
        <w:trPr>
          <w:trHeight w:val="1044"/>
        </w:trPr>
        <w:tc>
          <w:tcPr>
            <w:tcW w:w="3100" w:type="dxa"/>
            <w:vAlign w:val="bottom"/>
            <w:tcBorders>
              <w:bottom w:val="single" w:sz="8" w:color="9A9A9A"/>
            </w:tcBorders>
          </w:tcPr>
          <w:p>
            <w:pPr>
              <w:spacing w:after="0"/>
              <w:rPr>
                <w:sz w:val="24"/>
                <w:szCs w:val="24"/>
                <w:color w:val="auto"/>
              </w:rPr>
            </w:pPr>
          </w:p>
        </w:tc>
        <w:tc>
          <w:tcPr>
            <w:tcW w:w="8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126" w:name="page127"/>
    <w:bookmarkEnd w:id="126"/>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 16238788.5</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jc w:val="center"/>
        <w:ind w:right="3419"/>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663575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800" w:space="720"/>
            <w:col w:w="5619"/>
          </w:cols>
          <w:pgMar w:left="320" w:top="1440" w:right="1440" w:bottom="1440" w:gutter="0" w:footer="0" w:header="0"/>
        </w:sectPr>
      </w:pPr>
    </w:p>
    <w:bookmarkStart w:id="127" w:name="page128"/>
    <w:bookmarkEnd w:id="127"/>
    <w:p>
      <w:pPr>
        <w:spacing w:after="0" w:line="85" w:lineRule="exact"/>
        <w:rPr>
          <w:sz w:val="20"/>
          <w:szCs w:val="20"/>
          <w:color w:val="auto"/>
        </w:rPr>
      </w:pPr>
    </w:p>
    <w:p>
      <w:pPr>
        <w:ind w:left="140" w:right="279" w:firstLine="752"/>
        <w:spacing w:after="0" w:line="293" w:lineRule="auto"/>
        <w:rPr>
          <w:sz w:val="20"/>
          <w:szCs w:val="20"/>
          <w:color w:val="auto"/>
        </w:rPr>
      </w:pPr>
      <w:r>
        <w:rPr>
          <w:rFonts w:ascii="Times New Roman" w:cs="Times New Roman" w:eastAsia="Times New Roman" w:hAnsi="Times New Roman"/>
          <w:sz w:val="20"/>
          <w:szCs w:val="20"/>
          <w:color w:val="1D2823"/>
        </w:rPr>
        <w:t>IN WITNESS WHEREOF, the parties hereto have caused this Assignment to be duly executed by their respective authorized officers and made effective as of the day and year first above written.</w:t>
      </w:r>
    </w:p>
    <w:p>
      <w:pPr>
        <w:spacing w:after="0" w:line="37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1D2823"/>
        </w:rPr>
        <w:t>LIBERTY TRIVISOR HOLDINGS, INC.</w:t>
      </w:r>
    </w:p>
    <w:p>
      <w:pPr>
        <w:spacing w:after="0" w:line="4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1D2823"/>
        </w:rPr>
        <w:t>By: /s/ Richard N. Baer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3158490</wp:posOffset>
            </wp:positionH>
            <wp:positionV relativeFrom="paragraph">
              <wp:posOffset>-23495</wp:posOffset>
            </wp:positionV>
            <wp:extent cx="113665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2">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1D2823"/>
        </w:rPr>
        <w:t>Names: Richard N. Baer</w:t>
      </w:r>
    </w:p>
    <w:p>
      <w:pPr>
        <w:spacing w:after="0" w:line="1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1D2823"/>
        </w:rPr>
        <w:t>Title: Senior Vice President</w:t>
      </w:r>
    </w:p>
    <w:p>
      <w:pPr>
        <w:spacing w:after="0" w:line="200" w:lineRule="exact"/>
        <w:rPr>
          <w:sz w:val="20"/>
          <w:szCs w:val="20"/>
          <w:color w:val="auto"/>
        </w:rPr>
      </w:pPr>
    </w:p>
    <w:p>
      <w:pPr>
        <w:spacing w:after="0" w:line="30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LIBERTY INTERACTIVE CORPORATION</w:t>
      </w:r>
    </w:p>
    <w:p>
      <w:pPr>
        <w:spacing w:after="0" w:line="4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1D2823"/>
        </w:rPr>
        <w:t>By: /s/ Richard N. Baer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3158490</wp:posOffset>
            </wp:positionH>
            <wp:positionV relativeFrom="paragraph">
              <wp:posOffset>-23495</wp:posOffset>
            </wp:positionV>
            <wp:extent cx="113665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3">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1D2823"/>
        </w:rPr>
        <w:t>Names: Richard N. Baer</w:t>
      </w:r>
    </w:p>
    <w:p>
      <w:pPr>
        <w:spacing w:after="0" w:line="1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1D2823"/>
        </w:rPr>
        <w:t>Title: Senior Vice President</w:t>
      </w:r>
    </w:p>
    <w:p>
      <w:pPr>
        <w:spacing w:after="0" w:line="25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1D2823"/>
        </w:rPr>
        <w:t>TRIPADVISOR, INC.</w:t>
      </w:r>
    </w:p>
    <w:p>
      <w:pPr>
        <w:spacing w:after="0" w:line="4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1D2823"/>
        </w:rPr>
        <w:t>By: /s/ Seth Kalvert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3158490</wp:posOffset>
            </wp:positionH>
            <wp:positionV relativeFrom="paragraph">
              <wp:posOffset>-23495</wp:posOffset>
            </wp:positionV>
            <wp:extent cx="92265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4">
                      <a:extLst>
                        <a:ext uri="{28A0092B-C50C-407E-A947-70E740481C1C}"/>
                      </a:extLst>
                    </a:blip>
                    <a:srcRect/>
                    <a:stretch>
                      <a:fillRect/>
                    </a:stretch>
                  </pic:blipFill>
                  <pic:spPr bwMode="auto">
                    <a:xfrm>
                      <a:off x="0" y="0"/>
                      <a:ext cx="922655" cy="825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1D2823"/>
        </w:rPr>
        <w:t>Names: Senior Vice President</w:t>
      </w:r>
    </w:p>
    <w:p>
      <w:pPr>
        <w:spacing w:after="0" w:line="1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1D2823"/>
        </w:rPr>
        <w:t>Title: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color w:val="343F3D"/>
        </w:rPr>
        <w:t>[Signature Page to Assignment and Assumption of Governance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216535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8" w:name="page129"/>
    <w:bookmarkEnd w:id="128"/>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ind w:right="179"/>
        <w:spacing w:after="0"/>
        <w:rPr>
          <w:sz w:val="20"/>
          <w:szCs w:val="20"/>
          <w:color w:val="auto"/>
        </w:rPr>
      </w:pPr>
      <w:r>
        <w:rPr>
          <w:rFonts w:ascii="Times New Roman" w:cs="Times New Roman" w:eastAsia="Times New Roman" w:hAnsi="Times New Roman"/>
          <w:sz w:val="22"/>
          <w:szCs w:val="22"/>
          <w:b w:val="1"/>
          <w:bCs w:val="1"/>
          <w:color w:val="auto"/>
        </w:rPr>
        <w:t>Exhibit A to</w:t>
      </w:r>
    </w:p>
    <w:p>
      <w:pPr>
        <w:spacing w:after="0" w:line="57"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22"/>
          <w:szCs w:val="22"/>
          <w:b w:val="1"/>
          <w:bCs w:val="1"/>
          <w:color w:val="auto"/>
        </w:rPr>
        <w:t>Assignment and Assumption of Governance Agreement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323232"/>
        </w:rPr>
        <w:t>[…]</w:t>
      </w:r>
    </w:p>
    <w:p>
      <w:pPr>
        <w:spacing w:after="0" w:line="200" w:lineRule="exact"/>
        <w:rPr>
          <w:sz w:val="20"/>
          <w:szCs w:val="20"/>
          <w:color w:val="auto"/>
        </w:rPr>
      </w:pPr>
    </w:p>
    <w:p>
      <w:pPr>
        <w:spacing w:after="0" w:line="220" w:lineRule="exact"/>
        <w:rPr>
          <w:sz w:val="20"/>
          <w:szCs w:val="20"/>
          <w:color w:val="auto"/>
        </w:rPr>
      </w:pPr>
    </w:p>
    <w:p>
      <w:pPr>
        <w:ind w:right="179"/>
        <w:spacing w:after="0" w:line="234" w:lineRule="auto"/>
        <w:rPr>
          <w:sz w:val="20"/>
          <w:szCs w:val="20"/>
          <w:color w:val="auto"/>
        </w:rPr>
      </w:pPr>
      <w:r>
        <w:rPr>
          <w:rFonts w:ascii="Times New Roman" w:cs="Times New Roman" w:eastAsia="Times New Roman" w:hAnsi="Times New Roman"/>
          <w:sz w:val="22"/>
          <w:szCs w:val="22"/>
          <w:b w:val="1"/>
          <w:bCs w:val="1"/>
          <w:color w:val="323232"/>
        </w:rPr>
        <w:t>RESOLVED</w:t>
      </w:r>
      <w:r>
        <w:rPr>
          <w:rFonts w:ascii="Times New Roman" w:cs="Times New Roman" w:eastAsia="Times New Roman" w:hAnsi="Times New Roman"/>
          <w:sz w:val="22"/>
          <w:szCs w:val="22"/>
          <w:color w:val="323232"/>
        </w:rPr>
        <w:t>, further, that, based upon Liberty’s representations to the Company that the Liberty Spin-off qualifies</w:t>
      </w:r>
      <w:r>
        <w:rPr>
          <w:rFonts w:ascii="Times New Roman" w:cs="Times New Roman" w:eastAsia="Times New Roman" w:hAnsi="Times New Roman"/>
          <w:sz w:val="22"/>
          <w:szCs w:val="22"/>
          <w:b w:val="1"/>
          <w:bCs w:val="1"/>
          <w:color w:val="323232"/>
        </w:rPr>
        <w:t xml:space="preserve"> </w:t>
      </w:r>
      <w:r>
        <w:rPr>
          <w:rFonts w:ascii="Times New Roman" w:cs="Times New Roman" w:eastAsia="Times New Roman" w:hAnsi="Times New Roman"/>
          <w:sz w:val="22"/>
          <w:szCs w:val="22"/>
          <w:color w:val="323232"/>
        </w:rPr>
        <w:t>as a Distribution Transaction involving a Qualified Distribution Transferee (each as defined in the Governance Agreement), the Board hereby approves, for purposes of Section 203(a)(1) of the DGCL, the Liberty Spin-off such that immediately upon the Liberty Spin-off, by virtue of the receipt of shares of common stock, $0.001 par value per share, of the Company and Class B common stock, $0.001 par value per share, of the Company pursuant to the Liberty Spin-off, the restrictions on “business combinations” contained in Section 203 of the DGCL shall not apply to Liberty SpinCo, its wholly owned subsidiaries (existing now or in the future to the extent such subsidiary remains a wholly-owned subsidiary of Liberty SpinCo) or its current “affiliates” and “associates” (as both terms are defined in Section 203 of the DGCL); and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323232"/>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Active 16238788.5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29" w:name="page130"/>
    <w:bookmarkEnd w:id="129"/>
    <w:p>
      <w:pPr>
        <w:ind w:left="10180"/>
        <w:spacing w:after="0"/>
        <w:rPr>
          <w:sz w:val="20"/>
          <w:szCs w:val="20"/>
          <w:color w:val="auto"/>
        </w:rPr>
      </w:pPr>
      <w:r>
        <w:rPr>
          <w:rFonts w:ascii="Calibri" w:cs="Calibri" w:eastAsia="Calibri" w:hAnsi="Calibri"/>
          <w:sz w:val="20"/>
          <w:szCs w:val="20"/>
          <w:color w:val="auto"/>
        </w:rPr>
        <w:t>Exhibit 10.21</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 STOCK AND ANNUAL INCENTIVE PLAN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SECTION 1. PURPOSE</w:t>
      </w:r>
    </w:p>
    <w:p>
      <w:pPr>
        <w:spacing w:after="0" w:line="22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 purpose of this Plan is to give the Company a competitive advantage in attracting, retaining and motivating officers, employees, directors and/or consultants by providing the Company with short and long-term incentive programs providing incentives related to stockholder value, the achievement of financial and strategic targets and other objectives.</w:t>
      </w:r>
    </w:p>
    <w:p>
      <w:pPr>
        <w:spacing w:after="0" w:line="177"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This Plan supersedes and replaces the Prior Plans in their entirety. Awards may not be granted under the Prior Plans on or following the Effective Date. Awards granted under the Prior Plans prior to the Effective Date will remain subject to the terms and conditions set forth in the Prior Plans in which such Award was granted.</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SECTION 2. DEFINITIONS</w:t>
      </w:r>
    </w:p>
    <w:p>
      <w:pPr>
        <w:spacing w:after="0" w:line="229"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Certain terms used herein have definitions given to them in the first place in which they are used. In addition, for purposes of this Plan, the following terms are defined as set forth below:</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2011 Plan</w:t>
      </w:r>
      <w:r>
        <w:rPr>
          <w:rFonts w:ascii="Times New Roman" w:cs="Times New Roman" w:eastAsia="Times New Roman" w:hAnsi="Times New Roman"/>
          <w:sz w:val="18"/>
          <w:szCs w:val="18"/>
          <w:color w:val="auto"/>
        </w:rPr>
        <w:t>” means the TripAdvisor, Inc. Amended and Restated 2011 Stock and Annual Incentive Plan, as amended.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2018 Plan</w:t>
      </w:r>
      <w:r>
        <w:rPr>
          <w:rFonts w:ascii="Times New Roman" w:cs="Times New Roman" w:eastAsia="Times New Roman" w:hAnsi="Times New Roman"/>
          <w:sz w:val="18"/>
          <w:szCs w:val="18"/>
          <w:color w:val="auto"/>
        </w:rPr>
        <w:t>” means the TripAdvisor, Inc. 2018 Stock and Annual Incentive Plan, as amended.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 corporation or other entity controlled by, controlling or under common control with, the Company.</w:t>
      </w:r>
    </w:p>
    <w:p>
      <w:pPr>
        <w:spacing w:after="0" w:line="225"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Exchange</w:t>
      </w:r>
      <w:r>
        <w:rPr>
          <w:rFonts w:ascii="Times New Roman" w:cs="Times New Roman" w:eastAsia="Times New Roman" w:hAnsi="Times New Roman"/>
          <w:sz w:val="18"/>
          <w:szCs w:val="18"/>
          <w:color w:val="auto"/>
        </w:rPr>
        <w:t>” means The NASDAQ Stock Market LLC, or such other securities exchange as may at the applicable time be the principal market for the Common Stock.</w:t>
      </w:r>
    </w:p>
    <w:p>
      <w:pPr>
        <w:spacing w:after="0" w:line="163"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means the requirements relating to the administration of equity-based awards and the related shares under U.S. state corporate law, U.S. federal and state securities laws, the rules of any stock exchange or quotation system on which the shares are listed or quoted, and any other applicable laws, including tax laws, of any U.S. or non-U.S. jurisdictions where Awards are, or will be, granted under this Plan.</w:t>
      </w:r>
    </w:p>
    <w:p>
      <w:pPr>
        <w:spacing w:after="0" w:line="177"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an Option, SAR, Restricted Stock, RSU, Performance Award, other stock-based award or Bonus Award granted or assumed pursuant to the terms of this Plan.</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a written or electronic document or agreement setting forth the terms and conditions of a specific Award.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Bonus Award</w:t>
      </w:r>
      <w:r>
        <w:rPr>
          <w:rFonts w:ascii="Times New Roman" w:cs="Times New Roman" w:eastAsia="Times New Roman" w:hAnsi="Times New Roman"/>
          <w:sz w:val="18"/>
          <w:szCs w:val="18"/>
          <w:color w:val="auto"/>
        </w:rPr>
        <w:t>” means a bonus award made pursuant to Section 11.</w:t>
      </w:r>
    </w:p>
    <w:p>
      <w:pPr>
        <w:spacing w:after="0" w:line="22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means, unless otherwise provided in an Award Agreement, (i) “Cause” as defined in any Individual Agreement to which the applicable Participant is a party, or (ii) if there is no such Individual Agreement or if it does not define Cause: (A) the willful or gross neglect by a Participant of his employment duties; (B) the plea of guilty or nolo contendere to, or conviction for, the commission of a felony offense by a Participant; (C) a material breach by a Participant of a fiduciary duty owed to the Company or any of its subsidiaries; (D) a material breach by a Participant of any nondisclosure, non-solicitation or non-competition obligation or any other restrictive covenant obligation owed to the Company or any of its Affiliates; (E) before a Change in Control, such other events as shall be determined by the Committee and set forth in a Participant’s Award Agreement; (F) a Participant’s material violation of the Company’s written policies or code of conduct, including policies related to discrimination, harassment or retaliation; or (G) a Participant’s conduct that brings, or is reasonably likely to bring, the Company or an Affiliate negative publicity or into public disgrace, embarrassment, or disrepute. Notwithstanding the general rule of Section 3(a), following a Change in Control, any determination by the Committee as to whether “Cause” exists shall be subject to de novo review.</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has the meaning set forth in Section 13(a).</w:t>
      </w:r>
    </w:p>
    <w:p>
      <w:pPr>
        <w:jc w:val="center"/>
        <w:spacing w:after="0" w:line="232" w:lineRule="auto"/>
        <w:rPr>
          <w:sz w:val="20"/>
          <w:szCs w:val="20"/>
          <w:color w:val="auto"/>
        </w:rPr>
      </w:pPr>
      <w:r>
        <w:rPr>
          <w:rFonts w:ascii="Calibri" w:cs="Calibri" w:eastAsia="Calibri" w:hAnsi="Calibri"/>
          <w:sz w:val="20"/>
          <w:szCs w:val="20"/>
          <w:color w:val="auto"/>
        </w:rPr>
        <w:t>E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582295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130" w:name="page131"/>
    <w:bookmarkEnd w:id="130"/>
    <w:p>
      <w:pPr>
        <w:ind w:left="10180"/>
        <w:spacing w:after="0"/>
        <w:rPr>
          <w:sz w:val="20"/>
          <w:szCs w:val="20"/>
          <w:color w:val="auto"/>
        </w:rPr>
      </w:pPr>
      <w:r>
        <w:rPr>
          <w:rFonts w:ascii="Calibri" w:cs="Calibri" w:eastAsia="Calibri" w:hAnsi="Calibri"/>
          <w:sz w:val="20"/>
          <w:szCs w:val="20"/>
          <w:color w:val="auto"/>
        </w:rPr>
        <w:t>Exhibit 10.21</w:t>
      </w:r>
    </w:p>
    <w:p>
      <w:pPr>
        <w:spacing w:after="0" w:line="200" w:lineRule="exact"/>
        <w:rPr>
          <w:sz w:val="20"/>
          <w:szCs w:val="20"/>
          <w:color w:val="auto"/>
        </w:rPr>
      </w:pPr>
    </w:p>
    <w:p>
      <w:pPr>
        <w:spacing w:after="0" w:line="273" w:lineRule="exact"/>
        <w:rPr>
          <w:sz w:val="20"/>
          <w:szCs w:val="20"/>
          <w:color w:val="auto"/>
        </w:rPr>
      </w:pPr>
    </w:p>
    <w:p>
      <w:pPr>
        <w:jc w:val="both"/>
        <w:ind w:right="20" w:firstLine="50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 and any successor thereto, the Treasury Regulations thereunder and other relevant interpretive guidance issued by the Internal Revenue Service or the Treasury Department. Reference to any specific section of the Code shall be deemed to include such regulations and guidance, as well as any successor provision of the Code.</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has the meaning set forth in Section 3(a).</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common stock, par value $0.001 per share, of the Company.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TripAdvisor, Inc., a Delaware corporation, or its successor.</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Transaction</w:t>
      </w:r>
      <w:r>
        <w:rPr>
          <w:rFonts w:ascii="Times New Roman" w:cs="Times New Roman" w:eastAsia="Times New Roman" w:hAnsi="Times New Roman"/>
          <w:sz w:val="18"/>
          <w:szCs w:val="18"/>
          <w:color w:val="auto"/>
        </w:rPr>
        <w:t>” has the meaning set forth in Section 4(d).</w:t>
      </w:r>
    </w:p>
    <w:p>
      <w:pPr>
        <w:spacing w:after="0" w:line="2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(i) “Disability” as defined in any Individual Agreement to which the Participant is a party, or (ii) if there is no such Individual Agreement or it does not define “Disability,” (A) permanent and total disability as determined under the Company’s long- term disability plan applicable to the Participant, or (B) if there is no such plan applicable to the Participant or the Committee determines otherwise in an applicable Award Agreement, “Disability” as determined by the Committee. Notwithstanding the above, with respect to an Incentive Stock Option, Disability shall mean Permanent and Total Disability as defined in Section 22(e)(3) of the Code and, with respect to all Awards, to the extent required by Section 409A of the Code, Disability shall mean “disability” within the meaning of Section 409A of the Code.</w:t>
      </w:r>
    </w:p>
    <w:p>
      <w:pPr>
        <w:spacing w:after="0" w:line="186"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Disaffiliation</w:t>
      </w:r>
      <w:r>
        <w:rPr>
          <w:rFonts w:ascii="Times New Roman" w:cs="Times New Roman" w:eastAsia="Times New Roman" w:hAnsi="Times New Roman"/>
          <w:sz w:val="18"/>
          <w:szCs w:val="18"/>
          <w:color w:val="auto"/>
        </w:rPr>
        <w:t>” means a Subsidiary’s or Affiliate’s ceasing to be a Subsidiary or Affiliate for any reason (including, without limitation, as a result of a public offering, or a spinoff or sale by the Company, of the stock of the Subsidiary or Affiliate) or a sale of a division of the Company and its Affiliates.</w:t>
      </w:r>
    </w:p>
    <w:p>
      <w:pPr>
        <w:spacing w:after="0" w:line="163"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Individuals</w:t>
      </w:r>
      <w:r>
        <w:rPr>
          <w:rFonts w:ascii="Times New Roman" w:cs="Times New Roman" w:eastAsia="Times New Roman" w:hAnsi="Times New Roman"/>
          <w:sz w:val="18"/>
          <w:szCs w:val="18"/>
          <w:color w:val="auto"/>
        </w:rPr>
        <w:t>” means directors, officers, employees and consultants (including independent contractors) of the Company or any of its Subsidiaries or Affiliates.</w:t>
      </w:r>
    </w:p>
    <w:p>
      <w:pPr>
        <w:spacing w:after="0" w:line="163"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from time to time, and any successor thereto. Reference to a specific section of the Exchange Act or regulation thereunder shall include such section or regulation, any valid regulation or interpretation promulgated under such section, and any comparable provision of any future legislation or regulation amending, supplementing, or superseding such section or regulation.</w:t>
      </w:r>
    </w:p>
    <w:p>
      <w:pPr>
        <w:spacing w:after="0" w:line="17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unless otherwise determined by the Committee, the closing price of a share of Common Stock on the Applicable Exchange on the date of measurement, or if Shares were not traded on the Applicable Exchange on such or (C) a material and demonstrable adverse change in the nature and scope of the Participant’s duties from those in effect immediately prior to the Change in Control. In order to invoke a Termination of Employment for Good Reason, a Participant shall provide written notice to the Company of the existence of one or more of the conditions described in clauses (A) through (C) within 90 days following the Participant’s knowledge of the initial existence of such condition or conditions, and the Company shall have 30 days following receipt of such written notice (the “</w:t>
      </w:r>
      <w:r>
        <w:rPr>
          <w:rFonts w:ascii="Times New Roman" w:cs="Times New Roman" w:eastAsia="Times New Roman" w:hAnsi="Times New Roman"/>
          <w:sz w:val="18"/>
          <w:szCs w:val="18"/>
          <w:u w:val="single" w:color="auto"/>
          <w:color w:val="auto"/>
        </w:rPr>
        <w:t>Cure Period</w:t>
      </w:r>
      <w:r>
        <w:rPr>
          <w:rFonts w:ascii="Times New Roman" w:cs="Times New Roman" w:eastAsia="Times New Roman" w:hAnsi="Times New Roman"/>
          <w:sz w:val="18"/>
          <w:szCs w:val="18"/>
          <w:color w:val="auto"/>
        </w:rPr>
        <w:t>”) during which it may remedy the condition. In the event that the Company fails to remedy the condition constituting Good Reason during the Cure Period, the Participant must terminate employment, if at all, within 90 days following the Cure Period in order for such Termination of Employment to constitute a Termination of Employment for Good Reason.</w:t>
      </w:r>
    </w:p>
    <w:p>
      <w:pPr>
        <w:spacing w:after="0" w:line="18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 means (i) the date on which the Committee by resolution selects an Eligible Individual to receive a grant of an Award and determines the number of Shares to be subject to such Award or the formula for earning a number of shares or cash amount, or (ii) such later date as the Committee shall provide in such resolution.</w:t>
      </w:r>
    </w:p>
    <w:p>
      <w:pPr>
        <w:spacing w:after="0" w:line="177"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any Option that is designated in the applicable Award Agreement as an “incentive stock option” within the meaning of Section 422 of the Code, and that in fact so qualifies.</w:t>
      </w:r>
    </w:p>
    <w:p>
      <w:pPr>
        <w:spacing w:after="0" w:line="163"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Individual Agreement</w:t>
      </w:r>
      <w:r>
        <w:rPr>
          <w:rFonts w:ascii="Times New Roman" w:cs="Times New Roman" w:eastAsia="Times New Roman" w:hAnsi="Times New Roman"/>
          <w:sz w:val="18"/>
          <w:szCs w:val="18"/>
          <w:color w:val="auto"/>
        </w:rPr>
        <w:t>” means an employment, consulting or similar agreement between a Participant and the Company or one of its Subsidiaries or Affiliates.</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Nonqualified Stock Option</w:t>
      </w:r>
      <w:r>
        <w:rPr>
          <w:rFonts w:ascii="Times New Roman" w:cs="Times New Roman" w:eastAsia="Times New Roman" w:hAnsi="Times New Roman"/>
          <w:sz w:val="18"/>
          <w:szCs w:val="18"/>
          <w:color w:val="auto"/>
        </w:rPr>
        <w:t>” means any Option that is not an Incentive Stock Option.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an Award described under Section 6(a).</w:t>
      </w:r>
    </w:p>
    <w:p>
      <w:pPr>
        <w:jc w:val="center"/>
        <w:spacing w:after="0" w:line="232" w:lineRule="auto"/>
        <w:rPr>
          <w:sz w:val="20"/>
          <w:szCs w:val="20"/>
          <w:color w:val="auto"/>
        </w:rPr>
      </w:pPr>
      <w:r>
        <w:rPr>
          <w:rFonts w:ascii="Calibri" w:cs="Calibri" w:eastAsia="Calibri" w:hAnsi="Calibri"/>
          <w:sz w:val="20"/>
          <w:szCs w:val="20"/>
          <w:color w:val="auto"/>
        </w:rPr>
        <w:t>E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582295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131" w:name="page132"/>
    <w:bookmarkEnd w:id="131"/>
    <w:p>
      <w:pPr>
        <w:ind w:left="10180"/>
        <w:spacing w:after="0"/>
        <w:rPr>
          <w:sz w:val="20"/>
          <w:szCs w:val="20"/>
          <w:color w:val="auto"/>
        </w:rPr>
      </w:pPr>
      <w:r>
        <w:rPr>
          <w:rFonts w:ascii="Calibri" w:cs="Calibri" w:eastAsia="Calibri" w:hAnsi="Calibri"/>
          <w:sz w:val="20"/>
          <w:szCs w:val="20"/>
          <w:color w:val="auto"/>
        </w:rPr>
        <w:t>Exhibit 10.21</w:t>
      </w:r>
    </w:p>
    <w:p>
      <w:pPr>
        <w:spacing w:after="0" w:line="200" w:lineRule="exact"/>
        <w:rPr>
          <w:sz w:val="20"/>
          <w:szCs w:val="20"/>
          <w:color w:val="auto"/>
        </w:rPr>
      </w:pPr>
    </w:p>
    <w:p>
      <w:pPr>
        <w:spacing w:after="0" w:line="2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an Eligible Individual to whom an Award is or has been granted.</w:t>
      </w:r>
    </w:p>
    <w:p>
      <w:pPr>
        <w:spacing w:after="0" w:line="225" w:lineRule="exact"/>
        <w:rPr>
          <w:sz w:val="20"/>
          <w:szCs w:val="20"/>
          <w:color w:val="auto"/>
        </w:rPr>
      </w:pPr>
    </w:p>
    <w:p>
      <w:pPr>
        <w:jc w:val="both"/>
        <w:ind w:right="20" w:firstLine="50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Award</w:t>
      </w:r>
      <w:r>
        <w:rPr>
          <w:rFonts w:ascii="Times New Roman" w:cs="Times New Roman" w:eastAsia="Times New Roman" w:hAnsi="Times New Roman"/>
          <w:sz w:val="18"/>
          <w:szCs w:val="18"/>
          <w:color w:val="auto"/>
        </w:rPr>
        <w:t>” means an Award granted under this Plan of Common Stock, that is based upon, payable in, or otherwise related to, Shares (including Restricted Stock, RSUs or cash), as the Committee may determine, at the end of a specified Performance Period based on the attainment of one or more Performance Goals.</w:t>
      </w:r>
    </w:p>
    <w:p>
      <w:pPr>
        <w:spacing w:after="0" w:line="17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Goals</w:t>
      </w:r>
      <w:r>
        <w:rPr>
          <w:rFonts w:ascii="Times New Roman" w:cs="Times New Roman" w:eastAsia="Times New Roman" w:hAnsi="Times New Roman"/>
          <w:sz w:val="18"/>
          <w:szCs w:val="18"/>
          <w:color w:val="auto"/>
        </w:rPr>
        <w:t>” means the performance goals established by the Committee in connection with the grant of Performance Awards. Such Performance Goals also may be based upon the attaining of specified levels of Company, Subsidiary, Affiliate, business unit or divisional performance under one or more of the measures including but not limited to, revenue, earnings per share, total shareholder return, earnings before interest, taxes, depreciation and amortization (EBITDA), adjusted EBITDA or return on capital). Performance goals established by the Committee may also include individual strategic goals.</w:t>
      </w:r>
    </w:p>
    <w:p>
      <w:pPr>
        <w:spacing w:after="0" w:line="182"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means with respect to a Performance Award the period established by the Committee or its designee at the time the Award is granted, or at any time thereafter, during which the performance of the Company, a Subsidiary, or any Affiliate is measured for the purpose of determining whether and to what extent the Performance Award’s Performance Goal has been achieved.</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Tripadvisor, Inc. 2023 Stock and Annual Incentive Plan, as set forth herein and as hereafter amended from time to time.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Year</w:t>
      </w:r>
      <w:r>
        <w:rPr>
          <w:rFonts w:ascii="Times New Roman" w:cs="Times New Roman" w:eastAsia="Times New Roman" w:hAnsi="Times New Roman"/>
          <w:sz w:val="18"/>
          <w:szCs w:val="18"/>
          <w:color w:val="auto"/>
        </w:rPr>
        <w:t>” means the calendar year or, with respect to Bonus Awards, the Company’s fiscal year if different.</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 Plans</w:t>
      </w:r>
      <w:r>
        <w:rPr>
          <w:rFonts w:ascii="Times New Roman" w:cs="Times New Roman" w:eastAsia="Times New Roman" w:hAnsi="Times New Roman"/>
          <w:sz w:val="18"/>
          <w:szCs w:val="18"/>
          <w:color w:val="auto"/>
        </w:rPr>
        <w:t>” means, collectively, the 2011 Plan and 2018 Plan.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means an Award described under Section 7.</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Retirement</w:t>
      </w:r>
      <w:r>
        <w:rPr>
          <w:rFonts w:ascii="Times New Roman" w:cs="Times New Roman" w:eastAsia="Times New Roman" w:hAnsi="Times New Roman"/>
          <w:sz w:val="18"/>
          <w:szCs w:val="18"/>
          <w:color w:val="auto"/>
        </w:rPr>
        <w:t>” means retirement from active employment with the Company, a Subsidiary or Affiliate at or after the Participant’s attainment of age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RS Restriction Period</w:t>
      </w:r>
      <w:r>
        <w:rPr>
          <w:rFonts w:ascii="Times New Roman" w:cs="Times New Roman" w:eastAsia="Times New Roman" w:hAnsi="Times New Roman"/>
          <w:sz w:val="18"/>
          <w:szCs w:val="18"/>
          <w:color w:val="auto"/>
        </w:rPr>
        <w:t>” has the meaning set forth in Section 7(b)(ii).</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RSU</w:t>
      </w:r>
      <w:r>
        <w:rPr>
          <w:rFonts w:ascii="Times New Roman" w:cs="Times New Roman" w:eastAsia="Times New Roman" w:hAnsi="Times New Roman"/>
          <w:sz w:val="18"/>
          <w:szCs w:val="18"/>
          <w:color w:val="auto"/>
        </w:rPr>
        <w:t>” means an Award described under Section 8.</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RSU Restriction Period</w:t>
      </w:r>
      <w:r>
        <w:rPr>
          <w:rFonts w:ascii="Times New Roman" w:cs="Times New Roman" w:eastAsia="Times New Roman" w:hAnsi="Times New Roman"/>
          <w:sz w:val="18"/>
          <w:szCs w:val="18"/>
          <w:color w:val="auto"/>
        </w:rPr>
        <w:t>” has the meaning set forth in Section 8(b)(ii).</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means Rule 16b-3 under Section 16(b) of the Exchange Act as then in effect or any successor provision.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w:t>
      </w:r>
      <w:r>
        <w:rPr>
          <w:rFonts w:ascii="Times New Roman" w:cs="Times New Roman" w:eastAsia="Times New Roman" w:hAnsi="Times New Roman"/>
          <w:sz w:val="18"/>
          <w:szCs w:val="18"/>
          <w:color w:val="auto"/>
        </w:rPr>
        <w:t>” has the meaning set forth in Section 7(b).</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from time to time, and any successor thereto.</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a share of Common Stock.</w:t>
      </w:r>
    </w:p>
    <w:p>
      <w:pPr>
        <w:spacing w:after="0" w:line="225"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corporation, partnership, joint venture, limited liability company or other entity during any period in which at least a 50% voting or profits interest is owned, directly or indirectly, by the Company or any successor to the Company.</w:t>
      </w:r>
    </w:p>
    <w:p>
      <w:pPr>
        <w:spacing w:after="0" w:line="163"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Tandem SAR</w:t>
      </w:r>
      <w:r>
        <w:rPr>
          <w:rFonts w:ascii="Times New Roman" w:cs="Times New Roman" w:eastAsia="Times New Roman" w:hAnsi="Times New Roman"/>
          <w:sz w:val="18"/>
          <w:szCs w:val="18"/>
          <w:color w:val="auto"/>
        </w:rPr>
        <w:t>” has the meaning set forth in Section 6(b).“</w:t>
      </w:r>
      <w:r>
        <w:rPr>
          <w:rFonts w:ascii="Times New Roman" w:cs="Times New Roman" w:eastAsia="Times New Roman" w:hAnsi="Times New Roman"/>
          <w:sz w:val="18"/>
          <w:szCs w:val="18"/>
          <w:u w:val="single" w:color="auto"/>
          <w:color w:val="auto"/>
        </w:rPr>
        <w:t>Ten Percent Stockholder</w:t>
      </w:r>
      <w:r>
        <w:rPr>
          <w:rFonts w:ascii="Times New Roman" w:cs="Times New Roman" w:eastAsia="Times New Roman" w:hAnsi="Times New Roman"/>
          <w:sz w:val="18"/>
          <w:szCs w:val="18"/>
          <w:color w:val="auto"/>
        </w:rPr>
        <w:t>” means a Person owning stock representing more than ten percent (10%) of the total combined voting power of all classes of stock of the Company, or its parent corporation (within the meaning of Section 424(e) of the Code) or any of its Subsidiaries.</w:t>
      </w:r>
    </w:p>
    <w:p>
      <w:pPr>
        <w:spacing w:after="0" w:line="177"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means the maximum period during which an Option or SAR may remain outstanding, subject to earlier termination upon Termination of Employment or otherwise, as specified in the applicable Award Agreement.</w:t>
      </w:r>
    </w:p>
    <w:p>
      <w:pPr>
        <w:spacing w:after="0" w:line="16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means the termination of the applicable Participant’s employment with, or performance of services for, the Company and any of its Subsidiaries or Affiliates. Unless otherwise determined by the Committee, if a Participant’s employment with, or membership on a board of directors of, the Company and its Affiliates terminates but such Participant continues to provide services to the Company and its Affiliates in a non-employee or non-director capacity, as applicable, such change in status shall not be deemed a Termination of Employment. A Participant employed by, or performing services for, a Subsidiary or an Affiliate or a division</w:t>
      </w:r>
    </w:p>
    <w:p>
      <w:pPr>
        <w:sectPr>
          <w:pgSz w:w="11900" w:h="16838" w:orient="portrait"/>
          <w:cols w:equalWidth="0" w:num="1">
            <w:col w:w="11240"/>
          </w:cols>
          <w:pgMar w:left="320" w:top="752" w:right="339" w:bottom="1440" w:gutter="0" w:footer="0" w:header="0"/>
        </w:sectPr>
      </w:pPr>
    </w:p>
    <w:p>
      <w:pPr>
        <w:jc w:val="center"/>
        <w:spacing w:after="0" w:line="208" w:lineRule="auto"/>
        <w:rPr>
          <w:sz w:val="20"/>
          <w:szCs w:val="20"/>
          <w:color w:val="auto"/>
        </w:rPr>
      </w:pPr>
      <w:r>
        <w:rPr>
          <w:rFonts w:ascii="Calibri" w:cs="Calibri" w:eastAsia="Calibri" w:hAnsi="Calibri"/>
          <w:sz w:val="20"/>
          <w:szCs w:val="20"/>
          <w:color w:val="auto"/>
        </w:rPr>
        <w:t>E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type w:val="continuous"/>
        </w:sectPr>
      </w:pPr>
    </w:p>
    <w:bookmarkStart w:id="132" w:name="page133"/>
    <w:bookmarkEnd w:id="132"/>
    <w:p>
      <w:pPr>
        <w:ind w:left="10180"/>
        <w:spacing w:after="0"/>
        <w:rPr>
          <w:sz w:val="20"/>
          <w:szCs w:val="20"/>
          <w:color w:val="auto"/>
        </w:rPr>
      </w:pPr>
      <w:r>
        <w:rPr>
          <w:rFonts w:ascii="Calibri" w:cs="Calibri" w:eastAsia="Calibri" w:hAnsi="Calibri"/>
          <w:sz w:val="20"/>
          <w:szCs w:val="20"/>
          <w:color w:val="auto"/>
        </w:rPr>
        <w:t>Exhibit 10.21</w:t>
      </w:r>
    </w:p>
    <w:p>
      <w:pPr>
        <w:spacing w:after="0" w:line="200" w:lineRule="exact"/>
        <w:rPr>
          <w:sz w:val="20"/>
          <w:szCs w:val="20"/>
          <w:color w:val="auto"/>
        </w:rPr>
      </w:pPr>
    </w:p>
    <w:p>
      <w:pPr>
        <w:spacing w:after="0" w:line="2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of the Company and its Affiliates shall be deemed to incur a Termination of Employment if, as a result of a Disaffiliation, such Subsidiary, Affiliate, or division ceases to be a Subsidiary, Affiliate or division, as the case may be, and the Participant does not immediately thereafter become an employee of (or service provider for), or member of the board of directors of, the Company or another Subsidiary or Affiliate. Temporary absences from employment of 90 days or less because of illness, vacation or leave of absence and transfers among the Company and its Subsidiaries and Affiliates shall not be considered Termination of Employment. Notwithstanding the foregoing, with respect to any Award that constitutes “nonqualified deferred compensation” within the meaning of Section 409A of the Code, “Termination of Employment” shall mean a “separation from service” as defined under Section 409A of the Code.</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SECTION 3. ADMINISTRATION</w:t>
      </w:r>
    </w:p>
    <w:p>
      <w:pPr>
        <w:spacing w:after="0" w:line="229" w:lineRule="exact"/>
        <w:rPr>
          <w:sz w:val="20"/>
          <w:szCs w:val="20"/>
          <w:color w:val="auto"/>
        </w:rPr>
      </w:pPr>
    </w:p>
    <w:p>
      <w:pPr>
        <w:jc w:val="both"/>
        <w:ind w:firstLine="517"/>
        <w:spacing w:after="0" w:line="260" w:lineRule="auto"/>
        <w:tabs>
          <w:tab w:leader="none" w:pos="118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This Plan shall be administered by the Compensation Committee of the Board or such other committee of the Board as the Board may from time to time designate (the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which shall be composed of not less than two directors, and shall be appointed by and serve at the pleasure of the Board. The Committee shall have plenary authority to grant Awards pursuant to the terms of this Plan to Eligible Individuals. Among other things, the Committee shall have the authority, subject to the terms of this Plan:</w:t>
      </w:r>
    </w:p>
    <w:p>
      <w:pPr>
        <w:spacing w:after="0" w:line="181" w:lineRule="exact"/>
        <w:rPr>
          <w:rFonts w:ascii="Times New Roman" w:cs="Times New Roman" w:eastAsia="Times New Roman" w:hAnsi="Times New Roman"/>
          <w:sz w:val="18"/>
          <w:szCs w:val="18"/>
          <w:color w:val="auto"/>
        </w:rPr>
      </w:pPr>
    </w:p>
    <w:p>
      <w:pPr>
        <w:ind w:left="2060" w:hanging="525"/>
        <w:spacing w:after="0"/>
        <w:tabs>
          <w:tab w:leader="none" w:pos="20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Eligible Individuals to whom Awards may from time to time be granted;</w:t>
      </w:r>
    </w:p>
    <w:p>
      <w:pPr>
        <w:spacing w:after="0" w:line="224" w:lineRule="exact"/>
        <w:rPr>
          <w:rFonts w:ascii="Times New Roman" w:cs="Times New Roman" w:eastAsia="Times New Roman" w:hAnsi="Times New Roman"/>
          <w:sz w:val="18"/>
          <w:szCs w:val="18"/>
          <w:color w:val="auto"/>
        </w:rPr>
      </w:pPr>
    </w:p>
    <w:p>
      <w:pPr>
        <w:ind w:left="2060" w:hanging="525"/>
        <w:spacing w:after="0"/>
        <w:tabs>
          <w:tab w:leader="none" w:pos="20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to be covered by each Award granted hereunder or the amount of any Bonus Award;</w:t>
      </w:r>
    </w:p>
    <w:p>
      <w:pPr>
        <w:spacing w:after="0" w:line="224" w:lineRule="exact"/>
        <w:rPr>
          <w:rFonts w:ascii="Times New Roman" w:cs="Times New Roman" w:eastAsia="Times New Roman" w:hAnsi="Times New Roman"/>
          <w:sz w:val="18"/>
          <w:szCs w:val="18"/>
          <w:color w:val="auto"/>
        </w:rPr>
      </w:pPr>
    </w:p>
    <w:p>
      <w:pPr>
        <w:ind w:left="2240" w:hanging="705"/>
        <w:spacing w:after="0"/>
        <w:tabs>
          <w:tab w:leader="none" w:pos="22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terms and conditions of each Award granted hereunder, based on such factors as the Committee shall</w:t>
      </w:r>
    </w:p>
    <w:p>
      <w:pPr>
        <w:spacing w:after="0" w:line="2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w:t>
      </w:r>
    </w:p>
    <w:p>
      <w:pPr>
        <w:spacing w:after="0" w:line="206" w:lineRule="exact"/>
        <w:rPr>
          <w:rFonts w:ascii="Times New Roman" w:cs="Times New Roman" w:eastAsia="Times New Roman" w:hAnsi="Times New Roman"/>
          <w:sz w:val="18"/>
          <w:szCs w:val="18"/>
          <w:color w:val="auto"/>
        </w:rPr>
      </w:pPr>
    </w:p>
    <w:p>
      <w:pPr>
        <w:ind w:left="2060" w:hanging="525"/>
        <w:spacing w:after="0"/>
        <w:tabs>
          <w:tab w:leader="none" w:pos="20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16, to modify, amend or adjust the terms and conditions of any Award, at any time or from time to time;</w:t>
      </w:r>
    </w:p>
    <w:p>
      <w:pPr>
        <w:spacing w:after="0" w:line="224" w:lineRule="exact"/>
        <w:rPr>
          <w:rFonts w:ascii="Times New Roman" w:cs="Times New Roman" w:eastAsia="Times New Roman" w:hAnsi="Times New Roman"/>
          <w:sz w:val="18"/>
          <w:szCs w:val="18"/>
          <w:color w:val="auto"/>
        </w:rPr>
      </w:pPr>
    </w:p>
    <w:p>
      <w:pPr>
        <w:ind w:left="1020" w:firstLine="515"/>
        <w:spacing w:after="0" w:line="281" w:lineRule="auto"/>
        <w:tabs>
          <w:tab w:leader="none" w:pos="212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14, to accelerate the vesting or lapse of restrictions of any outstanding Award, based in each case on such considerations as the Committee in its sole discretion determines;</w:t>
      </w:r>
    </w:p>
    <w:p>
      <w:pPr>
        <w:spacing w:after="0" w:line="162" w:lineRule="exact"/>
        <w:rPr>
          <w:rFonts w:ascii="Times New Roman" w:cs="Times New Roman" w:eastAsia="Times New Roman" w:hAnsi="Times New Roman"/>
          <w:sz w:val="18"/>
          <w:szCs w:val="18"/>
          <w:color w:val="auto"/>
        </w:rPr>
      </w:pPr>
    </w:p>
    <w:p>
      <w:pPr>
        <w:ind w:left="2060" w:hanging="525"/>
        <w:spacing w:after="0"/>
        <w:tabs>
          <w:tab w:leader="none" w:pos="20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interpret the terms and provisions of this Plan and any Award issued under this Plan (and any agreement relating thereto);</w:t>
      </w:r>
    </w:p>
    <w:p>
      <w:pPr>
        <w:spacing w:after="0" w:line="224" w:lineRule="exact"/>
        <w:rPr>
          <w:rFonts w:ascii="Times New Roman" w:cs="Times New Roman" w:eastAsia="Times New Roman" w:hAnsi="Times New Roman"/>
          <w:sz w:val="18"/>
          <w:szCs w:val="18"/>
          <w:color w:val="auto"/>
        </w:rPr>
      </w:pPr>
    </w:p>
    <w:p>
      <w:pPr>
        <w:ind w:left="2060" w:hanging="525"/>
        <w:spacing w:after="0"/>
        <w:tabs>
          <w:tab w:leader="none" w:pos="20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any “blackout” period that the Committee in its sole discretion deems necessary or advisable;</w:t>
      </w:r>
    </w:p>
    <w:p>
      <w:pPr>
        <w:spacing w:after="0" w:line="224"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decide all other matters that must be determined in connection with an Award;</w:t>
      </w:r>
    </w:p>
    <w:p>
      <w:pPr>
        <w:spacing w:after="0" w:line="224"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and under what circumstances an Award may be settled in cash, Shares, other property, or a combination of</w:t>
      </w:r>
    </w:p>
    <w:p>
      <w:pPr>
        <w:spacing w:after="0" w:line="2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w:t>
      </w:r>
    </w:p>
    <w:p>
      <w:pPr>
        <w:spacing w:after="0" w:line="206" w:lineRule="exact"/>
        <w:rPr>
          <w:rFonts w:ascii="Times New Roman" w:cs="Times New Roman" w:eastAsia="Times New Roman" w:hAnsi="Times New Roman"/>
          <w:sz w:val="18"/>
          <w:szCs w:val="18"/>
          <w:color w:val="auto"/>
        </w:rPr>
      </w:pPr>
    </w:p>
    <w:p>
      <w:pPr>
        <w:jc w:val="both"/>
        <w:ind w:left="1020" w:firstLine="515"/>
        <w:spacing w:after="0" w:line="265" w:lineRule="auto"/>
        <w:tabs>
          <w:tab w:leader="none" w:pos="215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to require a Participant, as a condition of the granting of any Award, to not sell or otherwise dispose of Shares acquired pursuant to the exercise or vesting of an Award for a period of time as determined by the Committee, in its sole discretion, following the date of the acquisition of such Award or Shares; and</w:t>
      </w:r>
    </w:p>
    <w:p>
      <w:pPr>
        <w:spacing w:after="0" w:line="177" w:lineRule="exact"/>
        <w:rPr>
          <w:rFonts w:ascii="Times New Roman" w:cs="Times New Roman" w:eastAsia="Times New Roman" w:hAnsi="Times New Roman"/>
          <w:sz w:val="18"/>
          <w:szCs w:val="18"/>
          <w:color w:val="auto"/>
        </w:rPr>
      </w:pPr>
    </w:p>
    <w:p>
      <w:pPr>
        <w:ind w:left="2060" w:hanging="525"/>
        <w:spacing w:after="0"/>
        <w:tabs>
          <w:tab w:leader="none" w:pos="20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otherwise administer this Plan.</w:t>
      </w:r>
    </w:p>
    <w:p>
      <w:pPr>
        <w:spacing w:after="0" w:line="224" w:lineRule="exact"/>
        <w:rPr>
          <w:rFonts w:ascii="Times New Roman" w:cs="Times New Roman" w:eastAsia="Times New Roman" w:hAnsi="Times New Roman"/>
          <w:sz w:val="18"/>
          <w:szCs w:val="18"/>
          <w:color w:val="auto"/>
        </w:rPr>
      </w:pPr>
    </w:p>
    <w:p>
      <w:pPr>
        <w:ind w:left="1040" w:hanging="523"/>
        <w:spacing w:after="0"/>
        <w:tabs>
          <w:tab w:leader="none" w:pos="1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w:t>
      </w:r>
      <w:r>
        <w:rPr>
          <w:rFonts w:ascii="Times New Roman" w:cs="Times New Roman" w:eastAsia="Times New Roman" w:hAnsi="Times New Roman"/>
          <w:sz w:val="18"/>
          <w:szCs w:val="18"/>
          <w:color w:val="auto"/>
        </w:rPr>
        <w:t>.</w:t>
      </w:r>
    </w:p>
    <w:p>
      <w:pPr>
        <w:spacing w:after="0" w:line="224" w:lineRule="exact"/>
        <w:rPr>
          <w:rFonts w:ascii="Times New Roman" w:cs="Times New Roman" w:eastAsia="Times New Roman" w:hAnsi="Times New Roman"/>
          <w:sz w:val="18"/>
          <w:szCs w:val="18"/>
          <w:color w:val="auto"/>
        </w:rPr>
      </w:pPr>
    </w:p>
    <w:p>
      <w:pPr>
        <w:jc w:val="both"/>
        <w:ind w:left="1020" w:right="20" w:firstLine="515"/>
        <w:spacing w:after="0" w:line="265" w:lineRule="auto"/>
        <w:tabs>
          <w:tab w:leader="none" w:pos="209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act only by a majority of its members then in office, except that the Committee may, except to the extent prohibited by applicable law or the listing standards of the Applicable Exchange, allocate all or any portion of its responsibilities and powers to any one or more of its members and may delegate all or any part of its responsibilities and powers to any person or persons selected by it.</w:t>
      </w:r>
    </w:p>
    <w:p>
      <w:pPr>
        <w:spacing w:after="0" w:line="177"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3(d), any authority granted to the Committee may also be exercised by the full Board. To the extent that any</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permitted action taken by the Board conflicts with action taken by the Committee, the Board action shall control.</w:t>
      </w:r>
    </w:p>
    <w:p>
      <w:pPr>
        <w:jc w:val="center"/>
        <w:spacing w:after="0" w:line="214" w:lineRule="auto"/>
        <w:rPr>
          <w:sz w:val="20"/>
          <w:szCs w:val="20"/>
          <w:color w:val="auto"/>
        </w:rPr>
      </w:pPr>
      <w:r>
        <w:rPr>
          <w:rFonts w:ascii="Calibri" w:cs="Calibri" w:eastAsia="Calibri" w:hAnsi="Calibri"/>
          <w:sz w:val="20"/>
          <w:szCs w:val="20"/>
          <w:color w:val="auto"/>
        </w:rPr>
        <w:t>E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582295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133" w:name="page134"/>
    <w:bookmarkEnd w:id="133"/>
    <w:p>
      <w:pPr>
        <w:ind w:left="10180"/>
        <w:spacing w:after="0"/>
        <w:rPr>
          <w:sz w:val="20"/>
          <w:szCs w:val="20"/>
          <w:color w:val="auto"/>
        </w:rPr>
      </w:pPr>
      <w:r>
        <w:rPr>
          <w:rFonts w:ascii="Calibri" w:cs="Calibri" w:eastAsia="Calibri" w:hAnsi="Calibri"/>
          <w:sz w:val="20"/>
          <w:szCs w:val="20"/>
          <w:color w:val="auto"/>
        </w:rPr>
        <w:t>Exhibit 10.21</w:t>
      </w:r>
    </w:p>
    <w:p>
      <w:pPr>
        <w:spacing w:after="0" w:line="200" w:lineRule="exact"/>
        <w:rPr>
          <w:sz w:val="20"/>
          <w:szCs w:val="20"/>
          <w:color w:val="auto"/>
        </w:rPr>
      </w:pPr>
    </w:p>
    <w:p>
      <w:pPr>
        <w:spacing w:after="0" w:line="273" w:lineRule="exact"/>
        <w:rPr>
          <w:sz w:val="20"/>
          <w:szCs w:val="20"/>
          <w:color w:val="auto"/>
        </w:rPr>
      </w:pPr>
    </w:p>
    <w:p>
      <w:pPr>
        <w:jc w:val="both"/>
        <w:ind w:firstLine="517"/>
        <w:spacing w:after="0" w:line="253" w:lineRule="auto"/>
        <w:tabs>
          <w:tab w:leader="none" w:pos="108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of Authority</w:t>
      </w:r>
      <w:r>
        <w:rPr>
          <w:rFonts w:ascii="Times New Roman" w:cs="Times New Roman" w:eastAsia="Times New Roman" w:hAnsi="Times New Roman"/>
          <w:sz w:val="18"/>
          <w:szCs w:val="18"/>
          <w:color w:val="auto"/>
        </w:rPr>
        <w:t>. Subject to applicable law, the Committee may delegate any or all of its powers under this Plan to one or more other committees or officers of the Company (including persons other than members of the Committee) as it shall appoint with respect to the granting of Awards to individuals who are not (i) subject to the reporting and other provisions of Section 16 of the Exchange Act and (ii) members of the delegated committee or the delegated individual(s). Any such delegation by the Committee shall include limitations as to the amount of Common Stock underlying Awards that may be granted during specified periods and shall contain guidelines as to the determination of the exercise price. The delegated officer may correct any defect, supply any omission, or reconcile any inconsistency in this Plan or in any agreement relating thereto in the manner and to the extent it shall deem necessary to effectuate the purpose and intent of this Plan. Any determination made by the Committee or by an appropriately delegated officer pursuant to delegated authority under the provisions of this Plan with respect to any Award shall be made in the sole discretion of the Committee or such delegate at the time of the grant of the Award or, unless in contravention of any express term of this Plan, at any time thereafter. All decisions made by the Committee or any appropriately delegated officer pursuant to the provisions of this Plan shall be final and binding on all persons, including the Company, Participants, and Eligible Individuals.</w:t>
      </w:r>
    </w:p>
    <w:p>
      <w:pPr>
        <w:spacing w:after="0" w:line="188" w:lineRule="exact"/>
        <w:rPr>
          <w:rFonts w:ascii="Times New Roman" w:cs="Times New Roman" w:eastAsia="Times New Roman" w:hAnsi="Times New Roman"/>
          <w:sz w:val="18"/>
          <w:szCs w:val="18"/>
          <w:color w:val="auto"/>
        </w:rPr>
      </w:pPr>
    </w:p>
    <w:p>
      <w:pPr>
        <w:jc w:val="both"/>
        <w:ind w:firstLine="517"/>
        <w:spacing w:after="0" w:line="258" w:lineRule="auto"/>
        <w:tabs>
          <w:tab w:leader="none" w:pos="110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16(b) Compliance</w:t>
      </w:r>
      <w:r>
        <w:rPr>
          <w:rFonts w:ascii="Times New Roman" w:cs="Times New Roman" w:eastAsia="Times New Roman" w:hAnsi="Times New Roman"/>
          <w:sz w:val="18"/>
          <w:szCs w:val="18"/>
          <w:color w:val="auto"/>
        </w:rPr>
        <w:t>. The provisions of this Plan are intended to ensure that no transaction under this Plan is subject to (and all such transactions will be exempt from) the short-swing recovery rules of Section 16(b) of the Exchange Act (“</w:t>
      </w:r>
      <w:r>
        <w:rPr>
          <w:rFonts w:ascii="Times New Roman" w:cs="Times New Roman" w:eastAsia="Times New Roman" w:hAnsi="Times New Roman"/>
          <w:sz w:val="18"/>
          <w:szCs w:val="18"/>
          <w:u w:val="single" w:color="auto"/>
          <w:color w:val="auto"/>
        </w:rPr>
        <w:t>Section 16(b)</w:t>
      </w:r>
      <w:r>
        <w:rPr>
          <w:rFonts w:ascii="Times New Roman" w:cs="Times New Roman" w:eastAsia="Times New Roman" w:hAnsi="Times New Roman"/>
          <w:sz w:val="18"/>
          <w:szCs w:val="18"/>
          <w:color w:val="auto"/>
        </w:rPr>
        <w:t>”). Accordingly, the composition of the Committee shall be subject to such limitations as the Board deems appropriate to permit transactions pursuant to this Plan to be exempt (pursuant to Rule 16b-3 promulgated under the Exchange Act) from Section 16(b), and no delegation of authority by the Committee shall be permitted if such delegation would cause any such transaction to be subject to (and not exempt from) Section 16(b).</w:t>
      </w:r>
    </w:p>
    <w:p>
      <w:pPr>
        <w:spacing w:after="0" w:line="181" w:lineRule="exact"/>
        <w:rPr>
          <w:rFonts w:ascii="Times New Roman" w:cs="Times New Roman" w:eastAsia="Times New Roman" w:hAnsi="Times New Roman"/>
          <w:sz w:val="18"/>
          <w:szCs w:val="18"/>
          <w:color w:val="auto"/>
        </w:rPr>
      </w:pPr>
    </w:p>
    <w:p>
      <w:pPr>
        <w:jc w:val="both"/>
        <w:ind w:firstLine="517"/>
        <w:spacing w:after="0" w:line="258" w:lineRule="auto"/>
        <w:tabs>
          <w:tab w:leader="none" w:pos="113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Agreements</w:t>
      </w:r>
      <w:r>
        <w:rPr>
          <w:rFonts w:ascii="Times New Roman" w:cs="Times New Roman" w:eastAsia="Times New Roman" w:hAnsi="Times New Roman"/>
          <w:sz w:val="18"/>
          <w:szCs w:val="18"/>
          <w:color w:val="auto"/>
        </w:rPr>
        <w:t>. The terms and conditions of each Award (other than any Bonus Award), as determined by the Committee, shall be set forth in an Award Agreement, which shall be delivered to the Participant receiving such Award upon, or as promptly as is reasonably practicable following, the grant of such Award. The effectiveness of an Award shall not be subject to the Award Agreement’s being signed by the Company and/or the Participant receiving the Award unless specifically so provided in the Award Agreement. Award Agreements may be amended only in accordance with Section 14 hereof.</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SECTION 4. COMMON STOCK SUBJECT TO PLAN</w:t>
      </w:r>
    </w:p>
    <w:p>
      <w:pPr>
        <w:spacing w:after="0" w:line="229" w:lineRule="exact"/>
        <w:rPr>
          <w:sz w:val="20"/>
          <w:szCs w:val="20"/>
          <w:color w:val="auto"/>
        </w:rPr>
      </w:pPr>
    </w:p>
    <w:p>
      <w:pPr>
        <w:jc w:val="both"/>
        <w:ind w:firstLine="517"/>
        <w:spacing w:after="0" w:line="254" w:lineRule="auto"/>
        <w:tabs>
          <w:tab w:leader="none" w:pos="125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Available for Awards</w:t>
      </w:r>
      <w:r>
        <w:rPr>
          <w:rFonts w:ascii="Times New Roman" w:cs="Times New Roman" w:eastAsia="Times New Roman" w:hAnsi="Times New Roman"/>
          <w:sz w:val="18"/>
          <w:szCs w:val="18"/>
          <w:color w:val="auto"/>
        </w:rPr>
        <w:t>. The maximum number of Shares that may be delivered pursuant to Awards under this Plan shall be (i) 12,000,000 Shares, plus (ii) any Shares available for issuance under the Prior Plans not issued or subject to outstanding Awards under the Prior Plans as of the Effective Date. For purposes of this limitation, Shares underlying any Awards (including after the Effective Date, awards previously granted under the Prior Plans, as applicable) that are forfeited, canceled, held back upon exercise of an Option or settlement of an Award to cover the exercise price or tax withholding, reacquired by the Company prior to vesting, satisfied without the issuance of Common Stock or otherwise terminated (other than by exercise) under this Plan or the Prior Plans shall be added back (or newly added, as applicable) to the Shares available for issuance under this Plan and, to the extent permitted under Section 422 of the Code and the regulations promulgated thereunder, the Shares that may be issued as Incentive Stock Options. The Shares available for delivery under this Plan may consist of authorized and unissued Shares, Shares held in treasury, Shares of Common Stock purchased or held by the Company for purposes of this Plan, or any combination thereof.</w:t>
      </w:r>
    </w:p>
    <w:p>
      <w:pPr>
        <w:spacing w:after="0" w:line="185" w:lineRule="exact"/>
        <w:rPr>
          <w:rFonts w:ascii="Times New Roman" w:cs="Times New Roman" w:eastAsia="Times New Roman" w:hAnsi="Times New Roman"/>
          <w:sz w:val="18"/>
          <w:szCs w:val="18"/>
          <w:color w:val="auto"/>
        </w:rPr>
      </w:pPr>
    </w:p>
    <w:p>
      <w:pPr>
        <w:ind w:right="20" w:firstLine="517"/>
        <w:spacing w:after="0" w:line="281" w:lineRule="auto"/>
        <w:tabs>
          <w:tab w:leader="none" w:pos="107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Maximums</w:t>
      </w:r>
      <w:r>
        <w:rPr>
          <w:rFonts w:ascii="Times New Roman" w:cs="Times New Roman" w:eastAsia="Times New Roman" w:hAnsi="Times New Roman"/>
          <w:sz w:val="18"/>
          <w:szCs w:val="18"/>
          <w:color w:val="auto"/>
        </w:rPr>
        <w:t>. The maximum number of Shares that may be granted pursuant to Options intended to be Incentive Stock Options shall be 6,000,000 Shares.</w:t>
      </w:r>
    </w:p>
    <w:p>
      <w:pPr>
        <w:spacing w:after="0" w:line="162" w:lineRule="exact"/>
        <w:rPr>
          <w:rFonts w:ascii="Times New Roman" w:cs="Times New Roman" w:eastAsia="Times New Roman" w:hAnsi="Times New Roman"/>
          <w:sz w:val="18"/>
          <w:szCs w:val="18"/>
          <w:color w:val="auto"/>
        </w:rPr>
      </w:pPr>
    </w:p>
    <w:p>
      <w:pPr>
        <w:ind w:firstLine="517"/>
        <w:spacing w:after="0" w:line="281" w:lineRule="auto"/>
        <w:tabs>
          <w:tab w:leader="none" w:pos="117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 Compensation Limit</w:t>
      </w:r>
      <w:r>
        <w:rPr>
          <w:rFonts w:ascii="Times New Roman" w:cs="Times New Roman" w:eastAsia="Times New Roman" w:hAnsi="Times New Roman"/>
          <w:sz w:val="18"/>
          <w:szCs w:val="18"/>
          <w:color w:val="auto"/>
        </w:rPr>
        <w:t>. During a calendar year, no non-employee director may be granted any compensation for service as a non-employee director (including cash and an Award) with a fair value, as determined under accounting rules, as of the Grant Date, in excess of $1,000,000.</w:t>
      </w:r>
    </w:p>
    <w:p>
      <w:pPr>
        <w:spacing w:after="0" w:line="162" w:lineRule="exact"/>
        <w:rPr>
          <w:rFonts w:ascii="Times New Roman" w:cs="Times New Roman" w:eastAsia="Times New Roman" w:hAnsi="Times New Roman"/>
          <w:sz w:val="18"/>
          <w:szCs w:val="18"/>
          <w:color w:val="auto"/>
        </w:rPr>
      </w:pPr>
    </w:p>
    <w:p>
      <w:pPr>
        <w:ind w:left="1040" w:hanging="523"/>
        <w:spacing w:after="0"/>
        <w:tabs>
          <w:tab w:leader="none" w:pos="10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Provisions</w:t>
      </w:r>
      <w:r>
        <w:rPr>
          <w:rFonts w:ascii="Times New Roman" w:cs="Times New Roman" w:eastAsia="Times New Roman" w:hAnsi="Times New Roman"/>
          <w:sz w:val="18"/>
          <w:szCs w:val="18"/>
          <w:color w:val="auto"/>
        </w:rPr>
        <w:t>.</w:t>
      </w:r>
    </w:p>
    <w:p>
      <w:pPr>
        <w:spacing w:after="0" w:line="224" w:lineRule="exact"/>
        <w:rPr>
          <w:rFonts w:ascii="Times New Roman" w:cs="Times New Roman" w:eastAsia="Times New Roman" w:hAnsi="Times New Roman"/>
          <w:sz w:val="18"/>
          <w:szCs w:val="18"/>
          <w:color w:val="auto"/>
        </w:rPr>
      </w:pPr>
    </w:p>
    <w:p>
      <w:pPr>
        <w:jc w:val="both"/>
        <w:ind w:left="1020" w:firstLine="515"/>
        <w:spacing w:after="0" w:line="257" w:lineRule="auto"/>
        <w:tabs>
          <w:tab w:leader="none" w:pos="2149"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merger, consolidation, acquisition of property or shares, stock rights offering, liquidation, Disaffiliation, or similar event affecting the Company or any of its Subsidiaries (each, a “</w:t>
      </w:r>
      <w:r>
        <w:rPr>
          <w:rFonts w:ascii="Times New Roman" w:cs="Times New Roman" w:eastAsia="Times New Roman" w:hAnsi="Times New Roman"/>
          <w:sz w:val="18"/>
          <w:szCs w:val="18"/>
          <w:u w:val="single" w:color="auto"/>
          <w:color w:val="auto"/>
        </w:rPr>
        <w:t>Corporate Transaction</w:t>
      </w:r>
      <w:r>
        <w:rPr>
          <w:rFonts w:ascii="Times New Roman" w:cs="Times New Roman" w:eastAsia="Times New Roman" w:hAnsi="Times New Roman"/>
          <w:sz w:val="18"/>
          <w:szCs w:val="18"/>
          <w:color w:val="auto"/>
        </w:rPr>
        <w:t>”), the Committee or the Board may in its discretion make such substitutions or adjustments as it deems appropriate and equitable to (A) the aggregate number and kind of Shares or</w:t>
      </w:r>
    </w:p>
    <w:p>
      <w:pPr>
        <w:spacing w:after="0" w:line="1" w:lineRule="exact"/>
        <w:rPr>
          <w:sz w:val="20"/>
          <w:szCs w:val="20"/>
          <w:color w:val="auto"/>
        </w:rPr>
      </w:pPr>
    </w:p>
    <w:p>
      <w:pPr>
        <w:jc w:val="both"/>
        <w:ind w:left="1020" w:right="20"/>
        <w:spacing w:after="0" w:line="250" w:lineRule="auto"/>
        <w:rPr>
          <w:sz w:val="20"/>
          <w:szCs w:val="20"/>
          <w:color w:val="auto"/>
        </w:rPr>
      </w:pPr>
      <w:r>
        <w:rPr>
          <w:rFonts w:ascii="Times New Roman" w:cs="Times New Roman" w:eastAsia="Times New Roman" w:hAnsi="Times New Roman"/>
          <w:sz w:val="18"/>
          <w:szCs w:val="18"/>
          <w:color w:val="auto"/>
        </w:rPr>
        <w:t>other securities reserved for issuance and delivery under this Plan, (B) the various maximum limitations set forth in Sections 4(a) and 4(b) upon certain types of Awards and upon the grants to individuals of certain types of Awards, (C) the number and kind of Shares or other securities subject to outstanding Awards; and (D) the exercise price of outstanding Options and SARs.</w:t>
      </w:r>
    </w:p>
    <w:p>
      <w:pPr>
        <w:jc w:val="center"/>
        <w:spacing w:after="0" w:line="206" w:lineRule="auto"/>
        <w:rPr>
          <w:sz w:val="20"/>
          <w:szCs w:val="20"/>
          <w:color w:val="auto"/>
        </w:rPr>
      </w:pPr>
      <w:r>
        <w:rPr>
          <w:rFonts w:ascii="Calibri" w:cs="Calibri" w:eastAsia="Calibri" w:hAnsi="Calibri"/>
          <w:sz w:val="20"/>
          <w:szCs w:val="20"/>
          <w:color w:val="auto"/>
        </w:rPr>
        <w:t>E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582295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134" w:name="page135"/>
    <w:bookmarkEnd w:id="134"/>
    <w:p>
      <w:pPr>
        <w:ind w:left="10180"/>
        <w:spacing w:after="0"/>
        <w:rPr>
          <w:sz w:val="20"/>
          <w:szCs w:val="20"/>
          <w:color w:val="auto"/>
        </w:rPr>
      </w:pPr>
      <w:r>
        <w:rPr>
          <w:rFonts w:ascii="Calibri" w:cs="Calibri" w:eastAsia="Calibri" w:hAnsi="Calibri"/>
          <w:sz w:val="20"/>
          <w:szCs w:val="20"/>
          <w:color w:val="auto"/>
        </w:rPr>
        <w:t>Exhibit 10.21</w:t>
      </w:r>
    </w:p>
    <w:p>
      <w:pPr>
        <w:spacing w:after="0" w:line="200" w:lineRule="exact"/>
        <w:rPr>
          <w:sz w:val="20"/>
          <w:szCs w:val="20"/>
          <w:color w:val="auto"/>
        </w:rPr>
      </w:pPr>
    </w:p>
    <w:p>
      <w:pPr>
        <w:spacing w:after="0" w:line="273" w:lineRule="exact"/>
        <w:rPr>
          <w:sz w:val="20"/>
          <w:szCs w:val="20"/>
          <w:color w:val="auto"/>
        </w:rPr>
      </w:pPr>
    </w:p>
    <w:p>
      <w:pPr>
        <w:jc w:val="both"/>
        <w:ind w:left="1020" w:firstLine="515"/>
        <w:spacing w:after="0" w:line="256" w:lineRule="auto"/>
        <w:tabs>
          <w:tab w:leader="none" w:pos="2126"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stock dividend, stock split, reverse stock split, separation, spinoff, reorganization, extraordinary dividend of cash or other property, share combination, or recapitalization or similar event affecting the capital structure of the Company (each, a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Change</w:t>
      </w:r>
      <w:r>
        <w:rPr>
          <w:rFonts w:ascii="Times New Roman" w:cs="Times New Roman" w:eastAsia="Times New Roman" w:hAnsi="Times New Roman"/>
          <w:sz w:val="18"/>
          <w:szCs w:val="18"/>
          <w:color w:val="auto"/>
        </w:rPr>
        <w:t>”), the Committee or the Board shall make such substitutions or adjustments as it deems appropriate and equitable to (A) the aggregate number and kind of Shares or other securities reserved for issuance and delivery under this Plan, (B) the maximum limitations set forth in Sections 4(a) and 4(b) upon certain types of Awards and upon the grants to individuals of certain types of Awards, the number and kind of Shares or other securities subject to outstanding Awards; and (C) the exercise price of outstanding Options and SARs.</w:t>
      </w:r>
    </w:p>
    <w:p>
      <w:pPr>
        <w:spacing w:after="0" w:line="185" w:lineRule="exact"/>
        <w:rPr>
          <w:rFonts w:ascii="Times New Roman" w:cs="Times New Roman" w:eastAsia="Times New Roman" w:hAnsi="Times New Roman"/>
          <w:sz w:val="18"/>
          <w:szCs w:val="18"/>
          <w:color w:val="auto"/>
        </w:rPr>
      </w:pPr>
    </w:p>
    <w:p>
      <w:pPr>
        <w:jc w:val="both"/>
        <w:ind w:left="1020" w:firstLine="515"/>
        <w:spacing w:after="0" w:line="266" w:lineRule="auto"/>
        <w:tabs>
          <w:tab w:leader="none" w:pos="2125" w:val="left"/>
        </w:tabs>
        <w:numPr>
          <w:ilvl w:val="2"/>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Corporate Transactions, the adjustments contemplated by clause (i) of this paragraph (d) may include, without limitation, any of the following, as determined by the Committee: (A) the cancellation of outstanding Awards in exchange for payments of cash, property or a combination thereof having an aggregate value equal to the value of such Awards, as determined by the Committee or the Board in its sole discretion (it being understood that in the case of a Corporate Transaction with respect to which holders of Common Stock receive consideration other than publicly traded equity securities of the ultimate surviving entity, any such determination by the Committee that the value of an Option or SAR shall for this purpose be deemed to equal the excess, if any, of the value of the consideration being paid for each Share pursuant to such Corporate Transaction over the exercise price of such Option or SAR shall conclusively be deemed valid); provided, however, that if the exercise price of an Option or SAR exceeds the value of such Award, such Award may be canceled for no consideration; (B) the substitution, assumption or replacement of other property (including, without limitation, cash or other securities of the Company and securities of entities other than the Company) for the Shares subject to outstanding Awards; (C) in connection with any Disaffiliation, arranging for the assumption of Awards, or replacement of Awards with new awards based on other property or other securities (including, without limitation, other securities of the Company and securities of entities other than the Company), by the affected Subsidiary, Affiliate, or division or by the entity that controls such Subsidiary, Affiliate, or division following such Disaffiliation (as well as any corresponding adjustments to Awards that remain based upon Company securities); (D) the termination of all outstanding and unexercised Options or SARs, effective as of the date of the Corporate Transaction, by delivering notice of termination to each Participant at least twenty</w:t>
      </w:r>
    </w:p>
    <w:p>
      <w:pPr>
        <w:spacing w:after="0" w:line="4" w:lineRule="exact"/>
        <w:rPr>
          <w:rFonts w:ascii="Times New Roman" w:cs="Times New Roman" w:eastAsia="Times New Roman" w:hAnsi="Times New Roman"/>
          <w:sz w:val="17"/>
          <w:szCs w:val="17"/>
          <w:color w:val="auto"/>
        </w:rPr>
      </w:pPr>
    </w:p>
    <w:p>
      <w:pPr>
        <w:jc w:val="both"/>
        <w:ind w:left="1020" w:firstLine="6"/>
        <w:spacing w:after="0" w:line="252" w:lineRule="auto"/>
        <w:tabs>
          <w:tab w:leader="none" w:pos="1365"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to the date of consummation of the Corporate Transaction, in which case during the period from the date on which such notice of termination is delivered to the consummation of the Corporation Transaction, each such Participant shall have the right to exercise in full all of such Participant’s Awards that are then outstanding (without regard to any limitations on exercisability otherwise contained in the Award Agreements), but any such exercise shall be contingent on the occurrence of the Corporate Transaction, and, provided that, if the Corporation Transaction does not take place within a specified period after giving such notice for any reason whatsoever, the notice and exercise pursuant thereto shall be null and void; and (F) the acceleration of vesting or lapse of restrictions, of an Award at any time.</w:t>
      </w:r>
    </w:p>
    <w:p>
      <w:pPr>
        <w:spacing w:after="0" w:line="187" w:lineRule="exact"/>
        <w:rPr>
          <w:rFonts w:ascii="Times New Roman" w:cs="Times New Roman" w:eastAsia="Times New Roman" w:hAnsi="Times New Roman"/>
          <w:sz w:val="18"/>
          <w:szCs w:val="18"/>
          <w:color w:val="auto"/>
        </w:rPr>
      </w:pPr>
    </w:p>
    <w:p>
      <w:pPr>
        <w:ind w:left="2060" w:hanging="525"/>
        <w:spacing w:after="0"/>
        <w:tabs>
          <w:tab w:leader="none" w:pos="206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adjustment under this Section 4(d) need not be the same for all Participants.</w:t>
      </w:r>
    </w:p>
    <w:p>
      <w:pPr>
        <w:spacing w:after="0" w:line="224" w:lineRule="exact"/>
        <w:rPr>
          <w:rFonts w:ascii="Times New Roman" w:cs="Times New Roman" w:eastAsia="Times New Roman" w:hAnsi="Times New Roman"/>
          <w:sz w:val="18"/>
          <w:szCs w:val="18"/>
          <w:color w:val="auto"/>
        </w:rPr>
      </w:pPr>
    </w:p>
    <w:p>
      <w:pPr>
        <w:jc w:val="both"/>
        <w:ind w:left="1020" w:firstLine="515"/>
        <w:spacing w:after="0" w:line="255" w:lineRule="auto"/>
        <w:tabs>
          <w:tab w:leader="none" w:pos="2254"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adjustments made pursuant to this Section 4(d) to Awards that are considered “deferred compensation” within the meaning of Section 409A of the Code shall be made in compliance with the requirements of Section 409A of the Code. Any adjustments made pursuant to this Section 4(d) to Awards that are not considered “deferred compensation” subject to Section 409A of the Code shall be made in such a manner as to ensure that after such adjustment, the Awards either (A) continue not to be subject to Section 409A of the Code or (B) comply with the requirements of Section 409A of the Code. In any event, neither the Committee nor the Board shall have the authority to make any adjustments pursuant to this Section 4(d) to the extent the existence of such authority would cause an Award that is not intended to be subject to Section 409A of the Code at the Grant Date to be subject thereto.</w:t>
      </w:r>
    </w:p>
    <w:p>
      <w:pPr>
        <w:spacing w:after="0" w:line="186" w:lineRule="exact"/>
        <w:rPr>
          <w:rFonts w:ascii="Times New Roman" w:cs="Times New Roman" w:eastAsia="Times New Roman" w:hAnsi="Times New Roman"/>
          <w:sz w:val="18"/>
          <w:szCs w:val="18"/>
          <w:color w:val="auto"/>
        </w:rPr>
      </w:pPr>
    </w:p>
    <w:p>
      <w:pPr>
        <w:jc w:val="both"/>
        <w:ind w:firstLine="517"/>
        <w:spacing w:after="0" w:line="252" w:lineRule="auto"/>
        <w:tabs>
          <w:tab w:leader="none" w:pos="116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In connection with an entity’s merger or consolidation with the Company or the Company’s acquisition of an entity’s property or stock, the Committee may grant Awards in substitution for any options or other stock or stock-based awards granted before such merger or consolidation by such entity or its affiliate (“</w:t>
      </w: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Substitute Awards may be granted on such terms as the Committee deems appropriate, notwithstanding limitations on Awards in this Plan. Substitute Awards will not count against the Shares authorized for grant under this Plan (nor shall Shares subject to a Substitute Award be added to the Shares available for Awards under this Plan as provided under Section 4(a) above), except that Shares acquired by exercise of substitute Incentive Stock Options will count against the maximum number of Shares that may be issued pursuant to the exercise of Incentive Stock Options under this Plan, as set forth in Section 4(a) above. Additionally, in the event that a Person acquired by the Company or any Subsidiary or with which the Company or any Subsidiary combines has shares available under a pre-existing plan approved by stockholders and not adopted in contemplation of such acquisition or combination, the shares available for grants pursuant to the terms of such pre-existing plan (as adjusted, to the extent appropriate, using the exchange ratio or other adjustment or valuation ratio or formula used in such acquisition or combination to determine the</w:t>
      </w:r>
    </w:p>
    <w:p>
      <w:pPr>
        <w:spacing w:after="0" w:line="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consideration payable to the holders of common stock of the entities party to such acquisition or combination) may be used for Awards under this Plan and shall not reduce the Shares authorized for grant under this Plan (and Shares subject to such Awards shall not be added to the Shares available for Awards under this Plan as provided under Section 4(a) above);</w:t>
      </w:r>
    </w:p>
    <w:p>
      <w:pPr>
        <w:jc w:val="center"/>
        <w:spacing w:after="0" w:line="206" w:lineRule="auto"/>
        <w:rPr>
          <w:sz w:val="20"/>
          <w:szCs w:val="20"/>
          <w:color w:val="auto"/>
        </w:rPr>
      </w:pPr>
      <w:r>
        <w:rPr>
          <w:rFonts w:ascii="Calibri" w:cs="Calibri" w:eastAsia="Calibri" w:hAnsi="Calibri"/>
          <w:sz w:val="20"/>
          <w:szCs w:val="20"/>
          <w:color w:val="auto"/>
        </w:rPr>
        <w:t>E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582295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135" w:name="page136"/>
    <w:bookmarkEnd w:id="135"/>
    <w:p>
      <w:pPr>
        <w:ind w:left="10180"/>
        <w:spacing w:after="0"/>
        <w:rPr>
          <w:sz w:val="20"/>
          <w:szCs w:val="20"/>
          <w:color w:val="auto"/>
        </w:rPr>
      </w:pPr>
      <w:r>
        <w:rPr>
          <w:rFonts w:ascii="Calibri" w:cs="Calibri" w:eastAsia="Calibri" w:hAnsi="Calibri"/>
          <w:sz w:val="20"/>
          <w:szCs w:val="20"/>
          <w:color w:val="auto"/>
        </w:rPr>
        <w:t>Exhibit 10.21</w:t>
      </w:r>
    </w:p>
    <w:p>
      <w:pPr>
        <w:spacing w:after="0" w:line="200" w:lineRule="exact"/>
        <w:rPr>
          <w:sz w:val="20"/>
          <w:szCs w:val="20"/>
          <w:color w:val="auto"/>
        </w:rPr>
      </w:pPr>
    </w:p>
    <w:p>
      <w:pPr>
        <w:spacing w:after="0" w:line="27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provided that Awards using such available shares shall not be made after the date awards or grants could have been made under the terms of the pre-existing plan, absent the acquisition or combination, and shall only be made to individuals who were not Eligible Individuals prior to such acquisition or combination.</w:t>
      </w:r>
    </w:p>
    <w:p>
      <w:pPr>
        <w:spacing w:after="0" w:line="177" w:lineRule="exact"/>
        <w:rPr>
          <w:sz w:val="20"/>
          <w:szCs w:val="20"/>
          <w:color w:val="auto"/>
        </w:rPr>
      </w:pPr>
    </w:p>
    <w:p>
      <w:pPr>
        <w:jc w:val="both"/>
        <w:ind w:firstLine="517"/>
        <w:spacing w:after="0" w:line="265" w:lineRule="auto"/>
        <w:tabs>
          <w:tab w:leader="none" w:pos="11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Vesting Schedule</w:t>
      </w:r>
      <w:r>
        <w:rPr>
          <w:rFonts w:ascii="Times New Roman" w:cs="Times New Roman" w:eastAsia="Times New Roman" w:hAnsi="Times New Roman"/>
          <w:sz w:val="18"/>
          <w:szCs w:val="18"/>
          <w:color w:val="auto"/>
        </w:rPr>
        <w:t>. A vesting period of at least one (1) year shall apply to all Awards issued under this Plan; provided, that up to five percent (5%) of the Shares reserved for issuance under this Plan as of the Effective Date may be issued pursuant to Awards that do not comply with such minimum one (1) year vesting period.</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SECTION 5. ELIGIBILITY</w:t>
      </w:r>
    </w:p>
    <w:p>
      <w:pPr>
        <w:spacing w:after="0" w:line="229"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 xml:space="preserve">Awards may be granted under this Plan to Eligible Individuals;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Incentive Stock Options may be granted only to employees of the Company and its subsidiaries or parent corporation (within the meaning of Section 424(f) of the Code).</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SECTION 6. OPTIONS AND STOCK APPRECIATION RIGHTS</w:t>
      </w:r>
    </w:p>
    <w:p>
      <w:pPr>
        <w:spacing w:after="0" w:line="229" w:lineRule="exact"/>
        <w:rPr>
          <w:sz w:val="20"/>
          <w:szCs w:val="20"/>
          <w:color w:val="auto"/>
        </w:rPr>
      </w:pPr>
    </w:p>
    <w:p>
      <w:pPr>
        <w:ind w:firstLine="517"/>
        <w:spacing w:after="0" w:line="281" w:lineRule="auto"/>
        <w:tabs>
          <w:tab w:leader="none" w:pos="116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Types of Options</w:t>
      </w:r>
      <w:r>
        <w:rPr>
          <w:rFonts w:ascii="Times New Roman" w:cs="Times New Roman" w:eastAsia="Times New Roman" w:hAnsi="Times New Roman"/>
          <w:sz w:val="18"/>
          <w:szCs w:val="18"/>
          <w:color w:val="auto"/>
        </w:rPr>
        <w:t>. Options may be of two types: Incentive Stock Options and Nonqualified Stock Options. The Award Agreement for an Option shall indicate whether the Option is intended to be an Incentive Stock Option or a Nonqualified Stock Option.</w:t>
      </w:r>
    </w:p>
    <w:p>
      <w:pPr>
        <w:spacing w:after="0" w:line="162" w:lineRule="exact"/>
        <w:rPr>
          <w:rFonts w:ascii="Times New Roman" w:cs="Times New Roman" w:eastAsia="Times New Roman" w:hAnsi="Times New Roman"/>
          <w:sz w:val="18"/>
          <w:szCs w:val="18"/>
          <w:color w:val="auto"/>
        </w:rPr>
      </w:pPr>
    </w:p>
    <w:p>
      <w:pPr>
        <w:jc w:val="both"/>
        <w:ind w:firstLine="517"/>
        <w:spacing w:after="0" w:line="256" w:lineRule="auto"/>
        <w:tabs>
          <w:tab w:leader="none" w:pos="112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Types and Nature of SARs</w:t>
      </w:r>
      <w:r>
        <w:rPr>
          <w:rFonts w:ascii="Times New Roman" w:cs="Times New Roman" w:eastAsia="Times New Roman" w:hAnsi="Times New Roman"/>
          <w:sz w:val="18"/>
          <w:szCs w:val="18"/>
          <w:color w:val="auto"/>
        </w:rPr>
        <w:t>. SARs may be “Tandem SARs,” which are granted in conjunction with an Option, or “Free-Standing SARs,” which are not granted in conjunction with an Option. Upon the exercise of an SAR, the Participant shall be entitled to receive an amount in cash, Shares, or both, in value equal to the product of (i) the excess of the Fair Market Value of one Share over the exercise price of the applicable SAR, multiplied by (ii) the number of Shares in respect of which the SAR has been exercised. The applicable Award Agreement shall specify whether such payment is to be made in cash or Common Stock or both, or shall reserve to the Committee or the Participant the right to make that determination prior to or upon the exercise of the SAR.</w:t>
      </w:r>
    </w:p>
    <w:p>
      <w:pPr>
        <w:spacing w:after="0" w:line="185" w:lineRule="exact"/>
        <w:rPr>
          <w:rFonts w:ascii="Times New Roman" w:cs="Times New Roman" w:eastAsia="Times New Roman" w:hAnsi="Times New Roman"/>
          <w:sz w:val="18"/>
          <w:szCs w:val="18"/>
          <w:color w:val="auto"/>
        </w:rPr>
      </w:pPr>
    </w:p>
    <w:p>
      <w:pPr>
        <w:jc w:val="both"/>
        <w:ind w:firstLine="517"/>
        <w:spacing w:after="0" w:line="260" w:lineRule="auto"/>
        <w:tabs>
          <w:tab w:leader="none" w:pos="113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Tandem SARs</w:t>
      </w:r>
      <w:r>
        <w:rPr>
          <w:rFonts w:ascii="Times New Roman" w:cs="Times New Roman" w:eastAsia="Times New Roman" w:hAnsi="Times New Roman"/>
          <w:sz w:val="18"/>
          <w:szCs w:val="18"/>
          <w:color w:val="auto"/>
        </w:rPr>
        <w:t>. A Tandem SAR may be granted at the Grant Date of the related Option. A Tandem SAR shall be exercisable only at such time or times and to the extent that the related Option is exercisable in accordance with the provisions of this Section 6, and shall have the same exercise price as the related Option. A Tandem SAR shall terminate or be forfeited upon the exercise or forfeiture of the related Option, and the related Option shall terminate or be forfeited upon the exercise or forfeiture of the Tandem SAR.</w:t>
      </w:r>
    </w:p>
    <w:p>
      <w:pPr>
        <w:spacing w:after="0" w:line="181" w:lineRule="exact"/>
        <w:rPr>
          <w:rFonts w:ascii="Times New Roman" w:cs="Times New Roman" w:eastAsia="Times New Roman" w:hAnsi="Times New Roman"/>
          <w:sz w:val="18"/>
          <w:szCs w:val="18"/>
          <w:color w:val="auto"/>
        </w:rPr>
      </w:pPr>
    </w:p>
    <w:p>
      <w:pPr>
        <w:jc w:val="both"/>
        <w:ind w:firstLine="517"/>
        <w:spacing w:after="0" w:line="255" w:lineRule="auto"/>
        <w:tabs>
          <w:tab w:leader="none" w:pos="104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subject to an Option or Free- Standing SAR shall be determined by the Committee and set forth in the applicable Award Agreement, and shall not be less than 100% (or, in the case of an Incentive Stock Option granted to a Ten Percent Stockholder, 110%) of the Fair Market Value of a share of the Common Stock on the applicable Grant Date. In no event may any Option or Free-Standing SAR granted under this Plan be amended, other than pursuant to Section 4(d), to decrease the exercise price thereof, be canceled in conjunction with the grant of any new Option or Free-Standing SAR with a lower exercise price, be canceled for cash or other Award or otherwise be subject to any action that would be treated, for accounting purposes or under the applicable listing standards of the Applicable Exchange, as a “repricing” of such Option or Free-Standing SAR, unless such amendment, cancellation, or action is approved by the Company’s stockholders.</w:t>
      </w:r>
    </w:p>
    <w:p>
      <w:pPr>
        <w:spacing w:after="0" w:line="186" w:lineRule="exact"/>
        <w:rPr>
          <w:rFonts w:ascii="Times New Roman" w:cs="Times New Roman" w:eastAsia="Times New Roman" w:hAnsi="Times New Roman"/>
          <w:sz w:val="18"/>
          <w:szCs w:val="18"/>
          <w:color w:val="auto"/>
        </w:rPr>
      </w:pPr>
    </w:p>
    <w:p>
      <w:pPr>
        <w:jc w:val="both"/>
        <w:ind w:firstLine="517"/>
        <w:spacing w:after="0" w:line="243" w:lineRule="auto"/>
        <w:tabs>
          <w:tab w:leader="none" w:pos="108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of each Option and each Free-Standing SAR shall be fixed by the Committee, but shall not exceed ten years from the Grant Date (or, in the case of an Incentive Stock Option granted to a Ten Percent Stockholder, five years from the Grant Date). Notwithstanding the foregoing, if, by its terms, an Option, other than an Incentive Stock Option, would expire when trading in Shares is otherwise prohibited by law or by the Company’s Insider Trading Policy, as such may be amended from time to time, then the term of the Option will be automatically extended until the close of trading on the 30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trading day following the expiration of such prohibition; provided, that, in no event will the Option be extended beyond ten years from the Grant Date.</w:t>
      </w:r>
    </w:p>
    <w:p>
      <w:pPr>
        <w:spacing w:after="0" w:line="196" w:lineRule="exact"/>
        <w:rPr>
          <w:rFonts w:ascii="Times New Roman" w:cs="Times New Roman" w:eastAsia="Times New Roman" w:hAnsi="Times New Roman"/>
          <w:sz w:val="18"/>
          <w:szCs w:val="18"/>
          <w:color w:val="auto"/>
        </w:rPr>
      </w:pPr>
    </w:p>
    <w:p>
      <w:pPr>
        <w:jc w:val="both"/>
        <w:ind w:firstLine="517"/>
        <w:spacing w:after="0" w:line="256" w:lineRule="auto"/>
        <w:tabs>
          <w:tab w:leader="none" w:pos="107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and Exercisability</w:t>
      </w:r>
      <w:r>
        <w:rPr>
          <w:rFonts w:ascii="Times New Roman" w:cs="Times New Roman" w:eastAsia="Times New Roman" w:hAnsi="Times New Roman"/>
          <w:sz w:val="18"/>
          <w:szCs w:val="18"/>
          <w:color w:val="auto"/>
        </w:rPr>
        <w:t>. Except as otherwise provided herein, Options and Free-Standing SARs shall be exercisable at such time or times and subject to such terms and conditions as shall be determined by the Committee. If the Committee provides that any Option or Free-Standing SAR will become exercisable only in installments, the Committee may at any time waive such installment exercise provisions, in whole or in part, based on such factors as the Committee may determine. In addition, the Committee may at any time accelerate the exercisability of any Option or Free-Standing SAR. In the event of a temporary absence exceeding 90 days, the Company shall have authority to suspend the vesting period for such period of time and on such terms as management of the Company shall deem appropriate.</w:t>
      </w:r>
    </w:p>
    <w:p>
      <w:pPr>
        <w:spacing w:after="0" w:line="185" w:lineRule="exact"/>
        <w:rPr>
          <w:rFonts w:ascii="Times New Roman" w:cs="Times New Roman" w:eastAsia="Times New Roman" w:hAnsi="Times New Roman"/>
          <w:sz w:val="18"/>
          <w:szCs w:val="18"/>
          <w:color w:val="auto"/>
        </w:rPr>
      </w:pPr>
    </w:p>
    <w:p>
      <w:pPr>
        <w:jc w:val="both"/>
        <w:ind w:firstLine="517"/>
        <w:spacing w:after="0" w:line="257" w:lineRule="auto"/>
        <w:tabs>
          <w:tab w:leader="none" w:pos="108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Subject to the provisions of this Section 6, Options and Free-Standing SARs may be exercised, in whole or in part, at any time during the applicable Term by giving written notice of exercise to the Company or through the procedures established with the Company’s appointed third-party Option administrator specifying the number of Shares as to which the Option or</w:t>
      </w:r>
    </w:p>
    <w:p>
      <w:pPr>
        <w:sectPr>
          <w:pgSz w:w="11900" w:h="16838" w:orient="portrait"/>
          <w:cols w:equalWidth="0" w:num="1">
            <w:col w:w="11240"/>
          </w:cols>
          <w:pgMar w:left="320" w:top="752" w:right="339" w:bottom="1440" w:gutter="0" w:footer="0" w:header="0"/>
        </w:sectPr>
      </w:pPr>
    </w:p>
    <w:p>
      <w:pPr>
        <w:jc w:val="center"/>
        <w:spacing w:after="0" w:line="206" w:lineRule="auto"/>
        <w:rPr>
          <w:sz w:val="20"/>
          <w:szCs w:val="20"/>
          <w:color w:val="auto"/>
        </w:rPr>
      </w:pPr>
      <w:r>
        <w:rPr>
          <w:rFonts w:ascii="Calibri" w:cs="Calibri" w:eastAsia="Calibri" w:hAnsi="Calibri"/>
          <w:sz w:val="20"/>
          <w:szCs w:val="20"/>
          <w:color w:val="auto"/>
        </w:rPr>
        <w:t>E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582295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type w:val="continuous"/>
        </w:sectPr>
      </w:pPr>
    </w:p>
    <w:bookmarkStart w:id="136" w:name="page137"/>
    <w:bookmarkEnd w:id="136"/>
    <w:p>
      <w:pPr>
        <w:ind w:left="10180"/>
        <w:spacing w:after="0"/>
        <w:rPr>
          <w:sz w:val="20"/>
          <w:szCs w:val="20"/>
          <w:color w:val="auto"/>
        </w:rPr>
      </w:pPr>
      <w:r>
        <w:rPr>
          <w:rFonts w:ascii="Calibri" w:cs="Calibri" w:eastAsia="Calibri" w:hAnsi="Calibri"/>
          <w:sz w:val="20"/>
          <w:szCs w:val="20"/>
          <w:color w:val="auto"/>
        </w:rPr>
        <w:t>Exhibit 10.21</w:t>
      </w:r>
    </w:p>
    <w:p>
      <w:pPr>
        <w:spacing w:after="0" w:line="200" w:lineRule="exact"/>
        <w:rPr>
          <w:sz w:val="20"/>
          <w:szCs w:val="20"/>
          <w:color w:val="auto"/>
        </w:rPr>
      </w:pPr>
    </w:p>
    <w:p>
      <w:pPr>
        <w:spacing w:after="0" w:line="2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Free-Standing SAR is being exercised;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unless otherwise permitted by the Committee, any such exercise must be with respect to a portion of the applicable Option or Free-Standing SAR relating to no less than the lesser of the number of Shares then subject to such Option or Free-Standing SAR or 100 Shares. In the case of the exercise of an Option, such notice shall be accompanied by payment in full of the purchase price (which shall equal the product of such number of Shares multiplied by the applicable exercise price) by certified or bank check or such other instrument as the Company may accept. If approved by the Committee, payment, in full or in part, may also be made as follows:</w:t>
      </w:r>
    </w:p>
    <w:p>
      <w:pPr>
        <w:spacing w:after="0" w:line="182" w:lineRule="exact"/>
        <w:rPr>
          <w:sz w:val="20"/>
          <w:szCs w:val="20"/>
          <w:color w:val="auto"/>
        </w:rPr>
      </w:pPr>
    </w:p>
    <w:p>
      <w:pPr>
        <w:jc w:val="both"/>
        <w:ind w:left="1020" w:firstLine="515"/>
        <w:spacing w:after="0" w:line="260" w:lineRule="auto"/>
        <w:tabs>
          <w:tab w:leader="none" w:pos="206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Payments may be made in the form of unrestricted Shares (by delivery of such Shares or by attestation) of the same class as the Common Stock subject to the Option already owned by the Participant (based on the Fair Market Value of the Common Stock on the date the Option is exercised);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an Incentive Stock Option, the right to make a payment in the form of already owned Shares of the same class as the Common Stock subject to the Option may be authorized only at the time the Option is granted.</w:t>
      </w:r>
    </w:p>
    <w:p>
      <w:pPr>
        <w:spacing w:after="0" w:line="181" w:lineRule="exact"/>
        <w:rPr>
          <w:rFonts w:ascii="Times New Roman" w:cs="Times New Roman" w:eastAsia="Times New Roman" w:hAnsi="Times New Roman"/>
          <w:sz w:val="18"/>
          <w:szCs w:val="18"/>
          <w:color w:val="auto"/>
        </w:rPr>
      </w:pPr>
    </w:p>
    <w:p>
      <w:pPr>
        <w:jc w:val="both"/>
        <w:ind w:left="1020" w:firstLine="515"/>
        <w:spacing w:after="0" w:line="256" w:lineRule="auto"/>
        <w:tabs>
          <w:tab w:leader="none" w:pos="218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payment may be made by delivering a properly executed exercise notice to the Company, together with a copy of irrevocable instructions to a broker to deliver promptly to the Company the amount of sale or loan proceeds necessary to pay the purchase price, and, if requested, the amount of any federal, state, local or foreign withholding taxes. To facilitate the foregoing, the Company may, to the extent permitted by applicable law, enter into agreements for coordinated procedures with one or more brokerage firms. To the extent permitted by applicable law, the Committee may also provide for Company loans to be made for purposes of the exercise of Options.</w:t>
      </w:r>
    </w:p>
    <w:p>
      <w:pPr>
        <w:spacing w:after="0" w:line="185" w:lineRule="exact"/>
        <w:rPr>
          <w:rFonts w:ascii="Times New Roman" w:cs="Times New Roman" w:eastAsia="Times New Roman" w:hAnsi="Times New Roman"/>
          <w:sz w:val="18"/>
          <w:szCs w:val="18"/>
          <w:color w:val="auto"/>
        </w:rPr>
      </w:pPr>
    </w:p>
    <w:p>
      <w:pPr>
        <w:jc w:val="both"/>
        <w:ind w:left="1020" w:firstLine="515"/>
        <w:spacing w:after="0" w:line="260" w:lineRule="auto"/>
        <w:tabs>
          <w:tab w:leader="none" w:pos="21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Options that are not Incentive Stock Options, payment may be made by “net exercise” arrangement, pursuant to which a Participant instructs the Committee to withhold a whole number of Shares having a Fair Market Value (based on the Fair Market Value of the Common Stock on the date the applicable Option is exercised) equal to the product of (A) the exercise price multiplied by (B) the number of Shares in respect of which the Option shall have been exercised.</w:t>
      </w:r>
    </w:p>
    <w:p>
      <w:pPr>
        <w:spacing w:after="0" w:line="181" w:lineRule="exact"/>
        <w:rPr>
          <w:rFonts w:ascii="Times New Roman" w:cs="Times New Roman" w:eastAsia="Times New Roman" w:hAnsi="Times New Roman"/>
          <w:sz w:val="18"/>
          <w:szCs w:val="18"/>
          <w:color w:val="auto"/>
        </w:rPr>
      </w:pPr>
    </w:p>
    <w:p>
      <w:pPr>
        <w:jc w:val="both"/>
        <w:ind w:firstLine="517"/>
        <w:spacing w:after="0" w:line="258" w:lineRule="auto"/>
        <w:tabs>
          <w:tab w:leader="none" w:pos="103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Rights of Stockholders</w:t>
      </w:r>
      <w:r>
        <w:rPr>
          <w:rFonts w:ascii="Times New Roman" w:cs="Times New Roman" w:eastAsia="Times New Roman" w:hAnsi="Times New Roman"/>
          <w:sz w:val="18"/>
          <w:szCs w:val="18"/>
          <w:color w:val="auto"/>
        </w:rPr>
        <w:t>. No Shares shall be delivered pursuant to the exercise of an Option until the exercise price therefor has been fully paid and applicable taxes have been withheld. The applicable Participant shall have all of the rights of a stockholder of the Company holding the class or series of Common Stock that is subject to the Option or SAR (including, if applicable, the right to vote the applicable Shares and the right to receive dividends), when the Participant (i) has given written notice of exercise, (ii) if requested, has given the representation described in Section 16(a), and (iii) in the case of an Option, has paid in full for such Shares.</w:t>
      </w:r>
    </w:p>
    <w:p>
      <w:pPr>
        <w:spacing w:after="0" w:line="181" w:lineRule="exact"/>
        <w:rPr>
          <w:rFonts w:ascii="Times New Roman" w:cs="Times New Roman" w:eastAsia="Times New Roman" w:hAnsi="Times New Roman"/>
          <w:sz w:val="18"/>
          <w:szCs w:val="18"/>
          <w:color w:val="auto"/>
        </w:rPr>
      </w:pPr>
    </w:p>
    <w:p>
      <w:pPr>
        <w:jc w:val="both"/>
        <w:ind w:firstLine="517"/>
        <w:spacing w:after="0" w:line="253" w:lineRule="auto"/>
        <w:tabs>
          <w:tab w:leader="none" w:pos="107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Nontransferability of Options and SARs</w:t>
      </w:r>
      <w:r>
        <w:rPr>
          <w:rFonts w:ascii="Times New Roman" w:cs="Times New Roman" w:eastAsia="Times New Roman" w:hAnsi="Times New Roman"/>
          <w:sz w:val="18"/>
          <w:szCs w:val="18"/>
          <w:color w:val="auto"/>
        </w:rPr>
        <w:t xml:space="preserve">. No Option or Free-Standing SAR shall be transferable by a Participant other than (i) by will or by the laws of descent and distribution, or (ii) in the case of a Nonqualified Stock Option or Free-Standing SAR, pursuant to a qualified domestic relations order or as otherwise expressly permitted by the Committee including, if so permitted, pursuant to a transfer to the Participant’s family members or to a charitable organization, whether directly or indirectly or by means of a trust or partnership or otherwise. For purposes of this Plan, unless otherwise determined by the Committee, “family member” shall have the meaning given to such term in General Instructions A.1(a)(5) to Form S-8 under the Securities Act and any successor thereto. A Tandem SAR shall be transferable only with the related Option as permitted by the preceding sentence. Any Option or SAR shall be exercisable, subject to the terms of this Plan, only by the applicable Participant, the guardian or legal representative of such Participant, or any person to whom such Option or SAR is permissibly transferred pursuant to this Section 6(i), it being understood that the term “Participant” includes such guardian, legal representative and other transferee;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term “Termination of Employment” shall continue to refer to the Termination of Employment of the original Participant.</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SECTION 7. RESTRICTED STOCK</w:t>
      </w:r>
    </w:p>
    <w:p>
      <w:pPr>
        <w:spacing w:after="0" w:line="229" w:lineRule="exact"/>
        <w:rPr>
          <w:sz w:val="20"/>
          <w:szCs w:val="20"/>
          <w:color w:val="auto"/>
        </w:rPr>
      </w:pPr>
    </w:p>
    <w:p>
      <w:pPr>
        <w:jc w:val="both"/>
        <w:ind w:firstLine="517"/>
        <w:spacing w:after="0" w:line="260" w:lineRule="auto"/>
        <w:tabs>
          <w:tab w:leader="none" w:pos="121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Awards and Certificates</w:t>
      </w:r>
      <w:r>
        <w:rPr>
          <w:rFonts w:ascii="Times New Roman" w:cs="Times New Roman" w:eastAsia="Times New Roman" w:hAnsi="Times New Roman"/>
          <w:sz w:val="18"/>
          <w:szCs w:val="18"/>
          <w:color w:val="auto"/>
        </w:rPr>
        <w:t>. Shares of Restricted Stock are actual Shares issued to a Participant, and shall be evidenced in such manner as the Committee may deem appropriate, including book-entry registration or issuance of one or more stock certificates. Any certificate issued in respect of Shares of Restricted Stock shall be registered in the name of the applicable Participant and shall bear an appropriate legend referring to the terms, conditions, and restrictions applicable to such Award, substantially in the following form:</w:t>
      </w:r>
    </w:p>
    <w:p>
      <w:pPr>
        <w:spacing w:after="0" w:line="182"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“The transferability of this certificate and the shares of stock represented hereby are subject to the terms and conditions (including forfeiture) of the Tripadvisor, Inc. 2023 Stock and Annual Incentive Plan and an Award Agreement. Copies of such Plan and Agreement are on file at the offices of TripAdvisor, Inc.”</w:t>
      </w:r>
    </w:p>
    <w:p>
      <w:pPr>
        <w:jc w:val="center"/>
        <w:spacing w:after="0" w:line="206" w:lineRule="auto"/>
        <w:rPr>
          <w:sz w:val="20"/>
          <w:szCs w:val="20"/>
          <w:color w:val="auto"/>
        </w:rPr>
      </w:pPr>
      <w:r>
        <w:rPr>
          <w:rFonts w:ascii="Calibri" w:cs="Calibri" w:eastAsia="Calibri" w:hAnsi="Calibri"/>
          <w:sz w:val="20"/>
          <w:szCs w:val="20"/>
          <w:color w:val="auto"/>
        </w:rPr>
        <w:t>E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582295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37" w:name="page138"/>
    <w:bookmarkEnd w:id="137"/>
    <w:p>
      <w:pPr>
        <w:ind w:left="10180"/>
        <w:spacing w:after="0"/>
        <w:rPr>
          <w:sz w:val="20"/>
          <w:szCs w:val="20"/>
          <w:color w:val="auto"/>
        </w:rPr>
      </w:pPr>
      <w:r>
        <w:rPr>
          <w:rFonts w:ascii="Calibri" w:cs="Calibri" w:eastAsia="Calibri" w:hAnsi="Calibri"/>
          <w:sz w:val="20"/>
          <w:szCs w:val="20"/>
          <w:color w:val="auto"/>
        </w:rPr>
        <w:t>Exhibit 10.21</w:t>
      </w:r>
    </w:p>
    <w:p>
      <w:pPr>
        <w:spacing w:after="0" w:line="200" w:lineRule="exact"/>
        <w:rPr>
          <w:sz w:val="20"/>
          <w:szCs w:val="20"/>
          <w:color w:val="auto"/>
        </w:rPr>
      </w:pPr>
    </w:p>
    <w:p>
      <w:pPr>
        <w:spacing w:after="0" w:line="273"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 Committee may require that the certificates evidencing such shares be held in custody by the Company until the restrictions thereon shall have lapsed and that, as a condition of any Award of Restricted Stock, the applicable Participant shall have delivered a stock power, endorsed in blank, relating to the Common Stock covered by such Award.</w:t>
      </w:r>
    </w:p>
    <w:p>
      <w:pPr>
        <w:spacing w:after="0" w:line="177" w:lineRule="exact"/>
        <w:rPr>
          <w:sz w:val="20"/>
          <w:szCs w:val="20"/>
          <w:color w:val="auto"/>
        </w:rPr>
      </w:pPr>
    </w:p>
    <w:p>
      <w:pPr>
        <w:ind w:left="1040" w:hanging="523"/>
        <w:spacing w:after="0"/>
        <w:tabs>
          <w:tab w:leader="none" w:pos="10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w:t>
      </w:r>
      <w:r>
        <w:rPr>
          <w:rFonts w:ascii="Times New Roman" w:cs="Times New Roman" w:eastAsia="Times New Roman" w:hAnsi="Times New Roman"/>
          <w:sz w:val="18"/>
          <w:szCs w:val="18"/>
          <w:color w:val="auto"/>
        </w:rPr>
        <w:t>. Shares of Restricted Stock shall be subject to the following terms and conditions:</w:t>
      </w:r>
    </w:p>
    <w:p>
      <w:pPr>
        <w:spacing w:after="0" w:line="224" w:lineRule="exact"/>
        <w:rPr>
          <w:rFonts w:ascii="Times New Roman" w:cs="Times New Roman" w:eastAsia="Times New Roman" w:hAnsi="Times New Roman"/>
          <w:sz w:val="18"/>
          <w:szCs w:val="18"/>
          <w:color w:val="auto"/>
        </w:rPr>
      </w:pPr>
    </w:p>
    <w:p>
      <w:pPr>
        <w:jc w:val="both"/>
        <w:ind w:left="1020" w:firstLine="515"/>
        <w:spacing w:after="0" w:line="255" w:lineRule="auto"/>
        <w:tabs>
          <w:tab w:leader="none" w:pos="2125"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prior to or at the time of grant, condition the vesting or transferability of an Award of Restricted Stock upon the continued service of the applicable Participant or the attainment of Performance Goals, or the attainment of Performance Goals and the continued service of the applicable Participant. In the event that the Committee conditions the grant or vesting of an Award of Restricted Stock upon the attainment of Performance Goals or the attainment of Performance Goals and the continued service of the applicable Participant, the Committee may, prior to or at the time of grant, designate such an Award as a Performance Award. The conditions for grant, vesting, or transferability and the other provisions of Restricted Stock Awards (including without limitation any Performance Goals) need not be the same with respect to each Participant.</w:t>
      </w:r>
    </w:p>
    <w:p>
      <w:pPr>
        <w:spacing w:after="0" w:line="186" w:lineRule="exact"/>
        <w:rPr>
          <w:rFonts w:ascii="Times New Roman" w:cs="Times New Roman" w:eastAsia="Times New Roman" w:hAnsi="Times New Roman"/>
          <w:sz w:val="18"/>
          <w:szCs w:val="18"/>
          <w:color w:val="auto"/>
        </w:rPr>
      </w:pPr>
    </w:p>
    <w:p>
      <w:pPr>
        <w:jc w:val="both"/>
        <w:ind w:left="1020" w:firstLine="515"/>
        <w:spacing w:after="0" w:line="260" w:lineRule="auto"/>
        <w:tabs>
          <w:tab w:leader="none" w:pos="2147"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Plan and the applicable Award Agreement, during the period, if any, set by the Committee, commencing with the date of such Restricted Stock Award for which such vesting restrictions apply and until the expiration of such vesting restrictions (the “</w:t>
      </w:r>
      <w:r>
        <w:rPr>
          <w:rFonts w:ascii="Times New Roman" w:cs="Times New Roman" w:eastAsia="Times New Roman" w:hAnsi="Times New Roman"/>
          <w:sz w:val="18"/>
          <w:szCs w:val="18"/>
          <w:u w:val="single" w:color="auto"/>
          <w:color w:val="auto"/>
        </w:rPr>
        <w:t>RS Restriction Period</w:t>
      </w:r>
      <w:r>
        <w:rPr>
          <w:rFonts w:ascii="Times New Roman" w:cs="Times New Roman" w:eastAsia="Times New Roman" w:hAnsi="Times New Roman"/>
          <w:sz w:val="18"/>
          <w:szCs w:val="18"/>
          <w:color w:val="auto"/>
        </w:rPr>
        <w:t>”), the Participant shall not be permitted to sell, assign, transfer, pledge or otherwise encumber Shares of Restricted Stock.</w:t>
      </w:r>
    </w:p>
    <w:p>
      <w:pPr>
        <w:spacing w:after="0" w:line="181" w:lineRule="exact"/>
        <w:rPr>
          <w:rFonts w:ascii="Times New Roman" w:cs="Times New Roman" w:eastAsia="Times New Roman" w:hAnsi="Times New Roman"/>
          <w:sz w:val="18"/>
          <w:szCs w:val="18"/>
          <w:color w:val="auto"/>
        </w:rPr>
      </w:pPr>
    </w:p>
    <w:p>
      <w:pPr>
        <w:jc w:val="both"/>
        <w:ind w:left="1020" w:firstLine="515"/>
        <w:spacing w:after="0" w:line="254" w:lineRule="auto"/>
        <w:tabs>
          <w:tab w:leader="none" w:pos="207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this Section 7 and in the applicable Award Agreement, the applicable Participant shall have, with respect to the Shares of Restricted Stock, all of the rights of a stockholder of the Company holding the class or series of Common Stock that is the subject of the Restricted Stock, including, if applicable, the right to vote the Shares and the right to receive any cash dividends. If so determined by the Committee in the applicable Award Agreement and subject to Section 16(e), (A) cash dividends on the class or series of Common Stock that is the subject of the Restricted Stock Award shall be automatically reinvested in additional Restricted Stock, held subject to the vesting of the underlying Restricted Stock, and (B) subject to any adjustment pursuant to Section 4(d), dividends payable in Common Stock shall be paid in the form of Restricted Stock of the same class as the Common Stock with which such dividend was paid, held subject to the vesting and forfeiture of the underlying Restricted Stock.</w:t>
      </w:r>
    </w:p>
    <w:p>
      <w:pPr>
        <w:spacing w:after="0" w:line="189" w:lineRule="exact"/>
        <w:rPr>
          <w:rFonts w:ascii="Times New Roman" w:cs="Times New Roman" w:eastAsia="Times New Roman" w:hAnsi="Times New Roman"/>
          <w:sz w:val="18"/>
          <w:szCs w:val="18"/>
          <w:color w:val="auto"/>
        </w:rPr>
      </w:pPr>
    </w:p>
    <w:p>
      <w:pPr>
        <w:jc w:val="both"/>
        <w:ind w:left="1020" w:firstLine="515"/>
        <w:spacing w:after="0" w:line="256" w:lineRule="auto"/>
        <w:tabs>
          <w:tab w:leader="none" w:pos="214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in the applicable Award Agreement, upon a Participant’s Termination of Employment for any reason (other than death) during the RS Restriction Period or before the applicable Performance Goals are satisfied, all Shares of Restricted Stock still subject to restriction shall be forfeited by such Participant; provided, however, the Committee shall have the discretion to waive, in whole or in part, any or all remaining restrictions with respect to any or all of such Participant’s Shares of Restricted Stock. Upon a Participant’s Termination of Employment by reason of death, during the RS Restriction Period or before the applicable Performance Goals are satisfied, all Shares of Restricted Stock reflected in the Participant’s account shall immediately and automatically vest.</w:t>
      </w:r>
    </w:p>
    <w:p>
      <w:pPr>
        <w:spacing w:after="0" w:line="185" w:lineRule="exact"/>
        <w:rPr>
          <w:rFonts w:ascii="Times New Roman" w:cs="Times New Roman" w:eastAsia="Times New Roman" w:hAnsi="Times New Roman"/>
          <w:sz w:val="18"/>
          <w:szCs w:val="18"/>
          <w:color w:val="auto"/>
        </w:rPr>
      </w:pPr>
    </w:p>
    <w:p>
      <w:pPr>
        <w:jc w:val="both"/>
        <w:ind w:left="1020" w:firstLine="515"/>
        <w:spacing w:after="0" w:line="265" w:lineRule="auto"/>
        <w:tabs>
          <w:tab w:leader="none" w:pos="208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any applicable Performance Goals are satisfied and the RS Restriction Period expires without a prior forfeiture of the Shares of Restricted Stock for which legended certificates have been issued, unlegended certificates for such Shares shall be delivered to the Participant upon surrender of the legended certificates.</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SECTION 8. RESTRICTED STOCK UNITS</w:t>
      </w:r>
    </w:p>
    <w:p>
      <w:pPr>
        <w:spacing w:after="0" w:line="229" w:lineRule="exact"/>
        <w:rPr>
          <w:sz w:val="20"/>
          <w:szCs w:val="20"/>
          <w:color w:val="auto"/>
        </w:rPr>
      </w:pPr>
    </w:p>
    <w:p>
      <w:pPr>
        <w:ind w:right="20" w:firstLine="517"/>
        <w:spacing w:after="0" w:line="281" w:lineRule="auto"/>
        <w:tabs>
          <w:tab w:leader="none" w:pos="120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Awards</w:t>
      </w:r>
      <w:r>
        <w:rPr>
          <w:rFonts w:ascii="Times New Roman" w:cs="Times New Roman" w:eastAsia="Times New Roman" w:hAnsi="Times New Roman"/>
          <w:sz w:val="18"/>
          <w:szCs w:val="18"/>
          <w:color w:val="auto"/>
        </w:rPr>
        <w:t>. RSUs are Awards denominated in Shares that will be settled, subject to the terms and conditions of the RSUs, in an amount in cash, Shares or both, based upon the Fair Market Value of a specified number of Shares.</w:t>
      </w:r>
    </w:p>
    <w:p>
      <w:pPr>
        <w:spacing w:after="0" w:line="162" w:lineRule="exact"/>
        <w:rPr>
          <w:rFonts w:ascii="Times New Roman" w:cs="Times New Roman" w:eastAsia="Times New Roman" w:hAnsi="Times New Roman"/>
          <w:sz w:val="18"/>
          <w:szCs w:val="18"/>
          <w:color w:val="auto"/>
        </w:rPr>
      </w:pPr>
    </w:p>
    <w:p>
      <w:pPr>
        <w:ind w:left="1040" w:hanging="523"/>
        <w:spacing w:after="0"/>
        <w:tabs>
          <w:tab w:leader="none" w:pos="10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w:t>
      </w:r>
      <w:r>
        <w:rPr>
          <w:rFonts w:ascii="Times New Roman" w:cs="Times New Roman" w:eastAsia="Times New Roman" w:hAnsi="Times New Roman"/>
          <w:sz w:val="18"/>
          <w:szCs w:val="18"/>
          <w:color w:val="auto"/>
        </w:rPr>
        <w:t>. RSUs shall be subject to the following terms and conditions:</w:t>
      </w:r>
    </w:p>
    <w:p>
      <w:pPr>
        <w:spacing w:after="0" w:line="224" w:lineRule="exact"/>
        <w:rPr>
          <w:rFonts w:ascii="Times New Roman" w:cs="Times New Roman" w:eastAsia="Times New Roman" w:hAnsi="Times New Roman"/>
          <w:sz w:val="18"/>
          <w:szCs w:val="18"/>
          <w:color w:val="auto"/>
        </w:rPr>
      </w:pPr>
    </w:p>
    <w:p>
      <w:pPr>
        <w:jc w:val="both"/>
        <w:ind w:left="1020" w:firstLine="515"/>
        <w:spacing w:after="0" w:line="268" w:lineRule="auto"/>
        <w:tabs>
          <w:tab w:leader="none" w:pos="2058"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shall, prior to or at the time of grant, condition the grant, vesting, or transferability of RSUs upon the continued service of the applicable Participant or the attainment of Performance Goals, or the attainment of Performance Goals and the continued service of the applicable Participant. In the event that the Committee conditions the grant or vesting of RSUs upon the attainment of Performance Goals or the attainment of Performance Goals and the continued service of the applicable Participant, the Committee may, prior to or at the time of grant, designate such Awards as Performance Awards. The conditions for grant, vesting or transferability and the other provisions of RSUs (including without limitation any Performance Goals) need not be the same with respect to each Participant. In the event</w:t>
      </w:r>
    </w:p>
    <w:p>
      <w:pPr>
        <w:spacing w:after="0" w:line="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of a temporary</w:t>
      </w:r>
    </w:p>
    <w:p>
      <w:pPr>
        <w:jc w:val="center"/>
        <w:spacing w:after="0" w:line="214" w:lineRule="auto"/>
        <w:rPr>
          <w:sz w:val="20"/>
          <w:szCs w:val="20"/>
          <w:color w:val="auto"/>
        </w:rPr>
      </w:pPr>
      <w:r>
        <w:rPr>
          <w:rFonts w:ascii="Calibri" w:cs="Calibri" w:eastAsia="Calibri" w:hAnsi="Calibri"/>
          <w:sz w:val="20"/>
          <w:szCs w:val="20"/>
          <w:color w:val="auto"/>
        </w:rPr>
        <w:t>E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582295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38" w:name="page139"/>
    <w:bookmarkEnd w:id="138"/>
    <w:p>
      <w:pPr>
        <w:ind w:left="10180"/>
        <w:spacing w:after="0"/>
        <w:rPr>
          <w:sz w:val="20"/>
          <w:szCs w:val="20"/>
          <w:color w:val="auto"/>
        </w:rPr>
      </w:pPr>
      <w:r>
        <w:rPr>
          <w:rFonts w:ascii="Calibri" w:cs="Calibri" w:eastAsia="Calibri" w:hAnsi="Calibri"/>
          <w:sz w:val="20"/>
          <w:szCs w:val="20"/>
          <w:color w:val="auto"/>
        </w:rPr>
        <w:t>Exhibit 10.21</w:t>
      </w:r>
    </w:p>
    <w:p>
      <w:pPr>
        <w:spacing w:after="0" w:line="200" w:lineRule="exact"/>
        <w:rPr>
          <w:sz w:val="20"/>
          <w:szCs w:val="20"/>
          <w:color w:val="auto"/>
        </w:rPr>
      </w:pPr>
    </w:p>
    <w:p>
      <w:pPr>
        <w:spacing w:after="0" w:line="273" w:lineRule="exact"/>
        <w:rPr>
          <w:sz w:val="20"/>
          <w:szCs w:val="20"/>
          <w:color w:val="auto"/>
        </w:rPr>
      </w:pPr>
    </w:p>
    <w:p>
      <w:pPr>
        <w:ind w:left="1020"/>
        <w:spacing w:after="0" w:line="281" w:lineRule="auto"/>
        <w:rPr>
          <w:sz w:val="20"/>
          <w:szCs w:val="20"/>
          <w:color w:val="auto"/>
        </w:rPr>
      </w:pPr>
      <w:r>
        <w:rPr>
          <w:rFonts w:ascii="Times New Roman" w:cs="Times New Roman" w:eastAsia="Times New Roman" w:hAnsi="Times New Roman"/>
          <w:sz w:val="18"/>
          <w:szCs w:val="18"/>
          <w:color w:val="auto"/>
        </w:rPr>
        <w:t>absence exceeding 90 days, the Company shall have authority to suspend the vesting of such RSUs for such period of time and on such terms as management of the Company shall deem appropriate.</w:t>
      </w:r>
    </w:p>
    <w:p>
      <w:pPr>
        <w:spacing w:after="0" w:line="163" w:lineRule="exact"/>
        <w:rPr>
          <w:sz w:val="20"/>
          <w:szCs w:val="20"/>
          <w:color w:val="auto"/>
        </w:rPr>
      </w:pPr>
    </w:p>
    <w:p>
      <w:pPr>
        <w:jc w:val="both"/>
        <w:ind w:left="1020" w:firstLine="515"/>
        <w:spacing w:after="0" w:line="265" w:lineRule="auto"/>
        <w:tabs>
          <w:tab w:leader="none" w:pos="214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Plan and the applicable Award Agreement, during the period, if any, set by the Committee, commencing with the date of such RSUs for which such vesting restrictions apply and until the expiration of such vesting restrictions (the “RSU Restriction Period”), the Participant shall not be permitted to sell, assign, transfer, pledge or otherwise encumber RSUs.</w:t>
      </w:r>
    </w:p>
    <w:p>
      <w:pPr>
        <w:spacing w:after="0" w:line="177" w:lineRule="exact"/>
        <w:rPr>
          <w:rFonts w:ascii="Times New Roman" w:cs="Times New Roman" w:eastAsia="Times New Roman" w:hAnsi="Times New Roman"/>
          <w:sz w:val="18"/>
          <w:szCs w:val="18"/>
          <w:color w:val="auto"/>
        </w:rPr>
      </w:pPr>
    </w:p>
    <w:p>
      <w:pPr>
        <w:jc w:val="both"/>
        <w:ind w:left="1020" w:firstLine="515"/>
        <w:spacing w:after="0" w:line="265" w:lineRule="auto"/>
        <w:tabs>
          <w:tab w:leader="none" w:pos="222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Agreement for RSUs shall specify whether, to what extent and on what terms and conditions the applicable Participant shall be entitled to receive current or delayed payments of cash, Common Stock or other property corresponding to the dividends payable on the Common Stock (subject to Section 16(e) below).</w:t>
      </w:r>
    </w:p>
    <w:p>
      <w:pPr>
        <w:spacing w:after="0" w:line="177" w:lineRule="exact"/>
        <w:rPr>
          <w:rFonts w:ascii="Times New Roman" w:cs="Times New Roman" w:eastAsia="Times New Roman" w:hAnsi="Times New Roman"/>
          <w:sz w:val="18"/>
          <w:szCs w:val="18"/>
          <w:color w:val="auto"/>
        </w:rPr>
      </w:pPr>
    </w:p>
    <w:p>
      <w:pPr>
        <w:jc w:val="both"/>
        <w:ind w:left="1020" w:firstLine="515"/>
        <w:spacing w:after="0" w:line="256" w:lineRule="auto"/>
        <w:tabs>
          <w:tab w:leader="none" w:pos="214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set forth in the applicable Award Agreement, upon a Participant’s Termination of Employment for any reason during the RSU Restriction Period or before the applicable Performance Goals are satisfied, all RSUs still subject to restriction shall be forfeited by such Participant;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the Committee shall have the discretion to waive, in whole or in part, any or all remaining restrictions with respect to any or all of such Participant’s RSUs;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upon a Participant’s Termination of Employment by reason of death, during the RSU Restriction Period or before the applicable Performance Goals are satisfied, all RSUs reflected in the Participant’s account shall immediately and automatically vest.</w:t>
      </w:r>
    </w:p>
    <w:p>
      <w:pPr>
        <w:spacing w:after="0" w:line="185" w:lineRule="exact"/>
        <w:rPr>
          <w:rFonts w:ascii="Times New Roman" w:cs="Times New Roman" w:eastAsia="Times New Roman" w:hAnsi="Times New Roman"/>
          <w:sz w:val="18"/>
          <w:szCs w:val="18"/>
          <w:color w:val="auto"/>
        </w:rPr>
      </w:pPr>
    </w:p>
    <w:p>
      <w:pPr>
        <w:ind w:left="1020" w:firstLine="515"/>
        <w:spacing w:after="0" w:line="281" w:lineRule="auto"/>
        <w:tabs>
          <w:tab w:leader="none" w:pos="205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otherwise provided in the applicable Award Agreement, an award of RSUs shall be settled as and when the RSUs vest (but in no event later than 60 days thereafter).</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SECTION 9. PERFORMANCE AWARDS</w:t>
      </w:r>
    </w:p>
    <w:p>
      <w:pPr>
        <w:spacing w:after="0" w:line="229" w:lineRule="exact"/>
        <w:rPr>
          <w:sz w:val="20"/>
          <w:szCs w:val="20"/>
          <w:color w:val="auto"/>
        </w:rPr>
      </w:pPr>
    </w:p>
    <w:p>
      <w:pPr>
        <w:ind w:left="1080" w:hanging="563"/>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An Award under this Plan may be in the form of a Performance Award.</w:t>
      </w:r>
    </w:p>
    <w:p>
      <w:pPr>
        <w:spacing w:after="0" w:line="224" w:lineRule="exact"/>
        <w:rPr>
          <w:rFonts w:ascii="Times New Roman" w:cs="Times New Roman" w:eastAsia="Times New Roman" w:hAnsi="Times New Roman"/>
          <w:sz w:val="18"/>
          <w:szCs w:val="18"/>
          <w:color w:val="auto"/>
        </w:rPr>
      </w:pPr>
    </w:p>
    <w:p>
      <w:pPr>
        <w:jc w:val="both"/>
        <w:ind w:firstLine="517"/>
        <w:spacing w:after="0" w:line="265" w:lineRule="auto"/>
        <w:tabs>
          <w:tab w:leader="none" w:pos="10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Goals</w:t>
      </w:r>
      <w:r>
        <w:rPr>
          <w:rFonts w:ascii="Times New Roman" w:cs="Times New Roman" w:eastAsia="Times New Roman" w:hAnsi="Times New Roman"/>
          <w:sz w:val="18"/>
          <w:szCs w:val="18"/>
          <w:color w:val="auto"/>
        </w:rPr>
        <w:t>. Each Performance Award shall be earned, vested and payable (as applicable) only upon the achievement of one or more Performance Goals, together with the satisfaction of any other conditions, such as continued employment, as the Committee may determine to be appropriate. Performance Goals applicable to the Performance Award will be established by the Committee.</w:t>
      </w:r>
    </w:p>
    <w:p>
      <w:pPr>
        <w:spacing w:after="0" w:line="177" w:lineRule="exact"/>
        <w:rPr>
          <w:rFonts w:ascii="Times New Roman" w:cs="Times New Roman" w:eastAsia="Times New Roman" w:hAnsi="Times New Roman"/>
          <w:sz w:val="18"/>
          <w:szCs w:val="18"/>
          <w:color w:val="auto"/>
        </w:rPr>
      </w:pPr>
    </w:p>
    <w:p>
      <w:pPr>
        <w:jc w:val="both"/>
        <w:ind w:firstLine="517"/>
        <w:spacing w:after="0" w:line="260" w:lineRule="auto"/>
        <w:tabs>
          <w:tab w:leader="none" w:pos="121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Restrictions</w:t>
      </w:r>
      <w:r>
        <w:rPr>
          <w:rFonts w:ascii="Times New Roman" w:cs="Times New Roman" w:eastAsia="Times New Roman" w:hAnsi="Times New Roman"/>
          <w:sz w:val="18"/>
          <w:szCs w:val="18"/>
          <w:color w:val="auto"/>
        </w:rPr>
        <w:t>. The Committee will determine any other terms and conditions applicable to any Performance Award, including any vesting conditions or restrictions on the delivery of Common Stock payable in connection with the Performance Award and restrictions that could result in the future forfeiture of all or part of any Common Stock earned. The Committee may provide that shares of Common Stock issued in connection with a Performance Award be held in escrow and/or legended.</w:t>
      </w:r>
    </w:p>
    <w:p>
      <w:pPr>
        <w:spacing w:after="0" w:line="181" w:lineRule="exact"/>
        <w:rPr>
          <w:rFonts w:ascii="Times New Roman" w:cs="Times New Roman" w:eastAsia="Times New Roman" w:hAnsi="Times New Roman"/>
          <w:sz w:val="18"/>
          <w:szCs w:val="18"/>
          <w:color w:val="auto"/>
        </w:rPr>
      </w:pPr>
    </w:p>
    <w:p>
      <w:pPr>
        <w:jc w:val="both"/>
        <w:ind w:firstLine="517"/>
        <w:spacing w:after="0" w:line="256" w:lineRule="auto"/>
        <w:tabs>
          <w:tab w:leader="none" w:pos="116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Measurement of Performance Against Performance Goals</w:t>
      </w:r>
      <w:r>
        <w:rPr>
          <w:rFonts w:ascii="Times New Roman" w:cs="Times New Roman" w:eastAsia="Times New Roman" w:hAnsi="Times New Roman"/>
          <w:sz w:val="18"/>
          <w:szCs w:val="18"/>
          <w:color w:val="auto"/>
        </w:rPr>
        <w:t>. The Committee will, as soon as practicable after the close of a Performance Period, determine the extent to which the Performance Goals for such Performance Period have been achieved, and the percentage of the Performance Awards, if any, earned as a result. All determinations of the Committee will be absolute and final as to the facts and conclusions therein made and are binding on all parties. As promptly as practicable after the Committee has made the foregoing determination, each Eligible Individual who has earned Performance Award will be notified thereof. Subject to Section 16(i), an Eligible Individual may not sell, transfer, pledge, exchange, hypothecate or otherwise dispose of all or any portion of a Performance Awards during the Performance Period.</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SECTION 10. OTHER STOCK-BASED AWARDS</w:t>
      </w:r>
    </w:p>
    <w:p>
      <w:pPr>
        <w:spacing w:after="0" w:line="229" w:lineRule="exact"/>
        <w:rPr>
          <w:sz w:val="20"/>
          <w:szCs w:val="20"/>
          <w:color w:val="auto"/>
        </w:rPr>
      </w:pPr>
    </w:p>
    <w:p>
      <w:pPr>
        <w:jc w:val="both"/>
        <w:ind w:right="20" w:firstLine="509"/>
        <w:spacing w:after="0" w:line="265" w:lineRule="auto"/>
        <w:rPr>
          <w:sz w:val="20"/>
          <w:szCs w:val="20"/>
          <w:color w:val="auto"/>
        </w:rPr>
      </w:pPr>
      <w:r>
        <w:rPr>
          <w:rFonts w:ascii="Times New Roman" w:cs="Times New Roman" w:eastAsia="Times New Roman" w:hAnsi="Times New Roman"/>
          <w:sz w:val="18"/>
          <w:szCs w:val="18"/>
          <w:color w:val="auto"/>
        </w:rPr>
        <w:t>Other Awards of Common Stock and other Awards that are valued in whole or in part by reference to, or are otherwise based upon or settled in, Common Stock, including (without limitation), unrestricted stock, performance units, dividend equivalents, and convertible debentures, may be granted under this Plan.</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SECTION 11. BONUS AWARDS</w:t>
      </w:r>
    </w:p>
    <w:p>
      <w:pPr>
        <w:spacing w:after="0" w:line="229" w:lineRule="exact"/>
        <w:rPr>
          <w:sz w:val="20"/>
          <w:szCs w:val="20"/>
          <w:color w:val="auto"/>
        </w:rPr>
      </w:pPr>
    </w:p>
    <w:p>
      <w:pPr>
        <w:jc w:val="both"/>
        <w:ind w:firstLine="517"/>
        <w:spacing w:after="0" w:line="257" w:lineRule="auto"/>
        <w:tabs>
          <w:tab w:leader="none" w:pos="108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Determination of Awards</w:t>
      </w:r>
      <w:r>
        <w:rPr>
          <w:rFonts w:ascii="Times New Roman" w:cs="Times New Roman" w:eastAsia="Times New Roman" w:hAnsi="Times New Roman"/>
          <w:sz w:val="18"/>
          <w:szCs w:val="18"/>
          <w:color w:val="auto"/>
        </w:rPr>
        <w:t>. The Committee shall determine the total amount of Bonus Awards for each Plan Year or such shorter performance period as the Committee may establish in its sole discretion. Bonus Awards that are Performance Awards shall be subject to the provisions of Section 9 of this Plan.</w:t>
      </w:r>
    </w:p>
    <w:p>
      <w:pPr>
        <w:jc w:val="center"/>
        <w:spacing w:after="0" w:line="206" w:lineRule="auto"/>
        <w:rPr>
          <w:sz w:val="20"/>
          <w:szCs w:val="20"/>
          <w:color w:val="auto"/>
        </w:rPr>
      </w:pPr>
      <w:r>
        <w:rPr>
          <w:rFonts w:ascii="Calibri" w:cs="Calibri" w:eastAsia="Calibri" w:hAnsi="Calibri"/>
          <w:sz w:val="20"/>
          <w:szCs w:val="20"/>
          <w:color w:val="auto"/>
        </w:rPr>
        <w:t>E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582295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139" w:name="page140"/>
    <w:bookmarkEnd w:id="139"/>
    <w:p>
      <w:pPr>
        <w:ind w:left="10180"/>
        <w:spacing w:after="0"/>
        <w:rPr>
          <w:sz w:val="20"/>
          <w:szCs w:val="20"/>
          <w:color w:val="auto"/>
        </w:rPr>
      </w:pPr>
      <w:r>
        <w:rPr>
          <w:rFonts w:ascii="Calibri" w:cs="Calibri" w:eastAsia="Calibri" w:hAnsi="Calibri"/>
          <w:sz w:val="20"/>
          <w:szCs w:val="20"/>
          <w:color w:val="auto"/>
        </w:rPr>
        <w:t>Exhibit 10.21</w:t>
      </w:r>
    </w:p>
    <w:p>
      <w:pPr>
        <w:spacing w:after="0" w:line="200" w:lineRule="exact"/>
        <w:rPr>
          <w:sz w:val="20"/>
          <w:szCs w:val="20"/>
          <w:color w:val="auto"/>
        </w:rPr>
      </w:pPr>
    </w:p>
    <w:p>
      <w:pPr>
        <w:spacing w:after="0" w:line="273" w:lineRule="exact"/>
        <w:rPr>
          <w:sz w:val="20"/>
          <w:szCs w:val="20"/>
          <w:color w:val="auto"/>
        </w:rPr>
      </w:pPr>
    </w:p>
    <w:p>
      <w:pPr>
        <w:jc w:val="both"/>
        <w:ind w:firstLine="517"/>
        <w:spacing w:after="0" w:line="255" w:lineRule="auto"/>
        <w:tabs>
          <w:tab w:leader="none" w:pos="104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Awards.</w:t>
      </w:r>
      <w:r>
        <w:rPr>
          <w:rFonts w:ascii="Times New Roman" w:cs="Times New Roman" w:eastAsia="Times New Roman" w:hAnsi="Times New Roman"/>
          <w:sz w:val="18"/>
          <w:szCs w:val="18"/>
          <w:color w:val="auto"/>
        </w:rPr>
        <w:t xml:space="preserve"> Bonus Awards under this Plan shall be paid in cash or in Shares (valued at Fair Market Value as of the date of payment) as determined by the Committee, as soon as practicable following the close of this Plan Year or such shorter performance period as the Committee may establish. It is intended that a Bonus Award will be paid no later than the fifteenth (15th) day of the third month following the later of: (i) the end of the Participant’s taxable year in which the requirements for such Bonus Award have been satisfied by the Participant or (ii) the end of the Company’s fiscal year in which the requirements for such Bonus Award have been satisfied by the Participant. Subject to Section 16(k), the Committee may at its option establish procedures pursuant to which Participants are permitted to defer the receipt of Bonus Awards payable hereunder. The Bonus Award to any Participant for any Plan Year or such shorter performance period may be reduced or eliminated by the Committee in its discretion.</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SECTION 12. TERMINATION OF EMPLOYMENT</w:t>
      </w:r>
    </w:p>
    <w:p>
      <w:pPr>
        <w:spacing w:after="0" w:line="229" w:lineRule="exact"/>
        <w:rPr>
          <w:sz w:val="20"/>
          <w:szCs w:val="20"/>
          <w:color w:val="auto"/>
        </w:rPr>
      </w:pPr>
    </w:p>
    <w:p>
      <w:pPr>
        <w:ind w:left="1080" w:hanging="563"/>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A Participant’s Awards shall be forfeited upon such Participant’s Termination of Employment, except as set forth below:</w:t>
      </w:r>
    </w:p>
    <w:p>
      <w:pPr>
        <w:spacing w:after="0" w:line="224" w:lineRule="exact"/>
        <w:rPr>
          <w:rFonts w:ascii="Times New Roman" w:cs="Times New Roman" w:eastAsia="Times New Roman" w:hAnsi="Times New Roman"/>
          <w:sz w:val="18"/>
          <w:szCs w:val="18"/>
          <w:color w:val="auto"/>
        </w:rPr>
      </w:pPr>
    </w:p>
    <w:p>
      <w:pPr>
        <w:jc w:val="both"/>
        <w:ind w:left="1020" w:firstLine="515"/>
        <w:spacing w:after="0" w:line="265" w:lineRule="auto"/>
        <w:tabs>
          <w:tab w:leader="none" w:pos="2062"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Participant’s Termination of Employment by reason of death, all Awards reflected in the Participant’s account that were unvested at the time of death shall automatically vest and all such Options or SARs held by the Participant may be exercised at any time until the earlier of (A) the first anniversary of the date of such death and (B) the expiration of the Term thereof;</w:t>
      </w:r>
    </w:p>
    <w:p>
      <w:pPr>
        <w:spacing w:after="0" w:line="177" w:lineRule="exact"/>
        <w:rPr>
          <w:rFonts w:ascii="Times New Roman" w:cs="Times New Roman" w:eastAsia="Times New Roman" w:hAnsi="Times New Roman"/>
          <w:sz w:val="18"/>
          <w:szCs w:val="18"/>
          <w:color w:val="auto"/>
        </w:rPr>
      </w:pPr>
    </w:p>
    <w:p>
      <w:pPr>
        <w:jc w:val="both"/>
        <w:ind w:left="1020" w:firstLine="515"/>
        <w:spacing w:after="0" w:line="265" w:lineRule="auto"/>
        <w:tabs>
          <w:tab w:leader="none" w:pos="2218"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Participant’s Termination of Employment by reason of Disability or Retirement, any Option or SAR held by the Participant that was exercisable immediately before the Termination of Employment may be exercised at any time until the earlier of (A) the first anniversary of such Termination of Employment and the (B) expiration of the Term thereof;</w:t>
      </w:r>
    </w:p>
    <w:p>
      <w:pPr>
        <w:spacing w:after="0" w:line="177" w:lineRule="exact"/>
        <w:rPr>
          <w:rFonts w:ascii="Times New Roman" w:cs="Times New Roman" w:eastAsia="Times New Roman" w:hAnsi="Times New Roman"/>
          <w:sz w:val="18"/>
          <w:szCs w:val="18"/>
          <w:color w:val="auto"/>
        </w:rPr>
      </w:pPr>
    </w:p>
    <w:p>
      <w:pPr>
        <w:ind w:left="1020" w:firstLine="515"/>
        <w:spacing w:after="0" w:line="281" w:lineRule="auto"/>
        <w:tabs>
          <w:tab w:leader="none" w:pos="215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Participant’s Termination of Employment for Cause, any unvested Award held by the Participant shall be forfeited, effective as of such Termination of Employment;</w:t>
      </w:r>
    </w:p>
    <w:p>
      <w:pPr>
        <w:spacing w:after="0" w:line="162" w:lineRule="exact"/>
        <w:rPr>
          <w:rFonts w:ascii="Times New Roman" w:cs="Times New Roman" w:eastAsia="Times New Roman" w:hAnsi="Times New Roman"/>
          <w:sz w:val="18"/>
          <w:szCs w:val="18"/>
          <w:color w:val="auto"/>
        </w:rPr>
      </w:pPr>
    </w:p>
    <w:p>
      <w:pPr>
        <w:jc w:val="both"/>
        <w:ind w:left="1020" w:firstLine="515"/>
        <w:spacing w:after="0" w:line="265" w:lineRule="auto"/>
        <w:tabs>
          <w:tab w:leader="none" w:pos="2157"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Participant’s Termination of Employment for any reason other than death, Disability, Retirement or for Cause, any Option or SAR held by the Participant that was exercisable immediately before the Termination of Employment may be exercised at any time until the earlier of (A) the 90th day following such Termination of Employment and (B) expiration of the Term thereof; and</w:t>
      </w:r>
    </w:p>
    <w:p>
      <w:pPr>
        <w:spacing w:after="0" w:line="177" w:lineRule="exact"/>
        <w:rPr>
          <w:rFonts w:ascii="Times New Roman" w:cs="Times New Roman" w:eastAsia="Times New Roman" w:hAnsi="Times New Roman"/>
          <w:sz w:val="18"/>
          <w:szCs w:val="18"/>
          <w:color w:val="auto"/>
        </w:rPr>
      </w:pPr>
    </w:p>
    <w:p>
      <w:pPr>
        <w:jc w:val="both"/>
        <w:ind w:left="1020" w:firstLine="515"/>
        <w:spacing w:after="0" w:line="260" w:lineRule="auto"/>
        <w:tabs>
          <w:tab w:leader="none" w:pos="225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above provisions of this Section 12(a), if a Participant dies after such Participant’s Termination of Employment but while any Option or SAR remains exercisable as set forth above, such Option or SAR may be exercised at any time until the later of (A) the earlier of (1) the first anniversary of the date of such death and (2) expiration of the Term thereof and (B) the last date on which such Option or SAR would have been exercisable, absent this Section 12(a).</w:t>
      </w:r>
    </w:p>
    <w:p>
      <w:pPr>
        <w:spacing w:after="0" w:line="181" w:lineRule="exact"/>
        <w:rPr>
          <w:rFonts w:ascii="Times New Roman" w:cs="Times New Roman" w:eastAsia="Times New Roman" w:hAnsi="Times New Roman"/>
          <w:sz w:val="18"/>
          <w:szCs w:val="18"/>
          <w:color w:val="auto"/>
        </w:rPr>
      </w:pPr>
    </w:p>
    <w:p>
      <w:pPr>
        <w:jc w:val="both"/>
        <w:ind w:firstLine="517"/>
        <w:spacing w:after="0" w:line="260" w:lineRule="auto"/>
        <w:tabs>
          <w:tab w:leader="none" w:pos="115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w:t>
      </w:r>
      <w:r>
        <w:rPr>
          <w:rFonts w:ascii="Times New Roman" w:cs="Times New Roman" w:eastAsia="Times New Roman" w:hAnsi="Times New Roman"/>
          <w:sz w:val="18"/>
          <w:szCs w:val="18"/>
          <w:color w:val="auto"/>
        </w:rPr>
        <w:t xml:space="preserve"> Notwithstanding the foregoing, the Committee shall have the power, in its discretion, to apply different rules concerning the consequences of a Termination of Employment;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rules are less favorable to the Participant than those set forth above, such rules are set forth in the applicable Award Agreement. If an Incentive Stock Option is exercised after the expiration of the exercise periods that apply for purposes of Section 422 of the Code, such Option will thereafter be treated as a Nonqualified Stock Option.</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SECTION 13. CHANGE IN CONTROL PROVISIONS</w:t>
      </w:r>
    </w:p>
    <w:p>
      <w:pPr>
        <w:spacing w:after="0" w:line="229" w:lineRule="exact"/>
        <w:rPr>
          <w:sz w:val="20"/>
          <w:szCs w:val="20"/>
          <w:color w:val="auto"/>
        </w:rPr>
      </w:pPr>
    </w:p>
    <w:p>
      <w:pPr>
        <w:ind w:firstLine="517"/>
        <w:spacing w:after="0" w:line="281" w:lineRule="auto"/>
        <w:tabs>
          <w:tab w:leader="none" w:pos="120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 of Change in Control</w:t>
      </w:r>
      <w:r>
        <w:rPr>
          <w:rFonts w:ascii="Times New Roman" w:cs="Times New Roman" w:eastAsia="Times New Roman" w:hAnsi="Times New Roman"/>
          <w:sz w:val="18"/>
          <w:szCs w:val="18"/>
          <w:color w:val="auto"/>
        </w:rPr>
        <w:t>. Except as otherwise may be provided in an applicable Award Agreement, for purposes of this Plan, a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mean any of the following events:</w:t>
      </w:r>
    </w:p>
    <w:p>
      <w:pPr>
        <w:spacing w:after="0" w:line="162" w:lineRule="exact"/>
        <w:rPr>
          <w:rFonts w:ascii="Times New Roman" w:cs="Times New Roman" w:eastAsia="Times New Roman" w:hAnsi="Times New Roman"/>
          <w:sz w:val="18"/>
          <w:szCs w:val="18"/>
          <w:color w:val="auto"/>
        </w:rPr>
      </w:pPr>
    </w:p>
    <w:p>
      <w:pPr>
        <w:jc w:val="both"/>
        <w:ind w:left="1020" w:firstLine="515"/>
        <w:spacing w:after="0" w:line="254" w:lineRule="auto"/>
        <w:tabs>
          <w:tab w:leader="none" w:pos="2081"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individual, entity or group (within the meaning of Section 13(d)(3) or 14(d)(2) of the Exchange Act) (a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other than Liberty TripAdvisor Holdings, Inc., and its affiliates, of beneficial ownership (within the meaning of Rule 13d-3 promulgated under the Exchange Act) of equity securities of the Company representing more than 50% of the voting power of the then outstanding equity securities of the Company entitled to vote generally in the election of directors (the “</w:t>
      </w:r>
      <w:r>
        <w:rPr>
          <w:rFonts w:ascii="Times New Roman" w:cs="Times New Roman" w:eastAsia="Times New Roman" w:hAnsi="Times New Roman"/>
          <w:sz w:val="18"/>
          <w:szCs w:val="18"/>
          <w:u w:val="single" w:color="auto"/>
          <w:color w:val="auto"/>
        </w:rPr>
        <w:t>Outstanding Company 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provided, however, that for purposes of this subsection (i), the following acquisitions shall not constitute a Change in Control:</w:t>
      </w:r>
    </w:p>
    <w:p>
      <w:pPr>
        <w:spacing w:after="0" w:line="2" w:lineRule="exact"/>
        <w:rPr>
          <w:sz w:val="20"/>
          <w:szCs w:val="20"/>
          <w:color w:val="auto"/>
        </w:rPr>
      </w:pPr>
    </w:p>
    <w:p>
      <w:pPr>
        <w:ind w:left="1020" w:firstLine="6"/>
        <w:spacing w:after="0" w:line="250" w:lineRule="auto"/>
        <w:tabs>
          <w:tab w:leader="none" w:pos="132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by the Company, (B) any acquisition directly from the Company, (C) any acquisition by any employee benefit plan (or related trust) sponsored or</w:t>
      </w:r>
    </w:p>
    <w:p>
      <w:pPr>
        <w:jc w:val="center"/>
        <w:spacing w:after="0" w:line="206" w:lineRule="auto"/>
        <w:rPr>
          <w:sz w:val="20"/>
          <w:szCs w:val="20"/>
          <w:color w:val="auto"/>
        </w:rPr>
      </w:pPr>
      <w:r>
        <w:rPr>
          <w:rFonts w:ascii="Calibri" w:cs="Calibri" w:eastAsia="Calibri" w:hAnsi="Calibri"/>
          <w:sz w:val="20"/>
          <w:szCs w:val="20"/>
          <w:color w:val="auto"/>
        </w:rPr>
        <w:t>E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582295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40" w:name="page141"/>
    <w:bookmarkEnd w:id="140"/>
    <w:p>
      <w:pPr>
        <w:ind w:left="10180"/>
        <w:spacing w:after="0"/>
        <w:rPr>
          <w:sz w:val="20"/>
          <w:szCs w:val="20"/>
          <w:color w:val="auto"/>
        </w:rPr>
      </w:pPr>
      <w:r>
        <w:rPr>
          <w:rFonts w:ascii="Calibri" w:cs="Calibri" w:eastAsia="Calibri" w:hAnsi="Calibri"/>
          <w:sz w:val="20"/>
          <w:szCs w:val="20"/>
          <w:color w:val="auto"/>
        </w:rPr>
        <w:t>Exhibit 10.21</w:t>
      </w:r>
    </w:p>
    <w:p>
      <w:pPr>
        <w:spacing w:after="0" w:line="200" w:lineRule="exact"/>
        <w:rPr>
          <w:sz w:val="20"/>
          <w:szCs w:val="20"/>
          <w:color w:val="auto"/>
        </w:rPr>
      </w:pPr>
    </w:p>
    <w:p>
      <w:pPr>
        <w:spacing w:after="0" w:line="273" w:lineRule="exact"/>
        <w:rPr>
          <w:sz w:val="20"/>
          <w:szCs w:val="20"/>
          <w:color w:val="auto"/>
        </w:rPr>
      </w:pPr>
    </w:p>
    <w:p>
      <w:pPr>
        <w:ind w:left="1020"/>
        <w:spacing w:after="0" w:line="281" w:lineRule="auto"/>
        <w:rPr>
          <w:sz w:val="20"/>
          <w:szCs w:val="20"/>
          <w:color w:val="auto"/>
        </w:rPr>
      </w:pPr>
      <w:r>
        <w:rPr>
          <w:rFonts w:ascii="Times New Roman" w:cs="Times New Roman" w:eastAsia="Times New Roman" w:hAnsi="Times New Roman"/>
          <w:sz w:val="18"/>
          <w:szCs w:val="18"/>
          <w:color w:val="auto"/>
        </w:rPr>
        <w:t>maintained by the Company or any corporation controlled by the Company, or (D) any acquisition pursuant to a transaction which would qualify as a transaction described in clauses (A), (B) or(C) of subsection (iii) below; or</w:t>
      </w:r>
    </w:p>
    <w:p>
      <w:pPr>
        <w:spacing w:after="0" w:line="163" w:lineRule="exact"/>
        <w:rPr>
          <w:sz w:val="20"/>
          <w:szCs w:val="20"/>
          <w:color w:val="auto"/>
        </w:rPr>
      </w:pPr>
    </w:p>
    <w:p>
      <w:pPr>
        <w:jc w:val="both"/>
        <w:ind w:left="1020" w:firstLine="515"/>
        <w:spacing w:after="0" w:line="255" w:lineRule="auto"/>
        <w:tabs>
          <w:tab w:leader="none" w:pos="22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of two consecutive years, individuals who, at the beginning of such period, constitute the Board (the “</w:t>
      </w:r>
      <w:r>
        <w:rPr>
          <w:rFonts w:ascii="Times New Roman" w:cs="Times New Roman" w:eastAsia="Times New Roman" w:hAnsi="Times New Roman"/>
          <w:sz w:val="18"/>
          <w:szCs w:val="18"/>
          <w:u w:val="single" w:color="auto"/>
          <w:color w:val="auto"/>
        </w:rPr>
        <w:t>Incumbent Board</w:t>
      </w:r>
      <w:r>
        <w:rPr>
          <w:rFonts w:ascii="Times New Roman" w:cs="Times New Roman" w:eastAsia="Times New Roman" w:hAnsi="Times New Roman"/>
          <w:sz w:val="18"/>
          <w:szCs w:val="18"/>
          <w:color w:val="auto"/>
        </w:rPr>
        <w:t xml:space="preserve">”) cease for any reason to constitute at least a majority of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individual becoming a director subsequent to the beginning of such period,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86" w:lineRule="exact"/>
        <w:rPr>
          <w:rFonts w:ascii="Times New Roman" w:cs="Times New Roman" w:eastAsia="Times New Roman" w:hAnsi="Times New Roman"/>
          <w:sz w:val="18"/>
          <w:szCs w:val="18"/>
          <w:color w:val="auto"/>
        </w:rPr>
      </w:pPr>
    </w:p>
    <w:p>
      <w:pPr>
        <w:jc w:val="both"/>
        <w:ind w:left="1020" w:firstLine="515"/>
        <w:spacing w:after="0" w:line="252" w:lineRule="auto"/>
        <w:tabs>
          <w:tab w:leader="none" w:pos="211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reorganization, merger or consolidation or sale or other disposition of all or substantially all of the assets of the Company or the purchase of assets or stock of another entity (a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in each case, unless immediately following such Business Combination, (A) all or substantially all of the individuals and entities who were the beneficial owners of the Outstanding Company Voting Securities immediately prior to such Business Combination will beneficially own, directly or indirectly, more than 50% of the then outstanding combined voting power of the then outstanding voting securities entitled to vote generally in the election of directors (or equivalent governing body, if applicable) of the entity resulting from such 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Voting Securities, (B) no Person (excluding Liberty TripAdvisor Holdings, Inc., and its affiliates, any employee benefit plan (or related trust) of the Company or such entity resulting from such Business Combination) will beneficially own, directly or indirectly, more than a majority of the combined voting power of the then outstanding voting securities of such entity except to the extent that such ownership of the Company existed prior to the Business Combination and (C) at least a majority of the members of the board of directors (or equivalent governing body, if applicable) of the entity resulting from such Business Combination (I) will have been members of the Incumbent Board at the time of the initial agreement, or action of the Board, providing for such Business Combination, or (II) would have been elected, or nominated for election by the Company’s stockholders, by an approval vote of at least a majority of the directors then comprising the Incumbent Board; or</w:t>
      </w:r>
    </w:p>
    <w:p>
      <w:pPr>
        <w:spacing w:after="0" w:line="190" w:lineRule="exact"/>
        <w:rPr>
          <w:rFonts w:ascii="Times New Roman" w:cs="Times New Roman" w:eastAsia="Times New Roman" w:hAnsi="Times New Roman"/>
          <w:sz w:val="18"/>
          <w:szCs w:val="18"/>
          <w:color w:val="auto"/>
        </w:rPr>
      </w:pPr>
    </w:p>
    <w:p>
      <w:pPr>
        <w:ind w:left="2060" w:hanging="525"/>
        <w:spacing w:after="0"/>
        <w:tabs>
          <w:tab w:leader="none" w:pos="20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stockholders of the Company of a complete liquidation or dissolution of the Company.</w:t>
      </w:r>
    </w:p>
    <w:p>
      <w:pPr>
        <w:spacing w:after="0" w:line="225" w:lineRule="exact"/>
        <w:rPr>
          <w:sz w:val="20"/>
          <w:szCs w:val="20"/>
          <w:color w:val="auto"/>
        </w:rPr>
      </w:pPr>
    </w:p>
    <w:p>
      <w:pPr>
        <w:jc w:val="both"/>
        <w:ind w:left="1020" w:firstLine="509"/>
        <w:spacing w:after="0" w:line="258" w:lineRule="auto"/>
        <w:rPr>
          <w:sz w:val="20"/>
          <w:szCs w:val="20"/>
          <w:color w:val="auto"/>
        </w:rPr>
      </w:pPr>
      <w:r>
        <w:rPr>
          <w:rFonts w:ascii="Times New Roman" w:cs="Times New Roman" w:eastAsia="Times New Roman" w:hAnsi="Times New Roman"/>
          <w:sz w:val="18"/>
          <w:szCs w:val="18"/>
          <w:color w:val="auto"/>
        </w:rPr>
        <w:t>Notwithstanding the foregoing, unless provided otherwise in an Award Agreement, with respect to any Award that is characterized as “nonqualified deferred compensation” within the meaning of Section 409A of the Code, an event shall not be considered to be a Change in Control under this Plan for purposes of payment of such Award unless such event is also a “change in ownership,” a “change in effective control,” or a “change in the ownership of a substantial portion of the assets” of the Company within the meaning of Section 409A of the Code.</w:t>
      </w:r>
    </w:p>
    <w:p>
      <w:pPr>
        <w:spacing w:after="0" w:line="182" w:lineRule="exact"/>
        <w:rPr>
          <w:sz w:val="20"/>
          <w:szCs w:val="20"/>
          <w:color w:val="auto"/>
        </w:rPr>
      </w:pPr>
    </w:p>
    <w:p>
      <w:pPr>
        <w:jc w:val="both"/>
        <w:ind w:firstLine="517"/>
        <w:spacing w:after="0" w:line="260" w:lineRule="auto"/>
        <w:tabs>
          <w:tab w:leader="none" w:pos="103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Impact of Event/Double Trigger on Vice Presidents and Above</w:t>
      </w:r>
      <w:r>
        <w:rPr>
          <w:rFonts w:ascii="Times New Roman" w:cs="Times New Roman" w:eastAsia="Times New Roman" w:hAnsi="Times New Roman"/>
          <w:sz w:val="18"/>
          <w:szCs w:val="18"/>
          <w:color w:val="auto"/>
        </w:rPr>
        <w:t>. Unless otherwise provided in the applicable Award Agreement and subject to Sections 4(d), 13(d) and 16(k), notwithstanding any other provision of this Plan to the contrary, upon the Termination of Employment, within three months prior to a Change in Control or within twelve months following a Change in Control, of a Participant who, as of the date of termination, has a title of Vice President or above, by the Company other than for Cause or Disability or by the Participant for Good Reason, then:</w:t>
      </w:r>
    </w:p>
    <w:p>
      <w:pPr>
        <w:spacing w:after="0" w:line="181" w:lineRule="exact"/>
        <w:rPr>
          <w:rFonts w:ascii="Times New Roman" w:cs="Times New Roman" w:eastAsia="Times New Roman" w:hAnsi="Times New Roman"/>
          <w:sz w:val="18"/>
          <w:szCs w:val="18"/>
          <w:color w:val="auto"/>
        </w:rPr>
      </w:pPr>
    </w:p>
    <w:p>
      <w:pPr>
        <w:jc w:val="both"/>
        <w:ind w:left="1020" w:firstLine="515"/>
        <w:spacing w:after="0" w:line="257" w:lineRule="auto"/>
        <w:tabs>
          <w:tab w:leader="none" w:pos="2194"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Options and SARs outstanding as of such Termination of Employment which were outstanding as of the date of such Change in Control shall be fully exercisable and vested and shall remain exercisable until the later of (i) the last date on which such Option or SAR would be exercisable in the absence of this Section 13(b) and (ii) the earlier of (A) the first anniversary of such Change in Control and</w:t>
      </w:r>
    </w:p>
    <w:p>
      <w:pPr>
        <w:ind w:left="1320" w:hanging="294"/>
        <w:spacing w:after="0"/>
        <w:tabs>
          <w:tab w:leader="none" w:pos="132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the Term of such Option or SAR;</w:t>
      </w:r>
    </w:p>
    <w:p>
      <w:pPr>
        <w:spacing w:after="0" w:line="206" w:lineRule="exact"/>
        <w:rPr>
          <w:rFonts w:ascii="Times New Roman" w:cs="Times New Roman" w:eastAsia="Times New Roman" w:hAnsi="Times New Roman"/>
          <w:sz w:val="18"/>
          <w:szCs w:val="18"/>
          <w:color w:val="auto"/>
        </w:rPr>
      </w:pPr>
    </w:p>
    <w:p>
      <w:pPr>
        <w:ind w:left="1020" w:right="20" w:firstLine="515"/>
        <w:spacing w:after="0" w:line="281" w:lineRule="auto"/>
        <w:tabs>
          <w:tab w:leader="none" w:pos="2107"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Restricted Stock outstanding as of such Termination of Employment which was outstanding as of the date of such Change in Control shall become free of all restrictions and become fully vested and transferable;</w:t>
      </w:r>
    </w:p>
    <w:p>
      <w:pPr>
        <w:spacing w:after="0" w:line="162" w:lineRule="exact"/>
        <w:rPr>
          <w:rFonts w:ascii="Times New Roman" w:cs="Times New Roman" w:eastAsia="Times New Roman" w:hAnsi="Times New Roman"/>
          <w:sz w:val="18"/>
          <w:szCs w:val="18"/>
          <w:color w:val="auto"/>
        </w:rPr>
      </w:pPr>
    </w:p>
    <w:p>
      <w:pPr>
        <w:jc w:val="both"/>
        <w:ind w:left="1020" w:firstLine="515"/>
        <w:spacing w:after="0" w:line="257" w:lineRule="auto"/>
        <w:tabs>
          <w:tab w:leader="none" w:pos="2087"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RSUs outstanding as of such Termination of Employment which were outstanding as of the date of such Change in Control shall be considered to be earned and payable in full, and any restrictions shall lapse and such RSUs shall be settled as promptly as is practicable (but in no event later than March 15 of the calendar year following the end of the calendar year in which the RSUs vest); and</w:t>
      </w:r>
    </w:p>
    <w:p>
      <w:pPr>
        <w:jc w:val="center"/>
        <w:spacing w:after="0" w:line="206" w:lineRule="auto"/>
        <w:rPr>
          <w:sz w:val="20"/>
          <w:szCs w:val="20"/>
          <w:color w:val="auto"/>
        </w:rPr>
      </w:pPr>
      <w:r>
        <w:rPr>
          <w:rFonts w:ascii="Calibri" w:cs="Calibri" w:eastAsia="Calibri" w:hAnsi="Calibri"/>
          <w:sz w:val="20"/>
          <w:szCs w:val="20"/>
          <w:color w:val="auto"/>
        </w:rPr>
        <w:t>E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582295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41" w:name="page142"/>
    <w:bookmarkEnd w:id="141"/>
    <w:p>
      <w:pPr>
        <w:ind w:left="10180"/>
        <w:spacing w:after="0"/>
        <w:rPr>
          <w:sz w:val="20"/>
          <w:szCs w:val="20"/>
          <w:color w:val="auto"/>
        </w:rPr>
      </w:pPr>
      <w:r>
        <w:rPr>
          <w:rFonts w:ascii="Calibri" w:cs="Calibri" w:eastAsia="Calibri" w:hAnsi="Calibri"/>
          <w:sz w:val="20"/>
          <w:szCs w:val="20"/>
          <w:color w:val="auto"/>
        </w:rPr>
        <w:t>Exhibit 10.21</w:t>
      </w:r>
    </w:p>
    <w:p>
      <w:pPr>
        <w:spacing w:after="0" w:line="200" w:lineRule="exact"/>
        <w:rPr>
          <w:sz w:val="20"/>
          <w:szCs w:val="20"/>
          <w:color w:val="auto"/>
        </w:rPr>
      </w:pPr>
    </w:p>
    <w:p>
      <w:pPr>
        <w:spacing w:after="0" w:line="273" w:lineRule="exact"/>
        <w:rPr>
          <w:sz w:val="20"/>
          <w:szCs w:val="20"/>
          <w:color w:val="auto"/>
        </w:rPr>
      </w:pPr>
    </w:p>
    <w:p>
      <w:pPr>
        <w:jc w:val="both"/>
        <w:ind w:left="1020" w:firstLine="515"/>
        <w:spacing w:after="0" w:line="260" w:lineRule="auto"/>
        <w:tabs>
          <w:tab w:leader="none" w:pos="2152"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Performance Awards outstanding as of such Termination of Employment which were outstanding as of the date of such Change in Control shall be considered to be earned and payable in full, vesting shall accelerate assuming the Performance Goals have been met at target and any restrictions shall lapse and any such RSUs shall be settled as promptly as is practicable (but in no event later than March 15 of the calendar year following the end of the calendar year in which the RSUs vest).</w:t>
      </w:r>
    </w:p>
    <w:p>
      <w:pPr>
        <w:spacing w:after="0" w:line="181" w:lineRule="exact"/>
        <w:rPr>
          <w:rFonts w:ascii="Times New Roman" w:cs="Times New Roman" w:eastAsia="Times New Roman" w:hAnsi="Times New Roman"/>
          <w:sz w:val="18"/>
          <w:szCs w:val="18"/>
          <w:color w:val="auto"/>
        </w:rPr>
      </w:pPr>
    </w:p>
    <w:p>
      <w:pPr>
        <w:jc w:val="both"/>
        <w:ind w:firstLine="517"/>
        <w:spacing w:after="0" w:line="260" w:lineRule="auto"/>
        <w:tabs>
          <w:tab w:leader="none" w:pos="127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Impact of Event/Double Trigger on Other Participants</w:t>
      </w:r>
      <w:r>
        <w:rPr>
          <w:rFonts w:ascii="Times New Roman" w:cs="Times New Roman" w:eastAsia="Times New Roman" w:hAnsi="Times New Roman"/>
          <w:sz w:val="18"/>
          <w:szCs w:val="18"/>
          <w:color w:val="auto"/>
        </w:rPr>
        <w:t>. Unless otherwise provided in the applicable Award Agreement and subject to Sections 4(d), 13(d) and 16(k), notwithstanding any other provision of this Plan to the contrary, upon the Termination of Employment, within three months prior to a Change in Control or within twelve months following a Change in Control, of any other Participant, by the Company other than for Cause or Disability or by the Participant for Good Reason:</w:t>
      </w:r>
    </w:p>
    <w:p>
      <w:pPr>
        <w:spacing w:after="0" w:line="181" w:lineRule="exact"/>
        <w:rPr>
          <w:rFonts w:ascii="Times New Roman" w:cs="Times New Roman" w:eastAsia="Times New Roman" w:hAnsi="Times New Roman"/>
          <w:sz w:val="18"/>
          <w:szCs w:val="18"/>
          <w:color w:val="auto"/>
        </w:rPr>
      </w:pPr>
    </w:p>
    <w:p>
      <w:pPr>
        <w:jc w:val="both"/>
        <w:ind w:left="1020" w:firstLine="515"/>
        <w:spacing w:after="0" w:line="260" w:lineRule="auto"/>
        <w:tabs>
          <w:tab w:leader="none" w:pos="2112"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 percent (50%) of any Options and SARs outstanding as of such Termination of Employment which were outstanding as of the date of such Change in Control shall be fully exercisable and vested and shall remain exercisable until the later of (i) the last date on which such Option or SAR would be exercisable in the absence of this Section 13(b) and (ii) the earlier of (A) the first anniversary of such Change in Control and (B) expiration of the Term of such Option or SAR;</w:t>
      </w:r>
    </w:p>
    <w:p>
      <w:pPr>
        <w:spacing w:after="0" w:line="181" w:lineRule="exact"/>
        <w:rPr>
          <w:rFonts w:ascii="Times New Roman" w:cs="Times New Roman" w:eastAsia="Times New Roman" w:hAnsi="Times New Roman"/>
          <w:sz w:val="18"/>
          <w:szCs w:val="18"/>
          <w:color w:val="auto"/>
        </w:rPr>
      </w:pPr>
    </w:p>
    <w:p>
      <w:pPr>
        <w:ind w:left="1020" w:firstLine="515"/>
        <w:spacing w:after="0" w:line="281" w:lineRule="auto"/>
        <w:tabs>
          <w:tab w:leader="none" w:pos="2123"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 percent (50%) of all Restricted Stock outstanding as of such Termination of Employment which were outstanding as of the date of such Change in Control shall become free of all restrictions and become fully vested and transferable;</w:t>
      </w:r>
    </w:p>
    <w:p>
      <w:pPr>
        <w:spacing w:after="0" w:line="162" w:lineRule="exact"/>
        <w:rPr>
          <w:rFonts w:ascii="Times New Roman" w:cs="Times New Roman" w:eastAsia="Times New Roman" w:hAnsi="Times New Roman"/>
          <w:sz w:val="18"/>
          <w:szCs w:val="18"/>
          <w:color w:val="auto"/>
        </w:rPr>
      </w:pPr>
    </w:p>
    <w:p>
      <w:pPr>
        <w:jc w:val="both"/>
        <w:ind w:left="1020" w:firstLine="515"/>
        <w:spacing w:after="0" w:line="260" w:lineRule="auto"/>
        <w:tabs>
          <w:tab w:leader="none" w:pos="2105"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 percent (50%) of all RSUs outstanding as of such Termination of Employment which were outstanding as of the date of such Change in Control shall be considered to be earned and payable in full, and any restrictions shall lapse and such RSUs shall be settled as promptly as is practicable (but in no event later than March 15 of the calendar year following the end of the calendar year in which the RSUs vest); and</w:t>
      </w:r>
    </w:p>
    <w:p>
      <w:pPr>
        <w:spacing w:after="0" w:line="181" w:lineRule="exact"/>
        <w:rPr>
          <w:rFonts w:ascii="Times New Roman" w:cs="Times New Roman" w:eastAsia="Times New Roman" w:hAnsi="Times New Roman"/>
          <w:sz w:val="18"/>
          <w:szCs w:val="18"/>
          <w:color w:val="auto"/>
        </w:rPr>
      </w:pPr>
    </w:p>
    <w:p>
      <w:pPr>
        <w:jc w:val="both"/>
        <w:ind w:left="1020" w:firstLine="515"/>
        <w:spacing w:after="0" w:line="260" w:lineRule="auto"/>
        <w:tabs>
          <w:tab w:leader="none" w:pos="2083"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Fifty percent (50%) of all Performance Awards outstanding as of such Termination of Employment which were outstanding as of the date of such Change in Control shall be considered to be earned and payable in full, vesting shall accelerate assuming the Performance Goals have been met at target and any restrictions shall lapse and any such RSUs shall be settled as promptly as is practicable (but in no event later than March 15 of the calendar year following the end of the calendar year in which the RSUs vest).</w:t>
      </w:r>
    </w:p>
    <w:p>
      <w:pPr>
        <w:spacing w:after="0" w:line="182"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Notwithstanding the foregoing, the Committee will continue to have plenary authority and complete discretion to, among other things, accelerate the vesting of a greater percentage of Awards.</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SECTION 14. TERM, AMENDMENT AND TERMINATION</w:t>
      </w:r>
    </w:p>
    <w:p>
      <w:pPr>
        <w:spacing w:after="0" w:line="229" w:lineRule="exact"/>
        <w:rPr>
          <w:sz w:val="20"/>
          <w:szCs w:val="20"/>
          <w:color w:val="auto"/>
        </w:rPr>
      </w:pPr>
    </w:p>
    <w:p>
      <w:pPr>
        <w:jc w:val="both"/>
        <w:ind w:firstLine="517"/>
        <w:spacing w:after="0" w:line="265" w:lineRule="auto"/>
        <w:tabs>
          <w:tab w:leader="none" w:pos="121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This Plan shall be effective as of April 19, 2023 (the “Effective Date”), subject to approval by the affirmative vote of a majority of the outstanding shares of Common Stock present by person or by proxy at the Company’s 2023 Annual Meeting that are entitled to vote on a proposal to approve the adoption of this Plan.</w:t>
      </w:r>
    </w:p>
    <w:p>
      <w:pPr>
        <w:spacing w:after="0" w:line="177" w:lineRule="exact"/>
        <w:rPr>
          <w:rFonts w:ascii="Times New Roman" w:cs="Times New Roman" w:eastAsia="Times New Roman" w:hAnsi="Times New Roman"/>
          <w:sz w:val="18"/>
          <w:szCs w:val="18"/>
          <w:color w:val="auto"/>
        </w:rPr>
      </w:pPr>
    </w:p>
    <w:p>
      <w:pPr>
        <w:ind w:firstLine="517"/>
        <w:spacing w:after="0" w:line="281" w:lineRule="auto"/>
        <w:tabs>
          <w:tab w:leader="none" w:pos="104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Plan will terminate on the tenth anniversary of the Effective Date. Awards outstanding as of such date shall not be affected or impaired by the termination of this Plan.</w:t>
      </w:r>
    </w:p>
    <w:p>
      <w:pPr>
        <w:spacing w:after="0" w:line="162" w:lineRule="exact"/>
        <w:rPr>
          <w:rFonts w:ascii="Times New Roman" w:cs="Times New Roman" w:eastAsia="Times New Roman" w:hAnsi="Times New Roman"/>
          <w:sz w:val="18"/>
          <w:szCs w:val="18"/>
          <w:color w:val="auto"/>
        </w:rPr>
      </w:pPr>
    </w:p>
    <w:p>
      <w:pPr>
        <w:jc w:val="both"/>
        <w:ind w:firstLine="517"/>
        <w:spacing w:after="0" w:line="256" w:lineRule="auto"/>
        <w:tabs>
          <w:tab w:leader="none" w:pos="112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Plan</w:t>
      </w:r>
      <w:r>
        <w:rPr>
          <w:rFonts w:ascii="Times New Roman" w:cs="Times New Roman" w:eastAsia="Times New Roman" w:hAnsi="Times New Roman"/>
          <w:sz w:val="18"/>
          <w:szCs w:val="18"/>
          <w:color w:val="auto"/>
        </w:rPr>
        <w:t>. The Board may amend, alter, or discontinue this Plan, but no amendment, alteration or discontinuation shall be made which would materially impair the rights of the Participant with respect to a previously granted Award without such Participant’s consent, except such an amendment made to comply with applicable law (including without limitation Section 409A of the Code), stock exchange rules or accounting rules. In addition, no such amendment shall be made without the approval of the Company’s stockholders to the extent such approval is required by applicable law or the listing standards of the Applicable Exchange or to the extent determined by the Committee to be required by the Code to ensure that Incentive Stock Options granted under this Plan are qualified under Section 422 of the Code.</w:t>
      </w:r>
    </w:p>
    <w:p>
      <w:pPr>
        <w:spacing w:after="0" w:line="185" w:lineRule="exact"/>
        <w:rPr>
          <w:rFonts w:ascii="Times New Roman" w:cs="Times New Roman" w:eastAsia="Times New Roman" w:hAnsi="Times New Roman"/>
          <w:sz w:val="18"/>
          <w:szCs w:val="18"/>
          <w:color w:val="auto"/>
        </w:rPr>
      </w:pPr>
    </w:p>
    <w:p>
      <w:pPr>
        <w:jc w:val="both"/>
        <w:ind w:firstLine="517"/>
        <w:spacing w:after="0" w:line="265" w:lineRule="auto"/>
        <w:tabs>
          <w:tab w:leader="none" w:pos="122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Awards</w:t>
      </w:r>
      <w:r>
        <w:rPr>
          <w:rFonts w:ascii="Times New Roman" w:cs="Times New Roman" w:eastAsia="Times New Roman" w:hAnsi="Times New Roman"/>
          <w:sz w:val="18"/>
          <w:szCs w:val="18"/>
          <w:color w:val="auto"/>
        </w:rPr>
        <w:t>. Subject to Section 6(d), the Committee may unilaterally amend the terms of any Award theretofore granted, prospectively or retroactively, but no such amendment shall, without the Participant’s consent, materially impair the rights of any Participant with respect to an Award, except such an amendment made to cause this Plan or Award to comply with applicable law, stock exchange rules or accounting rules.</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SECTION 15. UNFUNDED STATUS OF PLAN</w:t>
      </w:r>
    </w:p>
    <w:p>
      <w:pPr>
        <w:jc w:val="center"/>
        <w:spacing w:after="0" w:line="236" w:lineRule="auto"/>
        <w:rPr>
          <w:sz w:val="20"/>
          <w:szCs w:val="20"/>
          <w:color w:val="auto"/>
        </w:rPr>
      </w:pPr>
      <w:r>
        <w:rPr>
          <w:rFonts w:ascii="Calibri" w:cs="Calibri" w:eastAsia="Calibri" w:hAnsi="Calibri"/>
          <w:sz w:val="20"/>
          <w:szCs w:val="20"/>
          <w:color w:val="auto"/>
        </w:rPr>
        <w:t>E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582295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142" w:name="page143"/>
    <w:bookmarkEnd w:id="142"/>
    <w:p>
      <w:pPr>
        <w:ind w:left="10180"/>
        <w:spacing w:after="0"/>
        <w:rPr>
          <w:sz w:val="20"/>
          <w:szCs w:val="20"/>
          <w:color w:val="auto"/>
        </w:rPr>
      </w:pPr>
      <w:r>
        <w:rPr>
          <w:rFonts w:ascii="Calibri" w:cs="Calibri" w:eastAsia="Calibri" w:hAnsi="Calibri"/>
          <w:sz w:val="20"/>
          <w:szCs w:val="20"/>
          <w:color w:val="auto"/>
        </w:rPr>
        <w:t>Exhibit 10.21</w:t>
      </w:r>
    </w:p>
    <w:p>
      <w:pPr>
        <w:spacing w:after="0" w:line="200" w:lineRule="exact"/>
        <w:rPr>
          <w:sz w:val="20"/>
          <w:szCs w:val="20"/>
          <w:color w:val="auto"/>
        </w:rPr>
      </w:pPr>
    </w:p>
    <w:p>
      <w:pPr>
        <w:spacing w:after="0" w:line="27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It is presently intended that this Plan constitute an “unfunded” plan. Solely to the extent permitted under Section 409A, the Committee may authorize the creation of trusts or other arrangements to meet the obligations created under this Plan to deliver Common Stock or make payments;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existence of such trusts or other arrangements is consistent with the “unfunded” status of this Plan. Notwithstanding any other provision of this Plan to the contrary, with respect to any Award that constitutes a “nonqualified deferred compensation plan” within the meaning of Section 409A of the Code, no trust shall be funded with respect to any such Award if such funding would result in taxable income to the Participant by reason of Section 409A(b) of the Code and in no event shall any such trust assets at any time be located or transferred outside of the United States, within the meaning of Section 409A(b) of the Code. With respect to any payment as to which a Participant has a fixed and vested interest but which is not yet made to a Participant by the Company, nothing contained herein shall give any such Participant any right that is greater than those of a general unsecured creditor of the Company.</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SECTION 16. GENERAL PROVISIONS</w:t>
      </w:r>
    </w:p>
    <w:p>
      <w:pPr>
        <w:spacing w:after="0" w:line="229" w:lineRule="exact"/>
        <w:rPr>
          <w:sz w:val="20"/>
          <w:szCs w:val="20"/>
          <w:color w:val="auto"/>
        </w:rPr>
      </w:pPr>
    </w:p>
    <w:p>
      <w:pPr>
        <w:jc w:val="both"/>
        <w:ind w:firstLine="517"/>
        <w:spacing w:after="0" w:line="254" w:lineRule="auto"/>
        <w:tabs>
          <w:tab w:leader="none" w:pos="112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for Issuance</w:t>
      </w:r>
      <w:r>
        <w:rPr>
          <w:rFonts w:ascii="Times New Roman" w:cs="Times New Roman" w:eastAsia="Times New Roman" w:hAnsi="Times New Roman"/>
          <w:sz w:val="18"/>
          <w:szCs w:val="18"/>
          <w:color w:val="auto"/>
        </w:rPr>
        <w:t>. The Committee may require each person purchasing or receiving Shares pursuant to an Award to represent to and agree with the Company in writing that such person is acquiring the Shares without a view to the distribution thereof. The certificates for such Shares may include any legend which the Committee deems appropriate to reflect any restrictions on transfer. Notwithstanding any other provision of this Plan or agreements made pursuant thereto, the Company shall not be required to issue or deliver any certificate or certificates for Shares under this Plan prior to fulfillment of all of the following conditions: (i) listing or approval for listing upon notice of issuance, of such Shares on the Applicable Exchange; (ii) any registration or other qualification of such Shares of the Company under any state or federal law or regulation, or the maintaining in effect of any such registration or other qualification which the Committee shall, in its absolute discretion upon the advice of counsel, deem necessary or advisable; and (iii) obtaining any other consent, approval, or permit from any state or federal governmental agency which the Committee shall, in its absolute discretion after receiving the advice of counsel, determine to be necessary or advisable.</w:t>
      </w:r>
    </w:p>
    <w:p>
      <w:pPr>
        <w:spacing w:after="0" w:line="185" w:lineRule="exact"/>
        <w:rPr>
          <w:rFonts w:ascii="Times New Roman" w:cs="Times New Roman" w:eastAsia="Times New Roman" w:hAnsi="Times New Roman"/>
          <w:sz w:val="18"/>
          <w:szCs w:val="18"/>
          <w:color w:val="auto"/>
        </w:rPr>
      </w:pPr>
    </w:p>
    <w:p>
      <w:pPr>
        <w:ind w:firstLine="517"/>
        <w:spacing w:after="0" w:line="281" w:lineRule="auto"/>
        <w:tabs>
          <w:tab w:leader="none" w:pos="116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Compensation Arrangements</w:t>
      </w:r>
      <w:r>
        <w:rPr>
          <w:rFonts w:ascii="Times New Roman" w:cs="Times New Roman" w:eastAsia="Times New Roman" w:hAnsi="Times New Roman"/>
          <w:sz w:val="18"/>
          <w:szCs w:val="18"/>
          <w:color w:val="auto"/>
        </w:rPr>
        <w:t>. Nothing contained in this Plan shall prevent the Company or any Subsidiary or Affiliate from adopting other or additional compensation arrangements for its employees.</w:t>
      </w:r>
    </w:p>
    <w:p>
      <w:pPr>
        <w:spacing w:after="0" w:line="162" w:lineRule="exact"/>
        <w:rPr>
          <w:rFonts w:ascii="Times New Roman" w:cs="Times New Roman" w:eastAsia="Times New Roman" w:hAnsi="Times New Roman"/>
          <w:sz w:val="18"/>
          <w:szCs w:val="18"/>
          <w:color w:val="auto"/>
        </w:rPr>
      </w:pPr>
    </w:p>
    <w:p>
      <w:pPr>
        <w:jc w:val="both"/>
        <w:ind w:firstLine="517"/>
        <w:spacing w:after="0" w:line="260" w:lineRule="auto"/>
        <w:tabs>
          <w:tab w:leader="none" w:pos="108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Contract of Employment or Service</w:t>
      </w:r>
      <w:r>
        <w:rPr>
          <w:rFonts w:ascii="Times New Roman" w:cs="Times New Roman" w:eastAsia="Times New Roman" w:hAnsi="Times New Roman"/>
          <w:sz w:val="18"/>
          <w:szCs w:val="18"/>
          <w:color w:val="auto"/>
        </w:rPr>
        <w:t>. Neither this Plan nor the grant of any Award hereunder shall constitute a contract of employment or service, and neither the adoption of this Plan nor the grant of any Award hereunder shall confer upon any employee, consultant, independent contractor or service provider any right to continued employment or service, nor shall it interfere in any way with the right of the Company or any Subsidiary or Affiliate to terminate the employment or service of any employee, consultant, independent contractor or service provider at any time.</w:t>
      </w:r>
    </w:p>
    <w:p>
      <w:pPr>
        <w:spacing w:after="0" w:line="181" w:lineRule="exact"/>
        <w:rPr>
          <w:rFonts w:ascii="Times New Roman" w:cs="Times New Roman" w:eastAsia="Times New Roman" w:hAnsi="Times New Roman"/>
          <w:sz w:val="18"/>
          <w:szCs w:val="18"/>
          <w:color w:val="auto"/>
        </w:rPr>
      </w:pPr>
    </w:p>
    <w:p>
      <w:pPr>
        <w:jc w:val="both"/>
        <w:ind w:firstLine="517"/>
        <w:spacing w:after="0" w:line="253" w:lineRule="auto"/>
        <w:tabs>
          <w:tab w:leader="none" w:pos="10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Taxes</w:t>
      </w:r>
      <w:r>
        <w:rPr>
          <w:rFonts w:ascii="Times New Roman" w:cs="Times New Roman" w:eastAsia="Times New Roman" w:hAnsi="Times New Roman"/>
          <w:sz w:val="18"/>
          <w:szCs w:val="18"/>
          <w:color w:val="auto"/>
        </w:rPr>
        <w:t>. No later than the date as of which an amount first becomes includible in the gross income of a Participant for federal, state, local or foreign income or employment or other tax purposes with respect to any Award under this Plan, such Participant shall pay to the Company, or make arrangements satisfactory to the Company regarding the payment of, any federal, state, local or foreign taxes of any kind required by law to be withheld with respect to such amount. If determined by the Company, withholding obligations may be settled with Common Stock, including Common Stock that is part of the Award that gives rise to the withholding requirement; provided, however, that the amount withheld does not exceed the maximum statutory tax rate or such lesser amount as is necessary to avoid liability accounting treatment. The required tax withholding obligation may also be satisfied, in whole or in part, by an arrangement whereby a certain number of Shares issued pursuant to any Award are immediately sold and proceeds from such sale are remitted to the Company in an amount that would satisfy the withholding amount due. In addition, the Committee may require Awards to be subject to mandatory share withholding up to the required withholding amount. The obligations of the Company under this Plan shall be conditional on such payment or arrangements, and the Company and its Affiliates shall, to the extent permitted by law, have the right to deduct any such taxes from any payment otherwise due to such Participant. The Committee may establish such procedures as it deems appropriate, including making irrevocable elections, for the settlement of withholding obligations with Common Stock.</w:t>
      </w:r>
    </w:p>
    <w:p>
      <w:pPr>
        <w:spacing w:after="0" w:line="186" w:lineRule="exact"/>
        <w:rPr>
          <w:rFonts w:ascii="Times New Roman" w:cs="Times New Roman" w:eastAsia="Times New Roman" w:hAnsi="Times New Roman"/>
          <w:sz w:val="18"/>
          <w:szCs w:val="18"/>
          <w:color w:val="auto"/>
        </w:rPr>
      </w:pPr>
    </w:p>
    <w:p>
      <w:pPr>
        <w:jc w:val="both"/>
        <w:ind w:firstLine="517"/>
        <w:spacing w:after="0" w:line="252" w:lineRule="auto"/>
        <w:tabs>
          <w:tab w:leader="none" w:pos="106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Dividend Reinvestment and Dividend Equivalents</w:t>
      </w:r>
      <w:r>
        <w:rPr>
          <w:rFonts w:ascii="Times New Roman" w:cs="Times New Roman" w:eastAsia="Times New Roman" w:hAnsi="Times New Roman"/>
          <w:sz w:val="18"/>
          <w:szCs w:val="18"/>
          <w:color w:val="auto"/>
        </w:rPr>
        <w:t>. Reinvestment of dividends in additional Restricted Stock at the time of any dividend payment, and the payment of Shares with respect to dividends to Participants holding Awards of RSUs, shall only be permissible if sufficient Shares are available under Section 4 for such reinvestment or payment (taking into account then outstanding Awards). In the event that sufficient Shares are not available for such reinvestment or payment, such reinvestment or payment shall be made in the form of a grant of RSUs equal in number to the Shares that would have been obtained by such payment or reinvestment, the terms of which RSUs shall provide for settlement in cash and for dividend equivalent reinvestment in further RSUs on the terms contemplated by this Section 16(e). Any dividend equivalents granted with respect to an Award will be payable to the Participant only if, when and to the extent such underlying Award vests, and that dividend equivalent rights granted with respect to Awards that do not vest will be forfeited. For the avoidance of doubt, dividends and dividend equivalents shall not be payable with respect to Options or SARs.</w:t>
      </w:r>
    </w:p>
    <w:p>
      <w:pPr>
        <w:jc w:val="center"/>
        <w:spacing w:after="0" w:line="211" w:lineRule="auto"/>
        <w:rPr>
          <w:sz w:val="20"/>
          <w:szCs w:val="20"/>
          <w:color w:val="auto"/>
        </w:rPr>
      </w:pPr>
      <w:r>
        <w:rPr>
          <w:rFonts w:ascii="Calibri" w:cs="Calibri" w:eastAsia="Calibri" w:hAnsi="Calibri"/>
          <w:sz w:val="20"/>
          <w:szCs w:val="20"/>
          <w:color w:val="auto"/>
        </w:rPr>
        <w:t>E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582295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43" w:name="page144"/>
    <w:bookmarkEnd w:id="143"/>
    <w:p>
      <w:pPr>
        <w:ind w:left="10180"/>
        <w:spacing w:after="0"/>
        <w:rPr>
          <w:sz w:val="20"/>
          <w:szCs w:val="20"/>
          <w:color w:val="auto"/>
        </w:rPr>
      </w:pPr>
      <w:r>
        <w:rPr>
          <w:rFonts w:ascii="Calibri" w:cs="Calibri" w:eastAsia="Calibri" w:hAnsi="Calibri"/>
          <w:sz w:val="20"/>
          <w:szCs w:val="20"/>
          <w:color w:val="auto"/>
        </w:rPr>
        <w:t>Exhibit 10.21</w:t>
      </w:r>
    </w:p>
    <w:p>
      <w:pPr>
        <w:spacing w:after="0" w:line="200" w:lineRule="exact"/>
        <w:rPr>
          <w:sz w:val="20"/>
          <w:szCs w:val="20"/>
          <w:color w:val="auto"/>
        </w:rPr>
      </w:pPr>
    </w:p>
    <w:p>
      <w:pPr>
        <w:spacing w:after="0" w:line="273" w:lineRule="exact"/>
        <w:rPr>
          <w:sz w:val="20"/>
          <w:szCs w:val="20"/>
          <w:color w:val="auto"/>
        </w:rPr>
      </w:pPr>
    </w:p>
    <w:p>
      <w:pPr>
        <w:jc w:val="both"/>
        <w:ind w:firstLine="517"/>
        <w:spacing w:after="0" w:line="265" w:lineRule="auto"/>
        <w:tabs>
          <w:tab w:leader="none" w:pos="114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Death Beneficiary</w:t>
      </w:r>
      <w:r>
        <w:rPr>
          <w:rFonts w:ascii="Times New Roman" w:cs="Times New Roman" w:eastAsia="Times New Roman" w:hAnsi="Times New Roman"/>
          <w:sz w:val="18"/>
          <w:szCs w:val="18"/>
          <w:color w:val="auto"/>
        </w:rPr>
        <w:t>. The Committee shall establish such procedures as it deems appropriate for a Participant to designate a beneficiary to whom any amounts payable in the event of such Participant’s death are to be paid or by whom any rights of such eligible Individual, after such Participant’s death, may be exercised.</w:t>
      </w:r>
    </w:p>
    <w:p>
      <w:pPr>
        <w:spacing w:after="0" w:line="177" w:lineRule="exact"/>
        <w:rPr>
          <w:rFonts w:ascii="Times New Roman" w:cs="Times New Roman" w:eastAsia="Times New Roman" w:hAnsi="Times New Roman"/>
          <w:sz w:val="18"/>
          <w:szCs w:val="18"/>
          <w:color w:val="auto"/>
        </w:rPr>
      </w:pPr>
    </w:p>
    <w:p>
      <w:pPr>
        <w:jc w:val="both"/>
        <w:ind w:firstLine="517"/>
        <w:spacing w:after="0" w:line="258" w:lineRule="auto"/>
        <w:tabs>
          <w:tab w:leader="none" w:pos="116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Subsidiary Employees</w:t>
      </w:r>
      <w:r>
        <w:rPr>
          <w:rFonts w:ascii="Times New Roman" w:cs="Times New Roman" w:eastAsia="Times New Roman" w:hAnsi="Times New Roman"/>
          <w:sz w:val="18"/>
          <w:szCs w:val="18"/>
          <w:color w:val="auto"/>
        </w:rPr>
        <w:t>. In the case of a grant of an Award to any employee of a Subsidiary of the Company, the Company may, if the Committee so directs, issue or transfer the Shares, if any, covered by the Award to the Subsidiary, for such lawful consideration as the Committee may specify, upon the condition or understanding that the Subsidiary will transfer the Shares to the employee in accordance with the terms of the Award specified by the Committee pursuant to the provisions of this Plan. All Shares underlying Awards that are forfeited or canceled should revert to the Company.</w:t>
      </w:r>
    </w:p>
    <w:p>
      <w:pPr>
        <w:spacing w:after="0" w:line="181" w:lineRule="exact"/>
        <w:rPr>
          <w:rFonts w:ascii="Times New Roman" w:cs="Times New Roman" w:eastAsia="Times New Roman" w:hAnsi="Times New Roman"/>
          <w:sz w:val="18"/>
          <w:szCs w:val="18"/>
          <w:color w:val="auto"/>
        </w:rPr>
      </w:pPr>
    </w:p>
    <w:p>
      <w:pPr>
        <w:jc w:val="both"/>
        <w:ind w:firstLine="517"/>
        <w:spacing w:after="0" w:line="265" w:lineRule="auto"/>
        <w:tabs>
          <w:tab w:leader="none" w:pos="116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Interpretation</w:t>
      </w:r>
      <w:r>
        <w:rPr>
          <w:rFonts w:ascii="Times New Roman" w:cs="Times New Roman" w:eastAsia="Times New Roman" w:hAnsi="Times New Roman"/>
          <w:sz w:val="18"/>
          <w:szCs w:val="18"/>
          <w:color w:val="auto"/>
        </w:rPr>
        <w:t>. This Plan and all Awards made and actions taken thereunder shall be governed by and construed in accordance with the laws of the State of Delaware, without reference to principles of conflict of laws. The captions of this Plan are not part of the provisions hereof and shall have no force or effect.</w:t>
      </w:r>
    </w:p>
    <w:p>
      <w:pPr>
        <w:spacing w:after="0" w:line="177" w:lineRule="exact"/>
        <w:rPr>
          <w:rFonts w:ascii="Times New Roman" w:cs="Times New Roman" w:eastAsia="Times New Roman" w:hAnsi="Times New Roman"/>
          <w:sz w:val="18"/>
          <w:szCs w:val="18"/>
          <w:color w:val="auto"/>
        </w:rPr>
      </w:pPr>
    </w:p>
    <w:p>
      <w:pPr>
        <w:ind w:right="20" w:firstLine="517"/>
        <w:spacing w:after="0" w:line="281" w:lineRule="auto"/>
        <w:tabs>
          <w:tab w:leader="none" w:pos="103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Non-Transferability</w:t>
      </w:r>
      <w:r>
        <w:rPr>
          <w:rFonts w:ascii="Times New Roman" w:cs="Times New Roman" w:eastAsia="Times New Roman" w:hAnsi="Times New Roman"/>
          <w:sz w:val="18"/>
          <w:szCs w:val="18"/>
          <w:color w:val="auto"/>
        </w:rPr>
        <w:t>. Except as otherwise provided in Section 6(i) or by the Committee, Awards under this Plan are not transferable except by will or by laws of descent and distribution.</w:t>
      </w:r>
    </w:p>
    <w:p>
      <w:pPr>
        <w:spacing w:after="0" w:line="162" w:lineRule="exact"/>
        <w:rPr>
          <w:rFonts w:ascii="Times New Roman" w:cs="Times New Roman" w:eastAsia="Times New Roman" w:hAnsi="Times New Roman"/>
          <w:sz w:val="18"/>
          <w:szCs w:val="18"/>
          <w:color w:val="auto"/>
        </w:rPr>
      </w:pPr>
    </w:p>
    <w:p>
      <w:pPr>
        <w:jc w:val="both"/>
        <w:ind w:firstLine="517"/>
        <w:spacing w:after="0" w:line="256" w:lineRule="auto"/>
        <w:tabs>
          <w:tab w:leader="none" w:pos="111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Employees and Foreign Law Considerations</w:t>
      </w:r>
      <w:r>
        <w:rPr>
          <w:rFonts w:ascii="Times New Roman" w:cs="Times New Roman" w:eastAsia="Times New Roman" w:hAnsi="Times New Roman"/>
          <w:sz w:val="18"/>
          <w:szCs w:val="18"/>
          <w:color w:val="auto"/>
        </w:rPr>
        <w:t>. The Committee may grant Awards to Eligible Individuals who are foreign nationals, who are located outside the United States or who are not compensated from a payroll maintained in the United States, or who are otherwise subject to (or could cause the Company to be subject to) legal or regulatory provisions of countries or jurisdictions outside the United States, on such terms and conditions different from those specified in this Plan as may, in the judgment of the Committee, be necessary or desirable to foster and promote achievement of the purposes of this Plan, and, in furtherance of such purposes, the Committee may make such modifications, amendments, procedures, or subplans as may be necessary or advisable to comply with such legal or regulatory provisions.</w:t>
      </w:r>
    </w:p>
    <w:p>
      <w:pPr>
        <w:spacing w:after="0" w:line="185" w:lineRule="exact"/>
        <w:rPr>
          <w:rFonts w:ascii="Times New Roman" w:cs="Times New Roman" w:eastAsia="Times New Roman" w:hAnsi="Times New Roman"/>
          <w:sz w:val="18"/>
          <w:szCs w:val="18"/>
          <w:color w:val="auto"/>
        </w:rPr>
      </w:pPr>
    </w:p>
    <w:p>
      <w:pPr>
        <w:jc w:val="both"/>
        <w:ind w:firstLine="517"/>
        <w:spacing w:after="0" w:line="252" w:lineRule="auto"/>
        <w:tabs>
          <w:tab w:leader="none" w:pos="112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of the Code</w:t>
      </w:r>
      <w:r>
        <w:rPr>
          <w:rFonts w:ascii="Times New Roman" w:cs="Times New Roman" w:eastAsia="Times New Roman" w:hAnsi="Times New Roman"/>
          <w:sz w:val="18"/>
          <w:szCs w:val="18"/>
          <w:color w:val="auto"/>
        </w:rPr>
        <w:t>. This Plan and Awards are intended to comply with or be exempt from the applicable requirements of Section 409A of the Code and shall be limited, construed, and interpreted in accordance with such intent. The terms and conditions governing any Awards that the Committee determines will be subject to Section 409A of the Code, including any rules for elective or mandatory deferral of the delivery of cash or Shares pursuant thereto and any rules regarding treatment of such Awards in the event of a Change in Control, shall be set forth in the applicable Award Agreement, and shall comply in all respects with Section 409A of the Code. Notwithstanding any contrary provision in this Plan or Award Agreement, any payment(s) of “nonqualified deferred compensation” (within the meaning of Section 409A of the Code) that are otherwise required to be made under this Plan to a “specified employee” (as defined under Section 409A of the Code) as a result of such employee’s separation from service (other than a payment that is not subject to Section 409A of the Code) shall be delayed for the first six (6) months following such separation from service (or, if earlier, until the date of death of the specified employee) and shall instead be paid (in a manner set forth in the Award Agreement) upon expiration of such delay period. In no event may a Participant, directly or indirectly, designate the calendar year of any payment to be made under any Award. Notwithstanding anything herein to the contrary, any provision in this Plan that is inconsistent with Section 409A of the Code shall be deemed to be amended to comply with or be exempt from Section 409A of the Code and, to the extent such provision cannot be amended to comply therewith or be exempt therefrom, such provision shall be null and void. The Company shall have no liability to a Participant, or any other party, if an Award that is intended to be exempt from, or compliant with, Section 409A of the Code is not so exempt or compliant or for any action taken by the Committee or the Company. The Participant shall be solely responsible for the payment of any taxes, penalties, interest, or other expenses incurred by the Participant with respect to any Award that is not compliant with or exempt from Section 409A, and the Company shall have no responsibility to the Participant or any other party for the payment of such taxes, penalties interest or other expense.</w:t>
      </w:r>
    </w:p>
    <w:p>
      <w:pPr>
        <w:spacing w:after="0" w:line="188" w:lineRule="exact"/>
        <w:rPr>
          <w:rFonts w:ascii="Times New Roman" w:cs="Times New Roman" w:eastAsia="Times New Roman" w:hAnsi="Times New Roman"/>
          <w:sz w:val="18"/>
          <w:szCs w:val="18"/>
          <w:color w:val="auto"/>
        </w:rPr>
      </w:pPr>
    </w:p>
    <w:p>
      <w:pPr>
        <w:jc w:val="both"/>
        <w:ind w:firstLine="517"/>
        <w:spacing w:after="0" w:line="254" w:lineRule="auto"/>
        <w:tabs>
          <w:tab w:leader="none" w:pos="12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Each person who is or will have been a member of the Board or of the Committee and any designee of the Board or Committee will be indemnified and held harmless by the Company against and from any loss, cost, liability, or expense that may be imposed on or reasonably incurred by him in connection with or resulting from any claim, action, suit, or proceeding to which he may be made party or in which he may be involved by reason of any determination, interpretation, action taken or failure to act under this Plan and against and from any and all amounts paid by him in settlement thereof, with the Company’s approval, or paid by him in satisfaction of any judgment in any such action, suit or proceeding against him, provided he will give the Company an opportunity, at its own expense, to handle and defend the same before he undertakes to handle and defend it on his own behalf. The foregoing right of indemnification will not be exclusive and will be independent of any other rights of indemnification to which such persons may be entitled under the Company’s Articles of Incorporation, By-laws, by contract, as a matter of law, or otherwise.</w:t>
      </w:r>
    </w:p>
    <w:p>
      <w:pPr>
        <w:spacing w:after="0" w:line="189" w:lineRule="exact"/>
        <w:rPr>
          <w:rFonts w:ascii="Times New Roman" w:cs="Times New Roman" w:eastAsia="Times New Roman" w:hAnsi="Times New Roman"/>
          <w:sz w:val="18"/>
          <w:szCs w:val="18"/>
          <w:color w:val="auto"/>
        </w:rPr>
      </w:pPr>
    </w:p>
    <w:p>
      <w:pPr>
        <w:ind w:left="1080" w:hanging="563"/>
        <w:spacing w:after="0"/>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Recoupment or “Clawback” Policy</w:t>
      </w:r>
      <w:r>
        <w:rPr>
          <w:rFonts w:ascii="Times New Roman" w:cs="Times New Roman" w:eastAsia="Times New Roman" w:hAnsi="Times New Roman"/>
          <w:sz w:val="18"/>
          <w:szCs w:val="18"/>
          <w:color w:val="auto"/>
        </w:rPr>
        <w:t>. All Awards, amounts, or benefits received or outstanding under this Plan will be subject</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to clawback, cancellation, recoupment, rescission, payback, reduction, or other similar action in accordance with any Company clawback or similar policy or any Applicable Law related to such actions. A Participant’s acceptance of an Award will</w:t>
      </w:r>
    </w:p>
    <w:p>
      <w:pPr>
        <w:jc w:val="center"/>
        <w:spacing w:after="0" w:line="206" w:lineRule="auto"/>
        <w:rPr>
          <w:sz w:val="20"/>
          <w:szCs w:val="20"/>
          <w:color w:val="auto"/>
        </w:rPr>
      </w:pPr>
      <w:r>
        <w:rPr>
          <w:rFonts w:ascii="Calibri" w:cs="Calibri" w:eastAsia="Calibri" w:hAnsi="Calibri"/>
          <w:sz w:val="20"/>
          <w:szCs w:val="20"/>
          <w:color w:val="auto"/>
        </w:rPr>
        <w:t>E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582295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144" w:name="page145"/>
    <w:bookmarkEnd w:id="144"/>
    <w:p>
      <w:pPr>
        <w:jc w:val="right"/>
        <w:spacing w:after="0"/>
        <w:rPr>
          <w:sz w:val="20"/>
          <w:szCs w:val="20"/>
          <w:color w:val="auto"/>
        </w:rPr>
      </w:pPr>
      <w:r>
        <w:rPr>
          <w:rFonts w:ascii="Calibri" w:cs="Calibri" w:eastAsia="Calibri" w:hAnsi="Calibri"/>
          <w:sz w:val="20"/>
          <w:szCs w:val="20"/>
          <w:color w:val="auto"/>
        </w:rPr>
        <w:t>Exhibit 10.21</w:t>
      </w:r>
    </w:p>
    <w:p>
      <w:pPr>
        <w:spacing w:after="0" w:line="200" w:lineRule="exact"/>
        <w:rPr>
          <w:sz w:val="20"/>
          <w:szCs w:val="20"/>
          <w:color w:val="auto"/>
        </w:rPr>
      </w:pPr>
    </w:p>
    <w:p>
      <w:pPr>
        <w:spacing w:after="0" w:line="2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constitute the Participant’s acknowledgment of and consent to the Company’s application, implementation, and enforcement of any applicable Company clawback or similar policy that may apply to the Participant, whether adopted before or after the Effective Date, and any Applicable Law relating to clawback, cancellation, recoupment, rescission, payback, or reduction of compensation, and the Participant’s agreement that the Company may take any actions that may be necessary to effectuate any such policy or Applicable Law, without further consideration or action.</w:t>
      </w:r>
    </w:p>
    <w:p>
      <w:pPr>
        <w:spacing w:after="0" w:line="182" w:lineRule="exact"/>
        <w:rPr>
          <w:sz w:val="20"/>
          <w:szCs w:val="20"/>
          <w:color w:val="auto"/>
        </w:rPr>
      </w:pPr>
    </w:p>
    <w:p>
      <w:pPr>
        <w:jc w:val="both"/>
        <w:ind w:firstLine="571"/>
        <w:spacing w:after="0" w:line="258" w:lineRule="auto"/>
        <w:tabs>
          <w:tab w:leader="none" w:pos="1101"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Deferral of Awards</w:t>
      </w:r>
      <w:r>
        <w:rPr>
          <w:rFonts w:ascii="Times New Roman" w:cs="Times New Roman" w:eastAsia="Times New Roman" w:hAnsi="Times New Roman"/>
          <w:sz w:val="18"/>
          <w:szCs w:val="18"/>
          <w:color w:val="auto"/>
        </w:rPr>
        <w:t>. The Committee may establish one or more programs under this Plan to permit selected Participants the opportunity to elect to defer receipt of consideration upon exercise of an Award, satisfaction of performance criteria, or other event that absent the election would entitle the Participant to payment or receipt of Shares or other consideration under an Award. The Committee may establish the election procedures, the timing of such elections, the mechanisms for payments of, and accrual of interest or other earnings, if any, on amounts, Shares or other consideration so deferred, and such other terms, conditions, rules, and procedures that the Committee deems advisable for the administration of any such deferral program.</w:t>
      </w:r>
    </w:p>
    <w:p>
      <w:pPr>
        <w:spacing w:after="0" w:line="181" w:lineRule="exact"/>
        <w:rPr>
          <w:rFonts w:ascii="Times New Roman" w:cs="Times New Roman" w:eastAsia="Times New Roman" w:hAnsi="Times New Roman"/>
          <w:sz w:val="18"/>
          <w:szCs w:val="18"/>
          <w:color w:val="auto"/>
        </w:rPr>
      </w:pPr>
    </w:p>
    <w:p>
      <w:pPr>
        <w:ind w:right="20" w:firstLine="517"/>
        <w:spacing w:after="0" w:line="251" w:lineRule="auto"/>
        <w:tabs>
          <w:tab w:leader="none" w:pos="103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As a condition of receipt of any Award, each Participant explicitly and unambiguously consents to the collection, use, and transfer, in electronic or other form, of personal data as described in this Section 16(o) by and among, as applicable, the Company and its Affiliates, for the exclusive purpose of implementing, administering, and managing this Plan and Awards and the Participant’s participation in this Plan. In furtherance of such implementation, administration, and management, the Company and its Affiliates may hold certain personal information about a Participant, including, but not limited to, the Participant’s name, home address, telephone number, date of birth, social security or insurance number or other identification number, salary, nationality, job title(s), information regarding any securities of the Company or any of its Affiliates, and details of all Awards (the “</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In addition to transferring the Data amongst themselves as necessary for the purpose of implementation, administration, and management of this Plan and Awards and the Participant’s participation in this Plan, the Company and its Affiliates may each transfer the Data to any third parties assisting the Company in the implementation, administration, and management of this Plan and Awards and the Participant’s participation in this Plan. Recipients of the Data may be located in the Participant’s country or elsewhere, and the Participant’s country and any given recipient’s country may have different data privacy laws and protections. By accepting an Award, each Participant authorizes such recipients to receive, possess, use, retain, and transfer the Data, in electronic or other form, for the purposes of assisting the Company in the implementation, administration, and management of this Plan and Awards and the Participant’s participation in this Plan, including any requisite transfer of such Data as may be required to a broker or other third party with whom the Company or the Participant may elect to deposit any shares of Common Stock. The Data related to a Participant will be held only as long as is necessary to implement, administer, and manage this Plan and Awards and the Participant’s participation in this Plan. A Participant may, at any time, view the Data held by the Company with respect to such Participant, request additional information about the storage and processing of the Data with respect to such Participant, recommend any necessary corrections to the Data with respect to the Participant, or refuse or withdraw the consents herein in writing, in any case without cost, by contacting his or her local human resources representative. The Company may cancel the Participant’s eligibility to participate in this Plan, and in the Committee’s discretion, the Participant may forfeit any outstanding Awards if the Participant refuses or withdraws the consents described herein. For more information on the consequences of refusal to consent or withdrawal of consent, Participants may contact their local human resources representative</w:t>
      </w:r>
    </w:p>
    <w:p>
      <w:pPr>
        <w:jc w:val="center"/>
        <w:spacing w:after="0" w:line="209" w:lineRule="auto"/>
        <w:rPr>
          <w:sz w:val="20"/>
          <w:szCs w:val="20"/>
          <w:color w:val="auto"/>
        </w:rPr>
      </w:pPr>
      <w:r>
        <w:rPr>
          <w:rFonts w:ascii="Calibri" w:cs="Calibri" w:eastAsia="Calibri" w:hAnsi="Calibri"/>
          <w:sz w:val="20"/>
          <w:szCs w:val="20"/>
          <w:color w:val="auto"/>
        </w:rPr>
        <w:t>E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582295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38"/>
        </w:trPr>
        <w:tc>
          <w:tcPr>
            <w:tcW w:w="9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Exhibit 21.1</w:t>
            </w:r>
          </w:p>
        </w:tc>
      </w:tr>
      <w:tr>
        <w:trPr>
          <w:trHeight w:val="431"/>
        </w:trPr>
        <w:tc>
          <w:tcPr>
            <w:tcW w:w="9440" w:type="dxa"/>
            <w:vAlign w:val="bottom"/>
          </w:tcPr>
          <w:p>
            <w:pPr>
              <w:ind w:left="446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31"/>
        </w:trPr>
        <w:tc>
          <w:tcPr>
            <w:tcW w:w="9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DOMESTIC</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23"/>
        </w:trPr>
        <w:tc>
          <w:tcPr>
            <w:tcW w:w="9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Jurisdiction of</w:t>
            </w:r>
          </w:p>
        </w:tc>
      </w:tr>
      <w:tr>
        <w:trPr>
          <w:trHeight w:val="245"/>
        </w:trPr>
        <w:tc>
          <w:tcPr>
            <w:tcW w:w="9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Formation</w:t>
            </w:r>
          </w:p>
        </w:tc>
      </w:tr>
      <w:tr>
        <w:trPr>
          <w:trHeight w:val="234"/>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TripAdvisor Holdings, LLC</w:t>
            </w:r>
          </w:p>
        </w:tc>
        <w:tc>
          <w:tcPr>
            <w:tcW w:w="120" w:type="dxa"/>
            <w:vAlign w:val="bottom"/>
          </w:tcPr>
          <w:p>
            <w:pPr>
              <w:spacing w:after="0"/>
              <w:rPr>
                <w:sz w:val="20"/>
                <w:szCs w:val="20"/>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w:t>
            </w:r>
          </w:p>
        </w:tc>
      </w:tr>
      <w:tr>
        <w:trPr>
          <w:trHeight w:val="238"/>
        </w:trPr>
        <w:tc>
          <w:tcPr>
            <w:tcW w:w="9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TripAdvisor LLC</w:t>
            </w:r>
          </w:p>
        </w:tc>
        <w:tc>
          <w:tcPr>
            <w:tcW w:w="120" w:type="dxa"/>
            <w:vAlign w:val="bottom"/>
          </w:tcPr>
          <w:p>
            <w:pPr>
              <w:spacing w:after="0"/>
              <w:rPr>
                <w:sz w:val="20"/>
                <w:szCs w:val="20"/>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43"/>
        </w:trPr>
        <w:tc>
          <w:tcPr>
            <w:tcW w:w="9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FlipKey, LLC</w:t>
            </w: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43"/>
        </w:trPr>
        <w:tc>
          <w:tcPr>
            <w:tcW w:w="9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TAMG Ventures Co.</w:t>
            </w: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43"/>
        </w:trPr>
        <w:tc>
          <w:tcPr>
            <w:tcW w:w="9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Viator, Inc.</w:t>
            </w: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43"/>
        </w:trPr>
        <w:tc>
          <w:tcPr>
            <w:tcW w:w="9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Independent Traveler, Inc.</w:t>
            </w: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NJ</w:t>
            </w:r>
          </w:p>
        </w:tc>
      </w:tr>
      <w:tr>
        <w:trPr>
          <w:trHeight w:val="243"/>
        </w:trPr>
        <w:tc>
          <w:tcPr>
            <w:tcW w:w="9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TripAdvisor APAC Holdings Corp.</w:t>
            </w: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43"/>
        </w:trPr>
        <w:tc>
          <w:tcPr>
            <w:tcW w:w="9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TripAdvisor GP1 LLC</w:t>
            </w: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43"/>
        </w:trPr>
        <w:tc>
          <w:tcPr>
            <w:tcW w:w="9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TripAdvisor GP2 LLC</w:t>
            </w: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43"/>
        </w:trPr>
        <w:tc>
          <w:tcPr>
            <w:tcW w:w="9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TripAdvisor Finance LLC</w:t>
            </w: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43"/>
        </w:trPr>
        <w:tc>
          <w:tcPr>
            <w:tcW w:w="9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TripAdvisor LP2 LLC</w:t>
            </w: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43"/>
        </w:trPr>
        <w:tc>
          <w:tcPr>
            <w:tcW w:w="9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Restorando, Inc.</w:t>
            </w: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43"/>
        </w:trPr>
        <w:tc>
          <w:tcPr>
            <w:tcW w:w="9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TripAdvisor Securities Corporation</w:t>
            </w: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w:t>
            </w:r>
          </w:p>
        </w:tc>
      </w:tr>
      <w:tr>
        <w:trPr>
          <w:trHeight w:val="243"/>
        </w:trPr>
        <w:tc>
          <w:tcPr>
            <w:tcW w:w="9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SinglePlatform, LLC</w:t>
            </w: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243"/>
        </w:trPr>
        <w:tc>
          <w:tcPr>
            <w:tcW w:w="9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Owl Analytics, Inc.</w:t>
            </w: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NV</w:t>
            </w:r>
          </w:p>
        </w:tc>
      </w:tr>
      <w:tr>
        <w:trPr>
          <w:trHeight w:val="243"/>
        </w:trPr>
        <w:tc>
          <w:tcPr>
            <w:tcW w:w="9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Bokun LLC</w:t>
            </w: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w:t>
            </w:r>
          </w:p>
        </w:tc>
      </w:tr>
      <w:tr>
        <w:trPr>
          <w:trHeight w:val="553"/>
        </w:trPr>
        <w:tc>
          <w:tcPr>
            <w:tcW w:w="9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23"/>
        </w:trPr>
        <w:tc>
          <w:tcPr>
            <w:tcW w:w="9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Jurisdiction of</w:t>
            </w:r>
          </w:p>
        </w:tc>
      </w:tr>
      <w:tr>
        <w:trPr>
          <w:trHeight w:val="245"/>
        </w:trPr>
        <w:tc>
          <w:tcPr>
            <w:tcW w:w="9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Formation</w:t>
            </w:r>
          </w:p>
        </w:tc>
      </w:tr>
      <w:tr>
        <w:trPr>
          <w:trHeight w:val="234"/>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TripAdvisor UK1 LP</w:t>
            </w:r>
          </w:p>
        </w:tc>
        <w:tc>
          <w:tcPr>
            <w:tcW w:w="120" w:type="dxa"/>
            <w:vAlign w:val="bottom"/>
          </w:tcPr>
          <w:p>
            <w:pPr>
              <w:spacing w:after="0"/>
              <w:rPr>
                <w:sz w:val="20"/>
                <w:szCs w:val="20"/>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8"/>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TripAdvisor UK2 LP</w:t>
            </w:r>
          </w:p>
        </w:tc>
        <w:tc>
          <w:tcPr>
            <w:tcW w:w="120" w:type="dxa"/>
            <w:vAlign w:val="bottom"/>
          </w:tcPr>
          <w:p>
            <w:pPr>
              <w:spacing w:after="0"/>
              <w:rPr>
                <w:sz w:val="20"/>
                <w:szCs w:val="20"/>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Bokun ehf</w:t>
            </w: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Iceland</w:t>
            </w:r>
          </w:p>
        </w:tc>
      </w:tr>
      <w:tr>
        <w:trPr>
          <w:trHeight w:val="24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Viator Systems Pty Limited</w:t>
            </w: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r>
      <w:tr>
        <w:trPr>
          <w:trHeight w:val="24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Viator Limited</w:t>
            </w: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TripAdvisor Canada Corp.</w:t>
            </w: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4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TripAdvisor Travel India Private Limited</w:t>
            </w: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r>
      <w:tr>
        <w:trPr>
          <w:trHeight w:val="24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TripAdvisor Cayman Holdings II Limited</w:t>
            </w: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Cayman</w:t>
            </w:r>
          </w:p>
        </w:tc>
      </w:tr>
      <w:tr>
        <w:trPr>
          <w:trHeight w:val="24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TripAdvisor UK Holdco Limited</w:t>
            </w: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3"/>
        </w:trPr>
        <w:tc>
          <w:tcPr>
            <w:tcW w:w="9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LF Holdings (France) SAS</w:t>
            </w: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r>
      <w:tr>
        <w:trPr>
          <w:trHeight w:val="243"/>
        </w:trPr>
        <w:tc>
          <w:tcPr>
            <w:tcW w:w="9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Owl Payments Limited</w:t>
            </w: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3"/>
        </w:trPr>
        <w:tc>
          <w:tcPr>
            <w:tcW w:w="9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TripAdvisor Limited</w:t>
            </w: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3"/>
        </w:trPr>
        <w:tc>
          <w:tcPr>
            <w:tcW w:w="9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Holiday Lettings (Holdings) Ltd.</w:t>
            </w: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3"/>
        </w:trPr>
        <w:tc>
          <w:tcPr>
            <w:tcW w:w="9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Holiday Lettings Ltd.</w:t>
            </w: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3"/>
        </w:trPr>
        <w:tc>
          <w:tcPr>
            <w:tcW w:w="94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HouseTrip SA</w:t>
            </w: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Switzerland</w:t>
            </w:r>
          </w:p>
        </w:tc>
      </w:tr>
      <w:tr>
        <w:trPr>
          <w:trHeight w:val="243"/>
        </w:trPr>
        <w:tc>
          <w:tcPr>
            <w:tcW w:w="9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TripAdvisor Australia Pty. Ltd.</w:t>
            </w: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r>
      <w:tr>
        <w:trPr>
          <w:trHeight w:val="243"/>
        </w:trPr>
        <w:tc>
          <w:tcPr>
            <w:tcW w:w="9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TripAdvisor GmbH</w:t>
            </w: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243"/>
        </w:trPr>
        <w:tc>
          <w:tcPr>
            <w:tcW w:w="9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TripAdvisor France SAS</w:t>
            </w: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r>
      <w:tr>
        <w:trPr>
          <w:trHeight w:val="243"/>
        </w:trPr>
        <w:tc>
          <w:tcPr>
            <w:tcW w:w="9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TripAdvisor Italy Srl</w:t>
            </w: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Italy</w:t>
            </w:r>
          </w:p>
        </w:tc>
      </w:tr>
      <w:tr>
        <w:trPr>
          <w:trHeight w:val="243"/>
        </w:trPr>
        <w:tc>
          <w:tcPr>
            <w:tcW w:w="9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TripAdvisor Spain S.L.</w:t>
            </w: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Spain</w:t>
            </w:r>
          </w:p>
        </w:tc>
      </w:tr>
      <w:tr>
        <w:trPr>
          <w:trHeight w:val="243"/>
        </w:trPr>
        <w:tc>
          <w:tcPr>
            <w:tcW w:w="9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Guia de Apartamentos Niumba, S.L.</w:t>
            </w: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Spain</w:t>
            </w:r>
          </w:p>
        </w:tc>
      </w:tr>
      <w:tr>
        <w:trPr>
          <w:trHeight w:val="243"/>
        </w:trPr>
        <w:tc>
          <w:tcPr>
            <w:tcW w:w="9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 Innovation Services Romania S.R.L.</w:t>
            </w: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Romania</w:t>
            </w:r>
          </w:p>
        </w:tc>
      </w:tr>
      <w:tr>
        <w:trPr>
          <w:trHeight w:val="243"/>
        </w:trPr>
        <w:tc>
          <w:tcPr>
            <w:tcW w:w="9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TripAdvisor Portugal, Unipessoal Lda</w:t>
            </w: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Portugal</w:t>
            </w:r>
          </w:p>
        </w:tc>
      </w:tr>
      <w:tr>
        <w:trPr>
          <w:trHeight w:val="243"/>
        </w:trPr>
        <w:tc>
          <w:tcPr>
            <w:tcW w:w="9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TripAdvisor Ireland Ltd</w:t>
            </w: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r>
      <w:tr>
        <w:trPr>
          <w:trHeight w:val="243"/>
        </w:trPr>
        <w:tc>
          <w:tcPr>
            <w:tcW w:w="9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Owl Payments Europe Limited</w:t>
            </w: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r>
      <w:tr>
        <w:trPr>
          <w:trHeight w:val="243"/>
        </w:trPr>
        <w:tc>
          <w:tcPr>
            <w:tcW w:w="9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 Innovations Croatia d.o.o.</w:t>
            </w: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Croatia</w:t>
            </w:r>
          </w:p>
        </w:tc>
      </w:tr>
      <w:tr>
        <w:trPr>
          <w:trHeight w:val="243"/>
        </w:trPr>
        <w:tc>
          <w:tcPr>
            <w:tcW w:w="9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 LF Australia Pty Limited</w:t>
            </w: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r>
      <w:tr>
        <w:trPr>
          <w:trHeight w:val="243"/>
        </w:trPr>
        <w:tc>
          <w:tcPr>
            <w:tcW w:w="9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Dimmi Pty Ltd</w:t>
            </w: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r>
      <w:tr>
        <w:trPr>
          <w:trHeight w:val="243"/>
        </w:trPr>
        <w:tc>
          <w:tcPr>
            <w:tcW w:w="9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BestTables Brasil Internet Servicos de Informacao e Technologia Ltda.</w:t>
            </w:r>
          </w:p>
        </w:tc>
        <w:tc>
          <w:tcPr>
            <w:tcW w:w="12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612140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34"/>
        </w:trPr>
        <w:tc>
          <w:tcPr>
            <w:tcW w:w="8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BestTables II Portugal, Unipessoal Lda.</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Portugal</w:t>
            </w:r>
          </w:p>
        </w:tc>
      </w:tr>
      <w:tr>
        <w:trPr>
          <w:trHeight w:val="243"/>
        </w:trPr>
        <w:tc>
          <w:tcPr>
            <w:tcW w:w="8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 Fourchette SAS</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France</w:t>
            </w:r>
          </w:p>
        </w:tc>
      </w:tr>
      <w:tr>
        <w:trPr>
          <w:trHeight w:val="243"/>
        </w:trPr>
        <w:tc>
          <w:tcPr>
            <w:tcW w:w="8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La Fourchette Espana S.L.</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Spain</w:t>
            </w:r>
          </w:p>
        </w:tc>
      </w:tr>
      <w:tr>
        <w:trPr>
          <w:trHeight w:val="243"/>
        </w:trPr>
        <w:tc>
          <w:tcPr>
            <w:tcW w:w="8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Restorando SA</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Argentina</w:t>
            </w:r>
          </w:p>
        </w:tc>
      </w:tr>
      <w:tr>
        <w:trPr>
          <w:trHeight w:val="243"/>
        </w:trPr>
        <w:tc>
          <w:tcPr>
            <w:tcW w:w="8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LaFourchette Swiss SA</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Switzerland</w:t>
            </w:r>
          </w:p>
        </w:tc>
      </w:tr>
      <w:tr>
        <w:trPr>
          <w:trHeight w:val="243"/>
        </w:trPr>
        <w:tc>
          <w:tcPr>
            <w:tcW w:w="8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 Fourchette (Belgium) SA</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Belgium</w:t>
            </w:r>
          </w:p>
        </w:tc>
      </w:tr>
      <w:tr>
        <w:trPr>
          <w:trHeight w:val="243"/>
        </w:trPr>
        <w:tc>
          <w:tcPr>
            <w:tcW w:w="8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 Fourchette Netherlands B.V.</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43"/>
        </w:trPr>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IENS Independent Index B.V.</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43"/>
        </w:trPr>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LaFourchette (Italy) SRL</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Italy</w:t>
            </w:r>
          </w:p>
        </w:tc>
      </w:tr>
      <w:tr>
        <w:trPr>
          <w:trHeight w:val="243"/>
        </w:trPr>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Livebookings Holdings Limited</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3"/>
        </w:trPr>
        <w:tc>
          <w:tcPr>
            <w:tcW w:w="80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Bookatable AB</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Sweden</w:t>
            </w:r>
          </w:p>
        </w:tc>
      </w:tr>
      <w:tr>
        <w:trPr>
          <w:trHeight w:val="243"/>
        </w:trPr>
        <w:tc>
          <w:tcPr>
            <w:tcW w:w="80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2Book AB</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Sweden</w:t>
            </w:r>
          </w:p>
        </w:tc>
      </w:tr>
      <w:tr>
        <w:trPr>
          <w:trHeight w:val="243"/>
        </w:trPr>
        <w:tc>
          <w:tcPr>
            <w:tcW w:w="80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Livebookings AG</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Switzerland</w:t>
            </w:r>
          </w:p>
        </w:tc>
      </w:tr>
      <w:tr>
        <w:trPr>
          <w:trHeight w:val="243"/>
        </w:trPr>
        <w:tc>
          <w:tcPr>
            <w:tcW w:w="80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Bookatable GmbH &amp; Co KG</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Germany</w:t>
            </w:r>
          </w:p>
        </w:tc>
      </w:tr>
      <w:tr>
        <w:trPr>
          <w:trHeight w:val="243"/>
        </w:trPr>
        <w:tc>
          <w:tcPr>
            <w:tcW w:w="80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Bookatable Verwaltungs GmbH</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Germany</w:t>
            </w:r>
          </w:p>
        </w:tc>
      </w:tr>
      <w:tr>
        <w:trPr>
          <w:trHeight w:val="243"/>
        </w:trPr>
        <w:tc>
          <w:tcPr>
            <w:tcW w:w="80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Bookatable Limited</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3"/>
        </w:trPr>
        <w:tc>
          <w:tcPr>
            <w:tcW w:w="80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Bookatable ApS</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Denmark</w:t>
            </w:r>
          </w:p>
        </w:tc>
      </w:tr>
      <w:tr>
        <w:trPr>
          <w:trHeight w:val="243"/>
        </w:trPr>
        <w:tc>
          <w:tcPr>
            <w:tcW w:w="80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Loghos Limited</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3"/>
        </w:trPr>
        <w:tc>
          <w:tcPr>
            <w:tcW w:w="80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Easy Pre-Orders Limited</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3"/>
        </w:trPr>
        <w:tc>
          <w:tcPr>
            <w:tcW w:w="8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LaFourchette Sweden AB</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Sweden</w:t>
            </w:r>
          </w:p>
        </w:tc>
      </w:tr>
      <w:tr>
        <w:trPr>
          <w:trHeight w:val="243"/>
        </w:trPr>
        <w:tc>
          <w:tcPr>
            <w:tcW w:w="8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Lerumar SA</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Uruguay</w:t>
            </w:r>
          </w:p>
        </w:tc>
      </w:tr>
      <w:tr>
        <w:trPr>
          <w:trHeight w:val="243"/>
        </w:trPr>
        <w:tc>
          <w:tcPr>
            <w:tcW w:w="8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Restorando SPA</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Chile</w:t>
            </w:r>
          </w:p>
        </w:tc>
      </w:tr>
      <w:tr>
        <w:trPr>
          <w:trHeight w:val="243"/>
        </w:trPr>
        <w:tc>
          <w:tcPr>
            <w:tcW w:w="8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Restorando Peru SAC</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Peru</w:t>
            </w:r>
          </w:p>
        </w:tc>
      </w:tr>
      <w:tr>
        <w:trPr>
          <w:trHeight w:val="243"/>
        </w:trPr>
        <w:tc>
          <w:tcPr>
            <w:tcW w:w="8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Restorando Reservas SACV</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Mexico</w:t>
            </w:r>
          </w:p>
        </w:tc>
      </w:tr>
      <w:tr>
        <w:trPr>
          <w:trHeight w:val="243"/>
        </w:trPr>
        <w:tc>
          <w:tcPr>
            <w:tcW w:w="8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Singaba SA</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Uruguay</w:t>
            </w:r>
          </w:p>
        </w:tc>
      </w:tr>
      <w:tr>
        <w:trPr>
          <w:trHeight w:val="243"/>
        </w:trPr>
        <w:tc>
          <w:tcPr>
            <w:tcW w:w="8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 Fourchette (UK) Ltd.</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3"/>
        </w:trPr>
        <w:tc>
          <w:tcPr>
            <w:tcW w:w="8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TripAdvisor K.K.</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Japan</w:t>
            </w:r>
          </w:p>
        </w:tc>
      </w:tr>
      <w:tr>
        <w:trPr>
          <w:trHeight w:val="243"/>
        </w:trPr>
        <w:tc>
          <w:tcPr>
            <w:tcW w:w="8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TripAdvisor Singapore Private Limited</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Singapore</w:t>
            </w:r>
          </w:p>
        </w:tc>
      </w:tr>
      <w:tr>
        <w:trPr>
          <w:trHeight w:val="243"/>
        </w:trPr>
        <w:tc>
          <w:tcPr>
            <w:tcW w:w="8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TripAdvisor Korea Co., Ltd.</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Korea</w:t>
            </w:r>
          </w:p>
        </w:tc>
      </w:tr>
      <w:tr>
        <w:trPr>
          <w:trHeight w:val="243"/>
        </w:trPr>
        <w:tc>
          <w:tcPr>
            <w:tcW w:w="8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TripAdvisor Hong Kong Limited</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Hong Kong</w:t>
            </w:r>
          </w:p>
        </w:tc>
      </w:tr>
      <w:tr>
        <w:trPr>
          <w:trHeight w:val="243"/>
        </w:trPr>
        <w:tc>
          <w:tcPr>
            <w:tcW w:w="8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TripAdvisor China Cayman Holdings Limited</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Cayman</w:t>
            </w:r>
          </w:p>
        </w:tc>
      </w:tr>
      <w:tr>
        <w:trPr>
          <w:trHeight w:val="243"/>
        </w:trPr>
        <w:tc>
          <w:tcPr>
            <w:tcW w:w="8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TripAdvisor Consulting Service (Beijing) Co. Ltd</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China</w:t>
            </w:r>
          </w:p>
        </w:tc>
      </w:tr>
      <w:tr>
        <w:trPr>
          <w:trHeight w:val="243"/>
        </w:trPr>
        <w:tc>
          <w:tcPr>
            <w:tcW w:w="80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Tuqu Net Information Technology (Beijing) Co., Ltd. (beneficial ownership)</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China</w:t>
            </w:r>
          </w:p>
        </w:tc>
      </w:tr>
      <w:tr>
        <w:trPr>
          <w:trHeight w:val="243"/>
        </w:trPr>
        <w:tc>
          <w:tcPr>
            <w:tcW w:w="80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Beijing Tuqu Business Consulting Co., Ltd. (beneficial ownership)</w:t>
            </w:r>
          </w:p>
        </w:tc>
        <w:tc>
          <w:tcPr>
            <w:tcW w:w="324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China</w:t>
            </w:r>
          </w:p>
        </w:tc>
      </w:tr>
      <w:tr>
        <w:trPr>
          <w:trHeight w:val="1989"/>
        </w:trPr>
        <w:tc>
          <w:tcPr>
            <w:tcW w:w="800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Tripadvisor, Inc.:</w:t>
      </w:r>
    </w:p>
    <w:p>
      <w:pPr>
        <w:spacing w:after="0" w:line="165" w:lineRule="exact"/>
        <w:rPr>
          <w:sz w:val="20"/>
          <w:szCs w:val="20"/>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333-260877,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178637, 333-190384, 333-198726, 333-226749, 333-273738) on Form S-8 of Tripadvisor, Inc. of our reports dated February 16, 2024, with respect to the consolidated financial statements of Tripadvisor, Inc. and the effectiveness of internal control over financial reporting.</w:t>
      </w:r>
    </w:p>
    <w:p>
      <w:pPr>
        <w:spacing w:after="0" w:line="20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1089025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48" w:name="page149"/>
    <w:bookmarkEnd w:id="148"/>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Matt Goldberg, Chief Executive Officer and President of Tripadvisor, Inc., certify that:</w:t>
      </w:r>
    </w:p>
    <w:p>
      <w:pPr>
        <w:spacing w:after="0" w:line="225" w:lineRule="exact"/>
        <w:rPr>
          <w:sz w:val="20"/>
          <w:szCs w:val="20"/>
          <w:color w:val="auto"/>
        </w:rPr>
      </w:pPr>
    </w:p>
    <w:p>
      <w:pPr>
        <w:ind w:left="360" w:hanging="352"/>
        <w:spacing w:after="0"/>
        <w:tabs>
          <w:tab w:leader="none" w:pos="3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Tripadvisor, Inc.;</w:t>
      </w:r>
    </w:p>
    <w:p>
      <w:pPr>
        <w:spacing w:after="0" w:line="224" w:lineRule="exact"/>
        <w:rPr>
          <w:rFonts w:ascii="Times New Roman" w:cs="Times New Roman" w:eastAsia="Times New Roman" w:hAnsi="Times New Roman"/>
          <w:sz w:val="18"/>
          <w:szCs w:val="18"/>
          <w:color w:val="auto"/>
        </w:rPr>
      </w:pPr>
    </w:p>
    <w:p>
      <w:pPr>
        <w:ind w:left="520" w:right="300" w:hanging="512"/>
        <w:spacing w:after="0" w:line="265" w:lineRule="auto"/>
        <w:tabs>
          <w:tab w:leader="none" w:pos="37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380" w:hanging="512"/>
        <w:spacing w:after="0" w:line="281" w:lineRule="auto"/>
        <w:tabs>
          <w:tab w:leader="none" w:pos="37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260" w:hanging="512"/>
        <w:spacing w:after="0" w:line="265" w:lineRule="auto"/>
        <w:tabs>
          <w:tab w:leader="none" w:pos="37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020" w:right="100" w:hanging="479"/>
        <w:spacing w:after="0" w:line="265" w:lineRule="auto"/>
        <w:tabs>
          <w:tab w:leader="none" w:pos="89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020" w:right="340" w:hanging="479"/>
        <w:spacing w:after="0" w:line="265" w:lineRule="auto"/>
        <w:tabs>
          <w:tab w:leader="none" w:pos="89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1020" w:right="500" w:hanging="479"/>
        <w:spacing w:after="0" w:line="312" w:lineRule="auto"/>
        <w:tabs>
          <w:tab w:leader="none" w:pos="894"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20" w:right="140" w:hanging="479"/>
        <w:spacing w:after="0" w:line="265" w:lineRule="auto"/>
        <w:tabs>
          <w:tab w:leader="none" w:pos="89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120" w:hanging="512"/>
        <w:spacing w:after="0" w:line="281" w:lineRule="auto"/>
        <w:tabs>
          <w:tab w:leader="none" w:pos="37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40" w:hanging="479"/>
        <w:spacing w:after="0" w:line="281" w:lineRule="auto"/>
        <w:tabs>
          <w:tab w:leader="none" w:pos="89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hanging="479"/>
        <w:spacing w:after="0" w:line="281" w:lineRule="auto"/>
        <w:tabs>
          <w:tab w:leader="none" w:pos="89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16, 2024</w:t>
            </w:r>
          </w:p>
        </w:tc>
        <w:tc>
          <w:tcPr>
            <w:tcW w:w="5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MATT GOLDBERG</w:t>
            </w:r>
          </w:p>
        </w:tc>
      </w:tr>
      <w:tr>
        <w:trPr>
          <w:trHeight w:val="202"/>
        </w:trPr>
        <w:tc>
          <w:tcPr>
            <w:tcW w:w="5580" w:type="dxa"/>
            <w:vAlign w:val="bottom"/>
          </w:tcPr>
          <w:p>
            <w:pPr>
              <w:spacing w:after="0"/>
              <w:rPr>
                <w:sz w:val="17"/>
                <w:szCs w:val="17"/>
                <w:color w:val="auto"/>
              </w:rPr>
            </w:pPr>
          </w:p>
        </w:tc>
        <w:tc>
          <w:tcPr>
            <w:tcW w:w="5660" w:type="dxa"/>
            <w:vAlign w:val="bottom"/>
          </w:tcPr>
          <w:p>
            <w:pPr>
              <w:ind w:left="340"/>
              <w:spacing w:after="0" w:line="202" w:lineRule="exact"/>
              <w:rPr>
                <w:sz w:val="20"/>
                <w:szCs w:val="20"/>
                <w:color w:val="auto"/>
              </w:rPr>
            </w:pPr>
            <w:r>
              <w:rPr>
                <w:rFonts w:ascii="Times New Roman" w:cs="Times New Roman" w:eastAsia="Times New Roman" w:hAnsi="Times New Roman"/>
                <w:sz w:val="18"/>
                <w:szCs w:val="18"/>
                <w:color w:val="auto"/>
              </w:rPr>
              <w:t>Matt Goldberg</w:t>
            </w:r>
          </w:p>
        </w:tc>
      </w:tr>
      <w:tr>
        <w:trPr>
          <w:trHeight w:val="236"/>
        </w:trPr>
        <w:tc>
          <w:tcPr>
            <w:tcW w:w="5580" w:type="dxa"/>
            <w:vAlign w:val="bottom"/>
          </w:tcPr>
          <w:p>
            <w:pPr>
              <w:spacing w:after="0"/>
              <w:rPr>
                <w:sz w:val="20"/>
                <w:szCs w:val="20"/>
                <w:color w:val="auto"/>
              </w:rPr>
            </w:pPr>
          </w:p>
        </w:tc>
        <w:tc>
          <w:tcPr>
            <w:tcW w:w="566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1854"/>
        </w:trPr>
        <w:tc>
          <w:tcPr>
            <w:tcW w:w="5580" w:type="dxa"/>
            <w:vAlign w:val="bottom"/>
            <w:tcBorders>
              <w:bottom w:val="single" w:sz="8" w:color="9A9A9A"/>
            </w:tcBorders>
          </w:tcPr>
          <w:p>
            <w:pPr>
              <w:spacing w:after="0"/>
              <w:rPr>
                <w:sz w:val="24"/>
                <w:szCs w:val="24"/>
                <w:color w:val="auto"/>
              </w:rPr>
            </w:pPr>
          </w:p>
        </w:tc>
        <w:tc>
          <w:tcPr>
            <w:tcW w:w="5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49" w:name="page150"/>
    <w:bookmarkEnd w:id="149"/>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Michael Noonan, Chief Financial Officer of Tripadvisor, Inc. certify that:</w:t>
      </w:r>
    </w:p>
    <w:p>
      <w:pPr>
        <w:spacing w:after="0" w:line="225" w:lineRule="exact"/>
        <w:rPr>
          <w:sz w:val="20"/>
          <w:szCs w:val="20"/>
          <w:color w:val="auto"/>
        </w:rPr>
      </w:pPr>
    </w:p>
    <w:p>
      <w:pPr>
        <w:ind w:left="360" w:hanging="352"/>
        <w:spacing w:after="0"/>
        <w:tabs>
          <w:tab w:leader="none" w:pos="3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Tripadvisor, Inc.;</w:t>
      </w:r>
    </w:p>
    <w:p>
      <w:pPr>
        <w:spacing w:after="0" w:line="224" w:lineRule="exact"/>
        <w:rPr>
          <w:rFonts w:ascii="Times New Roman" w:cs="Times New Roman" w:eastAsia="Times New Roman" w:hAnsi="Times New Roman"/>
          <w:sz w:val="18"/>
          <w:szCs w:val="18"/>
          <w:color w:val="auto"/>
        </w:rPr>
      </w:pPr>
    </w:p>
    <w:p>
      <w:pPr>
        <w:ind w:left="520" w:right="300" w:hanging="512"/>
        <w:spacing w:after="0" w:line="265" w:lineRule="auto"/>
        <w:tabs>
          <w:tab w:leader="none" w:pos="37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380" w:hanging="512"/>
        <w:spacing w:after="0" w:line="281" w:lineRule="auto"/>
        <w:tabs>
          <w:tab w:leader="none" w:pos="37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260" w:hanging="512"/>
        <w:spacing w:after="0" w:line="265" w:lineRule="auto"/>
        <w:tabs>
          <w:tab w:leader="none" w:pos="37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020" w:right="100" w:hanging="479"/>
        <w:spacing w:after="0" w:line="265" w:lineRule="auto"/>
        <w:tabs>
          <w:tab w:leader="none" w:pos="894"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020" w:right="340" w:hanging="479"/>
        <w:spacing w:after="0" w:line="265" w:lineRule="auto"/>
        <w:tabs>
          <w:tab w:leader="none" w:pos="894"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1020" w:right="500" w:hanging="479"/>
        <w:spacing w:after="0" w:line="312" w:lineRule="auto"/>
        <w:tabs>
          <w:tab w:leader="none" w:pos="894"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20" w:right="140" w:hanging="479"/>
        <w:spacing w:after="0" w:line="265" w:lineRule="auto"/>
        <w:tabs>
          <w:tab w:leader="none" w:pos="894"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120" w:hanging="512"/>
        <w:spacing w:after="0" w:line="281" w:lineRule="auto"/>
        <w:tabs>
          <w:tab w:leader="none" w:pos="37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40" w:hanging="479"/>
        <w:spacing w:after="0" w:line="281" w:lineRule="auto"/>
        <w:tabs>
          <w:tab w:leader="none" w:pos="894"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hanging="479"/>
        <w:spacing w:after="0" w:line="281" w:lineRule="auto"/>
        <w:tabs>
          <w:tab w:leader="none" w:pos="894"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16, 2024</w:t>
            </w:r>
          </w:p>
        </w:tc>
        <w:tc>
          <w:tcPr>
            <w:tcW w:w="5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NOONAN</w:t>
            </w:r>
          </w:p>
        </w:tc>
      </w:tr>
      <w:tr>
        <w:trPr>
          <w:trHeight w:val="202"/>
        </w:trPr>
        <w:tc>
          <w:tcPr>
            <w:tcW w:w="5580" w:type="dxa"/>
            <w:vAlign w:val="bottom"/>
          </w:tcPr>
          <w:p>
            <w:pPr>
              <w:spacing w:after="0"/>
              <w:rPr>
                <w:sz w:val="17"/>
                <w:szCs w:val="17"/>
                <w:color w:val="auto"/>
              </w:rPr>
            </w:pPr>
          </w:p>
        </w:tc>
        <w:tc>
          <w:tcPr>
            <w:tcW w:w="5660" w:type="dxa"/>
            <w:vAlign w:val="bottom"/>
          </w:tcPr>
          <w:p>
            <w:pPr>
              <w:ind w:left="340"/>
              <w:spacing w:after="0" w:line="202" w:lineRule="exact"/>
              <w:rPr>
                <w:sz w:val="20"/>
                <w:szCs w:val="20"/>
                <w:color w:val="auto"/>
              </w:rPr>
            </w:pPr>
            <w:r>
              <w:rPr>
                <w:rFonts w:ascii="Times New Roman" w:cs="Times New Roman" w:eastAsia="Times New Roman" w:hAnsi="Times New Roman"/>
                <w:sz w:val="18"/>
                <w:szCs w:val="18"/>
                <w:color w:val="auto"/>
              </w:rPr>
              <w:t>Michael Noonan</w:t>
            </w:r>
          </w:p>
        </w:tc>
      </w:tr>
      <w:tr>
        <w:trPr>
          <w:trHeight w:val="236"/>
        </w:trPr>
        <w:tc>
          <w:tcPr>
            <w:tcW w:w="5580" w:type="dxa"/>
            <w:vAlign w:val="bottom"/>
          </w:tcPr>
          <w:p>
            <w:pPr>
              <w:spacing w:after="0"/>
              <w:rPr>
                <w:sz w:val="20"/>
                <w:szCs w:val="20"/>
                <w:color w:val="auto"/>
              </w:rPr>
            </w:pPr>
          </w:p>
        </w:tc>
        <w:tc>
          <w:tcPr>
            <w:tcW w:w="566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1854"/>
        </w:trPr>
        <w:tc>
          <w:tcPr>
            <w:tcW w:w="5580" w:type="dxa"/>
            <w:vAlign w:val="bottom"/>
            <w:tcBorders>
              <w:bottom w:val="single" w:sz="8" w:color="9A9A9A"/>
            </w:tcBorders>
          </w:tcPr>
          <w:p>
            <w:pPr>
              <w:spacing w:after="0"/>
              <w:rPr>
                <w:sz w:val="24"/>
                <w:szCs w:val="24"/>
                <w:color w:val="auto"/>
              </w:rPr>
            </w:pPr>
          </w:p>
        </w:tc>
        <w:tc>
          <w:tcPr>
            <w:tcW w:w="5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50" w:name="page151"/>
    <w:bookmarkEnd w:id="150"/>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jc w:val="both"/>
        <w:ind w:right="16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on Form 10-K of Tripadvisor, Inc. (the “Company”) for the year ended December 31, 2023, as filed with the Securities and Exchange Commission on the date hereof (the “Report”), I, Matt Goldberg, Chief Executive Officer and President of the Company, certify, pursuant to Section 906 of the Sarbanes-Oxley Act of 2002, 18 U.S.C. Section 1350, that:</w:t>
      </w:r>
    </w:p>
    <w:p>
      <w:pPr>
        <w:spacing w:after="0" w:line="177" w:lineRule="exact"/>
        <w:rPr>
          <w:sz w:val="20"/>
          <w:szCs w:val="20"/>
          <w:color w:val="auto"/>
        </w:rPr>
      </w:pPr>
    </w:p>
    <w:p>
      <w:pPr>
        <w:ind w:left="520" w:right="180" w:hanging="512"/>
        <w:spacing w:after="0" w:line="281" w:lineRule="auto"/>
        <w:tabs>
          <w:tab w:leader="none" w:pos="37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which this statement accompanies fully complies with the requirements of Section 13(a) or 15(d) of the Securities Exchange Act of 1934, as amended; and</w:t>
      </w:r>
    </w:p>
    <w:p>
      <w:pPr>
        <w:spacing w:after="0" w:line="162"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16, 2024</w:t>
            </w: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MATT GOLDBERG</w:t>
            </w:r>
          </w:p>
        </w:tc>
      </w:tr>
      <w:tr>
        <w:trPr>
          <w:trHeight w:val="202"/>
        </w:trPr>
        <w:tc>
          <w:tcPr>
            <w:tcW w:w="5740" w:type="dxa"/>
            <w:vAlign w:val="bottom"/>
          </w:tcPr>
          <w:p>
            <w:pPr>
              <w:spacing w:after="0"/>
              <w:rPr>
                <w:sz w:val="17"/>
                <w:szCs w:val="17"/>
                <w:color w:val="auto"/>
              </w:rPr>
            </w:pPr>
          </w:p>
        </w:tc>
        <w:tc>
          <w:tcPr>
            <w:tcW w:w="55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Matt Goldberg</w:t>
            </w:r>
          </w:p>
        </w:tc>
      </w:tr>
      <w:tr>
        <w:trPr>
          <w:trHeight w:val="236"/>
        </w:trPr>
        <w:tc>
          <w:tcPr>
            <w:tcW w:w="574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2070"/>
        </w:trPr>
        <w:tc>
          <w:tcPr>
            <w:tcW w:w="57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51" w:name="page152"/>
    <w:bookmarkEnd w:id="151"/>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jc w:val="both"/>
        <w:ind w:right="16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on Form 10-K of Tripadvisor, Inc. (the “Company”) for the year ended December 31, 2023, as filed with the Securities and Exchange Commission on the date hereof (the “Report”), I, Michael Noonan, Chief Financial Officer of the Company, certify, pursuant to Section 906 of the Sarbanes-Oxley Act of 2002, 18 U.S.C. Section 1350, that:</w:t>
      </w:r>
    </w:p>
    <w:p>
      <w:pPr>
        <w:spacing w:after="0" w:line="177" w:lineRule="exact"/>
        <w:rPr>
          <w:sz w:val="20"/>
          <w:szCs w:val="20"/>
          <w:color w:val="auto"/>
        </w:rPr>
      </w:pPr>
    </w:p>
    <w:p>
      <w:pPr>
        <w:ind w:left="520" w:right="180" w:hanging="512"/>
        <w:spacing w:after="0" w:line="281" w:lineRule="auto"/>
        <w:tabs>
          <w:tab w:leader="none" w:pos="37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which this statement accompanies fully complies with the requirements of Section 13(a) or 15(d) of the Securities Exchange Act of 1934, as amended; and</w:t>
      </w:r>
    </w:p>
    <w:p>
      <w:pPr>
        <w:spacing w:after="0" w:line="162"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16, 2024</w:t>
            </w: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NOONAN</w:t>
            </w:r>
          </w:p>
        </w:tc>
      </w:tr>
      <w:tr>
        <w:trPr>
          <w:trHeight w:val="209"/>
        </w:trPr>
        <w:tc>
          <w:tcPr>
            <w:tcW w:w="574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Noonan</w:t>
            </w:r>
          </w:p>
        </w:tc>
      </w:tr>
      <w:tr>
        <w:trPr>
          <w:trHeight w:val="236"/>
        </w:trPr>
        <w:tc>
          <w:tcPr>
            <w:tcW w:w="574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1854"/>
        </w:trPr>
        <w:tc>
          <w:tcPr>
            <w:tcW w:w="57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52" w:name="page153"/>
    <w:bookmarkEnd w:id="152"/>
    <w:p>
      <w:pPr>
        <w:spacing w:after="0" w:line="88" w:lineRule="exact"/>
        <w:rPr>
          <w:sz w:val="20"/>
          <w:szCs w:val="20"/>
          <w:color w:val="auto"/>
        </w:rPr>
      </w:pPr>
    </w:p>
    <w:p>
      <w:pPr>
        <w:jc w:val="right"/>
        <w:spacing w:after="0"/>
        <w:rPr>
          <w:sz w:val="20"/>
          <w:szCs w:val="20"/>
          <w:color w:val="auto"/>
        </w:rPr>
      </w:pPr>
      <w:r>
        <w:rPr>
          <w:rFonts w:ascii="Calibri" w:cs="Calibri" w:eastAsia="Calibri" w:hAnsi="Calibri"/>
          <w:sz w:val="22"/>
          <w:szCs w:val="22"/>
          <w:b w:val="1"/>
          <w:bCs w:val="1"/>
          <w:color w:val="auto"/>
        </w:rPr>
        <w:t>Exhibit 97.1</w:t>
      </w:r>
    </w:p>
    <w:p>
      <w:pPr>
        <w:spacing w:after="0" w:line="230" w:lineRule="exact"/>
        <w:rPr>
          <w:sz w:val="20"/>
          <w:szCs w:val="20"/>
          <w:color w:val="auto"/>
        </w:rPr>
      </w:pPr>
    </w:p>
    <w:p>
      <w:pPr>
        <w:ind w:left="5100"/>
        <w:spacing w:after="0"/>
        <w:rPr>
          <w:sz w:val="20"/>
          <w:szCs w:val="20"/>
          <w:color w:val="auto"/>
        </w:rPr>
      </w:pPr>
      <w:r>
        <w:rPr>
          <w:rFonts w:ascii="Calibri" w:cs="Calibri" w:eastAsia="Calibri" w:hAnsi="Calibri"/>
          <w:sz w:val="29"/>
          <w:szCs w:val="29"/>
          <w:b w:val="1"/>
          <w:bCs w:val="1"/>
          <w:color w:val="auto"/>
        </w:rPr>
        <w:t>Clawback Policy</w:t>
      </w:r>
    </w:p>
    <w:p>
      <w:pPr>
        <w:ind w:left="4120"/>
        <w:spacing w:after="0" w:line="237" w:lineRule="auto"/>
        <w:rPr>
          <w:sz w:val="20"/>
          <w:szCs w:val="20"/>
          <w:color w:val="auto"/>
        </w:rPr>
      </w:pPr>
      <w:r>
        <w:rPr>
          <w:rFonts w:ascii="Calibri" w:cs="Calibri" w:eastAsia="Calibri" w:hAnsi="Calibri"/>
          <w:sz w:val="29"/>
          <w:szCs w:val="29"/>
          <w:b w:val="1"/>
          <w:bCs w:val="1"/>
          <w:color w:val="auto"/>
        </w:rPr>
        <w:t>Efectve Date: November 1, 2023</w:t>
      </w:r>
    </w:p>
    <w:p>
      <w:pPr>
        <w:spacing w:after="0" w:line="338" w:lineRule="exact"/>
        <w:rPr>
          <w:sz w:val="20"/>
          <w:szCs w:val="20"/>
          <w:color w:val="auto"/>
        </w:rPr>
      </w:pPr>
    </w:p>
    <w:p>
      <w:pPr>
        <w:jc w:val="both"/>
        <w:ind w:right="60" w:firstLine="749"/>
        <w:spacing w:after="0" w:line="237" w:lineRule="auto"/>
        <w:rPr>
          <w:sz w:val="20"/>
          <w:szCs w:val="20"/>
          <w:color w:val="auto"/>
        </w:rPr>
      </w:pPr>
      <w:r>
        <w:rPr>
          <w:rFonts w:ascii="Calibri" w:cs="Calibri" w:eastAsia="Calibri" w:hAnsi="Calibri"/>
          <w:sz w:val="20"/>
          <w:szCs w:val="20"/>
          <w:color w:val="auto"/>
        </w:rPr>
        <w:t>Tripadvisor, Inc. (together with its subsidiaries, the “Company”) has adopted this Clawback Policy (this “Policy”) to provide for the recovery of erroneously awarded incentve-based compensaton in the event that the Company is required to prepare an accountng restatement of its fnancial statements due to material noncompliance with any fnancial reportng requirement under the federal securites laws. This Policy is designed to comply with the Nasdaq listng rules (the “Nasdaq Rules”), including but not limited to Rule 4508, and the rules and regulatons adopted by the SEC (the “SEC Rules”), including but not limited to Secton 10D. All capitalized terms used and not otherwise defned herein shall have the meanings set forth in Secton III below.</w:t>
      </w:r>
    </w:p>
    <w:p>
      <w:pPr>
        <w:spacing w:after="0" w:line="279" w:lineRule="exact"/>
        <w:rPr>
          <w:sz w:val="20"/>
          <w:szCs w:val="20"/>
          <w:color w:val="auto"/>
        </w:rPr>
      </w:pPr>
    </w:p>
    <w:p>
      <w:pPr>
        <w:jc w:val="both"/>
        <w:ind w:right="60" w:firstLine="749"/>
        <w:spacing w:after="0" w:line="235" w:lineRule="auto"/>
        <w:rPr>
          <w:sz w:val="20"/>
          <w:szCs w:val="20"/>
          <w:color w:val="auto"/>
        </w:rPr>
      </w:pPr>
      <w:r>
        <w:rPr>
          <w:rFonts w:ascii="Calibri" w:cs="Calibri" w:eastAsia="Calibri" w:hAnsi="Calibri"/>
          <w:sz w:val="20"/>
          <w:szCs w:val="20"/>
          <w:color w:val="auto"/>
        </w:rPr>
        <w:t>This Policy shall apply to, and shall be binding and enforceable against, the Company’s current and former Executve Ofcers and such other employees who may from tme to tme be deemed subject to this Policy (collectvely, the “Covered Persons”) by majority of independent directors serving on the Board (the “Independent Directors”).</w:t>
      </w:r>
    </w:p>
    <w:p>
      <w:pPr>
        <w:spacing w:after="0" w:line="271" w:lineRule="exact"/>
        <w:rPr>
          <w:sz w:val="20"/>
          <w:szCs w:val="20"/>
          <w:color w:val="auto"/>
        </w:rPr>
      </w:pPr>
    </w:p>
    <w:p>
      <w:pPr>
        <w:ind w:left="760"/>
        <w:spacing w:after="0"/>
        <w:rPr>
          <w:sz w:val="20"/>
          <w:szCs w:val="20"/>
          <w:color w:val="auto"/>
        </w:rPr>
      </w:pPr>
      <w:r>
        <w:rPr>
          <w:rFonts w:ascii="Calibri" w:cs="Calibri" w:eastAsia="Calibri" w:hAnsi="Calibri"/>
          <w:sz w:val="20"/>
          <w:szCs w:val="20"/>
          <w:color w:val="auto"/>
        </w:rPr>
        <w:t>This Policy applies to all Incentve-Based Compensaton Received by a Covered Person:</w:t>
      </w:r>
    </w:p>
    <w:p>
      <w:pPr>
        <w:spacing w:after="0" w:line="255" w:lineRule="exact"/>
        <w:rPr>
          <w:sz w:val="20"/>
          <w:szCs w:val="20"/>
          <w:color w:val="auto"/>
        </w:rPr>
      </w:pPr>
    </w:p>
    <w:p>
      <w:pPr>
        <w:ind w:left="1500" w:hanging="369"/>
        <w:spacing w:after="0"/>
        <w:tabs>
          <w:tab w:leader="none" w:pos="1500" w:val="left"/>
        </w:tabs>
        <w:numPr>
          <w:ilvl w:val="0"/>
          <w:numId w:val="103"/>
        </w:numPr>
        <w:rPr>
          <w:rFonts w:ascii="Calibri" w:cs="Calibri" w:eastAsia="Calibri" w:hAnsi="Calibri"/>
          <w:sz w:val="20"/>
          <w:szCs w:val="20"/>
          <w:color w:val="auto"/>
        </w:rPr>
      </w:pPr>
      <w:r>
        <w:rPr>
          <w:rFonts w:ascii="Calibri" w:cs="Calibri" w:eastAsia="Calibri" w:hAnsi="Calibri"/>
          <w:sz w:val="20"/>
          <w:szCs w:val="20"/>
          <w:color w:val="auto"/>
        </w:rPr>
        <w:t>on or afer the Efectve Date;</w:t>
      </w:r>
    </w:p>
    <w:p>
      <w:pPr>
        <w:ind w:left="1500" w:hanging="369"/>
        <w:spacing w:after="0" w:line="238" w:lineRule="auto"/>
        <w:tabs>
          <w:tab w:leader="none" w:pos="1500" w:val="left"/>
        </w:tabs>
        <w:numPr>
          <w:ilvl w:val="0"/>
          <w:numId w:val="103"/>
        </w:numPr>
        <w:rPr>
          <w:rFonts w:ascii="Calibri" w:cs="Calibri" w:eastAsia="Calibri" w:hAnsi="Calibri"/>
          <w:sz w:val="20"/>
          <w:szCs w:val="20"/>
          <w:color w:val="auto"/>
        </w:rPr>
      </w:pPr>
      <w:r>
        <w:rPr>
          <w:rFonts w:ascii="Calibri" w:cs="Calibri" w:eastAsia="Calibri" w:hAnsi="Calibri"/>
          <w:sz w:val="20"/>
          <w:szCs w:val="20"/>
          <w:color w:val="auto"/>
        </w:rPr>
        <w:t>afer beginning service as a Covered Person;</w:t>
      </w:r>
    </w:p>
    <w:p>
      <w:pPr>
        <w:spacing w:after="0" w:line="22" w:lineRule="exact"/>
        <w:rPr>
          <w:rFonts w:ascii="Calibri" w:cs="Calibri" w:eastAsia="Calibri" w:hAnsi="Calibri"/>
          <w:sz w:val="20"/>
          <w:szCs w:val="20"/>
          <w:color w:val="auto"/>
        </w:rPr>
      </w:pPr>
    </w:p>
    <w:p>
      <w:pPr>
        <w:ind w:left="1500" w:right="60" w:hanging="369"/>
        <w:spacing w:after="0" w:line="234" w:lineRule="auto"/>
        <w:tabs>
          <w:tab w:leader="none" w:pos="1500" w:val="left"/>
        </w:tabs>
        <w:numPr>
          <w:ilvl w:val="0"/>
          <w:numId w:val="103"/>
        </w:numPr>
        <w:rPr>
          <w:rFonts w:ascii="Calibri" w:cs="Calibri" w:eastAsia="Calibri" w:hAnsi="Calibri"/>
          <w:sz w:val="20"/>
          <w:szCs w:val="20"/>
          <w:color w:val="auto"/>
        </w:rPr>
      </w:pPr>
      <w:r>
        <w:rPr>
          <w:rFonts w:ascii="Calibri" w:cs="Calibri" w:eastAsia="Calibri" w:hAnsi="Calibri"/>
          <w:sz w:val="20"/>
          <w:szCs w:val="20"/>
          <w:color w:val="auto"/>
        </w:rPr>
        <w:t>who served as a Covered Person at any tme during the performance period relatng to the applicable Incentve-Based Compensaton; and</w:t>
      </w:r>
    </w:p>
    <w:p>
      <w:pPr>
        <w:ind w:left="1500" w:hanging="369"/>
        <w:spacing w:after="0" w:line="238" w:lineRule="auto"/>
        <w:tabs>
          <w:tab w:leader="none" w:pos="1500" w:val="left"/>
        </w:tabs>
        <w:numPr>
          <w:ilvl w:val="0"/>
          <w:numId w:val="103"/>
        </w:numPr>
        <w:rPr>
          <w:rFonts w:ascii="Calibri" w:cs="Calibri" w:eastAsia="Calibri" w:hAnsi="Calibri"/>
          <w:sz w:val="20"/>
          <w:szCs w:val="20"/>
          <w:color w:val="auto"/>
        </w:rPr>
      </w:pPr>
      <w:r>
        <w:rPr>
          <w:rFonts w:ascii="Calibri" w:cs="Calibri" w:eastAsia="Calibri" w:hAnsi="Calibri"/>
          <w:sz w:val="20"/>
          <w:szCs w:val="20"/>
          <w:color w:val="auto"/>
        </w:rPr>
        <w:t>during the Clawback Period.</w:t>
      </w:r>
    </w:p>
    <w:p>
      <w:pPr>
        <w:spacing w:after="0" w:line="319" w:lineRule="exact"/>
        <w:rPr>
          <w:sz w:val="20"/>
          <w:szCs w:val="20"/>
          <w:color w:val="auto"/>
        </w:rPr>
      </w:pPr>
    </w:p>
    <w:p>
      <w:pPr>
        <w:jc w:val="both"/>
        <w:ind w:right="60" w:firstLine="749"/>
        <w:spacing w:after="0" w:line="235" w:lineRule="auto"/>
        <w:rPr>
          <w:sz w:val="20"/>
          <w:szCs w:val="20"/>
          <w:color w:val="auto"/>
        </w:rPr>
      </w:pPr>
      <w:r>
        <w:rPr>
          <w:rFonts w:ascii="Calibri" w:cs="Calibri" w:eastAsia="Calibri" w:hAnsi="Calibri"/>
          <w:sz w:val="20"/>
          <w:szCs w:val="20"/>
          <w:color w:val="auto"/>
        </w:rPr>
        <w:t>Incentve-Based Compensaton shall be deemed “Received” in the Company’s fscal period during which the Financial Reportng Measure specifed in the Incentve-Based Compensaton award is atained, even if the payment or grant of the Incentve-Based Compensaton occurs afer the end of that period.</w:t>
      </w:r>
    </w:p>
    <w:p>
      <w:pPr>
        <w:spacing w:after="0" w:line="298" w:lineRule="exact"/>
        <w:rPr>
          <w:sz w:val="20"/>
          <w:szCs w:val="20"/>
          <w:color w:val="auto"/>
        </w:rPr>
      </w:pPr>
    </w:p>
    <w:p>
      <w:pPr>
        <w:ind w:left="520" w:hanging="512"/>
        <w:spacing w:after="0"/>
        <w:tabs>
          <w:tab w:leader="none" w:pos="520" w:val="left"/>
        </w:tabs>
        <w:numPr>
          <w:ilvl w:val="0"/>
          <w:numId w:val="10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Recovery of Erroneously Awarded Compensaton</w:t>
      </w:r>
    </w:p>
    <w:p>
      <w:pPr>
        <w:spacing w:after="0" w:line="264" w:lineRule="exact"/>
        <w:rPr>
          <w:rFonts w:ascii="Calibri" w:cs="Calibri" w:eastAsia="Calibri" w:hAnsi="Calibri"/>
          <w:sz w:val="20"/>
          <w:szCs w:val="20"/>
          <w:b w:val="1"/>
          <w:bCs w:val="1"/>
          <w:color w:val="auto"/>
        </w:rPr>
      </w:pPr>
    </w:p>
    <w:p>
      <w:pPr>
        <w:ind w:right="120" w:firstLine="749"/>
        <w:spacing w:after="0" w:line="234" w:lineRule="auto"/>
        <w:rPr>
          <w:rFonts w:ascii="Calibri" w:cs="Calibri" w:eastAsia="Calibri" w:hAnsi="Calibri"/>
          <w:sz w:val="20"/>
          <w:szCs w:val="20"/>
          <w:b w:val="1"/>
          <w:bCs w:val="1"/>
          <w:color w:val="auto"/>
        </w:rPr>
      </w:pPr>
      <w:r>
        <w:rPr>
          <w:rFonts w:ascii="Calibri" w:cs="Calibri" w:eastAsia="Calibri" w:hAnsi="Calibri"/>
          <w:sz w:val="20"/>
          <w:szCs w:val="20"/>
          <w:color w:val="auto"/>
        </w:rPr>
        <w:t>A. In the event that the Company is required to prepare an Accountng Restatement, the Independent Directors will reasonably promptly require recovery of the Erroneously Awarded Compensaton Received by any Covered Person as follows:</w:t>
      </w:r>
    </w:p>
    <w:p>
      <w:pPr>
        <w:spacing w:after="0" w:line="265" w:lineRule="exact"/>
        <w:rPr>
          <w:rFonts w:ascii="Calibri" w:cs="Calibri" w:eastAsia="Calibri" w:hAnsi="Calibri"/>
          <w:sz w:val="20"/>
          <w:szCs w:val="20"/>
          <w:b w:val="1"/>
          <w:bCs w:val="1"/>
          <w:color w:val="auto"/>
        </w:rPr>
      </w:pPr>
    </w:p>
    <w:p>
      <w:pPr>
        <w:jc w:val="both"/>
        <w:ind w:left="1500" w:right="40" w:hanging="369"/>
        <w:spacing w:after="0"/>
        <w:tabs>
          <w:tab w:leader="none" w:pos="1500" w:val="left"/>
        </w:tabs>
        <w:numPr>
          <w:ilvl w:val="2"/>
          <w:numId w:val="104"/>
        </w:numPr>
        <w:rPr>
          <w:rFonts w:ascii="Calibri" w:cs="Calibri" w:eastAsia="Calibri" w:hAnsi="Calibri"/>
          <w:sz w:val="20"/>
          <w:szCs w:val="20"/>
          <w:color w:val="auto"/>
        </w:rPr>
      </w:pPr>
      <w:r>
        <w:rPr>
          <w:rFonts w:ascii="Calibri" w:cs="Calibri" w:eastAsia="Calibri" w:hAnsi="Calibri"/>
          <w:sz w:val="20"/>
          <w:szCs w:val="20"/>
          <w:color w:val="auto"/>
        </w:rPr>
        <w:t>The Independent Directors shall determine the amount of any Erroneously Awarded Compensaton Received by each Covered Person and shall reasonably promptly notfy each Covered Person with a writen notce containing the amount of any Erroneously Awarded Compensaton and a demand for repayment or return of such compensaton, as applicable.</w:t>
      </w: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69" w:lineRule="exact"/>
        <w:rPr>
          <w:rFonts w:ascii="Calibri" w:cs="Calibri" w:eastAsia="Calibri" w:hAnsi="Calibri"/>
          <w:sz w:val="20"/>
          <w:szCs w:val="20"/>
          <w:color w:val="auto"/>
        </w:rPr>
      </w:pPr>
    </w:p>
    <w:p>
      <w:pPr>
        <w:jc w:val="both"/>
        <w:ind w:left="1500" w:right="60" w:hanging="369"/>
        <w:spacing w:after="0" w:line="234" w:lineRule="auto"/>
        <w:tabs>
          <w:tab w:leader="none" w:pos="1500" w:val="left"/>
        </w:tabs>
        <w:numPr>
          <w:ilvl w:val="2"/>
          <w:numId w:val="104"/>
        </w:numPr>
        <w:rPr>
          <w:rFonts w:ascii="Calibri" w:cs="Calibri" w:eastAsia="Calibri" w:hAnsi="Calibri"/>
          <w:sz w:val="20"/>
          <w:szCs w:val="20"/>
          <w:color w:val="auto"/>
        </w:rPr>
      </w:pPr>
      <w:r>
        <w:rPr>
          <w:rFonts w:ascii="Calibri" w:cs="Calibri" w:eastAsia="Calibri" w:hAnsi="Calibri"/>
          <w:sz w:val="20"/>
          <w:szCs w:val="20"/>
          <w:color w:val="auto"/>
        </w:rPr>
        <w:t>For Incentve-Based Compensaton based on (or derived from) the Company’s stock price or total shareholder return, where the amount of Erroneously Awarded Compensaton is not subject to mathematcal recalculaton directly from</w:t>
      </w:r>
    </w:p>
    <w:p>
      <w:pPr>
        <w:ind w:left="1500"/>
        <w:spacing w:after="0"/>
        <w:rPr>
          <w:sz w:val="20"/>
          <w:szCs w:val="20"/>
          <w:color w:val="auto"/>
        </w:rPr>
      </w:pPr>
      <w:r>
        <w:rPr>
          <w:rFonts w:ascii="Calibri" w:cs="Calibri" w:eastAsia="Calibri" w:hAnsi="Calibri"/>
          <w:sz w:val="20"/>
          <w:szCs w:val="20"/>
          <w:color w:val="auto"/>
        </w:rPr>
        <w:t>the informaton in the applicable Accountng Restatement:</w:t>
      </w:r>
    </w:p>
    <w:p>
      <w:pPr>
        <w:ind w:left="5580"/>
        <w:spacing w:after="0" w:line="238" w:lineRule="auto"/>
        <w:rPr>
          <w:sz w:val="20"/>
          <w:szCs w:val="20"/>
          <w:color w:val="auto"/>
        </w:rPr>
      </w:pPr>
      <w:r>
        <w:rPr>
          <w:rFonts w:ascii="Calibri" w:cs="Calibri" w:eastAsia="Calibri" w:hAnsi="Calibri"/>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267" w:lineRule="exact"/>
        <w:rPr>
          <w:sz w:val="20"/>
          <w:szCs w:val="20"/>
          <w:color w:val="auto"/>
        </w:rPr>
      </w:pPr>
    </w:p>
    <w:p>
      <w:pPr>
        <w:jc w:val="both"/>
        <w:ind w:left="2560" w:right="20" w:hanging="740"/>
        <w:spacing w:after="0" w:line="235" w:lineRule="auto"/>
        <w:tabs>
          <w:tab w:leader="none" w:pos="2560" w:val="left"/>
        </w:tabs>
        <w:numPr>
          <w:ilvl w:val="3"/>
          <w:numId w:val="105"/>
        </w:numPr>
        <w:rPr>
          <w:rFonts w:ascii="Calibri" w:cs="Calibri" w:eastAsia="Calibri" w:hAnsi="Calibri"/>
          <w:sz w:val="20"/>
          <w:szCs w:val="20"/>
          <w:color w:val="auto"/>
        </w:rPr>
      </w:pPr>
      <w:r>
        <w:rPr>
          <w:rFonts w:ascii="Calibri" w:cs="Calibri" w:eastAsia="Calibri" w:hAnsi="Calibri"/>
          <w:sz w:val="20"/>
          <w:szCs w:val="20"/>
          <w:color w:val="auto"/>
        </w:rPr>
        <w:t>the amount to be repaid or returned shall be based on a reasonable estmate of the efect of the Accountng Restatement on the Company’s stock price or total shareholder return upon which the Incentve-based Compensaton was paid; and</w:t>
      </w:r>
    </w:p>
    <w:p>
      <w:pPr>
        <w:spacing w:after="0" w:line="267" w:lineRule="exact"/>
        <w:rPr>
          <w:rFonts w:ascii="Calibri" w:cs="Calibri" w:eastAsia="Calibri" w:hAnsi="Calibri"/>
          <w:sz w:val="20"/>
          <w:szCs w:val="20"/>
          <w:color w:val="auto"/>
        </w:rPr>
      </w:pPr>
    </w:p>
    <w:p>
      <w:pPr>
        <w:ind w:left="2560" w:right="20" w:hanging="740"/>
        <w:spacing w:after="0" w:line="234" w:lineRule="auto"/>
        <w:tabs>
          <w:tab w:leader="none" w:pos="2560" w:val="left"/>
        </w:tabs>
        <w:numPr>
          <w:ilvl w:val="3"/>
          <w:numId w:val="105"/>
        </w:numPr>
        <w:rPr>
          <w:rFonts w:ascii="Calibri" w:cs="Calibri" w:eastAsia="Calibri" w:hAnsi="Calibri"/>
          <w:sz w:val="20"/>
          <w:szCs w:val="20"/>
          <w:color w:val="auto"/>
        </w:rPr>
      </w:pPr>
      <w:r>
        <w:rPr>
          <w:rFonts w:ascii="Calibri" w:cs="Calibri" w:eastAsia="Calibri" w:hAnsi="Calibri"/>
          <w:sz w:val="20"/>
          <w:szCs w:val="20"/>
          <w:color w:val="auto"/>
        </w:rPr>
        <w:t>The Company shall maintain documentaton of the determinaton of such reasonable estmate and provide the relevant documentaton as required to Nasdaq.</w:t>
      </w:r>
    </w:p>
    <w:p>
      <w:pPr>
        <w:spacing w:after="0" w:line="265" w:lineRule="exact"/>
        <w:rPr>
          <w:rFonts w:ascii="Calibri" w:cs="Calibri" w:eastAsia="Calibri" w:hAnsi="Calibri"/>
          <w:sz w:val="20"/>
          <w:szCs w:val="20"/>
          <w:color w:val="auto"/>
        </w:rPr>
      </w:pPr>
    </w:p>
    <w:p>
      <w:pPr>
        <w:jc w:val="both"/>
        <w:ind w:left="1440" w:right="20" w:hanging="369"/>
        <w:spacing w:after="0" w:line="236" w:lineRule="auto"/>
        <w:tabs>
          <w:tab w:leader="none" w:pos="1440" w:val="left"/>
        </w:tabs>
        <w:numPr>
          <w:ilvl w:val="1"/>
          <w:numId w:val="106"/>
        </w:numPr>
        <w:rPr>
          <w:rFonts w:ascii="Calibri" w:cs="Calibri" w:eastAsia="Calibri" w:hAnsi="Calibri"/>
          <w:sz w:val="20"/>
          <w:szCs w:val="20"/>
          <w:color w:val="auto"/>
        </w:rPr>
      </w:pPr>
      <w:r>
        <w:rPr>
          <w:rFonts w:ascii="Calibri" w:cs="Calibri" w:eastAsia="Calibri" w:hAnsi="Calibri"/>
          <w:sz w:val="20"/>
          <w:szCs w:val="20"/>
          <w:color w:val="auto"/>
        </w:rPr>
        <w:t>The Independent Directors shall have discreton to determine the appropriate means of recovering Erroneously Awarded Compensaton based on the partcular facts and circumstances. Notwithstanding the foregoing, except as set forth in Secton I(B) below, in no event shall the Company accept an amount that is less than the amount of the Erroneously Awarded Compensaton Received by a Covered Person in satsfacton of such Covered Person’s obligatons hereunder.</w:t>
      </w:r>
    </w:p>
    <w:p>
      <w:pPr>
        <w:spacing w:after="0" w:line="282" w:lineRule="exact"/>
        <w:rPr>
          <w:rFonts w:ascii="Calibri" w:cs="Calibri" w:eastAsia="Calibri" w:hAnsi="Calibri"/>
          <w:sz w:val="20"/>
          <w:szCs w:val="20"/>
          <w:color w:val="auto"/>
        </w:rPr>
      </w:pPr>
    </w:p>
    <w:p>
      <w:pPr>
        <w:jc w:val="both"/>
        <w:ind w:left="1440" w:right="20" w:hanging="369"/>
        <w:spacing w:after="0" w:line="236" w:lineRule="auto"/>
        <w:tabs>
          <w:tab w:leader="none" w:pos="1440" w:val="left"/>
        </w:tabs>
        <w:numPr>
          <w:ilvl w:val="1"/>
          <w:numId w:val="106"/>
        </w:numPr>
        <w:rPr>
          <w:rFonts w:ascii="Calibri" w:cs="Calibri" w:eastAsia="Calibri" w:hAnsi="Calibri"/>
          <w:sz w:val="20"/>
          <w:szCs w:val="20"/>
          <w:color w:val="auto"/>
        </w:rPr>
      </w:pPr>
      <w:r>
        <w:rPr>
          <w:rFonts w:ascii="Calibri" w:cs="Calibri" w:eastAsia="Calibri" w:hAnsi="Calibri"/>
          <w:sz w:val="20"/>
          <w:szCs w:val="20"/>
          <w:color w:val="auto"/>
        </w:rPr>
        <w:t>To the extent that the Covered Person has already reimbursed the Company for any Erroneously Awarded Compensaton Received under any duplicatve recovery obligatons established by the Company or applicable law, it shall be appropriate for any such reimbursed amount to be credited to the amount of Erroneously Awarded Compensaton that is subject to recovery under this Policy.</w:t>
      </w:r>
    </w:p>
    <w:p>
      <w:pPr>
        <w:spacing w:after="0" w:line="266" w:lineRule="exact"/>
        <w:rPr>
          <w:rFonts w:ascii="Calibri" w:cs="Calibri" w:eastAsia="Calibri" w:hAnsi="Calibri"/>
          <w:sz w:val="20"/>
          <w:szCs w:val="20"/>
          <w:color w:val="auto"/>
        </w:rPr>
      </w:pPr>
    </w:p>
    <w:p>
      <w:pPr>
        <w:jc w:val="both"/>
        <w:ind w:left="1440" w:hanging="369"/>
        <w:spacing w:after="0" w:line="236" w:lineRule="auto"/>
        <w:tabs>
          <w:tab w:leader="none" w:pos="1440" w:val="left"/>
        </w:tabs>
        <w:numPr>
          <w:ilvl w:val="1"/>
          <w:numId w:val="106"/>
        </w:numPr>
        <w:rPr>
          <w:rFonts w:ascii="Calibri" w:cs="Calibri" w:eastAsia="Calibri" w:hAnsi="Calibri"/>
          <w:sz w:val="20"/>
          <w:szCs w:val="20"/>
          <w:color w:val="auto"/>
        </w:rPr>
      </w:pPr>
      <w:r>
        <w:rPr>
          <w:rFonts w:ascii="Calibri" w:cs="Calibri" w:eastAsia="Calibri" w:hAnsi="Calibri"/>
          <w:sz w:val="20"/>
          <w:szCs w:val="20"/>
          <w:color w:val="auto"/>
        </w:rPr>
        <w:t>To the extent that a Covered Person fails to repay all Erroneously Awarded Compensaton to the Company when due, the Company shall take all actons reasonable and appropriate to recover such amount from the applicable Covered Person. The applicable Covered Person shall be required to reimburse the Company for any and all expenses reasonably incurred (including legal fees) by the Company in recovering such Erroneously Awarded Compensaton in accordance with the immediately preceding sentence.</w:t>
      </w:r>
    </w:p>
    <w:p>
      <w:pPr>
        <w:spacing w:after="0" w:line="269" w:lineRule="exact"/>
        <w:rPr>
          <w:rFonts w:ascii="Calibri" w:cs="Calibri" w:eastAsia="Calibri" w:hAnsi="Calibri"/>
          <w:sz w:val="20"/>
          <w:szCs w:val="20"/>
          <w:color w:val="auto"/>
        </w:rPr>
      </w:pPr>
    </w:p>
    <w:p>
      <w:pPr>
        <w:ind w:left="-60" w:right="40" w:firstLine="757"/>
        <w:spacing w:after="0" w:line="234" w:lineRule="auto"/>
        <w:tabs>
          <w:tab w:leader="none" w:pos="1055" w:val="left"/>
        </w:tabs>
        <w:numPr>
          <w:ilvl w:val="0"/>
          <w:numId w:val="107"/>
        </w:numPr>
        <w:rPr>
          <w:rFonts w:ascii="Calibri" w:cs="Calibri" w:eastAsia="Calibri" w:hAnsi="Calibri"/>
          <w:sz w:val="20"/>
          <w:szCs w:val="20"/>
          <w:color w:val="auto"/>
        </w:rPr>
      </w:pPr>
      <w:r>
        <w:rPr>
          <w:rFonts w:ascii="Calibri" w:cs="Calibri" w:eastAsia="Calibri" w:hAnsi="Calibri"/>
          <w:sz w:val="20"/>
          <w:szCs w:val="20"/>
          <w:color w:val="auto"/>
        </w:rPr>
        <w:t>Notwithstanding anything herein to the contrary, the Company shall not be required to take the actons contemplated above if the Independent Directors determine that recovery would be impractcable because:</w:t>
      </w:r>
    </w:p>
    <w:p>
      <w:pPr>
        <w:spacing w:after="0" w:line="265" w:lineRule="exact"/>
        <w:rPr>
          <w:rFonts w:ascii="Calibri" w:cs="Calibri" w:eastAsia="Calibri" w:hAnsi="Calibri"/>
          <w:sz w:val="20"/>
          <w:szCs w:val="20"/>
          <w:color w:val="auto"/>
        </w:rPr>
      </w:pPr>
    </w:p>
    <w:p>
      <w:pPr>
        <w:jc w:val="both"/>
        <w:ind w:left="1440" w:hanging="280"/>
        <w:spacing w:after="0" w:line="235" w:lineRule="auto"/>
        <w:tabs>
          <w:tab w:leader="none" w:pos="1440" w:val="left"/>
        </w:tabs>
        <w:numPr>
          <w:ilvl w:val="2"/>
          <w:numId w:val="107"/>
        </w:numPr>
        <w:rPr>
          <w:rFonts w:ascii="Calibri" w:cs="Calibri" w:eastAsia="Calibri" w:hAnsi="Calibri"/>
          <w:sz w:val="20"/>
          <w:szCs w:val="20"/>
          <w:color w:val="auto"/>
        </w:rPr>
      </w:pPr>
      <w:r>
        <w:rPr>
          <w:rFonts w:ascii="Calibri" w:cs="Calibri" w:eastAsia="Calibri" w:hAnsi="Calibri"/>
          <w:sz w:val="20"/>
          <w:szCs w:val="20"/>
          <w:color w:val="auto"/>
        </w:rPr>
        <w:t>The direct expenses paid to a third party to assist in enforcing the Policy would exceed the amount to be recovered. Before making this determinaton, the Company must make a reasonable atempt to recover the Erroneously Awarded Compensaton, document such atempt(s) and provide such documentaton to Nasdaq.</w:t>
      </w:r>
    </w:p>
    <w:p>
      <w:pPr>
        <w:spacing w:after="0" w:line="200" w:lineRule="exact"/>
        <w:rPr>
          <w:rFonts w:ascii="Calibri" w:cs="Calibri" w:eastAsia="Calibri" w:hAnsi="Calibri"/>
          <w:sz w:val="20"/>
          <w:szCs w:val="20"/>
          <w:color w:val="auto"/>
        </w:rPr>
      </w:pPr>
    </w:p>
    <w:p>
      <w:pPr>
        <w:spacing w:after="0" w:line="323" w:lineRule="exact"/>
        <w:rPr>
          <w:rFonts w:ascii="Calibri" w:cs="Calibri" w:eastAsia="Calibri" w:hAnsi="Calibri"/>
          <w:sz w:val="20"/>
          <w:szCs w:val="20"/>
          <w:color w:val="auto"/>
        </w:rPr>
      </w:pPr>
    </w:p>
    <w:p>
      <w:pPr>
        <w:jc w:val="both"/>
        <w:ind w:left="1440" w:hanging="280"/>
        <w:spacing w:after="0" w:line="235" w:lineRule="auto"/>
        <w:tabs>
          <w:tab w:leader="none" w:pos="1440" w:val="left"/>
        </w:tabs>
        <w:numPr>
          <w:ilvl w:val="2"/>
          <w:numId w:val="107"/>
        </w:numPr>
        <w:rPr>
          <w:rFonts w:ascii="Calibri" w:cs="Calibri" w:eastAsia="Calibri" w:hAnsi="Calibri"/>
          <w:sz w:val="20"/>
          <w:szCs w:val="20"/>
          <w:color w:val="auto"/>
        </w:rPr>
      </w:pPr>
      <w:r>
        <w:rPr>
          <w:rFonts w:ascii="Calibri" w:cs="Calibri" w:eastAsia="Calibri" w:hAnsi="Calibri"/>
          <w:sz w:val="20"/>
          <w:szCs w:val="20"/>
          <w:color w:val="auto"/>
        </w:rPr>
        <w:t>Recovery would likely cause an otherwise tax-qualifed retrement plan, under which benefts are broadly available to employees of the Company, to fail to meet the requirements of Secton 401(a)(13) or Secton 411(a) of the Internal Revenue Code of 1986, as amended, and the regulatons promulgated thereunder.</w:t>
      </w:r>
    </w:p>
    <w:p>
      <w:pPr>
        <w:spacing w:after="0" w:line="267" w:lineRule="exact"/>
        <w:rPr>
          <w:rFonts w:ascii="Calibri" w:cs="Calibri" w:eastAsia="Calibri" w:hAnsi="Calibri"/>
          <w:sz w:val="20"/>
          <w:szCs w:val="20"/>
          <w:color w:val="auto"/>
        </w:rPr>
      </w:pPr>
    </w:p>
    <w:p>
      <w:pPr>
        <w:jc w:val="both"/>
        <w:ind w:left="-60" w:right="20" w:firstLine="757"/>
        <w:spacing w:after="0" w:line="236" w:lineRule="auto"/>
        <w:tabs>
          <w:tab w:leader="none" w:pos="1055" w:val="left"/>
        </w:tabs>
        <w:numPr>
          <w:ilvl w:val="0"/>
          <w:numId w:val="107"/>
        </w:numPr>
        <w:rPr>
          <w:rFonts w:ascii="Calibri" w:cs="Calibri" w:eastAsia="Calibri" w:hAnsi="Calibri"/>
          <w:sz w:val="20"/>
          <w:szCs w:val="20"/>
          <w:color w:val="auto"/>
        </w:rPr>
      </w:pPr>
      <w:r>
        <w:rPr>
          <w:rFonts w:ascii="Calibri" w:cs="Calibri" w:eastAsia="Calibri" w:hAnsi="Calibri"/>
          <w:sz w:val="20"/>
          <w:szCs w:val="20"/>
          <w:color w:val="auto"/>
        </w:rPr>
        <w:t>The Company intends that this Policy will be applied to the fullest extent of the law. The Independent Directors may require that any employment or service agreement, cash-based bonus plan or program, equity award agreement, or similar agreement entered into on or afer the adopton of this Policy shall, as a conditon to the grant of any beneft thereunder, require a Covered Person to agree to abide by</w:t>
      </w:r>
    </w:p>
    <w:p>
      <w:pPr>
        <w:spacing w:after="0" w:line="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641985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1440" w:right="379" w:bottom="1440" w:gutter="0" w:footer="0" w:header="0"/>
        </w:sectPr>
      </w:pPr>
    </w:p>
    <w:bookmarkStart w:id="154" w:name="page155"/>
    <w:bookmarkEnd w:id="154"/>
    <w:p>
      <w:pPr>
        <w:spacing w:after="0" w:line="11"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the terms of this Policy. Any right of recovery under this Policy is in additon to, and not in lieu of, any other remedies or rights of recovery that may be available to the Company under applicable law, regulaton, or rule or pursuant to the terms of any policy of the Company or any provision in any employment agreement, equity award agreement, compensatory plan, agreement or other arrangement.</w:t>
      </w:r>
    </w:p>
    <w:p>
      <w:pPr>
        <w:spacing w:after="0" w:line="200" w:lineRule="exact"/>
        <w:rPr>
          <w:sz w:val="20"/>
          <w:szCs w:val="20"/>
          <w:color w:val="auto"/>
        </w:rPr>
      </w:pPr>
    </w:p>
    <w:p>
      <w:pPr>
        <w:spacing w:after="0" w:line="298" w:lineRule="exact"/>
        <w:rPr>
          <w:sz w:val="20"/>
          <w:szCs w:val="20"/>
          <w:color w:val="auto"/>
        </w:rPr>
      </w:pPr>
    </w:p>
    <w:p>
      <w:pPr>
        <w:ind w:left="760" w:hanging="752"/>
        <w:spacing w:after="0"/>
        <w:tabs>
          <w:tab w:leader="none" w:pos="760" w:val="left"/>
        </w:tabs>
        <w:numPr>
          <w:ilvl w:val="0"/>
          <w:numId w:val="10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Prohibiton of Indemnifcaton</w:t>
      </w:r>
    </w:p>
    <w:p>
      <w:pPr>
        <w:spacing w:after="0" w:line="265" w:lineRule="exact"/>
        <w:rPr>
          <w:sz w:val="20"/>
          <w:szCs w:val="20"/>
          <w:color w:val="auto"/>
        </w:rPr>
      </w:pPr>
    </w:p>
    <w:p>
      <w:pPr>
        <w:jc w:val="both"/>
        <w:ind w:firstLine="749"/>
        <w:spacing w:after="0" w:line="237" w:lineRule="auto"/>
        <w:rPr>
          <w:sz w:val="20"/>
          <w:szCs w:val="20"/>
          <w:color w:val="auto"/>
        </w:rPr>
      </w:pPr>
      <w:r>
        <w:rPr>
          <w:rFonts w:ascii="Calibri" w:cs="Calibri" w:eastAsia="Calibri" w:hAnsi="Calibri"/>
          <w:sz w:val="20"/>
          <w:szCs w:val="20"/>
          <w:color w:val="auto"/>
        </w:rPr>
        <w:t>The Company shall not be permited to insure or indemnify any Covered Person against (i) the loss of any Erroneously Awarded Compensaton that is repaid, returned, or recovered pursuant to the terms of this Policy, or (ii) any claims relatng to the Company’s enforcement of its rights under this Policy. Further, the Company shall not enter into any agreement that exempts any Incentve-Based Compensaton that is granted, paid or awarded to a Covered Person from the applicaton of this Policy or that waives the Company’s right to recovery of any Erroneously Awarded Compensaton, and this Policy shall supersede any such agreement (whether entered into before, on or afer the Efectve Date of this Policy).</w:t>
      </w:r>
    </w:p>
    <w:p>
      <w:pPr>
        <w:spacing w:after="0" w:line="297" w:lineRule="exact"/>
        <w:rPr>
          <w:sz w:val="20"/>
          <w:szCs w:val="20"/>
          <w:color w:val="auto"/>
        </w:rPr>
      </w:pPr>
    </w:p>
    <w:p>
      <w:pPr>
        <w:ind w:left="760" w:hanging="752"/>
        <w:spacing w:after="0"/>
        <w:tabs>
          <w:tab w:leader="none" w:pos="760" w:val="left"/>
        </w:tabs>
        <w:numPr>
          <w:ilvl w:val="0"/>
          <w:numId w:val="10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Defnitons</w:t>
      </w:r>
    </w:p>
    <w:p>
      <w:pPr>
        <w:spacing w:after="0" w:line="349" w:lineRule="exact"/>
        <w:rPr>
          <w:sz w:val="20"/>
          <w:szCs w:val="20"/>
          <w:color w:val="auto"/>
        </w:rPr>
      </w:pPr>
    </w:p>
    <w:p>
      <w:pPr>
        <w:ind w:left="860"/>
        <w:spacing w:after="0"/>
        <w:rPr>
          <w:sz w:val="20"/>
          <w:szCs w:val="20"/>
          <w:color w:val="auto"/>
        </w:rPr>
      </w:pPr>
      <w:r>
        <w:rPr>
          <w:rFonts w:ascii="Calibri" w:cs="Calibri" w:eastAsia="Calibri" w:hAnsi="Calibri"/>
          <w:sz w:val="20"/>
          <w:szCs w:val="20"/>
          <w:color w:val="auto"/>
        </w:rPr>
        <w:t>For purposes of this Policy, the following capitalized terms shall have the meanings set forth below.</w:t>
      </w:r>
    </w:p>
    <w:p>
      <w:pPr>
        <w:spacing w:after="0" w:line="359" w:lineRule="exact"/>
        <w:rPr>
          <w:sz w:val="20"/>
          <w:szCs w:val="20"/>
          <w:color w:val="auto"/>
        </w:rPr>
      </w:pPr>
    </w:p>
    <w:p>
      <w:pPr>
        <w:jc w:val="both"/>
        <w:ind w:firstLine="749"/>
        <w:spacing w:after="0" w:line="236" w:lineRule="auto"/>
        <w:rPr>
          <w:sz w:val="20"/>
          <w:szCs w:val="20"/>
          <w:color w:val="auto"/>
        </w:rPr>
      </w:pPr>
      <w:r>
        <w:rPr>
          <w:rFonts w:ascii="Calibri" w:cs="Calibri" w:eastAsia="Calibri" w:hAnsi="Calibri"/>
          <w:sz w:val="20"/>
          <w:szCs w:val="20"/>
          <w:color w:val="auto"/>
        </w:rPr>
        <w:t>“Accountng Restatement” means an accountng restatement due to the material noncompliance of the Company with any fnancial reportng requirement under the securites laws, including any required accountng restatement (i) to correct an error in previously issued fnancial statements that is material to the previously issued fnancial statements, or (ii) that would result in a material misstatement if the error were corrected in the current period or lef uncorrected in the current period.</w:t>
      </w:r>
    </w:p>
    <w:p>
      <w:pPr>
        <w:spacing w:after="0" w:line="351" w:lineRule="exact"/>
        <w:rPr>
          <w:sz w:val="20"/>
          <w:szCs w:val="20"/>
          <w:color w:val="auto"/>
        </w:rPr>
      </w:pPr>
    </w:p>
    <w:p>
      <w:pPr>
        <w:ind w:left="760"/>
        <w:spacing w:after="0"/>
        <w:rPr>
          <w:sz w:val="20"/>
          <w:szCs w:val="20"/>
          <w:color w:val="auto"/>
        </w:rPr>
      </w:pPr>
      <w:r>
        <w:rPr>
          <w:rFonts w:ascii="Calibri" w:cs="Calibri" w:eastAsia="Calibri" w:hAnsi="Calibri"/>
          <w:sz w:val="20"/>
          <w:szCs w:val="20"/>
          <w:color w:val="auto"/>
        </w:rPr>
        <w:t>“Board” means the Board of Directors of the Company.</w:t>
      </w:r>
    </w:p>
    <w:p>
      <w:pPr>
        <w:spacing w:after="0" w:line="359" w:lineRule="exact"/>
        <w:rPr>
          <w:sz w:val="20"/>
          <w:szCs w:val="20"/>
          <w:color w:val="auto"/>
        </w:rPr>
      </w:pPr>
    </w:p>
    <w:p>
      <w:pPr>
        <w:jc w:val="both"/>
        <w:ind w:firstLine="749"/>
        <w:spacing w:after="0" w:line="235" w:lineRule="auto"/>
        <w:rPr>
          <w:sz w:val="20"/>
          <w:szCs w:val="20"/>
          <w:color w:val="auto"/>
        </w:rPr>
      </w:pPr>
      <w:r>
        <w:rPr>
          <w:rFonts w:ascii="Calibri" w:cs="Calibri" w:eastAsia="Calibri" w:hAnsi="Calibri"/>
          <w:sz w:val="20"/>
          <w:szCs w:val="20"/>
          <w:color w:val="auto"/>
        </w:rPr>
        <w:t>“Clawback Period” means, with respect to any Accountng Restatement, the three completed fscal years of the Company immediately preceding the Restatement Date, and if the Company changes its fscal year, any transiton period of less than nine months within or immediately following those three completed fscal years.</w:t>
      </w:r>
    </w:p>
    <w:p>
      <w:pPr>
        <w:spacing w:after="0" w:line="362" w:lineRule="exact"/>
        <w:rPr>
          <w:sz w:val="20"/>
          <w:szCs w:val="20"/>
          <w:color w:val="auto"/>
        </w:rPr>
      </w:pPr>
    </w:p>
    <w:p>
      <w:pPr>
        <w:jc w:val="both"/>
        <w:ind w:firstLine="749"/>
        <w:spacing w:after="0" w:line="234" w:lineRule="auto"/>
        <w:rPr>
          <w:sz w:val="20"/>
          <w:szCs w:val="20"/>
          <w:color w:val="auto"/>
        </w:rPr>
      </w:pPr>
      <w:r>
        <w:rPr>
          <w:rFonts w:ascii="Calibri" w:cs="Calibri" w:eastAsia="Calibri" w:hAnsi="Calibri"/>
          <w:sz w:val="20"/>
          <w:szCs w:val="20"/>
          <w:color w:val="auto"/>
        </w:rPr>
        <w:t>“Efectve Date” means the date that this Policy is adopted by the Board. Notwithstanding the foregoing, this Policy shall only apply to Incentve-Based Compensaton Received on and afer October 2, 2023.</w:t>
      </w:r>
    </w:p>
    <w:p>
      <w:pPr>
        <w:spacing w:after="0" w:line="346" w:lineRule="exact"/>
        <w:rPr>
          <w:sz w:val="20"/>
          <w:szCs w:val="20"/>
          <w:color w:val="auto"/>
        </w:rPr>
      </w:pPr>
    </w:p>
    <w:p>
      <w:pPr>
        <w:jc w:val="both"/>
        <w:ind w:firstLine="749"/>
        <w:spacing w:after="0" w:line="236" w:lineRule="auto"/>
        <w:rPr>
          <w:sz w:val="20"/>
          <w:szCs w:val="20"/>
          <w:color w:val="auto"/>
        </w:rPr>
      </w:pPr>
      <w:r>
        <w:rPr>
          <w:rFonts w:ascii="Calibri" w:cs="Calibri" w:eastAsia="Calibri" w:hAnsi="Calibri"/>
          <w:sz w:val="20"/>
          <w:szCs w:val="20"/>
          <w:color w:val="auto"/>
        </w:rPr>
        <w:t>“Erroneously Awarded Compensaton” means, with respect to each Covered Person in connecton with an Accountng Restatement, the amount of Incentve-Based Compensaton Received by such Covered Person that exceeds the amount of Incentve-Based Compensaton that otherwise would have been Received had it been determined based on the restated amounts, computed without regard to any taxes paid.</w:t>
      </w:r>
    </w:p>
    <w:p>
      <w:pPr>
        <w:spacing w:after="0" w:line="361" w:lineRule="exact"/>
        <w:rPr>
          <w:sz w:val="20"/>
          <w:szCs w:val="20"/>
          <w:color w:val="auto"/>
        </w:rPr>
      </w:pPr>
    </w:p>
    <w:p>
      <w:pPr>
        <w:jc w:val="both"/>
        <w:ind w:firstLine="749"/>
        <w:spacing w:after="0" w:line="234" w:lineRule="auto"/>
        <w:rPr>
          <w:sz w:val="20"/>
          <w:szCs w:val="20"/>
          <w:color w:val="auto"/>
        </w:rPr>
      </w:pPr>
      <w:r>
        <w:rPr>
          <w:rFonts w:ascii="Calibri" w:cs="Calibri" w:eastAsia="Calibri" w:hAnsi="Calibri"/>
          <w:sz w:val="20"/>
          <w:szCs w:val="20"/>
          <w:color w:val="auto"/>
        </w:rPr>
        <w:t>“Executve Ofcer” means an executve ofcer of the Company, as determined by the Independent Directors in accordance with the Nasdaq Rules and the SEC Rules.</w:t>
      </w:r>
    </w:p>
    <w:p>
      <w:pPr>
        <w:spacing w:after="0" w:line="269" w:lineRule="exact"/>
        <w:rPr>
          <w:sz w:val="20"/>
          <w:szCs w:val="20"/>
          <w:color w:val="auto"/>
        </w:rPr>
      </w:pPr>
    </w:p>
    <w:p>
      <w:pPr>
        <w:jc w:val="center"/>
        <w:ind w:right="-59"/>
        <w:spacing w:after="0"/>
        <w:rPr>
          <w:sz w:val="20"/>
          <w:szCs w:val="20"/>
          <w:color w:val="auto"/>
        </w:rPr>
      </w:pPr>
      <w:r>
        <w:rPr>
          <w:rFonts w:ascii="Calibri" w:cs="Calibri" w:eastAsia="Calibri" w:hAnsi="Calibri"/>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55" w:name="page156"/>
    <w:bookmarkEnd w:id="155"/>
    <w:p>
      <w:pPr>
        <w:spacing w:after="0" w:line="64" w:lineRule="exact"/>
        <w:rPr>
          <w:sz w:val="20"/>
          <w:szCs w:val="20"/>
          <w:color w:val="auto"/>
        </w:rPr>
      </w:pPr>
    </w:p>
    <w:p>
      <w:pPr>
        <w:jc w:val="both"/>
        <w:ind w:right="60" w:firstLine="749"/>
        <w:spacing w:after="0" w:line="237" w:lineRule="auto"/>
        <w:rPr>
          <w:sz w:val="20"/>
          <w:szCs w:val="20"/>
          <w:color w:val="auto"/>
        </w:rPr>
      </w:pPr>
      <w:r>
        <w:rPr>
          <w:rFonts w:ascii="Calibri" w:cs="Calibri" w:eastAsia="Calibri" w:hAnsi="Calibri"/>
          <w:sz w:val="20"/>
          <w:szCs w:val="20"/>
          <w:color w:val="auto"/>
        </w:rPr>
        <w:t>“Financial Reportng Measure” means (i) any measure that is determined and presented in accordance with the accountng principles used in preparing the Company’s fnancial statements, or any other measure that is derived wholly or in part from such measure, such as revenues, EBITDA, or net income, or (ii) stock price and total shareholder return. Financial Reportng Measures include, but are not limited to: revenues; net income; operatng income; proftability of one or more reportable segments; fnancial ratos; net assets or net asset value per share; earnings before interest, taxes, depreciaton and amortzaton; funds from operatons and adjusted funds from operatons; liquidity measures (e.g., working capital, operatng cash fow); return measures (e.g., return on invested capital, return on assets); earnings measures (e.g., earnings per share); revenue per user, or average revenue per user, where revenue is subject to an accountng restatement; any of such fnancial reportng measures relatve to a peer group, where the Company’s fnancial reportng measure is subject to an accountng restatement; and tax basis income. For the avoidance of doubt, a Financial Reportng Measure need not be presented in the Company’s fnancial statements or included in a fling with the SEC.</w:t>
      </w:r>
    </w:p>
    <w:p>
      <w:pPr>
        <w:spacing w:after="0" w:line="367" w:lineRule="exact"/>
        <w:rPr>
          <w:sz w:val="20"/>
          <w:szCs w:val="20"/>
          <w:color w:val="auto"/>
        </w:rPr>
      </w:pPr>
    </w:p>
    <w:p>
      <w:pPr>
        <w:jc w:val="both"/>
        <w:ind w:right="60" w:firstLine="749"/>
        <w:spacing w:after="0"/>
        <w:rPr>
          <w:sz w:val="20"/>
          <w:szCs w:val="20"/>
          <w:color w:val="auto"/>
        </w:rPr>
      </w:pPr>
      <w:r>
        <w:rPr>
          <w:rFonts w:ascii="Calibri" w:cs="Calibri" w:eastAsia="Calibri" w:hAnsi="Calibri"/>
          <w:sz w:val="20"/>
          <w:szCs w:val="20"/>
          <w:color w:val="auto"/>
        </w:rPr>
        <w:t>“Incentve-Based Compensaton” means any compensaton that is granted, earned or vested based wholly or in part upon the atainment of a Financial Reportng Measure, including, but not limited to: (i) non-equity incentve plan awards that are earned solely or in part by satsfying a Financial Reportng Measure performance goal; (ii) bonuses paid from a bonus pool, where the size of the pool is determined solely or in part by satsfying a Financial Reportng Measure performance goal; (iii) other cash awards based on satsfacton of a Financial Reportng Measure performance goal; (iv) restricted stock, restricted stock units, stock optons, stock appreciaton rights, and performance share units that are granted or vest solely or in part based on satsfacton of a Financial Reportng Measure performance goal; and (v) proceeds from the sale of shares acquired through an incentve plan that were granted or vested solely or in part based on satsfacton of a Financial Reportng Measure performance goal. Compensaton that would not be considered Incentve-Based Compensaton includes, but is not limited to: (i) salaries; (ii) bonuses paid solely based on satsfacton of subjectve standards, such as demonstratng leadership, and/or completon of a specifed employment period; (iii) non-equity incentve plan awards earned solely based on satsfacton of strategic or operatonal measures; (iv) wholly tme-based equity awards; and (v) discretonary bonuses or other compensaton that is not paid from a bonus pool that is determined by satsfying a Financial Reportng Measure performance goal.</w:t>
      </w:r>
    </w:p>
    <w:p>
      <w:pPr>
        <w:spacing w:after="0" w:line="200" w:lineRule="exact"/>
        <w:rPr>
          <w:sz w:val="20"/>
          <w:szCs w:val="20"/>
          <w:color w:val="auto"/>
        </w:rPr>
      </w:pPr>
    </w:p>
    <w:p>
      <w:pPr>
        <w:spacing w:after="0" w:line="353" w:lineRule="exact"/>
        <w:rPr>
          <w:sz w:val="20"/>
          <w:szCs w:val="20"/>
          <w:color w:val="auto"/>
        </w:rPr>
      </w:pPr>
    </w:p>
    <w:p>
      <w:pPr>
        <w:ind w:left="760"/>
        <w:spacing w:after="0"/>
        <w:rPr>
          <w:sz w:val="20"/>
          <w:szCs w:val="20"/>
          <w:color w:val="auto"/>
        </w:rPr>
      </w:pPr>
      <w:r>
        <w:rPr>
          <w:rFonts w:ascii="Calibri" w:cs="Calibri" w:eastAsia="Calibri" w:hAnsi="Calibri"/>
          <w:sz w:val="20"/>
          <w:szCs w:val="20"/>
          <w:color w:val="auto"/>
        </w:rPr>
        <w:t>“Nasdaq” means the Nasdaq Global Market.</w:t>
      </w:r>
    </w:p>
    <w:p>
      <w:pPr>
        <w:spacing w:after="0" w:line="319" w:lineRule="exact"/>
        <w:rPr>
          <w:sz w:val="20"/>
          <w:szCs w:val="20"/>
          <w:color w:val="auto"/>
        </w:rPr>
      </w:pPr>
    </w:p>
    <w:p>
      <w:pPr>
        <w:jc w:val="both"/>
        <w:ind w:left="120" w:right="60" w:firstLine="645"/>
        <w:spacing w:after="0" w:line="236" w:lineRule="auto"/>
        <w:rPr>
          <w:sz w:val="20"/>
          <w:szCs w:val="20"/>
          <w:color w:val="auto"/>
        </w:rPr>
      </w:pPr>
      <w:r>
        <w:rPr>
          <w:rFonts w:ascii="Calibri" w:cs="Calibri" w:eastAsia="Calibri" w:hAnsi="Calibri"/>
          <w:sz w:val="20"/>
          <w:szCs w:val="20"/>
          <w:color w:val="auto"/>
        </w:rPr>
        <w:t>“Restatement Date” means the earlier to occur of (i) the date the Board, a commitee of the Board or the ofcers of the Company authorized to take such acton if Board acton is not required, concludes, or reasonably should have concluded, that the Company is required to prepare an Accountng Restatement, and (ii) the date a court, regulator or other legally authorized body directs the Company to prepare an Accountng Restatement.</w:t>
      </w:r>
    </w:p>
    <w:p>
      <w:pPr>
        <w:spacing w:after="0" w:line="257" w:lineRule="exact"/>
        <w:rPr>
          <w:sz w:val="20"/>
          <w:szCs w:val="20"/>
          <w:color w:val="auto"/>
        </w:rPr>
      </w:pPr>
    </w:p>
    <w:p>
      <w:pPr>
        <w:ind w:left="760"/>
        <w:spacing w:after="0"/>
        <w:rPr>
          <w:sz w:val="20"/>
          <w:szCs w:val="20"/>
          <w:color w:val="auto"/>
        </w:rPr>
      </w:pPr>
      <w:r>
        <w:rPr>
          <w:rFonts w:ascii="Calibri" w:cs="Calibri" w:eastAsia="Calibri" w:hAnsi="Calibri"/>
          <w:sz w:val="20"/>
          <w:szCs w:val="20"/>
          <w:color w:val="auto"/>
        </w:rPr>
        <w:t>“SEC” means the U.S. Securites and Exchange Commission.</w:t>
      </w:r>
    </w:p>
    <w:p>
      <w:pPr>
        <w:spacing w:after="0" w:line="295" w:lineRule="exact"/>
        <w:rPr>
          <w:sz w:val="20"/>
          <w:szCs w:val="20"/>
          <w:color w:val="auto"/>
        </w:rPr>
      </w:pPr>
    </w:p>
    <w:p>
      <w:pPr>
        <w:spacing w:after="0"/>
        <w:tabs>
          <w:tab w:leader="none" w:pos="740" w:val="left"/>
        </w:tabs>
        <w:rPr>
          <w:sz w:val="20"/>
          <w:szCs w:val="20"/>
          <w:color w:val="auto"/>
        </w:rPr>
      </w:pPr>
      <w:r>
        <w:rPr>
          <w:rFonts w:ascii="Calibri" w:cs="Calibri" w:eastAsia="Calibri" w:hAnsi="Calibri"/>
          <w:sz w:val="20"/>
          <w:szCs w:val="20"/>
          <w:b w:val="1"/>
          <w:bCs w:val="1"/>
          <w:color w:val="auto"/>
        </w:rPr>
        <w:t>IV.</w:t>
      </w:r>
      <w:r>
        <w:rPr>
          <w:sz w:val="20"/>
          <w:szCs w:val="20"/>
          <w:color w:val="auto"/>
        </w:rPr>
        <w:tab/>
      </w:r>
      <w:r>
        <w:rPr>
          <w:rFonts w:ascii="Calibri" w:cs="Calibri" w:eastAsia="Calibri" w:hAnsi="Calibri"/>
          <w:sz w:val="20"/>
          <w:szCs w:val="20"/>
          <w:b w:val="1"/>
          <w:bCs w:val="1"/>
          <w:color w:val="auto"/>
        </w:rPr>
        <w:t>Modifcaton and Interpretaton</w:t>
      </w:r>
    </w:p>
    <w:p>
      <w:pPr>
        <w:spacing w:after="0" w:line="280" w:lineRule="exact"/>
        <w:rPr>
          <w:sz w:val="20"/>
          <w:szCs w:val="20"/>
          <w:color w:val="auto"/>
        </w:rPr>
      </w:pPr>
    </w:p>
    <w:p>
      <w:pPr>
        <w:ind w:left="220" w:firstLine="728"/>
        <w:spacing w:after="0" w:line="235" w:lineRule="auto"/>
        <w:rPr>
          <w:sz w:val="20"/>
          <w:szCs w:val="20"/>
          <w:color w:val="auto"/>
        </w:rPr>
      </w:pPr>
      <w:r>
        <w:rPr>
          <w:rFonts w:ascii="Calibri" w:cs="Calibri" w:eastAsia="Calibri" w:hAnsi="Calibri"/>
          <w:sz w:val="18"/>
          <w:szCs w:val="18"/>
          <w:color w:val="auto"/>
        </w:rPr>
        <w:t>The Company reserves the right to modify, discontnue or replace this Policy or any terms of the Policy at any tme, with or without notce. In the event of a confict between this Policy and applicable law, applicable law will prevail.</w:t>
      </w:r>
    </w:p>
    <w:p>
      <w:pPr>
        <w:spacing w:after="0" w:line="205"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 w:lineRule="exact"/>
        <w:rPr>
          <w:sz w:val="20"/>
          <w:szCs w:val="20"/>
          <w:color w:val="auto"/>
        </w:rPr>
      </w:pPr>
    </w:p>
    <w:p>
      <w:pPr>
        <w:ind w:left="760" w:hanging="752"/>
        <w:spacing w:after="0"/>
        <w:tabs>
          <w:tab w:leader="none" w:pos="760" w:val="left"/>
        </w:tabs>
        <w:numPr>
          <w:ilvl w:val="0"/>
          <w:numId w:val="11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Enforcement</w:t>
      </w:r>
    </w:p>
    <w:p>
      <w:pPr>
        <w:spacing w:after="0" w:line="280" w:lineRule="exact"/>
        <w:rPr>
          <w:sz w:val="20"/>
          <w:szCs w:val="20"/>
          <w:color w:val="auto"/>
        </w:rPr>
      </w:pPr>
    </w:p>
    <w:p>
      <w:pPr>
        <w:jc w:val="both"/>
        <w:ind w:left="220" w:firstLine="728"/>
        <w:spacing w:after="0" w:line="235" w:lineRule="auto"/>
        <w:rPr>
          <w:sz w:val="20"/>
          <w:szCs w:val="20"/>
          <w:color w:val="auto"/>
        </w:rPr>
      </w:pPr>
      <w:r>
        <w:rPr>
          <w:rFonts w:ascii="Calibri" w:cs="Calibri" w:eastAsia="Calibri" w:hAnsi="Calibri"/>
          <w:sz w:val="18"/>
          <w:szCs w:val="18"/>
          <w:color w:val="auto"/>
        </w:rPr>
        <w:t>Any alleged or actual violaton of this Policy (a “Violaton”) shall be treated as a serious mater and must be immediately reported to the Compliance Team. The Compliance Team shall investgate the facts and circumstances surrounding any and all alleged Violatons. In additon, any Violaton can be expected to result in serious sanctons by the Company, including dismissal, suspension without pay, loss of pay or bonus, loss of benefts, demoton, or other sanctons, whether or not the violaton of Company policy or procedure also consttuted a violaton of law.</w:t>
      </w:r>
    </w:p>
    <w:p>
      <w:pPr>
        <w:spacing w:after="0" w:line="206" w:lineRule="exact"/>
        <w:rPr>
          <w:sz w:val="20"/>
          <w:szCs w:val="20"/>
          <w:color w:val="auto"/>
        </w:rPr>
      </w:pPr>
    </w:p>
    <w:p>
      <w:pPr>
        <w:ind w:left="760"/>
        <w:spacing w:after="0"/>
        <w:rPr>
          <w:sz w:val="20"/>
          <w:szCs w:val="20"/>
          <w:color w:val="auto"/>
        </w:rPr>
      </w:pPr>
      <w:r>
        <w:rPr>
          <w:rFonts w:ascii="Calibri" w:cs="Calibri" w:eastAsia="Calibri" w:hAnsi="Calibri"/>
          <w:sz w:val="20"/>
          <w:szCs w:val="20"/>
          <w:b w:val="1"/>
          <w:bCs w:val="1"/>
          <w:color w:val="auto"/>
        </w:rPr>
        <w:t>VI. Administraton</w:t>
      </w:r>
    </w:p>
    <w:p>
      <w:pPr>
        <w:spacing w:after="0" w:line="184" w:lineRule="exact"/>
        <w:rPr>
          <w:sz w:val="20"/>
          <w:szCs w:val="20"/>
          <w:color w:val="auto"/>
        </w:rPr>
      </w:pPr>
    </w:p>
    <w:p>
      <w:pPr>
        <w:jc w:val="both"/>
        <w:ind w:right="60" w:firstLine="749"/>
        <w:spacing w:after="0" w:line="237" w:lineRule="auto"/>
        <w:rPr>
          <w:sz w:val="20"/>
          <w:szCs w:val="20"/>
          <w:color w:val="auto"/>
        </w:rPr>
      </w:pPr>
      <w:r>
        <w:rPr>
          <w:rFonts w:ascii="Calibri" w:cs="Calibri" w:eastAsia="Calibri" w:hAnsi="Calibri"/>
          <w:sz w:val="20"/>
          <w:szCs w:val="20"/>
          <w:color w:val="auto"/>
        </w:rPr>
        <w:t>This Policy shall be administered by the Independent Directors, and any determinatons made by the Independent Directors shall be fnal and binding on all afected individuals. The Independent Directors are authorized to interpret and construe this Policy and to make all determinatons necessary, appropriate, or advisable for the administraton of this Policy. It is intended that this Policy be interpreted in a manner that is consistent with the Nasdaq Rules, the SEC Rules, and any other applicable law, regulaton, rule or interpretaton of the SEC or Nasdaq, promulgated or issued in connecton therewith. The Board may amend this Policy from tme to tme in its discreton. The Board may terminate this Policy at any tme.</w:t>
      </w:r>
    </w:p>
    <w:p>
      <w:pPr>
        <w:spacing w:after="0" w:line="253" w:lineRule="exact"/>
        <w:rPr>
          <w:sz w:val="20"/>
          <w:szCs w:val="20"/>
          <w:color w:val="auto"/>
        </w:rPr>
      </w:pPr>
    </w:p>
    <w:p>
      <w:pPr>
        <w:jc w:val="both"/>
        <w:ind w:right="60" w:firstLine="749"/>
        <w:spacing w:after="0" w:line="234" w:lineRule="auto"/>
        <w:rPr>
          <w:sz w:val="20"/>
          <w:szCs w:val="20"/>
          <w:color w:val="auto"/>
        </w:rPr>
      </w:pPr>
      <w:r>
        <w:rPr>
          <w:rFonts w:ascii="Calibri" w:cs="Calibri" w:eastAsia="Calibri" w:hAnsi="Calibri"/>
          <w:sz w:val="20"/>
          <w:szCs w:val="20"/>
          <w:color w:val="auto"/>
        </w:rPr>
        <w:t>If you have any questons regarding the Policy, please do not hesitate to contact the Compliance Team at compliance@tripadvisor.com.</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7" w:name="page158"/>
    <w:bookmarkEnd w:id="15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9BB77C"/>
    <w:multiLevelType w:val="hybridMultilevel"/>
    <w:lvl w:ilvl="0">
      <w:lvlJc w:val="left"/>
      <w:lvlText w:val="☒"/>
      <w:numFmt w:val="bullet"/>
      <w:start w:val="1"/>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
      <w:numFmt w:val="bullet"/>
      <w:start w:val="1"/>
    </w:lvl>
  </w:abstractNum>
  <w:abstractNum w:abstractNumId="4">
    <w:nsid w:val="180115BE"/>
    <w:multiLevelType w:val="hybridMultilevel"/>
    <w:lvl w:ilvl="0">
      <w:lvlJc w:val="left"/>
      <w:lvlText w:val="•"/>
      <w:numFmt w:val="bullet"/>
      <w:start w:val="1"/>
    </w:lvl>
  </w:abstractNum>
  <w:abstractNum w:abstractNumId="5">
    <w:nsid w:val="235BA861"/>
    <w:multiLevelType w:val="hybridMultilevel"/>
    <w:lvl w:ilvl="0">
      <w:lvlJc w:val="left"/>
      <w:lvlText w:val="•"/>
      <w:numFmt w:val="bullet"/>
      <w:start w:val="1"/>
    </w:lvl>
  </w:abstractNum>
  <w:abstractNum w:abstractNumId="6">
    <w:nsid w:val="47398C89"/>
    <w:multiLevelType w:val="hybridMultilevel"/>
    <w:lvl w:ilvl="0">
      <w:lvlJc w:val="left"/>
      <w:lvlText w:val="•"/>
      <w:numFmt w:val="bullet"/>
      <w:start w:val="1"/>
    </w:lvl>
  </w:abstractNum>
  <w:abstractNum w:abstractNumId="7">
    <w:nsid w:val="354FE9F9"/>
    <w:multiLevelType w:val="hybridMultilevel"/>
    <w:lvl w:ilvl="0">
      <w:lvlJc w:val="left"/>
      <w:lvlText w:val="•"/>
      <w:numFmt w:val="bullet"/>
      <w:start w:val="1"/>
    </w:lvl>
  </w:abstractNum>
  <w:abstractNum w:abstractNumId="8">
    <w:nsid w:val="15B5AF5C"/>
    <w:multiLevelType w:val="hybridMultilevel"/>
    <w:lvl w:ilvl="0">
      <w:lvlJc w:val="left"/>
      <w:lvlText w:val="•"/>
      <w:numFmt w:val="bullet"/>
      <w:start w:val="1"/>
    </w:lvl>
  </w:abstractNum>
  <w:abstractNum w:abstractNumId="9">
    <w:nsid w:val="741226BB"/>
    <w:multiLevelType w:val="hybridMultilevel"/>
    <w:lvl w:ilvl="0">
      <w:lvlJc w:val="left"/>
      <w:lvlText w:val="•"/>
      <w:numFmt w:val="bullet"/>
      <w:start w:val="1"/>
    </w:lvl>
  </w:abstractNum>
  <w:abstractNum w:abstractNumId="10">
    <w:nsid w:val="D34B6A8"/>
    <w:multiLevelType w:val="hybridMultilevel"/>
    <w:lvl w:ilvl="0">
      <w:lvlJc w:val="left"/>
      <w:lvlText w:val="•"/>
      <w:numFmt w:val="bullet"/>
      <w:start w:val="1"/>
    </w:lvl>
  </w:abstractNum>
  <w:abstractNum w:abstractNumId="11">
    <w:nsid w:val="10233C99"/>
    <w:multiLevelType w:val="hybridMultilevel"/>
    <w:lvl w:ilvl="0">
      <w:lvlJc w:val="left"/>
      <w:lvlText w:val="•"/>
      <w:numFmt w:val="bullet"/>
      <w:start w:val="1"/>
    </w:lvl>
  </w:abstractNum>
  <w:abstractNum w:abstractNumId="12">
    <w:nsid w:val="3F6AB60F"/>
    <w:multiLevelType w:val="hybridMultilevel"/>
    <w:lvl w:ilvl="0">
      <w:lvlJc w:val="left"/>
      <w:lvlText w:val="•"/>
      <w:numFmt w:val="bullet"/>
      <w:start w:val="1"/>
    </w:lvl>
  </w:abstractNum>
  <w:abstractNum w:abstractNumId="13">
    <w:nsid w:val="61574095"/>
    <w:multiLevelType w:val="hybridMultilevel"/>
    <w:lvl w:ilvl="0">
      <w:lvlJc w:val="left"/>
      <w:lvlText w:val="•"/>
      <w:numFmt w:val="bullet"/>
      <w:start w:val="1"/>
    </w:lvl>
  </w:abstractNum>
  <w:abstractNum w:abstractNumId="14">
    <w:nsid w:val="7E0C57B1"/>
    <w:multiLevelType w:val="hybridMultilevel"/>
    <w:lvl w:ilvl="0">
      <w:lvlJc w:val="left"/>
      <w:lvlText w:val="•"/>
      <w:numFmt w:val="bullet"/>
      <w:start w:val="1"/>
    </w:lvl>
  </w:abstractNum>
  <w:abstractNum w:abstractNumId="15">
    <w:nsid w:val="77AE35EB"/>
    <w:multiLevelType w:val="hybridMultilevel"/>
    <w:lvl w:ilvl="0">
      <w:lvlJc w:val="left"/>
      <w:lvlText w:val="•"/>
      <w:numFmt w:val="bullet"/>
      <w:start w:val="1"/>
    </w:lvl>
  </w:abstractNum>
  <w:abstractNum w:abstractNumId="16">
    <w:nsid w:val="579BE4F1"/>
    <w:multiLevelType w:val="hybridMultilevel"/>
    <w:lvl w:ilvl="0">
      <w:lvlJc w:val="left"/>
      <w:lvlText w:val="•"/>
      <w:numFmt w:val="bullet"/>
      <w:start w:val="1"/>
    </w:lvl>
  </w:abstractNum>
  <w:abstractNum w:abstractNumId="17">
    <w:nsid w:val="310C50B3"/>
    <w:multiLevelType w:val="hybridMultilevel"/>
    <w:lvl w:ilvl="0">
      <w:lvlJc w:val="left"/>
      <w:lvlText w:val="•"/>
      <w:numFmt w:val="bullet"/>
      <w:start w:val="1"/>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1)"/>
      <w:numFmt w:val="decimal"/>
      <w:start w:val="1"/>
    </w:lvl>
  </w:abstractNum>
  <w:abstractNum w:abstractNumId="20">
    <w:nsid w:val="25A70BF7"/>
    <w:multiLevelType w:val="hybridMultilevel"/>
    <w:lvl w:ilvl="0">
      <w:lvlJc w:val="left"/>
      <w:lvlText w:val="(%1)"/>
      <w:numFmt w:val="decimal"/>
      <w:start w:val="1"/>
    </w:lvl>
  </w:abstractNum>
  <w:abstractNum w:abstractNumId="21">
    <w:nsid w:val="1DBABF00"/>
    <w:multiLevelType w:val="hybridMultilevel"/>
    <w:lvl w:ilvl="0">
      <w:lvlJc w:val="left"/>
      <w:lvlText w:val="(%1)"/>
      <w:numFmt w:val="decimal"/>
      <w:start w:val="1"/>
    </w:lvl>
  </w:abstractNum>
  <w:abstractNum w:abstractNumId="22">
    <w:nsid w:val="4AD084E9"/>
    <w:multiLevelType w:val="hybridMultilevel"/>
    <w:lvl w:ilvl="0">
      <w:lvlJc w:val="left"/>
      <w:lvlText w:val="(%1)"/>
      <w:numFmt w:val="decimal"/>
      <w:start w:val="5"/>
    </w:lvl>
  </w:abstractNum>
  <w:abstractNum w:abstractNumId="23">
    <w:nsid w:val="1F48EAA1"/>
    <w:multiLevelType w:val="hybridMultilevel"/>
    <w:lvl w:ilvl="0">
      <w:lvlJc w:val="left"/>
      <w:lvlText w:val="•"/>
      <w:numFmt w:val="bullet"/>
      <w:start w:val="1"/>
    </w:lvl>
  </w:abstractNum>
  <w:abstractNum w:abstractNumId="24">
    <w:nsid w:val="1381823A"/>
    <w:multiLevelType w:val="hybridMultilevel"/>
    <w:lvl w:ilvl="0">
      <w:lvlJc w:val="left"/>
      <w:lvlText w:val="(%1)"/>
      <w:numFmt w:val="decimal"/>
      <w:start w:val="1"/>
    </w:lvl>
  </w:abstractNum>
  <w:abstractNum w:abstractNumId="25">
    <w:nsid w:val="5DB70AE5"/>
    <w:multiLevelType w:val="hybridMultilevel"/>
    <w:lvl w:ilvl="0">
      <w:lvlJc w:val="left"/>
      <w:lvlText w:val="(%1)"/>
      <w:numFmt w:val="decimal"/>
      <w:start w:val="1"/>
    </w:lvl>
  </w:abstractNum>
  <w:abstractNum w:abstractNumId="26">
    <w:nsid w:val="100F8FCA"/>
    <w:multiLevelType w:val="hybridMultilevel"/>
    <w:lvl w:ilvl="0">
      <w:lvlJc w:val="left"/>
      <w:lvlText w:val="•"/>
      <w:numFmt w:val="bullet"/>
      <w:start w:val="1"/>
    </w:lvl>
  </w:abstractNum>
  <w:abstractNum w:abstractNumId="27">
    <w:nsid w:val="6590700B"/>
    <w:multiLevelType w:val="hybridMultilevel"/>
    <w:lvl w:ilvl="0">
      <w:lvlJc w:val="left"/>
      <w:lvlText w:val="•"/>
      <w:numFmt w:val="bullet"/>
      <w:start w:val="1"/>
    </w:lvl>
  </w:abstractNum>
  <w:abstractNum w:abstractNumId="28">
    <w:nsid w:val="15014ACB"/>
    <w:multiLevelType w:val="hybridMultilevel"/>
    <w:lvl w:ilvl="0">
      <w:lvlJc w:val="left"/>
      <w:lvlText w:val="•"/>
      <w:numFmt w:val="bullet"/>
      <w:start w:val="1"/>
    </w:lvl>
  </w:abstractNum>
  <w:abstractNum w:abstractNumId="29">
    <w:nsid w:val="5F5E7FD0"/>
    <w:multiLevelType w:val="hybridMultilevel"/>
    <w:lvl w:ilvl="0">
      <w:lvlJc w:val="left"/>
      <w:lvlText w:val="•"/>
      <w:numFmt w:val="bullet"/>
      <w:start w:val="1"/>
    </w:lvl>
  </w:abstractNum>
  <w:abstractNum w:abstractNumId="30">
    <w:nsid w:val="98A3148"/>
    <w:multiLevelType w:val="hybridMultilevel"/>
    <w:lvl w:ilvl="0">
      <w:lvlJc w:val="left"/>
      <w:lvlText w:val="(%1)"/>
      <w:numFmt w:val="decimal"/>
      <w:start w:val="1"/>
    </w:lvl>
  </w:abstractNum>
  <w:abstractNum w:abstractNumId="31">
    <w:nsid w:val="799D0247"/>
    <w:multiLevelType w:val="hybridMultilevel"/>
    <w:lvl w:ilvl="0">
      <w:lvlJc w:val="left"/>
      <w:lvlText w:val="(%1)"/>
      <w:numFmt w:val="decimal"/>
      <w:start w:val="1"/>
    </w:lvl>
  </w:abstractNum>
  <w:abstractNum w:abstractNumId="32">
    <w:nsid w:val="6B94764"/>
    <w:multiLevelType w:val="hybridMultilevel"/>
    <w:lvl w:ilvl="0">
      <w:lvlJc w:val="left"/>
      <w:lvlText w:val="•"/>
      <w:numFmt w:val="bullet"/>
      <w:start w:val="1"/>
    </w:lvl>
  </w:abstractNum>
  <w:abstractNum w:abstractNumId="33">
    <w:nsid w:val="42C296BD"/>
    <w:multiLevelType w:val="hybridMultilevel"/>
    <w:lvl w:ilvl="0">
      <w:lvlJc w:val="left"/>
      <w:lvlText w:val="(%1)"/>
      <w:numFmt w:val="decimal"/>
      <w:start w:val="1"/>
    </w:lvl>
  </w:abstractNum>
  <w:abstractNum w:abstractNumId="34">
    <w:nsid w:val="168E121F"/>
    <w:multiLevelType w:val="hybridMultilevel"/>
    <w:lvl w:ilvl="0">
      <w:lvlJc w:val="left"/>
      <w:lvlText w:val="(%1)"/>
      <w:numFmt w:val="decimal"/>
      <w:start w:val="1"/>
    </w:lvl>
  </w:abstractNum>
  <w:abstractNum w:abstractNumId="35">
    <w:nsid w:val="1EBA5D23"/>
    <w:multiLevelType w:val="hybridMultilevel"/>
    <w:lvl w:ilvl="0">
      <w:lvlJc w:val="left"/>
      <w:lvlText w:val="(%1)"/>
      <w:numFmt w:val="decimal"/>
      <w:start w:val="1"/>
    </w:lvl>
  </w:abstractNum>
  <w:abstractNum w:abstractNumId="36">
    <w:nsid w:val="661E3F1E"/>
    <w:multiLevelType w:val="hybridMultilevel"/>
    <w:lvl w:ilvl="0">
      <w:lvlJc w:val="left"/>
      <w:lvlText w:val="(%1)"/>
      <w:numFmt w:val="decimal"/>
      <w:start w:val="2"/>
    </w:lvl>
  </w:abstractNum>
  <w:abstractNum w:abstractNumId="37">
    <w:nsid w:val="5DC79EA8"/>
    <w:multiLevelType w:val="hybridMultilevel"/>
    <w:lvl w:ilvl="0">
      <w:lvlJc w:val="left"/>
      <w:lvlText w:val="(%1)"/>
      <w:numFmt w:val="decimal"/>
      <w:start w:val="1"/>
    </w:lvl>
  </w:abstractNum>
  <w:abstractNum w:abstractNumId="38">
    <w:nsid w:val="540A471C"/>
    <w:multiLevelType w:val="hybridMultilevel"/>
    <w:lvl w:ilvl="0">
      <w:lvlJc w:val="left"/>
      <w:lvlText w:val="(%1)"/>
      <w:numFmt w:val="decimal"/>
      <w:start w:val="1"/>
    </w:lvl>
  </w:abstractNum>
  <w:abstractNum w:abstractNumId="39">
    <w:nsid w:val="7BD3EE7B"/>
    <w:multiLevelType w:val="hybridMultilevel"/>
    <w:lvl w:ilvl="0">
      <w:lvlJc w:val="left"/>
      <w:lvlText w:val="(%1)"/>
      <w:numFmt w:val="decimal"/>
      <w:start w:val="1"/>
    </w:lvl>
  </w:abstractNum>
  <w:abstractNum w:abstractNumId="40">
    <w:nsid w:val="51D9C564"/>
    <w:multiLevelType w:val="hybridMultilevel"/>
    <w:lvl w:ilvl="0">
      <w:lvlJc w:val="left"/>
      <w:lvlText w:val="(%1)"/>
      <w:numFmt w:val="decimal"/>
      <w:start w:val="1"/>
    </w:lvl>
  </w:abstractNum>
  <w:abstractNum w:abstractNumId="41">
    <w:nsid w:val="613EFDC5"/>
    <w:multiLevelType w:val="hybridMultilevel"/>
    <w:lvl w:ilvl="0">
      <w:lvlJc w:val="left"/>
      <w:lvlText w:val="•"/>
      <w:numFmt w:val="bullet"/>
      <w:start w:val="1"/>
    </w:lvl>
  </w:abstractNum>
  <w:abstractNum w:abstractNumId="42">
    <w:nsid w:val="BF72B14"/>
    <w:multiLevelType w:val="hybridMultilevel"/>
    <w:lvl w:ilvl="0">
      <w:lvlJc w:val="left"/>
      <w:lvlText w:val="(%1)"/>
      <w:numFmt w:val="decimal"/>
      <w:start w:val="1"/>
    </w:lvl>
  </w:abstractNum>
  <w:abstractNum w:abstractNumId="43">
    <w:nsid w:val="11447B73"/>
    <w:multiLevelType w:val="hybridMultilevel"/>
    <w:lvl w:ilvl="0">
      <w:lvlJc w:val="left"/>
      <w:lvlText w:val="(%1)"/>
      <w:numFmt w:val="decimal"/>
      <w:start w:val="1"/>
    </w:lvl>
  </w:abstractNum>
  <w:abstractNum w:abstractNumId="44">
    <w:nsid w:val="42963E5A"/>
    <w:multiLevelType w:val="hybridMultilevel"/>
    <w:lvl w:ilvl="0">
      <w:lvlJc w:val="left"/>
      <w:lvlText w:val="(%1)"/>
      <w:numFmt w:val="decimal"/>
      <w:start w:val="1"/>
    </w:lvl>
  </w:abstractNum>
  <w:abstractNum w:abstractNumId="45">
    <w:nsid w:val="A0382C5"/>
    <w:multiLevelType w:val="hybridMultilevel"/>
    <w:lvl w:ilvl="0">
      <w:lvlJc w:val="left"/>
      <w:lvlText w:val="(%1)"/>
      <w:numFmt w:val="decimal"/>
      <w:start w:val="2"/>
    </w:lvl>
  </w:abstractNum>
  <w:abstractNum w:abstractNumId="46">
    <w:nsid w:val="8F2B15E"/>
    <w:multiLevelType w:val="hybridMultilevel"/>
    <w:lvl w:ilvl="0">
      <w:lvlJc w:val="left"/>
      <w:lvlText w:val="(%1)"/>
      <w:numFmt w:val="decimal"/>
      <w:start w:val="1"/>
    </w:lvl>
  </w:abstractNum>
  <w:abstractNum w:abstractNumId="47">
    <w:nsid w:val="1A32234B"/>
    <w:multiLevelType w:val="hybridMultilevel"/>
    <w:lvl w:ilvl="0">
      <w:lvlJc w:val="left"/>
      <w:lvlText w:val="(%1)"/>
      <w:numFmt w:val="decimal"/>
      <w:start w:val="1"/>
    </w:lvl>
  </w:abstractNum>
  <w:abstractNum w:abstractNumId="48">
    <w:nsid w:val="3B0FD379"/>
    <w:multiLevelType w:val="hybridMultilevel"/>
    <w:lvl w:ilvl="0">
      <w:lvlJc w:val="left"/>
      <w:lvlText w:val="(%1)"/>
      <w:numFmt w:val="decimal"/>
      <w:start w:val="1"/>
    </w:lvl>
  </w:abstractNum>
  <w:abstractNum w:abstractNumId="49">
    <w:nsid w:val="68EB2F63"/>
    <w:multiLevelType w:val="hybridMultilevel"/>
    <w:lvl w:ilvl="0">
      <w:lvlJc w:val="left"/>
      <w:lvlText w:val="(%1)"/>
      <w:numFmt w:val="decimal"/>
      <w:start w:val="1"/>
    </w:lvl>
  </w:abstractNum>
  <w:abstractNum w:abstractNumId="50">
    <w:nsid w:val="4962813B"/>
    <w:multiLevelType w:val="hybridMultilevel"/>
    <w:lvl w:ilvl="0">
      <w:lvlJc w:val="left"/>
      <w:lvlText w:val="(%1)"/>
      <w:numFmt w:val="decimal"/>
      <w:start w:val="1"/>
    </w:lvl>
  </w:abstractNum>
  <w:abstractNum w:abstractNumId="51">
    <w:nsid w:val="60B6DF70"/>
    <w:multiLevelType w:val="hybridMultilevel"/>
    <w:lvl w:ilvl="0">
      <w:lvlJc w:val="left"/>
      <w:lvlText w:val="(%1)"/>
      <w:numFmt w:val="decimal"/>
      <w:start w:val="1"/>
    </w:lvl>
  </w:abstractNum>
  <w:abstractNum w:abstractNumId="52">
    <w:nsid w:val="6A5EE64"/>
    <w:multiLevelType w:val="hybridMultilevel"/>
    <w:lvl w:ilvl="0">
      <w:lvlJc w:val="left"/>
      <w:lvlText w:val="(%1)"/>
      <w:numFmt w:val="decimal"/>
      <w:start w:val="1"/>
    </w:lvl>
  </w:abstractNum>
  <w:abstractNum w:abstractNumId="53">
    <w:nsid w:val="14330624"/>
    <w:multiLevelType w:val="hybridMultilevel"/>
    <w:lvl w:ilvl="0">
      <w:lvlJc w:val="left"/>
      <w:lvlText w:val="(%1)"/>
      <w:numFmt w:val="lowerLetter"/>
      <w:start w:val="1"/>
    </w:lvl>
    <w:lvl w:ilvl="1">
      <w:lvlJc w:val="left"/>
      <w:lvlText w:val="%2."/>
      <w:numFmt w:val="decimal"/>
      <w:start w:val="1"/>
    </w:lvl>
  </w:abstractNum>
  <w:abstractNum w:abstractNumId="54">
    <w:nsid w:val="7FFFCA11"/>
    <w:multiLevelType w:val="hybridMultilevel"/>
    <w:lvl w:ilvl="0">
      <w:lvlJc w:val="left"/>
      <w:lvlText w:val="%1"/>
      <w:numFmt w:val="decimal"/>
      <w:start w:val="104"/>
    </w:lvl>
  </w:abstractNum>
  <w:abstractNum w:abstractNumId="55">
    <w:nsid w:val="1A27709E"/>
    <w:multiLevelType w:val="hybridMultilevel"/>
    <w:lvl w:ilvl="0">
      <w:lvlJc w:val="left"/>
      <w:lvlText w:val="%1."/>
      <w:numFmt w:val="decimal"/>
      <w:start w:val="1"/>
    </w:lvl>
    <w:lvl w:ilvl="1">
      <w:lvlJc w:val="left"/>
      <w:lvlText w:val="%2."/>
      <w:numFmt w:val="lowerLetter"/>
      <w:start w:val="1"/>
    </w:lvl>
  </w:abstractNum>
  <w:abstractNum w:abstractNumId="56">
    <w:nsid w:val="71EA1109"/>
    <w:multiLevelType w:val="hybridMultilevel"/>
    <w:lvl w:ilvl="0">
      <w:lvlJc w:val="left"/>
      <w:lvlText w:val="%1."/>
      <w:numFmt w:val="lowerLetter"/>
      <w:start w:val="3"/>
    </w:lvl>
  </w:abstractNum>
  <w:abstractNum w:abstractNumId="57">
    <w:nsid w:val="100F59DC"/>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58">
    <w:nsid w:val="7FB7E0A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59">
    <w:nsid w:val="6EB5BD4"/>
    <w:multiLevelType w:val="hybridMultilevel"/>
    <w:lvl w:ilvl="0">
      <w:lvlJc w:val="left"/>
      <w:lvlText w:val="%1."/>
      <w:numFmt w:val="decimal"/>
      <w:start w:val="3"/>
    </w:lvl>
  </w:abstractNum>
  <w:abstractNum w:abstractNumId="60">
    <w:nsid w:val="6F6DD9A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1"/>
    </w:lvl>
    <w:lvl w:ilvl="4">
      <w:lvlJc w:val="left"/>
      <w:lvlText w:val="%5"/>
      <w:numFmt w:val="lowerRoman"/>
      <w:start w:val="1"/>
    </w:lvl>
    <w:lvl w:ilvl="5">
      <w:lvlJc w:val="left"/>
      <w:lvlText w:val="%6"/>
      <w:numFmt w:val="lowerRoman"/>
      <w:start w:val="1"/>
    </w:lvl>
  </w:abstractNum>
  <w:abstractNum w:abstractNumId="61">
    <w:nsid w:val="94211F2"/>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4"/>
    </w:lvl>
    <w:lvl w:ilvl="3">
      <w:lvlJc w:val="left"/>
      <w:lvlText w:val="%4"/>
      <w:numFmt w:val="lowerLetter"/>
      <w:start w:val="1"/>
    </w:lvl>
    <w:lvl w:ilvl="4">
      <w:lvlJc w:val="left"/>
      <w:lvlText w:val="%5"/>
      <w:numFmt w:val="lowerRoman"/>
      <w:start w:val="1"/>
    </w:lvl>
    <w:lvl w:ilvl="5">
      <w:lvlJc w:val="left"/>
      <w:lvlText w:val="%6"/>
      <w:numFmt w:val="lowerRoman"/>
      <w:start w:val="1"/>
    </w:lvl>
  </w:abstractNum>
  <w:abstractNum w:abstractNumId="62">
    <w:nsid w:val="885E1B"/>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lvl w:ilvl="3">
      <w:lvlJc w:val="left"/>
      <w:lvlText w:val="%4."/>
      <w:numFmt w:val="lowerLetter"/>
      <w:start w:val="60"/>
    </w:lvl>
    <w:lvl w:ilvl="4">
      <w:lvlJc w:val="left"/>
      <w:lvlText w:val="%5."/>
      <w:numFmt w:val="lowerRoman"/>
      <w:start w:val="1"/>
    </w:lvl>
    <w:lvl w:ilvl="5">
      <w:lvlJc w:val="left"/>
      <w:lvlText w:val="%6."/>
      <w:numFmt w:val="lowerRoman"/>
      <w:start w:val="1"/>
    </w:lvl>
  </w:abstractNum>
  <w:abstractNum w:abstractNumId="63">
    <w:nsid w:val="76272110"/>
    <w:multiLevelType w:val="hybridMultilevel"/>
    <w:lvl w:ilvl="0">
      <w:lvlJc w:val="left"/>
      <w:lvlText w:val="%1."/>
      <w:numFmt w:val="lowerLetter"/>
      <w:start w:val="3"/>
    </w:lvl>
  </w:abstractNum>
  <w:abstractNum w:abstractNumId="64">
    <w:nsid w:val="4C04A8AF"/>
    <w:multiLevelType w:val="hybridMultilevel"/>
    <w:lvl w:ilvl="0">
      <w:lvlJc w:val="left"/>
      <w:lvlText w:val="%1."/>
      <w:numFmt w:val="lowerLetter"/>
      <w:start w:val="6"/>
    </w:lvl>
  </w:abstractNum>
  <w:abstractNum w:abstractNumId="65">
    <w:nsid w:val="1716703B"/>
    <w:multiLevelType w:val="hybridMultilevel"/>
    <w:lvl w:ilvl="0">
      <w:lvlJc w:val="left"/>
      <w:lvlText w:val="%1."/>
      <w:numFmt w:val="decimal"/>
      <w:start w:val="5"/>
    </w:lvl>
    <w:lvl w:ilvl="1">
      <w:lvlJc w:val="left"/>
      <w:lvlText w:val="%2"/>
      <w:numFmt w:val="lowerLetter"/>
      <w:start w:val="1"/>
    </w:lvl>
  </w:abstractNum>
  <w:abstractNum w:abstractNumId="66">
    <w:nsid w:val="14E17E33"/>
    <w:multiLevelType w:val="hybridMultilevel"/>
    <w:lvl w:ilvl="0">
      <w:lvlJc w:val="left"/>
      <w:lvlText w:val="%1."/>
      <w:numFmt w:val="lowerLetter"/>
      <w:start w:val="2"/>
    </w:lvl>
  </w:abstractNum>
  <w:abstractNum w:abstractNumId="67">
    <w:nsid w:val="3222E7CD"/>
    <w:multiLevelType w:val="hybridMultilevel"/>
    <w:lvl w:ilvl="0">
      <w:lvlJc w:val="left"/>
      <w:lvlText w:val="%1."/>
      <w:numFmt w:val="lowerLetter"/>
      <w:start w:val="4"/>
    </w:lvl>
  </w:abstractNum>
  <w:abstractNum w:abstractNumId="68">
    <w:nsid w:val="74DE0EE3"/>
    <w:multiLevelType w:val="hybridMultilevel"/>
    <w:lvl w:ilvl="0">
      <w:lvlJc w:val="left"/>
      <w:lvlText w:val="(%1)"/>
      <w:numFmt w:val="lowerLetter"/>
      <w:start w:val="1"/>
    </w:lvl>
    <w:lvl w:ilvl="1">
      <w:lvlJc w:val="left"/>
      <w:lvlText w:val="(%2)"/>
      <w:numFmt w:val="lowerRoman"/>
      <w:start w:val="1"/>
    </w:lvl>
  </w:abstractNum>
  <w:abstractNum w:abstractNumId="69">
    <w:nsid w:val="68EBC550"/>
    <w:multiLevelType w:val="hybridMultilevel"/>
    <w:lvl w:ilvl="0">
      <w:lvlJc w:val="left"/>
      <w:lvlText w:val="(%1)"/>
      <w:numFmt w:val="lowerLetter"/>
      <w:start w:val="3"/>
    </w:lvl>
  </w:abstractNum>
  <w:abstractNum w:abstractNumId="70">
    <w:nsid w:val="2DF6D648"/>
    <w:multiLevelType w:val="hybridMultilevel"/>
    <w:lvl w:ilvl="0">
      <w:lvlJc w:val="left"/>
      <w:lvlText w:val="(%1)"/>
      <w:numFmt w:val="lowerLetter"/>
      <w:start w:val="1"/>
    </w:lvl>
    <w:lvl w:ilvl="1">
      <w:lvlJc w:val="left"/>
      <w:lvlText w:val="(%2)"/>
      <w:numFmt w:val="lowerLetter"/>
      <w:start w:val="9"/>
    </w:lvl>
  </w:abstractNum>
  <w:abstractNum w:abstractNumId="71">
    <w:nsid w:val="46B7D44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72">
    <w:nsid w:val="4A2AC315"/>
    <w:multiLevelType w:val="hybridMultilevel"/>
    <w:lvl w:ilvl="0">
      <w:lvlJc w:val="left"/>
      <w:lvlText w:val="%1"/>
      <w:numFmt w:val="lowerLetter"/>
      <w:start w:val="1"/>
    </w:lvl>
    <w:lvl w:ilvl="1">
      <w:lvlJc w:val="left"/>
      <w:lvlText w:val="(%2)"/>
      <w:numFmt w:val="decimal"/>
      <w:start w:val="20"/>
    </w:lvl>
    <w:lvl w:ilvl="2">
      <w:lvlJc w:val="left"/>
      <w:lvlText w:val="(%3)"/>
      <w:numFmt w:val="lowerRoman"/>
      <w:start w:val="4"/>
    </w:lvl>
  </w:abstractNum>
  <w:abstractNum w:abstractNumId="73">
    <w:nsid w:val="39EE015C"/>
    <w:multiLevelType w:val="hybridMultilevel"/>
    <w:lvl w:ilvl="0">
      <w:lvlJc w:val="left"/>
      <w:lvlText w:val="(%1)"/>
      <w:numFmt w:val="lowerLetter"/>
      <w:start w:val="5"/>
    </w:lvl>
    <w:lvl w:ilvl="1">
      <w:lvlJc w:val="left"/>
      <w:lvlText w:val="%2"/>
      <w:numFmt w:val="decimal"/>
      <w:start w:val="1"/>
    </w:lvl>
    <w:lvl w:ilvl="2">
      <w:lvlJc w:val="left"/>
      <w:lvlText w:val="%3"/>
      <w:numFmt w:val="lowerRoman"/>
      <w:start w:val="1"/>
    </w:lvl>
  </w:abstractNum>
  <w:abstractNum w:abstractNumId="74">
    <w:nsid w:val="57FC4FBB"/>
    <w:multiLevelType w:val="hybridMultilevel"/>
    <w:lvl w:ilvl="0">
      <w:lvlJc w:val="left"/>
      <w:lvlText w:val="(%1)"/>
      <w:numFmt w:val="lowerLetter"/>
      <w:start w:val="6"/>
    </w:lvl>
  </w:abstractNum>
  <w:abstractNum w:abstractNumId="75">
    <w:nsid w:val="CC1016F"/>
    <w:multiLevelType w:val="hybridMultilevel"/>
    <w:lvl w:ilvl="0">
      <w:lvlJc w:val="left"/>
      <w:lvlText w:val="(%1)"/>
      <w:numFmt w:val="lowerLetter"/>
      <w:start w:val="1"/>
    </w:lvl>
  </w:abstractNum>
  <w:abstractNum w:abstractNumId="76">
    <w:nsid w:val="43F18422"/>
    <w:multiLevelType w:val="hybridMultilevel"/>
    <w:lvl w:ilvl="0">
      <w:lvlJc w:val="left"/>
      <w:lvlText w:val="%1"/>
      <w:numFmt w:val="lowerLetter"/>
      <w:start w:val="1"/>
    </w:lvl>
    <w:lvl w:ilvl="1">
      <w:lvlJc w:val="left"/>
      <w:lvlText w:val="(%2)"/>
      <w:numFmt w:val="lowerRoman"/>
      <w:start w:val="1"/>
    </w:lvl>
  </w:abstractNum>
  <w:abstractNum w:abstractNumId="77">
    <w:nsid w:val="60EF0119"/>
    <w:multiLevelType w:val="hybridMultilevel"/>
    <w:lvl w:ilvl="0">
      <w:lvlJc w:val="left"/>
      <w:lvlText w:val="(%1)"/>
      <w:numFmt w:val="lowerLetter"/>
      <w:start w:val="8"/>
    </w:lvl>
    <w:lvl w:ilvl="1">
      <w:lvlJc w:val="left"/>
      <w:lvlText w:val="%2"/>
      <w:numFmt w:val="lowerRoman"/>
      <w:start w:val="1"/>
    </w:lvl>
  </w:abstractNum>
  <w:abstractNum w:abstractNumId="78">
    <w:nsid w:val="26F324BA"/>
    <w:multiLevelType w:val="hybridMultilevel"/>
    <w:lvl w:ilvl="0">
      <w:lvlJc w:val="left"/>
      <w:lvlText w:val="(%1)"/>
      <w:numFmt w:val="lowerLetter"/>
      <w:start w:val="1"/>
    </w:lvl>
  </w:abstractNum>
  <w:abstractNum w:abstractNumId="79">
    <w:nsid w:val="7F01579B"/>
    <w:multiLevelType w:val="hybridMultilevel"/>
    <w:lvl w:ilvl="0">
      <w:lvlJc w:val="left"/>
      <w:lvlText w:val="(%1)"/>
      <w:numFmt w:val="lowerLetter"/>
      <w:start w:val="2"/>
    </w:lvl>
    <w:lvl w:ilvl="1">
      <w:lvlJc w:val="left"/>
      <w:lvlText w:val="(%2)"/>
      <w:numFmt w:val="lowerRoman"/>
      <w:start w:val="1"/>
    </w:lvl>
  </w:abstractNum>
  <w:abstractNum w:abstractNumId="80">
    <w:nsid w:val="49DA307D"/>
    <w:multiLevelType w:val="hybridMultilevel"/>
    <w:lvl w:ilvl="0">
      <w:lvlJc w:val="left"/>
      <w:lvlText w:val="(%1)"/>
      <w:numFmt w:val="lowerLetter"/>
      <w:start w:val="1"/>
    </w:lvl>
    <w:lvl w:ilvl="1">
      <w:lvlJc w:val="left"/>
      <w:lvlText w:val="(%2)"/>
      <w:numFmt w:val="lowerLetter"/>
      <w:start w:val="9"/>
    </w:lvl>
  </w:abstractNum>
  <w:abstractNum w:abstractNumId="81">
    <w:nsid w:val="7055A5F5"/>
    <w:multiLevelType w:val="hybridMultilevel"/>
    <w:lvl w:ilvl="0">
      <w:lvlJc w:val="left"/>
      <w:lvlText w:val="(%1)"/>
      <w:numFmt w:val="lowerRoman"/>
      <w:start w:val="2"/>
    </w:lvl>
  </w:abstractNum>
  <w:abstractNum w:abstractNumId="82">
    <w:nsid w:val="5FB8370B"/>
    <w:multiLevelType w:val="hybridMultilevel"/>
    <w:lvl w:ilvl="0">
      <w:lvlJc w:val="left"/>
      <w:lvlText w:val="(%1)"/>
      <w:numFmt w:val="lowerLetter"/>
      <w:start w:val="1"/>
    </w:lvl>
  </w:abstractNum>
  <w:abstractNum w:abstractNumId="83">
    <w:nsid w:val="50801EE1"/>
    <w:multiLevelType w:val="hybridMultilevel"/>
    <w:lvl w:ilvl="0">
      <w:lvlJc w:val="left"/>
      <w:lvlText w:val="(%1)"/>
      <w:numFmt w:val="lowerLetter"/>
      <w:start w:val="1"/>
    </w:lvl>
  </w:abstractNum>
  <w:abstractNum w:abstractNumId="84">
    <w:nsid w:val="488AC1A"/>
    <w:multiLevelType w:val="hybridMultilevel"/>
    <w:lvl w:ilvl="0">
      <w:lvlJc w:val="left"/>
      <w:lvlText w:val="(%1)"/>
      <w:numFmt w:val="lowerLetter"/>
      <w:start w:val="2"/>
    </w:lvl>
  </w:abstractNum>
  <w:abstractNum w:abstractNumId="85">
    <w:nsid w:val="5FB8011C"/>
    <w:multiLevelType w:val="hybridMultilevel"/>
    <w:lvl w:ilvl="0">
      <w:lvlJc w:val="left"/>
      <w:lvlText w:val="(%1)"/>
      <w:numFmt w:val="lowerLetter"/>
      <w:start w:val="1"/>
    </w:lvl>
    <w:lvl w:ilvl="1">
      <w:lvlJc w:val="left"/>
      <w:lvlText w:val="(%2)"/>
      <w:numFmt w:val="lowerRoman"/>
      <w:start w:val="1"/>
    </w:lvl>
  </w:abstractNum>
  <w:abstractNum w:abstractNumId="86">
    <w:nsid w:val="6AA78F7F"/>
    <w:multiLevelType w:val="hybridMultilevel"/>
    <w:lvl w:ilvl="0">
      <w:lvlJc w:val="left"/>
      <w:lvlText w:val="(%1)"/>
      <w:numFmt w:val="lowerLetter"/>
      <w:start w:val="1"/>
    </w:lvl>
    <w:lvl w:ilvl="1">
      <w:lvlJc w:val="left"/>
      <w:lvlText w:val="(%2)"/>
      <w:numFmt w:val="lowerLetter"/>
      <w:start w:val="9"/>
    </w:lvl>
  </w:abstractNum>
  <w:abstractNum w:abstractNumId="87">
    <w:nsid w:val="7672BD23"/>
    <w:multiLevelType w:val="hybridMultilevel"/>
    <w:lvl w:ilvl="0">
      <w:lvlJc w:val="left"/>
      <w:lvlText w:val="(%1)"/>
      <w:numFmt w:val="upperLetter"/>
      <w:start w:val="1"/>
    </w:lvl>
  </w:abstractNum>
  <w:abstractNum w:abstractNumId="88">
    <w:nsid w:val="6FC75AF8"/>
    <w:multiLevelType w:val="hybridMultilevel"/>
    <w:lvl w:ilvl="0">
      <w:lvlJc w:val="left"/>
      <w:lvlText w:val="(%1)"/>
      <w:numFmt w:val="lowerRoman"/>
      <w:start w:val="2"/>
    </w:lvl>
  </w:abstractNum>
  <w:abstractNum w:abstractNumId="89">
    <w:nsid w:val="6A5F7029"/>
    <w:multiLevelType w:val="hybridMultilevel"/>
    <w:lvl w:ilvl="0">
      <w:lvlJc w:val="left"/>
      <w:lvlText w:val="(%1)"/>
      <w:numFmt w:val="lowerLetter"/>
      <w:start w:val="2"/>
    </w:lvl>
    <w:lvl w:ilvl="1">
      <w:lvlJc w:val="left"/>
      <w:lvlText w:val="(%2)"/>
      <w:numFmt w:val="upperLetter"/>
      <w:start w:val="1"/>
    </w:lvl>
    <w:lvl w:ilvl="2">
      <w:lvlJc w:val="left"/>
      <w:lvlText w:val="(%3)"/>
      <w:numFmt w:val="lowerRoman"/>
      <w:start w:val="1"/>
    </w:lvl>
  </w:abstractNum>
  <w:abstractNum w:abstractNumId="90">
    <w:nsid w:val="7D5E18F8"/>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91">
    <w:nsid w:val="5F3534A4"/>
    <w:multiLevelType w:val="hybridMultilevel"/>
    <w:lvl w:ilvl="0">
      <w:lvlJc w:val="left"/>
      <w:lvlText w:val="%1"/>
      <w:numFmt w:val="lowerLetter"/>
      <w:start w:val="1"/>
    </w:lvl>
    <w:lvl w:ilvl="1">
      <w:lvlJc w:val="left"/>
      <w:lvlText w:val="(%2)"/>
      <w:numFmt w:val="lowerRoman"/>
      <w:start w:val="4"/>
    </w:lvl>
  </w:abstractNum>
  <w:abstractNum w:abstractNumId="92">
    <w:nsid w:val="73A1821B"/>
    <w:multiLevelType w:val="hybridMultilevel"/>
    <w:lvl w:ilvl="0">
      <w:lvlJc w:val="left"/>
      <w:lvlText w:val="(%1)"/>
      <w:numFmt w:val="lowerLetter"/>
      <w:start w:val="3"/>
    </w:lvl>
    <w:lvl w:ilvl="1">
      <w:lvlJc w:val="left"/>
      <w:lvlText w:val="(%2)"/>
      <w:numFmt w:val="lowerRoman"/>
      <w:start w:val="1"/>
    </w:lvl>
  </w:abstractNum>
  <w:abstractNum w:abstractNumId="93">
    <w:nsid w:val="7DE67713"/>
    <w:multiLevelType w:val="hybridMultilevel"/>
    <w:lvl w:ilvl="0">
      <w:lvlJc w:val="left"/>
      <w:lvlText w:val="(%1)"/>
      <w:numFmt w:val="lowerLetter"/>
      <w:start w:val="1"/>
    </w:lvl>
  </w:abstractNum>
  <w:abstractNum w:abstractNumId="94">
    <w:nsid w:val="555C55B5"/>
    <w:multiLevelType w:val="hybridMultilevel"/>
    <w:lvl w:ilvl="0">
      <w:lvlJc w:val="left"/>
      <w:lvlText w:val="(%1)"/>
      <w:numFmt w:val="lowerLetter"/>
      <w:start w:val="1"/>
    </w:lvl>
  </w:abstractNum>
  <w:abstractNum w:abstractNumId="95">
    <w:nsid w:val="3FA62ACA"/>
    <w:multiLevelType w:val="hybridMultilevel"/>
    <w:lvl w:ilvl="0">
      <w:lvlJc w:val="left"/>
      <w:lvlText w:val="(%1)"/>
      <w:numFmt w:val="lowerLetter"/>
      <w:start w:val="6"/>
    </w:lvl>
  </w:abstractNum>
  <w:abstractNum w:abstractNumId="96">
    <w:nsid w:val="14FCE74E"/>
    <w:multiLevelType w:val="hybridMultilevel"/>
    <w:lvl w:ilvl="0">
      <w:lvlJc w:val="left"/>
      <w:lvlText w:val="%1"/>
      <w:numFmt w:val="lowerLetter"/>
      <w:start w:val="1"/>
    </w:lvl>
    <w:lvl w:ilvl="1">
      <w:lvlJc w:val="left"/>
      <w:lvlText w:val="(%2)"/>
      <w:numFmt w:val="lowerLetter"/>
      <w:start w:val="14"/>
    </w:lvl>
  </w:abstractNum>
  <w:abstractNum w:abstractNumId="97">
    <w:nsid w:val="6A3DD3E8"/>
    <w:multiLevelType w:val="hybridMultilevel"/>
    <w:lvl w:ilvl="0">
      <w:lvlJc w:val="left"/>
      <w:lvlText w:val="(%1)"/>
      <w:numFmt w:val="lowerLetter"/>
      <w:start w:val="15"/>
    </w:lvl>
    <w:lvl w:ilvl="1">
      <w:lvlJc w:val="left"/>
      <w:lvlText w:val="%2"/>
      <w:numFmt w:val="lowerLetter"/>
      <w:start w:val="1"/>
    </w:lvl>
  </w:abstractNum>
  <w:abstractNum w:abstractNumId="98">
    <w:nsid w:val="71C91298"/>
    <w:multiLevelType w:val="hybridMultilevel"/>
    <w:lvl w:ilvl="0">
      <w:lvlJc w:val="left"/>
      <w:lvlText w:val="%1."/>
      <w:numFmt w:val="decimal"/>
      <w:start w:val="1"/>
    </w:lvl>
    <w:lvl w:ilvl="1">
      <w:lvlJc w:val="left"/>
      <w:lvlText w:val="%2."/>
      <w:numFmt w:val="lowerLetter"/>
      <w:start w:val="1"/>
    </w:lvl>
  </w:abstractNum>
  <w:abstractNum w:abstractNumId="99">
    <w:nsid w:val="9DAF632"/>
    <w:multiLevelType w:val="hybridMultilevel"/>
    <w:lvl w:ilvl="0">
      <w:lvlJc w:val="left"/>
      <w:lvlText w:val="%1."/>
      <w:numFmt w:val="decimal"/>
      <w:start w:val="1"/>
    </w:lvl>
    <w:lvl w:ilvl="1">
      <w:lvlJc w:val="left"/>
      <w:lvlText w:val="%2."/>
      <w:numFmt w:val="lowerLetter"/>
      <w:start w:val="1"/>
    </w:lvl>
  </w:abstractNum>
  <w:abstractNum w:abstractNumId="100">
    <w:nsid w:val="53299938"/>
    <w:multiLevelType w:val="hybridMultilevel"/>
    <w:lvl w:ilvl="0">
      <w:lvlJc w:val="left"/>
      <w:lvlText w:val="%1."/>
      <w:numFmt w:val="decimal"/>
      <w:start w:val="1"/>
    </w:lvl>
  </w:abstractNum>
  <w:abstractNum w:abstractNumId="101">
    <w:nsid w:val="1FBFE8E0"/>
    <w:multiLevelType w:val="hybridMultilevel"/>
    <w:lvl w:ilvl="0">
      <w:lvlJc w:val="left"/>
      <w:lvlText w:val="%1."/>
      <w:numFmt w:val="decimal"/>
      <w:start w:val="1"/>
    </w:lvl>
  </w:abstractNum>
  <w:abstractNum w:abstractNumId="102">
    <w:nsid w:val="5092CA79"/>
    <w:multiLevelType w:val="hybridMultilevel"/>
    <w:lvl w:ilvl="0">
      <w:lvlJc w:val="left"/>
      <w:lvlText w:val="%1)"/>
      <w:numFmt w:val="lowerRoman"/>
      <w:start w:val="1"/>
    </w:lvl>
  </w:abstractNum>
  <w:abstractNum w:abstractNumId="103">
    <w:nsid w:val="1D545C4D"/>
    <w:multiLevelType w:val="hybridMultilevel"/>
    <w:lvl w:ilvl="0">
      <w:lvlJc w:val="left"/>
      <w:lvlText w:val="%1."/>
      <w:numFmt w:val="upperLetter"/>
      <w:start w:val="9"/>
    </w:lvl>
    <w:lvl w:ilvl="1">
      <w:lvlJc w:val="left"/>
      <w:lvlText w:val="%2"/>
      <w:numFmt w:val="upperLetter"/>
      <w:start w:val="1"/>
    </w:lvl>
    <w:lvl w:ilvl="2">
      <w:lvlJc w:val="left"/>
      <w:lvlText w:val="%3)"/>
      <w:numFmt w:val="lowerRoman"/>
      <w:start w:val="1"/>
    </w:lvl>
  </w:abstractNum>
  <w:abstractNum w:abstractNumId="104">
    <w:nsid w:val="59ADEA3D"/>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1"/>
    </w:lvl>
    <w:lvl w:ilvl="3">
      <w:lvlJc w:val="left"/>
      <w:lvlText w:val="%4."/>
      <w:numFmt w:val="lowerLetter"/>
      <w:start w:val="1"/>
    </w:lvl>
  </w:abstractNum>
  <w:abstractNum w:abstractNumId="105">
    <w:nsid w:val="288F1A34"/>
    <w:multiLevelType w:val="hybridMultilevel"/>
    <w:lvl w:ilvl="0">
      <w:lvlJc w:val="left"/>
      <w:lvlText w:val="%1"/>
      <w:numFmt w:val="upperLetter"/>
      <w:start w:val="1"/>
    </w:lvl>
    <w:lvl w:ilvl="1">
      <w:lvlJc w:val="left"/>
      <w:lvlText w:val="%2)"/>
      <w:numFmt w:val="lowerRoman"/>
      <w:start w:val="3"/>
    </w:lvl>
    <w:lvl w:ilvl="2">
      <w:lvlJc w:val="left"/>
      <w:lvlText w:val="%3"/>
      <w:numFmt w:val="lowerRoman"/>
      <w:start w:val="1"/>
    </w:lvl>
    <w:lvl w:ilvl="3">
      <w:lvlJc w:val="left"/>
      <w:lvlText w:val="%4"/>
      <w:numFmt w:val="lowerLetter"/>
      <w:start w:val="1"/>
    </w:lvl>
  </w:abstractNum>
  <w:abstractNum w:abstractNumId="106">
    <w:nsid w:val="2A155DBC"/>
    <w:multiLevelType w:val="hybridMultilevel"/>
    <w:lvl w:ilvl="0">
      <w:lvlJc w:val="left"/>
      <w:lvlText w:val="%1."/>
      <w:numFmt w:val="upperLetter"/>
      <w:start w:val="2"/>
    </w:lvl>
    <w:lvl w:ilvl="1">
      <w:lvlJc w:val="left"/>
      <w:lvlText w:val="%2"/>
      <w:numFmt w:val="lowerRoman"/>
      <w:start w:val="1"/>
    </w:lvl>
    <w:lvl w:ilvl="2">
      <w:lvlJc w:val="left"/>
      <w:lvlText w:val="%3)"/>
      <w:numFmt w:val="lowerRoman"/>
      <w:start w:val="1"/>
    </w:lvl>
    <w:lvl w:ilvl="3">
      <w:lvlJc w:val="left"/>
      <w:lvlText w:val="%4"/>
      <w:numFmt w:val="lowerLetter"/>
      <w:start w:val="1"/>
    </w:lvl>
  </w:abstractNum>
  <w:abstractNum w:abstractNumId="107">
    <w:nsid w:val="1D9F6E5F"/>
    <w:multiLevelType w:val="hybridMultilevel"/>
    <w:lvl w:ilvl="0">
      <w:lvlJc w:val="left"/>
      <w:lvlText w:val="%1."/>
      <w:numFmt w:val="upperLetter"/>
      <w:start w:val="35"/>
    </w:lvl>
  </w:abstractNum>
  <w:abstractNum w:abstractNumId="108">
    <w:nsid w:val="97E1B4E"/>
    <w:multiLevelType w:val="hybridMultilevel"/>
    <w:lvl w:ilvl="0">
      <w:lvlJc w:val="left"/>
      <w:lvlText w:val="%1."/>
      <w:numFmt w:val="upperLetter"/>
      <w:start w:val="61"/>
    </w:lvl>
  </w:abstractNum>
  <w:abstractNum w:abstractNumId="109">
    <w:nsid w:val="51088277"/>
    <w:multiLevelType w:val="hybridMultilevel"/>
    <w:lvl w:ilvl="0">
      <w:lvlJc w:val="left"/>
      <w:lvlText w:val="%1."/>
      <w:numFmt w:val="upperLetter"/>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67" Type="http://schemas.openxmlformats.org/officeDocument/2006/relationships/image" Target="media/image451.png"/><Relationship Id="rId485" Type="http://schemas.openxmlformats.org/officeDocument/2006/relationships/image" Target="media/image452.png"/><Relationship Id="rId486" Type="http://schemas.openxmlformats.org/officeDocument/2006/relationships/image" Target="media/image453.png"/><Relationship Id="rId487" Type="http://schemas.openxmlformats.org/officeDocument/2006/relationships/image" Target="media/image454.png"/><Relationship Id="rId488" Type="http://schemas.openxmlformats.org/officeDocument/2006/relationships/image" Target="media/image455.png"/><Relationship Id="rId489" Type="http://schemas.openxmlformats.org/officeDocument/2006/relationships/image" Target="media/image456.png"/><Relationship Id="rId490" Type="http://schemas.openxmlformats.org/officeDocument/2006/relationships/image" Target="media/image457.png"/><Relationship Id="rId491" Type="http://schemas.openxmlformats.org/officeDocument/2006/relationships/image" Target="media/image458.png"/><Relationship Id="rId492" Type="http://schemas.openxmlformats.org/officeDocument/2006/relationships/image" Target="media/image459.png"/><Relationship Id="rId493" Type="http://schemas.openxmlformats.org/officeDocument/2006/relationships/image" Target="media/image460.png"/><Relationship Id="rId494" Type="http://schemas.openxmlformats.org/officeDocument/2006/relationships/image" Target="media/image461.png"/><Relationship Id="rId495" Type="http://schemas.openxmlformats.org/officeDocument/2006/relationships/image" Target="media/image462.png"/><Relationship Id="rId496" Type="http://schemas.openxmlformats.org/officeDocument/2006/relationships/image" Target="media/image463.png"/><Relationship Id="rId497" Type="http://schemas.openxmlformats.org/officeDocument/2006/relationships/image" Target="media/image464.png"/><Relationship Id="rId498" Type="http://schemas.openxmlformats.org/officeDocument/2006/relationships/image" Target="media/image465.png"/><Relationship Id="rId499" Type="http://schemas.openxmlformats.org/officeDocument/2006/relationships/image" Target="media/image466.png"/><Relationship Id="rId500" Type="http://schemas.openxmlformats.org/officeDocument/2006/relationships/image" Target="media/image467.png"/><Relationship Id="rId501" Type="http://schemas.openxmlformats.org/officeDocument/2006/relationships/image" Target="media/image468.png"/><Relationship Id="rId502" Type="http://schemas.openxmlformats.org/officeDocument/2006/relationships/image" Target="media/image469.png"/><Relationship Id="rId503" Type="http://schemas.openxmlformats.org/officeDocument/2006/relationships/image" Target="media/image470.png"/><Relationship Id="rId504" Type="http://schemas.openxmlformats.org/officeDocument/2006/relationships/image" Target="media/image471.png"/><Relationship Id="rId505" Type="http://schemas.openxmlformats.org/officeDocument/2006/relationships/image" Target="media/image472.png"/><Relationship Id="rId506" Type="http://schemas.openxmlformats.org/officeDocument/2006/relationships/image" Target="media/image473.png"/><Relationship Id="rId507" Type="http://schemas.openxmlformats.org/officeDocument/2006/relationships/image" Target="media/image474.png"/><Relationship Id="rId508" Type="http://schemas.openxmlformats.org/officeDocument/2006/relationships/image" Target="media/image475.png"/><Relationship Id="rId509" Type="http://schemas.openxmlformats.org/officeDocument/2006/relationships/image" Target="media/image476.png"/><Relationship Id="rId510" Type="http://schemas.openxmlformats.org/officeDocument/2006/relationships/image" Target="media/image477.png"/><Relationship Id="rId511" Type="http://schemas.openxmlformats.org/officeDocument/2006/relationships/image" Target="media/image478.png"/><Relationship Id="rId512" Type="http://schemas.openxmlformats.org/officeDocument/2006/relationships/image" Target="media/image479.png"/><Relationship Id="rId513" Type="http://schemas.openxmlformats.org/officeDocument/2006/relationships/image" Target="media/image480.png"/><Relationship Id="rId514" Type="http://schemas.openxmlformats.org/officeDocument/2006/relationships/image" Target="media/image481.png"/><Relationship Id="rId515" Type="http://schemas.openxmlformats.org/officeDocument/2006/relationships/image" Target="media/image482.png"/><Relationship Id="rId516" Type="http://schemas.openxmlformats.org/officeDocument/2006/relationships/image" Target="media/image483.png"/><Relationship Id="rId517" Type="http://schemas.openxmlformats.org/officeDocument/2006/relationships/image" Target="media/image484.png"/><Relationship Id="rId518" Type="http://schemas.openxmlformats.org/officeDocument/2006/relationships/image" Target="media/image485.png"/><Relationship Id="rId519" Type="http://schemas.openxmlformats.org/officeDocument/2006/relationships/image" Target="media/image486.png"/><Relationship Id="rId520" Type="http://schemas.openxmlformats.org/officeDocument/2006/relationships/image" Target="media/image487.png"/><Relationship Id="rId521" Type="http://schemas.openxmlformats.org/officeDocument/2006/relationships/image" Target="media/image488.png"/><Relationship Id="rId522" Type="http://schemas.openxmlformats.org/officeDocument/2006/relationships/image" Target="media/image489.png"/><Relationship Id="rId523" Type="http://schemas.openxmlformats.org/officeDocument/2006/relationships/image" Target="media/image490.png"/><Relationship Id="rId524" Type="http://schemas.openxmlformats.org/officeDocument/2006/relationships/image" Target="media/image491.png"/><Relationship Id="rId525" Type="http://schemas.openxmlformats.org/officeDocument/2006/relationships/image" Target="media/image492.png"/><Relationship Id="rId526" Type="http://schemas.openxmlformats.org/officeDocument/2006/relationships/image" Target="media/image493.png"/><Relationship Id="rId527" Type="http://schemas.openxmlformats.org/officeDocument/2006/relationships/image" Target="media/image494.png"/><Relationship Id="rId528" Type="http://schemas.openxmlformats.org/officeDocument/2006/relationships/image" Target="media/image495.png"/><Relationship Id="rId529" Type="http://schemas.openxmlformats.org/officeDocument/2006/relationships/image" Target="media/image496.png"/><Relationship Id="rId530" Type="http://schemas.openxmlformats.org/officeDocument/2006/relationships/image" Target="media/image497.png"/><Relationship Id="rId531" Type="http://schemas.openxmlformats.org/officeDocument/2006/relationships/image" Target="media/image498.png"/><Relationship Id="rId532" Type="http://schemas.openxmlformats.org/officeDocument/2006/relationships/image" Target="media/image499.png"/><Relationship Id="rId533" Type="http://schemas.openxmlformats.org/officeDocument/2006/relationships/image" Target="media/image500.png"/><Relationship Id="rId534" Type="http://schemas.openxmlformats.org/officeDocument/2006/relationships/image" Target="media/image501.png"/><Relationship Id="rId535" Type="http://schemas.openxmlformats.org/officeDocument/2006/relationships/image" Target="media/image502.png"/><Relationship Id="rId536" Type="http://schemas.openxmlformats.org/officeDocument/2006/relationships/image" Target="media/image503.png"/><Relationship Id="rId537" Type="http://schemas.openxmlformats.org/officeDocument/2006/relationships/image" Target="media/image504.png"/><Relationship Id="rId538" Type="http://schemas.openxmlformats.org/officeDocument/2006/relationships/image" Target="media/image505.png"/><Relationship Id="rId539" Type="http://schemas.openxmlformats.org/officeDocument/2006/relationships/image" Target="media/image506.png"/><Relationship Id="rId458" Type="http://schemas.openxmlformats.org/officeDocument/2006/relationships/hyperlink" Target="https://www.sec.gov/Archives/edgar/data/1526520/000119312511352247/d270719dex31.htm" TargetMode="External"/><Relationship Id="rId459" Type="http://schemas.openxmlformats.org/officeDocument/2006/relationships/hyperlink" Target="https://www.sec.gov/Archives/edgar/data/1526520/000119312511352247/d270719dex32.htm" TargetMode="External"/><Relationship Id="rId460" Type="http://schemas.openxmlformats.org/officeDocument/2006/relationships/hyperlink" Target="https://www.sec.gov/Archives/edgar/data/1526520/000119312513051925/d482592dex31.htm" TargetMode="External"/><Relationship Id="rId461" Type="http://schemas.openxmlformats.org/officeDocument/2006/relationships/hyperlink" Target="https://www.sec.gov/Archives/edgar/data/1324424/000119312511277905/d211678dex46.htm" TargetMode="External"/><Relationship Id="rId462" Type="http://schemas.openxmlformats.org/officeDocument/2006/relationships/hyperlink" Target="https://www.sec.gov/Archives/edgar/data/1526520/000156459020005269/trip-ex42_283.htm" TargetMode="External"/><Relationship Id="rId463" Type="http://schemas.openxmlformats.org/officeDocument/2006/relationships/hyperlink" Target="https://www.sec.gov/Archives/edgar/data/1526520/000156459020032136/trip-ex41_15.htm" TargetMode="External"/><Relationship Id="rId464" Type="http://schemas.openxmlformats.org/officeDocument/2006/relationships/hyperlink" Target="https://www.sec.gov/Archives/edgar/data/1526520/000156459021015566/trip-ex41_32.htm" TargetMode="External"/><Relationship Id="rId465" Type="http://schemas.openxmlformats.org/officeDocument/2006/relationships/hyperlink" Target="https://www.sec.gov/Archives/edgar/data/1526520/000119312511352247/d270719dex101.htm" TargetMode="External"/><Relationship Id="rId466" Type="http://schemas.openxmlformats.org/officeDocument/2006/relationships/hyperlink" Target="https://www.sec.gov/Archives/edgar/data/1526520/000119312511352247/d270719dex102.htm" TargetMode="External"/><Relationship Id="rId468" Type="http://schemas.openxmlformats.org/officeDocument/2006/relationships/hyperlink" Target="https://www.sec.gov/Archives/edgar/data/1526520/000119312511347224/d271461dex46.htm" TargetMode="External"/><Relationship Id="rId469" Type="http://schemas.openxmlformats.org/officeDocument/2006/relationships/hyperlink" Target="https://www.sec.gov/Archives/edgar/data/1526520/000119312513300521/d548543dex101.htm" TargetMode="External"/><Relationship Id="rId470" Type="http://schemas.openxmlformats.org/officeDocument/2006/relationships/hyperlink" Target="https://www.sec.gov/Archives/edgar/data/1526520/000119312513300521/d548543dex102.htm" TargetMode="External"/><Relationship Id="rId471" Type="http://schemas.openxmlformats.org/officeDocument/2006/relationships/hyperlink" Target="https://www.sec.gov/Archives/edgar/data/1526520/000095017023031999/trip-ex10_1.htm" TargetMode="External"/><Relationship Id="rId472" Type="http://schemas.openxmlformats.org/officeDocument/2006/relationships/hyperlink" Target="https://www.sec.gov/Archives/edgar/data/1526520/000156459017016506/trip-ex104_676.htm" TargetMode="External"/><Relationship Id="rId473" Type="http://schemas.openxmlformats.org/officeDocument/2006/relationships/hyperlink" Target="https://www.sec.gov/Archives/edgar/data/1526520/000156459021024945/trip-ex102_94.htm" TargetMode="External"/><Relationship Id="rId474" Type="http://schemas.openxmlformats.org/officeDocument/2006/relationships/hyperlink" Target="https://www.sec.gov/Archives/edgar/data/1526520/000156459021024945/trip-ex103_95.htm" TargetMode="External"/><Relationship Id="rId475" Type="http://schemas.openxmlformats.org/officeDocument/2006/relationships/hyperlink" Target="https://www.sec.gov/Archives/edgar/data/1526520/000095017023017169/trip-ex10_1.htm" TargetMode="External"/><Relationship Id="rId476" Type="http://schemas.openxmlformats.org/officeDocument/2006/relationships/hyperlink" Target="https://www.sec.gov/Archives/edgar/data/1526520/000095017023017169/trip-ex10_2.htm" TargetMode="External"/><Relationship Id="rId477" Type="http://schemas.openxmlformats.org/officeDocument/2006/relationships/hyperlink" Target="https://www.sec.gov/Archives/edgar/data/1526520/000095017023017169/trip-ex10_3.htm" TargetMode="External"/><Relationship Id="rId478" Type="http://schemas.openxmlformats.org/officeDocument/2006/relationships/hyperlink" Target="https://www.sec.gov/Archives/edgar/data/1526520/000095017023017169/trip-ex10_4.htm" TargetMode="External"/><Relationship Id="rId479" Type="http://schemas.openxmlformats.org/officeDocument/2006/relationships/hyperlink" Target="https://www.sec.gov/Archives/edgar/data/1526520/000156459018018438/trip-ex102_182.htm" TargetMode="External"/><Relationship Id="rId480" Type="http://schemas.openxmlformats.org/officeDocument/2006/relationships/hyperlink" Target="https://www.sec.gov/Archives/edgar/data/1526520/000156459019040994/trip-ex101_96.htm" TargetMode="External"/><Relationship Id="rId481" Type="http://schemas.openxmlformats.org/officeDocument/2006/relationships/hyperlink" Target="https://www.sec.gov/Archives/edgar/data/1526520/000156459021024945/trip-ex107_91.htm" TargetMode="External"/><Relationship Id="rId482" Type="http://schemas.openxmlformats.org/officeDocument/2006/relationships/hyperlink" Target="https://www.sec.gov/Archives/edgar/data/1526520/000156459021015566/trip-ex101_18.htm" TargetMode="External"/><Relationship Id="rId483" Type="http://schemas.openxmlformats.org/officeDocument/2006/relationships/hyperlink" Target="https://www.sec.gov/Archives/edgar/data/1526520/000095017022007372/trip-ex10_1.htm" TargetMode="External"/><Relationship Id="rId484" Type="http://schemas.openxmlformats.org/officeDocument/2006/relationships/hyperlink" Target="https://www.sec.gov/Archives/edgar/data/1526520/000119312522260671/d41234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2024-02-16T16:36:28Z</dcterms:created>
  <dcterms:modified xsi:type="dcterms:W3CDTF">2024-02-16T16:36:28Z</dcterms:modified>
</cp:coreProperties>
</file>