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130810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4" w:lineRule="exact"/>
        <w:rPr>
          <w:sz w:val="24"/>
          <w:szCs w:val="24"/>
          <w:color w:val="auto"/>
        </w:rPr>
      </w:pPr>
    </w:p>
    <w:p>
      <w:pPr>
        <w:ind w:left="520" w:right="420" w:hanging="512"/>
        <w:spacing w:after="0" w:line="262"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9" w:lineRule="exact"/>
        <w:rPr>
          <w:sz w:val="24"/>
          <w:szCs w:val="24"/>
          <w:color w:val="auto"/>
        </w:rPr>
      </w:pPr>
    </w:p>
    <w:p>
      <w:pPr>
        <w:ind w:left="520" w:right="40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r>
      <w:tr>
        <w:trPr>
          <w:trHeight w:val="399"/>
        </w:trPr>
        <w:tc>
          <w:tcPr>
            <w:tcW w:w="44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p>
      <w:pPr>
        <w:spacing w:after="0" w:line="28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80-0743202</w:t>
      </w:r>
    </w:p>
    <w:p>
      <w:pPr>
        <w:spacing w:after="0" w:line="24" w:lineRule="exact"/>
        <w:rPr>
          <w:sz w:val="24"/>
          <w:szCs w:val="24"/>
          <w:color w:val="auto"/>
        </w:rPr>
      </w:pPr>
    </w:p>
    <w:p>
      <w:pPr>
        <w:sectPr>
          <w:pgSz w:w="11900" w:h="16838" w:orient="portrait"/>
          <w:cols w:equalWidth="0" w:num="2">
            <w:col w:w="8160" w:space="720"/>
            <w:col w:w="2560"/>
          </w:cols>
          <w:pgMar w:left="240" w:top="335" w:right="21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1" w:lineRule="exact"/>
        <w:rPr>
          <w:sz w:val="24"/>
          <w:szCs w:val="24"/>
          <w:color w:val="auto"/>
        </w:rPr>
      </w:pPr>
    </w:p>
    <w:p>
      <w:pPr>
        <w:sectPr>
          <w:pgSz w:w="11900" w:h="16838" w:orient="portrait"/>
          <w:cols w:equalWidth="0" w:num="2">
            <w:col w:w="8020" w:space="720"/>
            <w:col w:w="2700"/>
          </w:cols>
          <w:pgMar w:left="240" w:top="335" w:right="2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5"/>
          <w:szCs w:val="15"/>
          <w:b w:val="1"/>
          <w:bCs w:val="1"/>
          <w:color w:val="auto"/>
        </w:rPr>
        <w:t>st</w:t>
      </w:r>
      <w:r>
        <w:rPr>
          <w:rFonts w:ascii="Times New Roman" w:cs="Times New Roman" w:eastAsia="Times New Roman" w:hAnsi="Times New Roman"/>
          <w:sz w:val="18"/>
          <w:szCs w:val="18"/>
          <w:b w:val="1"/>
          <w:bCs w:val="1"/>
          <w:color w:val="auto"/>
        </w:rPr>
        <w:t xml:space="preserve">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Needham, MA 02494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134620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type w:val="continuous"/>
        </w:sectPr>
      </w:pPr>
    </w:p>
    <w:p>
      <w:pPr>
        <w:spacing w:after="0" w:line="387" w:lineRule="exact"/>
        <w:rPr>
          <w:sz w:val="24"/>
          <w:szCs w:val="24"/>
          <w:color w:val="auto"/>
        </w:rPr>
      </w:pPr>
    </w:p>
    <w:p>
      <w:pPr>
        <w:ind w:right="36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380" w:firstLine="51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jc w:val="both"/>
        <w:ind w:right="460" w:firstLine="60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 reporting company)</w:t>
            </w:r>
          </w:p>
        </w:tc>
        <w:tc>
          <w:tcPr>
            <w:tcW w:w="372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96" w:lineRule="exact"/>
        <w:rPr>
          <w:sz w:val="24"/>
          <w:szCs w:val="24"/>
          <w:color w:val="auto"/>
        </w:rPr>
      </w:pPr>
    </w:p>
    <w:p>
      <w:pPr>
        <w:ind w:right="180" w:firstLine="60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440" w:type="dxa"/>
            <w:vAlign w:val="bottom"/>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Class</w:t>
            </w:r>
          </w:p>
        </w:tc>
        <w:tc>
          <w:tcPr>
            <w:tcW w:w="900" w:type="dxa"/>
            <w:vAlign w:val="bottom"/>
            <w:gridSpan w:val="2"/>
          </w:tcPr>
          <w:p>
            <w:pPr>
              <w:spacing w:after="0"/>
              <w:rPr>
                <w:sz w:val="22"/>
                <w:szCs w:val="22"/>
                <w:color w:val="auto"/>
              </w:rPr>
            </w:pPr>
          </w:p>
        </w:tc>
        <w:tc>
          <w:tcPr>
            <w:tcW w:w="3440" w:type="dxa"/>
            <w:vAlign w:val="bottom"/>
          </w:tcPr>
          <w:p>
            <w:pPr>
              <w:jc w:val="center"/>
              <w:ind w:right="697"/>
              <w:spacing w:after="0"/>
              <w:rPr>
                <w:sz w:val="20"/>
                <w:szCs w:val="20"/>
                <w:color w:val="auto"/>
              </w:rPr>
            </w:pPr>
            <w:r>
              <w:rPr>
                <w:rFonts w:ascii="Times New Roman" w:cs="Times New Roman" w:eastAsia="Times New Roman" w:hAnsi="Times New Roman"/>
                <w:sz w:val="14"/>
                <w:szCs w:val="14"/>
                <w:color w:val="auto"/>
              </w:rPr>
              <w:t>Outstanding Shares at August 2, 2017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8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1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3440" w:type="dxa"/>
            <w:vAlign w:val="bottom"/>
          </w:tcPr>
          <w:p>
            <w:pPr>
              <w:jc w:val="center"/>
              <w:ind w:right="717"/>
              <w:spacing w:after="0" w:line="178" w:lineRule="exact"/>
              <w:rPr>
                <w:sz w:val="20"/>
                <w:szCs w:val="20"/>
                <w:color w:val="auto"/>
              </w:rPr>
            </w:pPr>
            <w:r>
              <w:rPr>
                <w:rFonts w:ascii="Times New Roman" w:cs="Times New Roman" w:eastAsia="Times New Roman" w:hAnsi="Times New Roman"/>
                <w:sz w:val="18"/>
                <w:szCs w:val="18"/>
                <w:color w:val="auto"/>
              </w:rPr>
              <w:t>125,952,654 shares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9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Class B common stock, $0.001 par value per share</w:t>
            </w:r>
          </w:p>
        </w:tc>
        <w:tc>
          <w:tcPr>
            <w:tcW w:w="3440" w:type="dxa"/>
            <w:vAlign w:val="bottom"/>
          </w:tcPr>
          <w:p>
            <w:pPr>
              <w:jc w:val="center"/>
              <w:ind w:right="697"/>
              <w:spacing w:after="0"/>
              <w:rPr>
                <w:sz w:val="20"/>
                <w:szCs w:val="20"/>
                <w:color w:val="auto"/>
              </w:rPr>
            </w:pPr>
            <w:r>
              <w:rPr>
                <w:rFonts w:ascii="Times New Roman" w:cs="Times New Roman" w:eastAsia="Times New Roman" w:hAnsi="Times New Roman"/>
                <w:sz w:val="18"/>
                <w:szCs w:val="18"/>
                <w:color w:val="auto"/>
                <w:w w:val="99"/>
              </w:rPr>
              <w:t>12,799,999 shares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8"/>
        </w:trPr>
        <w:tc>
          <w:tcPr>
            <w:tcW w:w="7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2017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0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11060" w:type="dxa"/>
            <w:vAlign w:val="bottom"/>
            <w:gridSpan w:val="18"/>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1. Unaudited Condensed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8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Unaudited Condensed Consolidated Statements of Operations for the Three and Six Months Ended June 30, 2017 and 2016</w:t>
              </w:r>
            </w:hyperlink>
          </w:p>
        </w:tc>
        <w:tc>
          <w:tcPr>
            <w:tcW w:w="172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17"/>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Comprehensive Income for the Three and Six Months Ended June 30, 2017 and 2016</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Balance Sheets at June 30, 2017 and December 31, 201</w:t>
              </w:r>
            </w:hyperlink>
            <w:r>
              <w:rPr>
                <w:rFonts w:ascii="Times New Roman" w:cs="Times New Roman" w:eastAsia="Times New Roman" w:hAnsi="Times New Roman"/>
                <w:sz w:val="18"/>
                <w:szCs w:val="18"/>
                <w:color w:val="000000"/>
              </w:rPr>
              <w:t>6</w:t>
            </w:r>
          </w:p>
        </w:tc>
        <w:tc>
          <w:tcPr>
            <w:tcW w:w="80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9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Condensed Consolidated Statement of Changes in Stockholders’ Equity for the Six Months Ended June 30, 2017</w:t>
              </w:r>
            </w:hyperlink>
          </w:p>
        </w:tc>
        <w:tc>
          <w:tcPr>
            <w:tcW w:w="16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20" w:type="dxa"/>
            <w:vAlign w:val="bottom"/>
            <w:gridSpan w:val="17"/>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Condensed Consolidated Statements of Cash Flows for the Six Months Ended June 30, 2017 and 2016</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Unaudited Condensed Consolidated Financial Statements</w:t>
              </w:r>
            </w:hyperlink>
          </w:p>
        </w:tc>
        <w:tc>
          <w:tcPr>
            <w:tcW w:w="3380" w:type="dxa"/>
            <w:vAlign w:val="bottom"/>
            <w:tcBorders>
              <w:top w:val="single" w:sz="8" w:color="0000EE"/>
            </w:tcBorders>
            <w:gridSpan w:val="2"/>
          </w:tcPr>
          <w:p>
            <w:pPr>
              <w:spacing w:after="0"/>
              <w:rPr>
                <w:sz w:val="17"/>
                <w:szCs w:val="17"/>
                <w:color w:val="auto"/>
              </w:rPr>
            </w:pPr>
          </w:p>
        </w:tc>
        <w:tc>
          <w:tcPr>
            <w:tcW w:w="24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1060" w:type="dxa"/>
            <w:vAlign w:val="bottom"/>
            <w:gridSpan w:val="18"/>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3. Quantitative and Qualitative Disclosures about Market Risk</w:t>
              </w:r>
            </w:hyperlink>
          </w:p>
        </w:tc>
        <w:tc>
          <w:tcPr>
            <w:tcW w:w="2200" w:type="dxa"/>
            <w:vAlign w:val="bottom"/>
            <w:tcBorders>
              <w:top w:val="single" w:sz="8" w:color="0000EE"/>
            </w:tcBorders>
            <w:gridSpan w:val="3"/>
          </w:tcPr>
          <w:p>
            <w:pPr>
              <w:spacing w:after="0"/>
              <w:rPr>
                <w:sz w:val="17"/>
                <w:szCs w:val="17"/>
                <w:color w:val="auto"/>
              </w:rPr>
            </w:pPr>
          </w:p>
        </w:tc>
        <w:tc>
          <w:tcPr>
            <w:tcW w:w="398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4. Controls and Procedures</w:t>
              </w:r>
            </w:hyperlink>
          </w:p>
        </w:tc>
        <w:tc>
          <w:tcPr>
            <w:tcW w:w="872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39">
              <w:r>
                <w:rPr>
                  <w:rFonts w:ascii="Times New Roman" w:cs="Times New Roman" w:eastAsia="Times New Roman" w:hAnsi="Times New Roman"/>
                  <w:sz w:val="18"/>
                  <w:szCs w:val="18"/>
                  <w:b w:val="1"/>
                  <w:bCs w:val="1"/>
                  <w:color w:val="0000EE"/>
                  <w:w w:val="99"/>
                </w:rPr>
                <w:t>Part II—Other Information</w:t>
              </w:r>
            </w:hyperlink>
          </w:p>
        </w:tc>
        <w:tc>
          <w:tcPr>
            <w:tcW w:w="890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1. Legal Proceedings</w:t>
              </w:r>
            </w:hyperlink>
          </w:p>
        </w:tc>
        <w:tc>
          <w:tcPr>
            <w:tcW w:w="916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1A. Risk Factors</w:t>
              </w:r>
            </w:hyperlink>
          </w:p>
        </w:tc>
        <w:tc>
          <w:tcPr>
            <w:tcW w:w="946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Item 2. Unregistered Sales of Equity Securities and Use of Proceeds</w:t>
              </w:r>
            </w:hyperlink>
          </w:p>
        </w:tc>
        <w:tc>
          <w:tcPr>
            <w:tcW w:w="614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Item 3. Defaults Upon Senior Securities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Item 4. Mine Safety Disclosures</w:t>
              </w:r>
            </w:hyperlink>
          </w:p>
        </w:tc>
        <w:tc>
          <w:tcPr>
            <w:tcW w:w="540" w:type="dxa"/>
            <w:vAlign w:val="bottom"/>
            <w:tcBorders>
              <w:top w:val="single" w:sz="8" w:color="0000EE"/>
            </w:tcBorders>
          </w:tcPr>
          <w:p>
            <w:pPr>
              <w:spacing w:after="0"/>
              <w:rPr>
                <w:sz w:val="17"/>
                <w:szCs w:val="17"/>
                <w:color w:val="auto"/>
              </w:rPr>
            </w:pPr>
          </w:p>
        </w:tc>
        <w:tc>
          <w:tcPr>
            <w:tcW w:w="818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Item 5. Other Information</w:t>
              </w:r>
            </w:hyperlink>
          </w:p>
        </w:tc>
        <w:tc>
          <w:tcPr>
            <w:tcW w:w="918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060" w:type="dxa"/>
            <w:vAlign w:val="bottom"/>
            <w:gridSpan w:val="18"/>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Item 6. Exhibits</w:t>
              </w:r>
            </w:hyperlink>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Signatures</w:t>
              </w:r>
            </w:hyperlink>
          </w:p>
        </w:tc>
        <w:tc>
          <w:tcPr>
            <w:tcW w:w="9900" w:type="dxa"/>
            <w:vAlign w:val="bottom"/>
            <w:gridSpan w:val="15"/>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 (1)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and marketing (2)</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content (2)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 (2)</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6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attributable to common stockholders (Note 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gridSpan w:val="2"/>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4):</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Excludes amortization as follows:</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 included in amortization of intangible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gridSpan w:val="2"/>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website development costs included in depreciation</w:t>
            </w:r>
          </w:p>
        </w:tc>
        <w:tc>
          <w:tcPr>
            <w:tcW w:w="1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57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Includes stock-based compensation expense as follows:</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gridSpan w:val="2"/>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content</w:t>
            </w:r>
          </w:p>
        </w:tc>
        <w:tc>
          <w:tcPr>
            <w:tcW w:w="860" w:type="dxa"/>
            <w:vAlign w:val="bottom"/>
            <w:gridSpan w:val="2"/>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gridSpan w:val="2"/>
            <w:shd w:val="clear" w:color="auto" w:fill="CFF0FC"/>
          </w:tcPr>
          <w:p>
            <w:pPr>
              <w:jc w:val="right"/>
              <w:ind w:right="577"/>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94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720" w:type="dxa"/>
            <w:vAlign w:val="bottom"/>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7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Borders>
              <w:top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(1)</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720" w:type="dxa"/>
            <w:vAlign w:val="bottom"/>
            <w:tcBorders>
              <w:top w:val="single" w:sz="8" w:color="auto"/>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900" w:right="520" w:hanging="379"/>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adjustments exclude income taxes due to our practice and intention to indefinitely reinvest the earnings of our foreign subsidiaries in those operations.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 (Note 5)</w:t>
            </w:r>
          </w:p>
        </w:tc>
        <w:tc>
          <w:tcPr>
            <w:tcW w:w="100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marketable securities (Note 5)</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$11 and $9, respectively</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marketable securities (Note 5)</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$147 and $111, respectively</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 net of accumulated amortization of $97 and $80, respectively</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long-term assets</w:t>
            </w: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0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8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00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8"/>
                <w:szCs w:val="18"/>
                <w:color w:val="auto"/>
              </w:rPr>
            </w:pP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Current portion of debt (Note 6)</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 (Note 8)</w:t>
            </w: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debt (Note 6)</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 (Note 10)</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Shares issued: 135,409,998 and 134,706,467, respectively</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Shares outstanding: 125,935,508 and 131,310,980, respectively</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Shares issued and outstanding: 12,799,999 and 12,799,999, respectively</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Treasury stock-common stock, at cost, 9,474,490 and 3,395,487 shares, respectively</w:t>
            </w:r>
          </w:p>
        </w:tc>
        <w:tc>
          <w:tcPr>
            <w:tcW w:w="10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07"/>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00" w:type="dxa"/>
            <w:vAlign w:val="bottom"/>
            <w:tcBorders>
              <w:top w:val="single" w:sz="8" w:color="auto"/>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number of shares)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paid-in</w:t>
            </w:r>
          </w:p>
        </w:tc>
        <w:tc>
          <w:tcPr>
            <w:tcW w:w="8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6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5"/>
                <w:szCs w:val="15"/>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3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6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Balance as of December</w:t>
            </w: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31, 2016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134,706,467</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12,799,999</w:t>
            </w:r>
          </w:p>
        </w:tc>
        <w:tc>
          <w:tcPr>
            <w:tcW w:w="18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831</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(3,395,487)</w:t>
            </w:r>
          </w:p>
        </w:tc>
        <w:tc>
          <w:tcPr>
            <w:tcW w:w="3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related to exercises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options and vesting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703,531</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w:t>
            </w:r>
          </w:p>
        </w:tc>
        <w:tc>
          <w:tcPr>
            <w:tcW w:w="10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(6,079,003)</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taxes on net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settlements of</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awards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135,409,998</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12,799,999</w:t>
            </w:r>
          </w:p>
        </w:tc>
        <w:tc>
          <w:tcPr>
            <w:tcW w:w="18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(9,474,490)</w:t>
            </w:r>
          </w:p>
        </w:tc>
        <w:tc>
          <w:tcPr>
            <w:tcW w:w="3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70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of property and equipment, including amortization of internal-use</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software and website development</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acquisitions: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receivables/payables, net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expenditures, including internal-use software and website development</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of marketable securities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5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2015 credit facility, net of financing costs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Payments to 2015 credit facility</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to 2016 credit facility</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withholding taxes on net share settlements of equity awards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5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5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capitalized with internal-use software and website development costs</w:t>
            </w:r>
          </w:p>
        </w:tc>
        <w:tc>
          <w:tcPr>
            <w:tcW w:w="1440" w:type="dxa"/>
            <w:vAlign w:val="bottom"/>
            <w:gridSpan w:val="2"/>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DESCRIPTION AND BASIS OF PRESENTATION</w:t>
      </w:r>
    </w:p>
    <w:p>
      <w:pPr>
        <w:spacing w:after="0" w:line="121" w:lineRule="exact"/>
        <w:rPr>
          <w:sz w:val="20"/>
          <w:szCs w:val="20"/>
          <w:color w:val="auto"/>
        </w:rPr>
      </w:pPr>
    </w:p>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Company,” “us,” “we” and “our” in these notes to the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TripAdvisor is an online travel company, empowering users to plan and book the perfect trip. TripAdvisor’s travel platform aggregates reviews and opinions of members about destinations, accommodations, activities and attractions, and restaurants throughout the world so that our users have access to trusted advice wherever their trips take them. Our platform helps users plan their trips with our unique user-generated content and enables users to compare real-time pricing and availability so that they can book hotels, flights, cruises, vacation rentals, activities and attractions, and restaurant reservations.</w:t>
      </w:r>
    </w:p>
    <w:p>
      <w:pPr>
        <w:spacing w:after="0" w:line="1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Our flagship brand is TripAdvisor. TripAdvisor-branded websites include tripadvisor.com in the United States and localized versions of the website in 48 markets and 28 languages worldwide. In addition to the flagship TripAdvisor brand, we manage and operate the following 20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 www.jetsetter.com, www.niumba.com, www.onetime.com, www.oyster.com, www.seatguru.com, www.smartertravel.com, www.tingo.com, www.vacationhomerentals.com, and www.viator.com.</w:t>
      </w:r>
    </w:p>
    <w:p>
      <w:pPr>
        <w:spacing w:after="0" w:line="189" w:lineRule="exact"/>
        <w:rPr>
          <w:sz w:val="20"/>
          <w:szCs w:val="20"/>
          <w:color w:val="auto"/>
        </w:rPr>
      </w:pPr>
    </w:p>
    <w:p>
      <w:pPr>
        <w:ind w:right="60" w:firstLine="548"/>
        <w:spacing w:after="0" w:line="255" w:lineRule="auto"/>
        <w:rPr>
          <w:sz w:val="20"/>
          <w:szCs w:val="20"/>
          <w:color w:val="auto"/>
        </w:rPr>
      </w:pPr>
      <w:r>
        <w:rPr>
          <w:rFonts w:ascii="Times New Roman" w:cs="Times New Roman" w:eastAsia="Times New Roman" w:hAnsi="Times New Roman"/>
          <w:sz w:val="18"/>
          <w:szCs w:val="18"/>
          <w:color w:val="auto"/>
        </w:rPr>
        <w:t>We have two reportable segments: Hotel and Non-Hotel. We derive the substantial portion of our revenue from our Hotel segment, through the sale of advertising, primarily through click-based advertising, as well as from commission-based transactions via our instant booking feature, display-based advertising, subscription-based hotel advertising, hotel room reservations sold through our websites, and from content licensing. Our Non-Hotel segment consists of our Attractions, Restaurants, and Vacation Rentals businesses. We derive revenue from our Non-Hotel segment from subscription and commission-based transaction offerings from our Vacation Rental business; destination activities primarily sold through Viator; and online restaurant reservations booked primarily through thefork.com. For further information on our segments see “Note 12: Segment Information,” in these notes to our unaudited condensed consolidated financial statements.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w:t>
      </w:r>
    </w:p>
    <w:p>
      <w:pPr>
        <w:spacing w:after="0" w:line="180"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One of our subsidiaries that operates in China has a variable interest in an affiliated entity in China in order to comply with Chinese laws and regulations, which restrict foreign investment in Internet content provision businesses. Although we do not own the capital stock of this Chinese affiliate, we consolidate its results as we are the primary beneficiary of the cash losses or profits of this variable interest affiliate and have the power to direct the activity of this affiliate. Our variable interest entity is not material for all periods presented.</w:t>
      </w:r>
    </w:p>
    <w:p>
      <w:pPr>
        <w:spacing w:after="0" w:line="180"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(“GAAP”). In the opinion of management, all adjustments necessary for a fair presentation of the results of the interim period have been included. These adjustments consist of normal recurring items. Additionally, certain prior period amounts have been reclassified for comparability with the current period presentation. We prepared the unaudited condensed consolidated financial statements following the requirements of the U.S. Securities and Exchange Commission (“SEC”) for interim reporting. As permitted under those rules, we have condensed or omitted certain footnotes or other financial information that are normally required by GAAP for annual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2016, previously filed with the SEC. The unaudited condensed consolidated balance sheet as of December 31, 2016 included herein was derived from the audited consolidated financial statements as of that date, but does not include all disclosures including notes required by GAAP.</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intangible and other long-lived assets; (ii) accounting for income taxes; and (iii) stock-based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Traveler expenditures in the global travel market tend to follow a seasonal pattern. As such, expenditures by travel advertisers to market to potential travelers and, therefore, our financial performance, or revenue and profits, tend to be seasonal as well. As a result, our financial performance tends to be seasonally highest in the second and third quarters of a year, as it is a key period for leisure travel research and trip-taking, which includes the seasonal peak in traveler hotel and vacation rental stays, and tours and attractions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May 2017, the Financial Accounting Standard Board (FASB) issued new accounting guidance that clarifies when changes to the terms or conditions of a share-based payment award must be accounted for as modifications which will reduce diversity in practice. Under the new guidance, an entity will not apply modification accounting to a share-based payment award if the award’s fair value (or calculated value or intrinsic value, if those measurement methods are used), the award’s vesting conditions, and the award’s classification as an equity or liability instrument are the same immediately before and after the change. The guidance also states that an entity is not required to estimate the value of the award immediately before and after the change if the change does not affect any of the inputs to the model used to value the award. The guidance is effective for fiscal years, and interim periods within those fiscal years, beginning after December 15, 2017, and will be applied prospectively to awards modified on or after the adoption date. Early adoption is permitted, including adoption in any interim period for which financial statements have not yet been issued or made available for issuance. We are currently evaluating our adoption date of this guidance. Upon adoption, we believe the new guidance will likely result in fewer changes to the terms of an award being accounted for as modifications.</w:t>
      </w:r>
    </w:p>
    <w:p>
      <w:pPr>
        <w:spacing w:after="0" w:line="186"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In March 2017, the FASB issued new accounting guidance which shortens the amortization period for the premium paid on certain purchased callable debt securities to the earliest call date instead of the bond’s maturity. The amendments do not require an accounting change for securities held at a discount; instead, the discount continues to be amortized to maturity. The guidance is effective for fiscal years, and interim periods within those fiscal years, beginning after December 15, 2018, and will be applied on a modified retrospective basis through a cumulative-effect adjustment directly to retained earnings as of the beginning of the period of adoption. Early adoption is permitted, including adoption in an interim period. If an entity early adopts the amendments in an interim period, any adjustments should be reflected as of the beginning of the fiscal year that includes that interim period. We anticipate adopting this new guidance on January 1, 2019 and based on the composition of our current investment portfolio we do not expect it will have a material impact on our consolidated financial statements and related disclosures.</w:t>
      </w:r>
    </w:p>
    <w:p>
      <w:pPr>
        <w:spacing w:after="0" w:line="185"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In January 2017, the FASB issued new accounting guidance to clarify the definition of a business and provide additional guidance to assist entities with evaluating whether transactions should be accounted for as asset acquisitions (or asset disposals) or business combinations (or disposals of a business). Under this new guidance, an entity first determines whether substantially all of the fair value of the assets acquired is concentrated in a single identifiable asset or a group of similar identifiable assets. If this criterion is met, the transaction should be accounted for as an asset acquisition as opposed to a business combination. This distinction is important because the accounting for an asset acquisition significantly differs from the accounting for a business combination. This new guidance eliminates the requirement to evaluate whether a market participant could replace missing elements (e.g. inputs or processes), narrows the definition of outputs and requires that a business include, at a minimum, an input and a substantive process that together significantly contribute to the ability to create outputs. This new guidance will be effective for us in the first quarter of 2018, with early adoption permitted including for interim or annual periods in which the financial statements have not been issued or made available for issuance. The new guidance will be applied prospectively to any transactions occurring within the period of adoption. We are currently considering the timing of our adoption of this new guidance. Upon adoption, the new guidance will impact how we assess acquisitions (or disposals) of assets or businesses.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 w:name="page10"/>
    <w:bookmarkEnd w:id="9"/>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In January 2017, the FASB issued new accounting guidance to simplify the accounting for goodwill impairment. The new guidance removes Step two of the goodwill impairment test, which measures a goodwill impairment loss by comparing the implied fair value of a reporting unit’s goodwill, which requires a hypothetical purchase price allocation, with the carrying amount of that reporting unit’s goodwill. Under this new guidance,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All other goodwill impairment guidance will remain largely unchanged. Entities will continue to have the option to perform a qualitative assessment to determine if a quantitative impairment test is necessary. The new guidance is effective for annual and interim periods in fiscal years beginning after December 15, 2019. Early adoption is permitted for interim or annual goodwill impairment tests occurring after January 1, 2017. The new guidance will be applied prospectively. We are currently evaluating this guidance, including the date we will adopt this guidance and what the impact upon adoption will be, if any.</w:t>
      </w:r>
    </w:p>
    <w:p>
      <w:pPr>
        <w:spacing w:after="0" w:line="18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November 2016, the FASB issued new accounting guidance on the classification and presentation of restricted cash in the statement of cash flows to address the diversity in practice. This new guidance requires entities to show changes in cash, cash equivalents and restricted cash on a combined basis in the statement of cash flows. In addition, this accounting guidance requires a reconciliation of the total cash, cash equivalent and restricted cash in the statement of cash flows to the related captions in the balance sheet if cash, cash equivalents and restricted cash are presented in more than one line item in the balance sheet. The guidance is effective for fiscal years, and interim periods within those fiscal years, beginning after December 15, 2017, with early adoption permitted, including adoption in an interim period, but any adjustments must be reflected as of the beginning of the fiscal year that includes that interim period. Upon adoption, an entity may apply the new guidance only retrospectively to all prior periods presented in the financial statements. We anticipate adopting this new guidance on January 1, 2018, on a retrospective basis, and do not expect it will have a material impact on our consolidated financial statements and related disclosures.</w:t>
      </w:r>
    </w:p>
    <w:p>
      <w:pPr>
        <w:spacing w:after="0" w:line="18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The guidance is effective for fiscal years, and interim periods within those fiscal years, beginning after December 15, 2017. Early adoption is permitted as of the beginning of an annual reporting period for which interim or annual financial statements have not been issued. Upon adoption, an entity may apply the new guidance only on a modified retrospective basis through a cumulative-effect adjustment directly to retained earnings as of the beginning of the period of adoption. We expect to adopt this new guidance on January 1, 2018 and are in the process of evaluating the impact of adopting this new guidance on our consolidated financial statements and related disclosures.</w:t>
      </w:r>
    </w:p>
    <w:p>
      <w:pPr>
        <w:spacing w:after="0" w:line="1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 August 2016, the FASB issued new accounting guidance which clarifies how companies present and classify certain cash receipts and cash</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payments in the statement of cash flows. The new guidance specifically addresses the following cash flow topics in an effort to reduce diversity in practice:</w:t>
      </w:r>
    </w:p>
    <w:p>
      <w:pPr>
        <w:spacing w:after="0" w:line="21" w:lineRule="exact"/>
        <w:rPr>
          <w:sz w:val="20"/>
          <w:szCs w:val="20"/>
          <w:color w:val="auto"/>
        </w:rPr>
      </w:pPr>
    </w:p>
    <w:p>
      <w:pPr>
        <w:ind w:right="60" w:firstLine="8"/>
        <w:spacing w:after="0" w:line="25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guidance is effective for fiscal years, and interim periods within those fiscal years, beginning after December 15, 2017, with early adoption permitted. Upon adoption, an entity may apply the new guidance only retrospectively to all prior periods presented in the financial statements. We anticipate adopting this new guidance on January 1, 2018, on a retrospective basis, and we do not expect it will have a material impact on our consolidated financial statements and related disclosures.</w:t>
      </w:r>
    </w:p>
    <w:p>
      <w:pPr>
        <w:spacing w:after="0" w:line="189" w:lineRule="exact"/>
        <w:rPr>
          <w:sz w:val="20"/>
          <w:szCs w:val="20"/>
          <w:color w:val="auto"/>
        </w:rPr>
      </w:pPr>
    </w:p>
    <w:p>
      <w:pPr>
        <w:jc w:val="both"/>
        <w:ind w:right="200" w:firstLine="518"/>
        <w:spacing w:after="0" w:line="276" w:lineRule="auto"/>
        <w:rPr>
          <w:sz w:val="20"/>
          <w:szCs w:val="20"/>
          <w:color w:val="auto"/>
        </w:rPr>
      </w:pPr>
      <w:r>
        <w:rPr>
          <w:rFonts w:ascii="Times New Roman" w:cs="Times New Roman" w:eastAsia="Times New Roman" w:hAnsi="Times New Roman"/>
          <w:sz w:val="17"/>
          <w:szCs w:val="17"/>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w:t>
      </w:r>
    </w:p>
    <w:p>
      <w:pPr>
        <w:spacing w:after="0" w:line="1" w:lineRule="exact"/>
        <w:rPr>
          <w:sz w:val="20"/>
          <w:szCs w:val="20"/>
          <w:color w:val="auto"/>
        </w:rPr>
      </w:pPr>
    </w:p>
    <w:p>
      <w:pPr>
        <w:ind w:firstLine="8"/>
        <w:spacing w:after="0" w:line="265" w:lineRule="auto"/>
        <w:tabs>
          <w:tab w:leader="none" w:pos="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w:t>
      </w:r>
    </w:p>
    <w:p>
      <w:pPr>
        <w:spacing w:after="0" w:line="1" w:lineRule="exact"/>
        <w:rPr>
          <w:rFonts w:ascii="Times New Roman" w:cs="Times New Roman" w:eastAsia="Times New Roman" w:hAnsi="Times New Roman"/>
          <w:sz w:val="17"/>
          <w:szCs w:val="17"/>
          <w:color w:val="auto"/>
        </w:rPr>
      </w:pPr>
    </w:p>
    <w:p>
      <w:pPr>
        <w:jc w:val="both"/>
        <w:ind w:firstLine="8"/>
        <w:spacing w:after="0" w:line="254"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0" w:name="page11"/>
    <w:bookmarkEnd w:id="10"/>
    <w:p>
      <w:pPr>
        <w:ind w:firstLine="518"/>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new guidance related to accounting for leases. The new standard requires the recognition of assets (right-of-use-assets) and liabilities arising from lease transactions on the balance sheet and the disclosure of key information about leasing arrangements. Accordingly, a lessee will recognize a lease asset for its right to use the underlying asset and a lease liability for the corresponding lease obligation. Both the asset and liability will initially be measured at the present value of the future minimum lease payments over the lease term. The new guidance will classify leases as either finance or operating leases, with classification determining the presentation of expenses and cash flows on our consolidated financial statements. Initial costs directly attributable to negotiating and arranging the lease will be included in the asset. For leases with a term of 12 months or less, a lessee can make an accounting policy election by class of underlying asset to not recognize an asset and corresponding liability. The transition guidance also provides specific guidance for sale and leaseback transactions, build-to-suit leases and amounts previously recognized in accordance with the business combinations guidance for leases. We will also be required to provide additional qualitative and quantitative disclosures regarding the amount, timing and uncertainty of cash flows arising from leases which include, among other things, the computation and disclosure of our weighted average remaining lease term and discount rate, cash paid for amounts included in the measurement of lease liabilities, and supplemental non-cash information on lease liabilities arising from obtaining the right-of-use assets. These disclosures are intended to provide supplemental information to the amounts recorded in the financial statements so that users can better understand the nature of an entity’s leasing activities. This guidance is effective for fiscal years, and interim periods within those fiscal years, beginning after December 15, 2018, with early adoption permitted, which will require the recognition and measurement of leases at the beginning of the earliest comparative period presented in the financial statements using a modified retrospective approach. We anticipate adopting this new guidance on January 1, 2019.</w:t>
      </w:r>
    </w:p>
    <w:p>
      <w:pPr>
        <w:spacing w:after="0" w:line="18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To date, we have made measurable progress toward evaluating the new lease guidance and have begun updating accounting policies, accounting position memos, and evaluating our existing population of contracts to ensure all contracts that meet the definition of a lease contract under the new standard upon adoption are identified. We are also in the process of implementing additional lease software to support our accounting process under the new lease accounting guidance, including the new quantitative and qualitative financial disclosures, and evaluating the impact of this new guidance and resulting system implementation on our internal controls. We will provide further updates as we continue to evaluate the impact that this new guidance will have, if any, on the Company’s consolidated financial statements and related disclosures</w:t>
      </w:r>
    </w:p>
    <w:p>
      <w:pPr>
        <w:spacing w:after="0" w:line="188" w:lineRule="exact"/>
        <w:rPr>
          <w:sz w:val="20"/>
          <w:szCs w:val="20"/>
          <w:color w:val="auto"/>
        </w:rPr>
      </w:pPr>
    </w:p>
    <w:p>
      <w:pPr>
        <w:ind w:firstLine="518"/>
        <w:spacing w:after="0" w:line="251" w:lineRule="auto"/>
        <w:rPr>
          <w:sz w:val="20"/>
          <w:szCs w:val="20"/>
          <w:color w:val="auto"/>
        </w:rPr>
      </w:pPr>
      <w:r>
        <w:rPr>
          <w:rFonts w:ascii="Times New Roman" w:cs="Times New Roman" w:eastAsia="Times New Roman" w:hAnsi="Times New Roman"/>
          <w:sz w:val="18"/>
          <w:szCs w:val="18"/>
          <w:color w:val="auto"/>
        </w:rPr>
        <w:t>In January 2016, the FASB issued a new accounting update which amends the guidance on the classification and measurement of financial instruments. Although the accounting update retains many current requirements, it significantly revises accounting related to (1) the classification and measurement of investments in equity securities and (2) the presentation of certain fair value changes for financial liabilities measured at fair value. The accounting update also amends certain fair value disclosures of financial instruments and clarifies that an entity should evaluate the need for a valuation allowance on a deferred tax asset related to available-for-sale debt securities in combination with the entity’s evaluation of their other deferred tax assets. The update requires entities to carry all investments in equity securities, including other ownership interests such as partnerships, unincorporated joint ventures and limited liability companies at fair value, with fair value changes recognized through net income. This requirement does not apply to investments that qualify for equity method accounting, investments that result in consolidation of the investee or investments in which the entity has elected the practicability exception to fair value measurement. Under current GAAP, available-for-sale investments in equity securities, with a readily determinable fair value, are re-measured to fair value each reporting period with changes in fair value recognized in accumulated other comprehensive income (loss). However, under the new guidance, fair value adjustments will be recognized through net income. For equity securities currently accounted for under the cost method (as they do not have a readily determinable fair value), the new guidance requires those equity investments to be carried at fair value with changes in net income, unless an entity elects to measure those investments, at cost less impairment, if any, plus or minus changes resulting from observable price changes in orderly transactions for the identical or a similar investment of the same issuer. The Company intends to elect this measurement alternative for equity securities without a readily determinable fair value. Additionally, this accounting update will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In addition, this accounting update eliminates the requirement for public business entities to disclose the methods and significant assumptions used to estimate the fair value that is currently required to be disclosed for financial instruments measured at amortized cost in the balance sheet. This guidance is effective for fiscal years, and interim periods within those fiscal years, beginning after December 15, 2017, with early adoption permitted for the provision to record fair value changes for financial liabilities under the fair value option resulting from instrument-specific credit risk in other comprehensive income. Upon adoption, an entity will apply the new guidance on a modified retrospective basis, which is to record a cumulative-effect adjustment to beginning retained earnings as of the beginning of the first reporting period in which the guidance is adopted, with two exceptions. The amendments related to equity investments without readily determinable fair values (including disclosure requirements) will be effective prospectively. The requirement to use the exit price notion to measure the fair value of financial instruments for disclosure purposes will also be applied prospectively. We anticipate adopting this new guidance on January 1, 2018 and based on the composition of our current holdings, we do not expect the adoption of this guidance will have a material impact on our consolidated financial statements and related disclosures.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In May 2014, the FASB issued new accounting guidance on revenue from contracts with customers which will replace numerous requirements in GAAP, and provide companies with a single revenue recognition model for recognizing revenue from 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March 2016, the FASB issued additional guidance which clarifies principal versus agent considerations and, in April 2016, the FASB issued further guidance which clarifies the identification of performance obligations and the implementation guidance for licensing. The two permitted transition methods under this new accounting guidance are the full retrospective method, in which case the guidance would be applied to each prior reporting period presented and the cumulative effect of applying the guidance would be recognized at the earliest period shown, or the modified retrospective method, in which case the cumulative effect of applying the guidance would be recognized at the date of initial application. We plan on adopting this new guidance on January 1, 2018 and we currently anticipate adopting the standard under the modified retrospective method, however, this decision is not final and is subject to the completion of our analysis of the guidance.</w:t>
      </w:r>
    </w:p>
    <w:p>
      <w:pPr>
        <w:spacing w:after="0" w:line="191" w:lineRule="exact"/>
        <w:rPr>
          <w:sz w:val="20"/>
          <w:szCs w:val="20"/>
          <w:color w:val="auto"/>
        </w:rPr>
      </w:pPr>
    </w:p>
    <w:p>
      <w:pPr>
        <w:ind w:right="140" w:firstLine="518"/>
        <w:spacing w:after="0" w:line="253" w:lineRule="auto"/>
        <w:rPr>
          <w:sz w:val="20"/>
          <w:szCs w:val="20"/>
          <w:color w:val="auto"/>
        </w:rPr>
      </w:pPr>
      <w:r>
        <w:rPr>
          <w:rFonts w:ascii="Times New Roman" w:cs="Times New Roman" w:eastAsia="Times New Roman" w:hAnsi="Times New Roman"/>
          <w:sz w:val="18"/>
          <w:szCs w:val="18"/>
          <w:color w:val="auto"/>
        </w:rPr>
        <w:t>To date, we have made significant progress toward completing our evaluation of the potential changes from adopting the new standard on our future financial reporting and disclosures. We have established a cross-functional implementation team from across our organization and have made significant progress in the review of our contracts portfolio and our current accounting policies and practices to identify potential differences that could result from applying the requirements of the new standard to our revenue contracts. To date, we have evaluated the majority of our Hotel segment revenue and based on the Company's preliminary analysis; we currently do not expect a material impact to the timing or amount of our revenue recognition upon adoption of the new guidance. In addition, we do not expect any major reengineering required to our accounting systems or internal controls related to our Hotel segment. While we have made significant progress, we are still evaluating portions of our Hotel segment revenue and all of our non-Hotel revenue and the impact that this new guidance will have, if any, on the Company’s timing and/or amount of revenue recognition, including internal processes, systems, controls, and changes that may be required to support the new disclosure requirements upon adoption of this new guidance. We will continue to update our assessment of the effect that the new revenue guidance will have on our consolidated financial statements, disclosures and related controls, and will disclose any material effects, if any, when known.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October 2016, the FASB issued new accounting guidance which amends the consolidation guidance on how a reporting entity that is the single decision maker of a variable interest entity should treat indirect interests in the entity held through related parties that are under common control within the reporting entity when determining whether it is the primary beneficiary of that variable interest entity. We adopted this new guidance on January 1, 2017, on a retrospective basis, with no impact on our consolidated financial statements and related disclosures.</w:t>
      </w:r>
    </w:p>
    <w:p>
      <w:pPr>
        <w:spacing w:after="0" w:line="180"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since December 31, 2016. For additional information about our accounting policies and estimates, refer to “Note 2: Significant Accounting Policies”, in the notes to our consolidated financial statements in Item 8 of our Annual Report on Form 10-K for the year ended December 31, 2016.</w:t>
      </w:r>
    </w:p>
    <w:p>
      <w:pPr>
        <w:spacing w:after="0" w:line="280" w:lineRule="exact"/>
        <w:rPr>
          <w:sz w:val="20"/>
          <w:szCs w:val="20"/>
          <w:color w:val="auto"/>
        </w:rPr>
      </w:pPr>
    </w:p>
    <w:p>
      <w:pPr>
        <w:ind w:right="5360"/>
        <w:spacing w:after="0" w:line="378" w:lineRule="auto"/>
        <w:rPr>
          <w:sz w:val="20"/>
          <w:szCs w:val="20"/>
          <w:color w:val="auto"/>
        </w:rPr>
      </w:pPr>
      <w:r>
        <w:rPr>
          <w:rFonts w:ascii="Times New Roman" w:cs="Times New Roman" w:eastAsia="Times New Roman" w:hAnsi="Times New Roman"/>
          <w:sz w:val="18"/>
          <w:szCs w:val="18"/>
          <w:b w:val="1"/>
          <w:bCs w:val="1"/>
          <w:color w:val="auto"/>
        </w:rPr>
        <w:t>NOTE 3: STOCK BASED AWARDS AND OTHER EQUITY INSTRUMENTS Stock-Based Compensation Expense</w:t>
      </w: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related to stock-based awards, primarily stock options and restricted stock units (“RSUs”), on our unaudited condensed consolidated statements of operations during the periods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80" w:type="dxa"/>
            <w:vAlign w:val="bottom"/>
            <w:gridSpan w:val="3"/>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5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5100" w:type="dxa"/>
            <w:vAlign w:val="bottom"/>
          </w:tcPr>
          <w:p>
            <w:pPr>
              <w:spacing w:after="0"/>
              <w:rPr>
                <w:sz w:val="13"/>
                <w:szCs w:val="13"/>
                <w:color w:val="auto"/>
              </w:rPr>
            </w:pPr>
          </w:p>
        </w:tc>
        <w:tc>
          <w:tcPr>
            <w:tcW w:w="820" w:type="dxa"/>
            <w:vAlign w:val="bottom"/>
            <w:tcBorders>
              <w:bottom w:val="single" w:sz="8" w:color="auto"/>
            </w:tcBorders>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80" w:type="dxa"/>
            <w:vAlign w:val="bottom"/>
            <w:gridSpan w:val="3"/>
          </w:tcPr>
          <w:p>
            <w:pPr>
              <w:jc w:val="center"/>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2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content</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stock-based compensation</w:t>
            </w: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net of tax effect</w:t>
            </w:r>
          </w:p>
        </w:tc>
        <w:tc>
          <w:tcPr>
            <w:tcW w:w="82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00" w:type="dxa"/>
            <w:vAlign w:val="bottom"/>
          </w:tcPr>
          <w:p>
            <w:pPr>
              <w:spacing w:after="0"/>
              <w:rPr>
                <w:sz w:val="24"/>
                <w:szCs w:val="24"/>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 w:name="page13"/>
    <w:bookmarkEnd w:id="12"/>
    <w:p>
      <w:pPr>
        <w:ind w:right="900" w:firstLine="518"/>
        <w:spacing w:after="0" w:line="282" w:lineRule="auto"/>
        <w:rPr>
          <w:sz w:val="20"/>
          <w:szCs w:val="20"/>
          <w:color w:val="auto"/>
        </w:rPr>
      </w:pPr>
      <w:r>
        <w:rPr>
          <w:rFonts w:ascii="Times New Roman" w:cs="Times New Roman" w:eastAsia="Times New Roman" w:hAnsi="Times New Roman"/>
          <w:sz w:val="18"/>
          <w:szCs w:val="18"/>
          <w:color w:val="auto"/>
        </w:rPr>
        <w:t>During both the three and six months ended June 30, 2017 and 2016, respectively, we capitalized $3 million and $6 million of stock-based compensation expense as internal-use software and website development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 Activity and Valuation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Activity</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2017, we have issued 1,502,240 service-based non-qualified stock options under the Company’s Amended and Restated 2011 Stock and Annual Incentive Plan (the “2011 Incentive Plan”). These stock options generally have a term of ten years from the date of grant and generally vest equally over a four-year requisite service period.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stock option activity during the six months ended June 30, 2017:</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2016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 (1)</w:t>
            </w: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expired</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June 30, 2017</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2017</w:t>
            </w: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2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42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after June 30, 2017 (2)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840" w:hanging="386"/>
        <w:spacing w:after="0" w:line="272" w:lineRule="auto"/>
        <w:tabs>
          <w:tab w:leader="none" w:pos="8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Inclusive of 241,626 of options which were not converted into shares due to net share settlement in order to cover the aggregate exercise price and the required amount of employee withholding taxes. Potential shares that had been convertible under stock options that were withheld under net share settlement remain in the authorized but unissued pool under the 2011 Incentive Plan and can be reissued by the Company. Total payments</w:t>
      </w:r>
    </w:p>
    <w:p>
      <w:pPr>
        <w:spacing w:after="0" w:line="2" w:lineRule="exact"/>
        <w:rPr>
          <w:sz w:val="20"/>
          <w:szCs w:val="20"/>
          <w:color w:val="auto"/>
        </w:rPr>
      </w:pPr>
    </w:p>
    <w:p>
      <w:pPr>
        <w:ind w:left="840" w:right="220"/>
        <w:spacing w:after="0" w:line="250" w:lineRule="auto"/>
        <w:rPr>
          <w:sz w:val="20"/>
          <w:szCs w:val="20"/>
          <w:color w:val="auto"/>
        </w:rPr>
      </w:pPr>
      <w:r>
        <w:rPr>
          <w:rFonts w:ascii="Times New Roman" w:cs="Times New Roman" w:eastAsia="Times New Roman" w:hAnsi="Times New Roman"/>
          <w:sz w:val="18"/>
          <w:szCs w:val="18"/>
          <w:color w:val="auto"/>
        </w:rPr>
        <w:t>for the employees’ tax obligations to the taxing authorities due to net share settlements are reflected as a financing activity within the unaudited condensed consolidated statements of cash flows.</w:t>
      </w:r>
    </w:p>
    <w:p>
      <w:pPr>
        <w:spacing w:after="0" w:line="1" w:lineRule="exact"/>
        <w:rPr>
          <w:sz w:val="20"/>
          <w:szCs w:val="20"/>
          <w:color w:val="auto"/>
        </w:rPr>
      </w:pPr>
    </w:p>
    <w:p>
      <w:pPr>
        <w:ind w:left="840" w:right="440" w:hanging="379"/>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0"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closing stock price of our common stock and the exercise price of outstanding, in-the-money options. Our closing stock price as reported on The NASDAQ Global Select Market as of June 30, 2017 was $38.20. The total intrinsic value of stock options exercised was $6 million and $19 million, for the six months ended June 30, 2017 and 2016, respectively.</w:t>
      </w:r>
    </w:p>
    <w:p>
      <w:pPr>
        <w:spacing w:after="0" w:line="176"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fair value of stock option grants under the 2011 Incentive Plan has been estimated at the date of grant using the Black–Scholes option pricing model with the following weighted average assumptions for the periods presented:</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70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Borders>
              <w:bottom w:val="single" w:sz="8" w:color="auto"/>
            </w:tcBorders>
            <w:gridSpan w:val="3"/>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40.93%</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42.09%</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41.52%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41.82%</w:t>
            </w:r>
          </w:p>
        </w:tc>
      </w:t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r>
    </w:tbl>
    <w:p>
      <w:pPr>
        <w:spacing w:after="0" w:line="98"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$16.56 and $17.19 for the three and six months ended June 30, 2017, respectively. The weighted-average grant date fair value of options granted was $20.42 and $22.85 for the three and six months ended June 30, 2016, respectively. The total fair value of stock options vested was $15 million and $25 million, for the six months ended June 30, 2017 and 2016, respectively. Cash received from stock option exercises was $3 million for both the six months ended June 30, 2017 and 2016, respectively.</w:t>
      </w:r>
    </w:p>
    <w:p>
      <w:pPr>
        <w:spacing w:after="0" w:line="180"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On June 5, 2017, the Section 16 Committee of our Board of Directors approved an amendment to the nonqualified stock option award (the “Option”) granted on August 28, 2013 to Stephen Kaufer, the Company’s President and Chief Executive Officer.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13" w:name="page14"/>
    <w:bookmarkEnd w:id="13"/>
    <w:p>
      <w:pPr>
        <w:ind w:right="240"/>
        <w:spacing w:after="0" w:line="266" w:lineRule="auto"/>
        <w:rPr>
          <w:sz w:val="20"/>
          <w:szCs w:val="20"/>
          <w:color w:val="auto"/>
        </w:rPr>
      </w:pPr>
      <w:r>
        <w:rPr>
          <w:rFonts w:ascii="Times New Roman" w:cs="Times New Roman" w:eastAsia="Times New Roman" w:hAnsi="Times New Roman"/>
          <w:sz w:val="18"/>
          <w:szCs w:val="18"/>
          <w:color w:val="auto"/>
        </w:rPr>
        <w:t>amendment provides that the Option will expire on the tenth anniversary, instead of the seventh anniversary, of the grant date. Vesting conditions under the Option were not affected by this amendment. As a result of the modification, incremental fair value of $5 million will be recognized to stock-based compensation expense on a straight-line basis over the remaining vesting term, which is August 2018.</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RSU Activity</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2017, we issued 4,001,615 RSUs under the 2011 Incentive Plan for which the fair value was measured based on the quoted price of our common stock on the date of grant. These RSUs generally vest over a four-year requisite service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RSU activity during the six months ended June 30, 2017:</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2"/>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2016</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 (1)</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June 30, 2017</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5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to vest after June 30, 2017 (2)</w:t>
            </w: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6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840" w:right="20" w:hanging="386"/>
        <w:spacing w:after="0" w:line="257"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Inclusive of 231,022 RSUs withheld due to net share settlement to satisfy required employee tax withholding requirements. Potential shares which had been convertible under RSUs that were withheld under net share settlement remain in the authorized but unissued pool under the 2011 Incentive Plan and can be reissued by the Company. Total payments for the employees’ tax obligations to the taxing authorities due to net share</w:t>
      </w:r>
    </w:p>
    <w:p>
      <w:pPr>
        <w:spacing w:after="0" w:line="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settlements are reflected as a financing activity within the unaudited condensed consolidated statements of cash flows.</w:t>
      </w:r>
    </w:p>
    <w:p>
      <w:pPr>
        <w:spacing w:after="0" w:line="9" w:lineRule="exact"/>
        <w:rPr>
          <w:sz w:val="20"/>
          <w:szCs w:val="20"/>
          <w:color w:val="auto"/>
        </w:rPr>
      </w:pPr>
    </w:p>
    <w:p>
      <w:pPr>
        <w:ind w:left="840" w:right="460" w:hanging="379"/>
        <w:spacing w:after="0" w:line="261" w:lineRule="auto"/>
        <w:tabs>
          <w:tab w:leader="none" w:pos="820" w:val="left"/>
        </w:tabs>
        <w:rPr>
          <w:sz w:val="20"/>
          <w:szCs w:val="20"/>
          <w:color w:val="auto"/>
        </w:rPr>
      </w:pPr>
      <w:r>
        <w:rPr>
          <w:rFonts w:ascii="Times New Roman" w:cs="Times New Roman" w:eastAsia="Times New Roman" w:hAnsi="Times New Roman"/>
          <w:sz w:val="18"/>
          <w:szCs w:val="18"/>
          <w:color w:val="auto"/>
        </w:rPr>
        <w:t>(2)</w:t>
        <w:tab/>
        <w:t>The Company accounts for forfeitures as they occur, rather than estimate expected forfeitures as allowed under GAAP and therefore do not include a forfeiture rate in our expected to vest calculation unless necessary for a performance condition award.</w:t>
      </w:r>
    </w:p>
    <w:p>
      <w:pPr>
        <w:spacing w:after="0" w:line="72" w:lineRule="exact"/>
        <w:rPr>
          <w:sz w:val="20"/>
          <w:szCs w:val="20"/>
          <w:color w:val="auto"/>
        </w:rPr>
      </w:pPr>
    </w:p>
    <w:p>
      <w:pPr>
        <w:ind w:firstLine="552"/>
        <w:spacing w:after="0" w:line="266" w:lineRule="auto"/>
        <w:rPr>
          <w:sz w:val="20"/>
          <w:szCs w:val="20"/>
          <w:color w:val="auto"/>
        </w:rPr>
      </w:pPr>
      <w:r>
        <w:rPr>
          <w:rFonts w:ascii="Times New Roman" w:cs="Times New Roman" w:eastAsia="Times New Roman" w:hAnsi="Times New Roman"/>
          <w:sz w:val="18"/>
          <w:szCs w:val="18"/>
          <w:color w:val="auto"/>
        </w:rPr>
        <w:t>Total current income tax benefits associated with the exercise or settlement of TripAdvisor stock-based awards held by our employees were $1 million and $15 million for the three and six months ended June 30, 2017, respectively and $3 million and $16 million for the three and six months ended June 30, 2016, respectively.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remaining unrecognized stock-based compensation expense and the weighted average remaining amortization period at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related to our non-vested stock options and RSU awards is presented below:</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compensation expense (in millions)</w:t>
            </w:r>
          </w:p>
        </w:tc>
        <w:tc>
          <w:tcPr>
            <w:tcW w:w="2200" w:type="dxa"/>
            <w:vAlign w:val="bottom"/>
            <w:gridSpan w:val="2"/>
            <w:shd w:val="clear" w:color="auto" w:fill="CFF0FC"/>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period remaining (in years)</w:t>
            </w: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Common Stockholders</w:t>
      </w:r>
    </w:p>
    <w:p>
      <w:pPr>
        <w:spacing w:after="0" w:line="121" w:lineRule="exact"/>
        <w:rPr>
          <w:sz w:val="20"/>
          <w:szCs w:val="20"/>
          <w:color w:val="auto"/>
        </w:rPr>
      </w:pPr>
    </w:p>
    <w:p>
      <w:pPr>
        <w:ind w:firstLine="552"/>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Common Stockholders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Diluted earnings per share (“Diluted EPS”) include the potential dilution of common equivalent shares outstanding that could occur from stock-based awards and other stock-based commitments using the treasury stock method. We compute Diluted EPS by dividing net income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earnings per share calculation as indicated above, and (ii) if dilutive, the incremental weighted average common stock that we would issue upon the assumed exercise of outstanding common equivalent shares related to stock options and the vesting of restricted stock units using the treasury stock method, and (iii) if dilutive, performance based awards based on the number of shares that would be issuable as of the end of the reporting period assuming the end of the reporting period was also the end of the contingency period.</w:t>
      </w:r>
    </w:p>
    <w:p>
      <w:pPr>
        <w:spacing w:after="0" w:line="185"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76"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183"/>
        </w:trPr>
        <w:tc>
          <w:tcPr>
            <w:tcW w:w="454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r>
      <w:tr>
        <w:trPr>
          <w:trHeight w:val="189"/>
        </w:trPr>
        <w:tc>
          <w:tcPr>
            <w:tcW w:w="454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145,588</w:t>
            </w:r>
          </w:p>
        </w:tc>
        <w:tc>
          <w:tcPr>
            <w:tcW w:w="100" w:type="dxa"/>
            <w:vAlign w:val="bottom"/>
          </w:tcPr>
          <w:p>
            <w:pPr>
              <w:spacing w:after="0"/>
              <w:rPr>
                <w:sz w:val="19"/>
                <w:szCs w:val="19"/>
                <w:color w:val="auto"/>
              </w:rPr>
            </w:pPr>
          </w:p>
        </w:tc>
      </w:tr>
      <w:tr>
        <w:trPr>
          <w:trHeight w:val="230"/>
        </w:trPr>
        <w:tc>
          <w:tcPr>
            <w:tcW w:w="454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r>
      <w:tr>
        <w:trPr>
          <w:trHeight w:val="230"/>
        </w:trPr>
        <w:tc>
          <w:tcPr>
            <w:tcW w:w="4540" w:type="dxa"/>
            <w:vAlign w:val="bottom"/>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RSUs</w:t>
            </w:r>
          </w:p>
        </w:tc>
        <w:tc>
          <w:tcPr>
            <w:tcW w:w="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FF0FC"/>
          </w:tcPr>
          <w:p>
            <w:pPr>
              <w:spacing w:after="0"/>
              <w:rPr>
                <w:sz w:val="19"/>
                <w:szCs w:val="19"/>
                <w:color w:val="auto"/>
              </w:rPr>
            </w:pPr>
          </w:p>
        </w:tc>
      </w:tr>
      <w:tr>
        <w:trPr>
          <w:trHeight w:val="263"/>
        </w:trPr>
        <w:tc>
          <w:tcPr>
            <w:tcW w:w="4540" w:type="dxa"/>
            <w:vAlign w:val="bottom"/>
            <w:tcBorders>
              <w:bottom w:val="single" w:sz="8" w:color="CFF0FC"/>
            </w:tcBorders>
            <w:gridSpan w:val="3"/>
          </w:tcPr>
          <w:p>
            <w:pPr>
              <w:ind w:left="24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140,937</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147,060</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142,827</w:t>
            </w:r>
          </w:p>
        </w:tc>
        <w:tc>
          <w:tcPr>
            <w:tcW w:w="2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146,982</w:t>
            </w:r>
          </w:p>
        </w:tc>
        <w:tc>
          <w:tcPr>
            <w:tcW w:w="100" w:type="dxa"/>
            <w:vAlign w:val="bottom"/>
            <w:tcBorders>
              <w:bottom w:val="single" w:sz="8" w:color="CFF0FC"/>
            </w:tcBorders>
          </w:tcPr>
          <w:p>
            <w:pPr>
              <w:spacing w:after="0"/>
              <w:rPr>
                <w:sz w:val="22"/>
                <w:szCs w:val="22"/>
                <w:color w:val="auto"/>
              </w:rPr>
            </w:pPr>
          </w:p>
        </w:tc>
      </w:tr>
      <w:tr>
        <w:trPr>
          <w:trHeight w:val="210"/>
        </w:trPr>
        <w:tc>
          <w:tcPr>
            <w:tcW w:w="45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FF0FC"/>
          </w:tcPr>
          <w:p>
            <w:pPr>
              <w:spacing w:after="0"/>
              <w:rPr>
                <w:sz w:val="18"/>
                <w:szCs w:val="18"/>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w:t>
            </w:r>
          </w:p>
        </w:tc>
        <w:tc>
          <w:tcPr>
            <w:tcW w:w="5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4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0"/>
                <w:szCs w:val="20"/>
                <w:color w:val="auto"/>
              </w:rPr>
            </w:pPr>
          </w:p>
        </w:tc>
      </w:tr>
    </w:tbl>
    <w:p>
      <w:pPr>
        <w:spacing w:after="0" w:line="166"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related to stock options and RSUs were excluded from the calculation of Diluted EPS (in thousands) because their effect would have been anti-dilutive for the periods presented:</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4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3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2017(1)</w:t>
            </w:r>
          </w:p>
        </w:tc>
        <w:tc>
          <w:tcPr>
            <w:tcW w:w="200" w:type="dxa"/>
            <w:vAlign w:val="bottom"/>
            <w:tcBorders>
              <w:top w:val="single" w:sz="8" w:color="auto"/>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2016(2)</w:t>
            </w:r>
          </w:p>
        </w:tc>
        <w:tc>
          <w:tcPr>
            <w:tcW w:w="20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2017(1)</w:t>
            </w:r>
          </w:p>
        </w:tc>
        <w:tc>
          <w:tcPr>
            <w:tcW w:w="220" w:type="dxa"/>
            <w:vAlign w:val="bottom"/>
            <w:tcBorders>
              <w:top w:val="single" w:sz="8" w:color="auto"/>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900" w:right="320" w:hanging="379"/>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125,000 performance-based options representing the right to acquire the equivalent number of shares of common stock for which all targets required to trigger vesting had not been achieved; therefore such awards were excluded from the calculation of weighted average shares used to compute Diluted EPS for those reporting periods.</w:t>
      </w:r>
    </w:p>
    <w:p>
      <w:pPr>
        <w:spacing w:after="0" w:line="135" w:lineRule="exact"/>
        <w:rPr>
          <w:rFonts w:ascii="Times New Roman" w:cs="Times New Roman" w:eastAsia="Times New Roman" w:hAnsi="Times New Roman"/>
          <w:sz w:val="18"/>
          <w:szCs w:val="18"/>
          <w:color w:val="auto"/>
        </w:rPr>
      </w:pPr>
    </w:p>
    <w:p>
      <w:pPr>
        <w:jc w:val="both"/>
        <w:ind w:left="900" w:right="180" w:hanging="379"/>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totals do not include 125,000 performance-based options and 12,799 performance based RSUs representing the right to acquire 137,799 shares of common stock for which all targets required to trigger vesting had not been achieved; therefore such awards were excluded from the calculation of weighted average shares used to compute Diluted EPS for those reporting periods.</w:t>
      </w:r>
    </w:p>
    <w:p>
      <w:pPr>
        <w:spacing w:after="0" w:line="176"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8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5: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Marketable Securities</w:t>
      </w:r>
    </w:p>
    <w:p>
      <w:pPr>
        <w:spacing w:after="0" w:line="121" w:lineRule="exact"/>
        <w:rPr>
          <w:sz w:val="20"/>
          <w:szCs w:val="20"/>
          <w:color w:val="auto"/>
        </w:rPr>
      </w:pPr>
    </w:p>
    <w:p>
      <w:pPr>
        <w:ind w:right="160" w:firstLine="518"/>
        <w:spacing w:after="0" w:line="313" w:lineRule="auto"/>
        <w:rPr>
          <w:sz w:val="20"/>
          <w:szCs w:val="20"/>
          <w:color w:val="auto"/>
        </w:rPr>
      </w:pPr>
      <w:r>
        <w:rPr>
          <w:rFonts w:ascii="Times New Roman" w:cs="Times New Roman" w:eastAsia="Times New Roman" w:hAnsi="Times New Roman"/>
          <w:sz w:val="17"/>
          <w:szCs w:val="17"/>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the dates presented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9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3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4"/>
              <w:spacing w:after="0" w:line="145"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4"/>
              <w:spacing w:after="0" w:line="14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9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23"/>
        </w:trPr>
        <w:tc>
          <w:tcPr>
            <w:tcW w:w="2380" w:type="dxa"/>
            <w:vAlign w:val="bottom"/>
            <w:vMerge w:val="continue"/>
          </w:tcPr>
          <w:p>
            <w:pPr>
              <w:spacing w:after="0"/>
              <w:rPr>
                <w:sz w:val="19"/>
                <w:szCs w:val="19"/>
                <w:color w:val="auto"/>
              </w:rPr>
            </w:pPr>
          </w:p>
        </w:tc>
        <w:tc>
          <w:tcPr>
            <w:tcW w:w="7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agency securities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19"/>
                <w:szCs w:val="19"/>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June 30, 2017 and December 31, 2016, respectively.</w:t>
      </w:r>
    </w:p>
    <w:p>
      <w:pPr>
        <w:spacing w:after="0" w:line="180" w:lineRule="exact"/>
        <w:rPr>
          <w:sz w:val="20"/>
          <w:szCs w:val="20"/>
          <w:color w:val="auto"/>
        </w:rPr>
      </w:pPr>
    </w:p>
    <w:p>
      <w:pPr>
        <w:ind w:right="360" w:firstLine="518"/>
        <w:spacing w:after="0" w:line="256" w:lineRule="auto"/>
        <w:rPr>
          <w:sz w:val="20"/>
          <w:szCs w:val="20"/>
          <w:color w:val="auto"/>
        </w:rPr>
      </w:pPr>
      <w:r>
        <w:rPr>
          <w:rFonts w:ascii="Times New Roman" w:cs="Times New Roman" w:eastAsia="Times New Roman" w:hAnsi="Times New Roman"/>
          <w:sz w:val="18"/>
          <w:szCs w:val="18"/>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 w:name="page17"/>
    <w:bookmarkEnd w:id="16"/>
    <w:p>
      <w:pPr>
        <w:ind w:firstLine="518"/>
        <w:spacing w:after="0" w:line="261" w:lineRule="auto"/>
        <w:rPr>
          <w:sz w:val="20"/>
          <w:szCs w:val="20"/>
          <w:color w:val="auto"/>
        </w:rPr>
      </w:pPr>
      <w:r>
        <w:rPr>
          <w:rFonts w:ascii="Times New Roman" w:cs="Times New Roman" w:eastAsia="Times New Roman" w:hAnsi="Times New Roman"/>
          <w:sz w:val="18"/>
          <w:szCs w:val="18"/>
          <w:color w:val="auto"/>
        </w:rPr>
        <w:t>There were no material realized gains or losses related to sales of our marketable securities for the three and six months ended June 30, 2017 and 2016, respectively. Realized gains and losses on the sale of securities were determined by specific identification of each security’s cost basis. We consider any individual investments in an unrealized loss position to be temporary in nature and do not consider any of our investments other-than-temporarily impaired as of June 30,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140" w:firstLine="552"/>
        <w:spacing w:after="0" w:line="282" w:lineRule="auto"/>
        <w:rPr>
          <w:sz w:val="20"/>
          <w:szCs w:val="20"/>
          <w:color w:val="auto"/>
        </w:rPr>
      </w:pPr>
      <w:r>
        <w:rPr>
          <w:rFonts w:ascii="Times New Roman" w:cs="Times New Roman" w:eastAsia="Times New Roman" w:hAnsi="Times New Roman"/>
          <w:sz w:val="18"/>
          <w:szCs w:val="18"/>
          <w:color w:val="auto"/>
        </w:rPr>
        <w:t>In certain circumstances, we enter into foreign currency forward exchange contracts, or forward contracts, to reduce the effects of fluctuating foreign currency exchange rates on our cash flows denominated in foreign currencies. We do not use derivatives for trading or speculative purposes.</w:t>
      </w:r>
    </w:p>
    <w:p>
      <w:pPr>
        <w:spacing w:after="0" w:line="54" w:lineRule="exact"/>
        <w:rPr>
          <w:sz w:val="20"/>
          <w:szCs w:val="20"/>
          <w:color w:val="auto"/>
        </w:rPr>
      </w:pPr>
    </w:p>
    <w:p>
      <w:pPr>
        <w:ind w:right="20" w:firstLine="552"/>
        <w:spacing w:after="0" w:line="258" w:lineRule="auto"/>
        <w:rPr>
          <w:sz w:val="20"/>
          <w:szCs w:val="20"/>
          <w:color w:val="auto"/>
        </w:rPr>
      </w:pPr>
      <w:r>
        <w:rPr>
          <w:rFonts w:ascii="Times New Roman" w:cs="Times New Roman" w:eastAsia="Times New Roman" w:hAnsi="Times New Roman"/>
          <w:sz w:val="18"/>
          <w:szCs w:val="18"/>
          <w:color w:val="auto"/>
        </w:rPr>
        <w:t>Our current forward contracts are not designated as hedges and have current maturities of less than 90 days. Consequently, any gain or loss resulting from the change in fair value was recognized in our unaudited condensed consolidated statement of operations. The net gain or loss related to our settled and outstanding forward contracts for the three and six months ended June 30, 2017 were not material. We recorded a net gain of $2 million and $1 million for the three and six months ended June 30, 2016, respectively, related to our settled and outstanding forward contracts in “Interest income and other, net” on our unaudited condensed consolidated statements of operations.</w:t>
      </w:r>
    </w:p>
    <w:p>
      <w:pPr>
        <w:spacing w:after="0" w:line="18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that are not designated as hedging instruments as of the dates presented:</w:t>
      </w:r>
    </w:p>
    <w:p>
      <w:pPr>
        <w:spacing w:after="0" w:line="2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940" w:type="dxa"/>
            <w:vAlign w:val="bottom"/>
          </w:tcPr>
          <w:p>
            <w:pPr>
              <w:spacing w:after="0"/>
              <w:rPr>
                <w:sz w:val="15"/>
                <w:szCs w:val="15"/>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56"/>
        </w:trPr>
        <w:tc>
          <w:tcPr>
            <w:tcW w:w="4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Foreign exchange-forward contracts </w:t>
            </w:r>
            <w:r>
              <w:rPr>
                <w:rFonts w:ascii="Times New Roman" w:cs="Times New Roman" w:eastAsia="Times New Roman" w:hAnsi="Times New Roman"/>
                <w:sz w:val="14"/>
                <w:szCs w:val="14"/>
                <w:color w:val="auto"/>
              </w:rPr>
              <w:t>(1), (2)</w:t>
            </w:r>
          </w:p>
        </w:tc>
        <w:tc>
          <w:tcPr>
            <w:tcW w:w="3040" w:type="dxa"/>
            <w:vAlign w:val="bottom"/>
            <w:gridSpan w:val="2"/>
            <w:shd w:val="clear" w:color="auto" w:fill="CFF0FC"/>
          </w:tcPr>
          <w:p>
            <w:pPr>
              <w:jc w:val="right"/>
              <w:ind w:right="14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5 $</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r>
    </w:tbl>
    <w:p>
      <w:pPr>
        <w:spacing w:after="0" w:line="157" w:lineRule="exact"/>
        <w:rPr>
          <w:sz w:val="20"/>
          <w:szCs w:val="20"/>
          <w:color w:val="auto"/>
        </w:rPr>
      </w:pPr>
    </w:p>
    <w:p>
      <w:pPr>
        <w:ind w:left="840" w:right="180" w:hanging="319"/>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address foreign currency exchange fluctuations for the Euro versus the U.S. Dollar. The Company was entered into one and two outstanding derivative contracts as of June 30, 2017 and December 31, 2016, respectively.</w:t>
      </w:r>
    </w:p>
    <w:p>
      <w:pPr>
        <w:ind w:left="840" w:right="80" w:hanging="319"/>
        <w:spacing w:after="0" w:line="255"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derivatives was not material as of June 30, 2017 and December 31, 2016, respectively. We measure the fair value of our outstanding or unsettled derivatives using Level 2 fair value inputs, as we use a pricing model that takes into account the contract terms as well as current foreign currency exchange rates in active markets.</w:t>
      </w:r>
    </w:p>
    <w:p>
      <w:pPr>
        <w:spacing w:after="0" w:line="186"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Counterparties to our foreign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 and any credit risk amounts associated with our outstanding or unsettled derivative instruments are deemed to be not material for any period presented.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21"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Other financial instruments not measured at fair value on a recurring basis include accounts receivable, accounts payable, deferred merchant payables, short-term debt, accrued and other current liabilities and long-term debt. With the exception of long-term debt, the carrying amount approximates fair value because of the short maturity of these instruments as reported on our unaudited condensed consolidated balance sheets as of June 30, 2017 and December 31, 2016, respectively. The carrying value of the long-term debt from our 2015 Credit Facility bears interest at a variable rate and therefore is also considered to approximate fair value.</w:t>
      </w:r>
    </w:p>
    <w:p>
      <w:pPr>
        <w:spacing w:after="0" w:line="184"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We also hold investments in equity securities of privately-held companies of approximately $14 million at June 30, 2017 and December 31, 2016, respectively. These investments are accounted for under the cost method and included in "Other long-term assets" in the Company's unaudited condensed consolidated balance sheet. Under the cost method, investments are carried at cost and are adjusted only for other-than-temporary declines in fair value, certain distributions, and additional investments.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Level 3 assets or liabilities at June 30, 2017 and December 31, 2016.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40" w:type="dxa"/>
            <w:vAlign w:val="bottom"/>
            <w:gridSpan w:val="4"/>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820" w:type="dxa"/>
            <w:vAlign w:val="bottom"/>
          </w:tcPr>
          <w:p>
            <w:pPr>
              <w:jc w:val="right"/>
              <w:ind w:right="165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6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2016 Credit Facility</w:t>
            </w:r>
          </w:p>
        </w:tc>
        <w:tc>
          <w:tcPr>
            <w:tcW w:w="18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820" w:type="dxa"/>
            <w:vAlign w:val="bottom"/>
            <w:tcBorders>
              <w:bottom w:val="single" w:sz="8" w:color="auto"/>
            </w:tcBorders>
          </w:tcPr>
          <w:p>
            <w:pPr>
              <w:jc w:val="right"/>
              <w:ind w:right="165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2015 Credit Facility</w:t>
            </w:r>
          </w:p>
        </w:tc>
        <w:tc>
          <w:tcPr>
            <w:tcW w:w="1820" w:type="dxa"/>
            <w:vAlign w:val="bottom"/>
            <w:shd w:val="clear" w:color="auto" w:fill="CFF0FC"/>
          </w:tcPr>
          <w:p>
            <w:pPr>
              <w:jc w:val="right"/>
              <w:ind w:right="165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820" w:type="dxa"/>
            <w:vAlign w:val="bottom"/>
            <w:tcBorders>
              <w:top w:val="single" w:sz="8" w:color="auto"/>
              <w:bottom w:val="single" w:sz="8" w:color="auto"/>
            </w:tcBorders>
          </w:tcPr>
          <w:p>
            <w:pPr>
              <w:jc w:val="right"/>
              <w:ind w:right="1659"/>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Credit Facility</w:t>
      </w:r>
    </w:p>
    <w:p>
      <w:pPr>
        <w:spacing w:after="0" w:line="121" w:lineRule="exact"/>
        <w:rPr>
          <w:sz w:val="20"/>
          <w:szCs w:val="20"/>
          <w:color w:val="auto"/>
        </w:rPr>
      </w:pPr>
    </w:p>
    <w:p>
      <w:pPr>
        <w:ind w:firstLine="548"/>
        <w:spacing w:after="0" w:line="253" w:lineRule="auto"/>
        <w:rPr>
          <w:sz w:val="20"/>
          <w:szCs w:val="20"/>
          <w:color w:val="auto"/>
        </w:rPr>
      </w:pPr>
      <w:r>
        <w:rPr>
          <w:rFonts w:ascii="Times New Roman" w:cs="Times New Roman" w:eastAsia="Times New Roman" w:hAnsi="Times New Roman"/>
          <w:sz w:val="18"/>
          <w:szCs w:val="18"/>
          <w:color w:val="auto"/>
        </w:rPr>
        <w:t>In June 2015, we entered into a five year credit agreement with a group of lenders which, among other things, provided for a $1 billion unsecured revolving credit facility (the “2015 Credit Facility”). On May 12,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revolving credit facility in U.S dollars, Euros and British pound sterling. There is no specific repayment date prior to the maturity date for borrowings under this credit agreement.</w:t>
      </w:r>
    </w:p>
    <w:p>
      <w:pPr>
        <w:spacing w:after="0" w:line="85" w:lineRule="exact"/>
        <w:rPr>
          <w:sz w:val="20"/>
          <w:szCs w:val="20"/>
          <w:color w:val="auto"/>
        </w:rPr>
      </w:pPr>
    </w:p>
    <w:p>
      <w:pPr>
        <w:ind w:right="40" w:firstLine="548"/>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2017, the Company borrowed an additional $375 million and repaid $206 million of our outstanding borrowings under the 2015 Credit Facility. These net borrowings during the year were primarily used to repurchase shares of our outstanding common stock under the Company’s repurchase program, which is described in “Note 10: Stockholders Equity”. As of June 30, 2017, based on the Company’s leverage ratio, our borrowings bear interest at LIBO rate; plus an applicable margin of 1.25%, or the Eurocurrency Spread. The Company is currently borrowing under a one-month interest rate period or a weighted average rate of 2.37% per annum as of June 30, 2017, using a one-month interest period Eurocurrency Spread, which will reset periodically. Interest will be payable on a monthly basis while the Company is borrowing under the one-month interest rate period. We are also required to pay a quarterly commitment fee, at an applicable rate ranging from 0.15% to 0.30%, on the daily unused portion of the revolving credit facility for each fiscal quarter and additional fees in connection with the issuance of letters of credit. As of June 30, 2017, our unused revolver capacity is subject to a commitment fee of 0.15%, given the Company’s leverage ratio. The 2015 Credit Facility includes $15 million of borrowing capacity available for letters of credit and $40 million for Swing Line borrowings on same-day notice. As of June 30, 2017, we had issued $3 million of outstanding letters of credit under the 2015 Credit Facility. We recorded total interest expense and commitment fees on our 2015 Credit Facility of $2 million and $3 million for the three and six months ended June 30, 2017, respectively and $1 million and $3 million for the three and six months ended June 30, 2016, respectively, to “Interest expense” on our unaudited condensed consolidated statements of operations. All unpaid interest and commitment fee amounts as of June 30, 2017 and December 31, 2016, respectively, were not material.</w:t>
      </w:r>
    </w:p>
    <w:p>
      <w:pPr>
        <w:spacing w:after="0" w:line="19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connection with the First Amendment, we incurred additional lender fees and debt financing costs totaling $2 million, which were capitalized as deferred financing costs and recorded to other long-term assets on the unaudited consolidated balance sheet. As of June 30, 2017, the Company has $4 million remaining in deferred financing costs in connection with the 2015 Credit Facility. These costs will be amortized over the remaining term using the effective interest rate method and recorded to “Interest expense” on our unaudited consolidated statements of operations. The resulting write down of previous deferred financing costs as a result of the First Amendment was not material.</w:t>
      </w:r>
    </w:p>
    <w:p>
      <w:pPr>
        <w:spacing w:after="0" w:line="184"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may voluntarily repay any outstanding borrowing under the 2015 Credit Facility at any time without premium or penalty, other than customary breakage costs with respect to Eurocurrency loans. Certain wholly-owned domestic subsidiaries of the Company have agreed to guarantee the Company’s obligations under the 2015 Credit Facility.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8" w:name="page19"/>
    <w:bookmarkEnd w:id="18"/>
    <w:p>
      <w:pPr>
        <w:spacing w:after="0" w:line="255" w:lineRule="auto"/>
        <w:rPr>
          <w:sz w:val="20"/>
          <w:szCs w:val="20"/>
          <w:color w:val="auto"/>
        </w:rPr>
      </w:pPr>
      <w:r>
        <w:rPr>
          <w:rFonts w:ascii="Times New Roman" w:cs="Times New Roman" w:eastAsia="Times New Roman" w:hAnsi="Times New Roman"/>
          <w:sz w:val="18"/>
          <w:szCs w:val="18"/>
          <w:color w:val="auto"/>
        </w:rPr>
        <w:t>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Additionally, the 2015 Credit Facility includes a subjective acceleration clause, which could be triggered by the lenders if a representation, warranty or statement made by the Company proves to be incorrect in any material respect, which in turn would permit the lenders to accelerate repayment of any outstanding obligations. The Company believes that the likelihood of the lender exercising this right is remote and, as such, we classify borrowings under this facility as long-term debt. As of June 30, 2017, we were in compliance with all of our debt covenants.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Credit Facility</w:t>
      </w:r>
    </w:p>
    <w:p>
      <w:pPr>
        <w:spacing w:after="0" w:line="229"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auto"/>
        </w:rPr>
        <w:t>In September 2016, we entered into an uncommitted facility agreement, which provides for a $73 million unsecured revolving credit facility (the “2016 Credit Facility”) with no specific expiration date. The 2016 Credit Facility is available at the lender’s discretion and can be canceled at any time. Repayment terms for borrowings under the 2016 Credit Facility are generally one to six month periods or such other periods as the parties may mutually agree and bear interest at LIBOR plus 112.5 basis points. The Company may borrow from the 2016 Credit Facility in U.S dollars only and we may voluntarily repay any outstanding borrowing at any time without premium or penalty. Any overdue amounts under or in respect of the 2016 Credit Facility not paid when due shall bear interest in the case of principal at the applicable interest rate plus 1.50% per annum. In addition, TripAdvisor, LLC, a wholly-owned domestic subsidiary of the Company, has agreed to guarantee the Company’s obligations under the 2016 Credit Facility. There are no specific financial or incurrence covenants.</w:t>
      </w:r>
    </w:p>
    <w:p>
      <w:pPr>
        <w:spacing w:after="0" w:line="185" w:lineRule="exact"/>
        <w:rPr>
          <w:sz w:val="20"/>
          <w:szCs w:val="20"/>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The Company repaid all outstanding borrowings during the first three months of 2017, and as of June 30, 2017, we had no outstanding borrowings under the 2016 Credit Facility. During the three and six months ended June 30, 2017, total interest recorded with respect to our 2016 Credit Facility to “Interest expense” on our unaudited condensed consolidated statement of operations was not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Chinese Credit Facilities</w:t>
      </w:r>
    </w:p>
    <w:p>
      <w:pPr>
        <w:spacing w:after="0" w:line="121" w:lineRule="exact"/>
        <w:rPr>
          <w:sz w:val="20"/>
          <w:szCs w:val="20"/>
          <w:color w:val="auto"/>
        </w:rPr>
      </w:pPr>
    </w:p>
    <w:p>
      <w:pPr>
        <w:ind w:right="80" w:firstLine="552"/>
        <w:spacing w:after="0" w:line="282" w:lineRule="auto"/>
        <w:rPr>
          <w:sz w:val="20"/>
          <w:szCs w:val="20"/>
          <w:color w:val="auto"/>
        </w:rPr>
      </w:pPr>
      <w:r>
        <w:rPr>
          <w:rFonts w:ascii="Times New Roman" w:cs="Times New Roman" w:eastAsia="Times New Roman" w:hAnsi="Times New Roman"/>
          <w:sz w:val="18"/>
          <w:szCs w:val="18"/>
          <w:color w:val="auto"/>
        </w:rPr>
        <w:t>In addition to our borrowings under the 2015 Credit Facility and 2016 Credit Facility, we maintain two credit facilities in China (jointly, the “Chinese Credit Facilities”). As of June 30, 2017 and December 31, 2016, we had short-term borrowings outstanding of $7 million, respectively.</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are parties to a $30 million, one-year revolving credit facility with Bank of America (the “Chinese Credit Facility—BOA”) that is currently subject to review on a periodic basis with no specific expiration period. Borrowings under our Chinese Credit Facility—BOA generally bear interest at a rate based on People’s Bank of China benchmark, including certain adjustments which may be made in accordance with the market condition at the time of borrowing. As of June 30, 2017, there were no outstanding borrowings under our Chinese Credit Facility—BOA.</w:t>
      </w:r>
    </w:p>
    <w:p>
      <w:pPr>
        <w:spacing w:after="0" w:line="180" w:lineRule="exact"/>
        <w:rPr>
          <w:sz w:val="20"/>
          <w:szCs w:val="20"/>
          <w:color w:val="auto"/>
        </w:rPr>
      </w:pPr>
    </w:p>
    <w:p>
      <w:pPr>
        <w:ind w:right="120" w:firstLine="552"/>
        <w:spacing w:after="0" w:line="261" w:lineRule="auto"/>
        <w:rPr>
          <w:sz w:val="20"/>
          <w:szCs w:val="20"/>
          <w:color w:val="auto"/>
        </w:rPr>
      </w:pPr>
      <w:r>
        <w:rPr>
          <w:rFonts w:ascii="Times New Roman" w:cs="Times New Roman" w:eastAsia="Times New Roman" w:hAnsi="Times New Roman"/>
          <w:sz w:val="18"/>
          <w:szCs w:val="18"/>
          <w:color w:val="auto"/>
        </w:rPr>
        <w:t>We are also parties to a RMB 70,000,000 (approximately $10 million), one-year revolving credit facility with J.P. Morgan Chase Bank (“Chinese Credit Facility—JPM”). Borrowings under our Chinese Credit Facility—JPM generally bear interest at a rate based on People’s Bank of China benchmark, including certain adjustments which may be made in accordance with the market condition at the time of borrowing. As of June 30, 2017, we had $7 million of outstanding borrowings from the Chinese Credit Facility – JPM at a weighted average rate of 4.47%.</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2017 was 38.6% and 42.0%, respectively. Our effective tax rate for the three and six months ended June 30, 2016 was 22.7% and 22.9%, respectively. For both the three and six months ended June 30, 2017, the effective tax rate is greater than the federal statutory rate primarily due to valuation allowances on losses in jurisdictions outside the United States and recognition of stock compensation shortfalls. The change in the effective tax rate for 2017 compared to 2016 was primarily due to increased valuation allowances on losses in jurisdictions outside the United States and a lower stock price resulting in stock compensation shortfalls.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9" w:name="page20"/>
    <w:bookmarkEnd w:id="19"/>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Our policy is to recognize accrued interest and penalties related to unrecognized tax benefits and income tax liabilities as part of our income tax expense. As of June 30, 2017, accrued interest is $7 million, net of federal and state benefit, and no penalties have been accrued.</w:t>
      </w:r>
    </w:p>
    <w:p>
      <w:pPr>
        <w:spacing w:after="0" w:line="16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By virtue of previously filed consolidated income tax returns filed with Expedia, we are currently under an IRS audit for the 2009, 2010 and 2011 tax years, and have various ongoing state income tax audits. We are separately under examination by the IRS for the 2012 and 2013 tax years and under an employment tax audit by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2017, no material assessments have resulted, except as noted below regarding our 2009 and 2010 IRS audit with Expedia.</w:t>
      </w:r>
    </w:p>
    <w:p>
      <w:pPr>
        <w:spacing w:after="0" w:line="188"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In January 2017,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totaling $10 million to $14 million for those specific years, after consideration of competent authority relief, exclusive of interest and penalties. We disagree with the proposed adjustments and we intend to defend our position through applicable administrative and, if necessary, judicial remedies. During the quarter ending June 30, 2017, we filed a request for Mutual Agreement Procedure consideration under Article 26 of the United States / United Kingdom Income Tax Convention and Rev. Proc. 2015-40, 2015-35 I.R.B. 236.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could be subject to significant additional tax liabilities.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based on the Court’s acceptance of Altera’s position, of $1 million and $2 million during the three and six months ended June 30, 2016, respectively, and an additional $1 million and $3 million during the three and six months ended June 30, 2017, respectively. The Company will continue to monitor this matter and related potential impacts to its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156"/>
        </w:trPr>
        <w:tc>
          <w:tcPr>
            <w:tcW w:w="4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related benefits</w:t>
            </w:r>
          </w:p>
        </w:tc>
        <w:tc>
          <w:tcPr>
            <w:tcW w:w="2960" w:type="dxa"/>
            <w:vAlign w:val="bottom"/>
            <w:gridSpan w:val="2"/>
            <w:shd w:val="clear" w:color="auto" w:fill="CFF0FC"/>
          </w:tcPr>
          <w:p>
            <w:pPr>
              <w:jc w:val="right"/>
              <w:ind w:right="12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FF0FC"/>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15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9"/>
                <w:szCs w:val="19"/>
                <w:color w:val="auto"/>
              </w:rPr>
            </w:pPr>
          </w:p>
        </w:tc>
      </w:tr>
      <w:tr>
        <w:trPr>
          <w:trHeight w:val="22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9"/>
                <w:szCs w:val="19"/>
                <w:color w:val="auto"/>
              </w:rPr>
            </w:pPr>
          </w:p>
        </w:tc>
        <w:tc>
          <w:tcPr>
            <w:tcW w:w="1420" w:type="dxa"/>
            <w:vAlign w:val="bottom"/>
            <w:tcBorders>
              <w:bottom w:val="single" w:sz="8" w:color="auto"/>
            </w:tcBorders>
          </w:tcPr>
          <w:p>
            <w:pPr>
              <w:jc w:val="right"/>
              <w:ind w:right="126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commitments and contingencies since December 31, 2016. Refer to “Note 13: Commitments and Contingencies,” in the notes to our consolidated financial statements in Item 8 of our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parties to regulatory and legal matters arising out of our operations. These matters may involve claims involving alleged infringement of third-party intellectual property rights (including patent infringement), defamation, taxes, regulatory compliance, privacy issues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line="258" w:lineRule="auto"/>
        <w:rPr>
          <w:sz w:val="20"/>
          <w:szCs w:val="20"/>
          <w:color w:val="auto"/>
        </w:rPr>
      </w:pPr>
      <w:r>
        <w:rPr>
          <w:rFonts w:ascii="Times New Roman" w:cs="Times New Roman" w:eastAsia="Times New Roman" w:hAnsi="Times New Roman"/>
          <w:sz w:val="18"/>
          <w:szCs w:val="18"/>
          <w:color w:val="auto"/>
        </w:rPr>
        <w:t>of these conditions if there is a reasonable probability that a loss may have been incurred and whether such loss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 See “Note 7: Income Taxes” above for further information on potential contingencies surrounding income taxes.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21"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On January 25, 2017, our Board of Directors authorized the repurchase of $250 million of our shares of common stock under a new share repurchase program. Our Board of Directors authorized and directed management, working with the Executive Committee of our Board of Directors to affect the share repurchase program in compliance with applicable legal requirements. As of June 30, 2017, we have repurchased a total of 6,079,003 shares of the Company’s outstanding common stock at an average share price of $41.13, or $250 million in the aggregate, and completed this share repurchase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2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We consider Liberty TripAdvisor Holdings, Inc. (“LTRIP”) a related party. As of June 30, 2017, LTRIP beneficially owned approximately 18.2 million shares of our common stock and 12.8 million shares of our Class B common stock, which shares constitute 14.4% of the outstanding shares of common stock and 100% of the outstanding shares of Class B common stock. Assuming the conversion of all of LTRIP’s shares of Class B common stock into common stock, LTRIP would beneficially own 22.3% of the outstanding common stock. Because each share of Class B common stock generally is entitled to ten votes per share and each share of common stock is entitled to one vote per share, LTRIP may be deemed to beneficially own equity securities representing 57.6% of our voting power.</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related party transactions with LTRIP during the six months ended June 30, 2017 and 2016.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reporting structure includes two reportable segments: Hotel and Non-Hotel.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Hotel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Hotel segment includes revenue generated from the following sources:</w:t>
      </w:r>
    </w:p>
    <w:p>
      <w:pPr>
        <w:spacing w:after="0" w:line="113" w:lineRule="exact"/>
        <w:rPr>
          <w:sz w:val="20"/>
          <w:szCs w:val="20"/>
          <w:color w:val="auto"/>
        </w:rPr>
      </w:pPr>
    </w:p>
    <w:p>
      <w:pPr>
        <w:ind w:left="1040" w:right="60" w:hanging="384"/>
        <w:spacing w:after="0" w:line="255"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TripAdvisor-branded Click-based and Transaction Revenue. </w:t>
      </w:r>
      <w:r>
        <w:rPr>
          <w:rFonts w:ascii="Times New Roman" w:cs="Times New Roman" w:eastAsia="Times New Roman" w:hAnsi="Times New Roman"/>
          <w:sz w:val="18"/>
          <w:szCs w:val="18"/>
          <w:color w:val="auto"/>
        </w:rPr>
        <w:t>Our largest source of Hotel segment revenue is generated from click-based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on TripAdvisor-branded websites, which is primarily comprised of contextually-relevant booking links to our partners’ sites. Our click-based advertising partners are predominantly online travel agencies, or OTAs, and direct suppliers in the hotel product category. Click-based advertising is generally priced on a cost-per-click, or “CPC”, basis, with payments from advertisers determined by the number of users who click on a link multiplied by the price that partner is willing to pay for that click, or hotel shopper lead. CPC rates are determined in a dynamic, competitive auction process that enables our partners to use our proprietary, automated bidding system to submit CPC bids to have their hotel rates and availability listed on our site. Transaction revenue is generated from our instant booking feature, which enables the merchant of record, generally an OTA or hotel partner, to pay a commission to TripAdvisor for a user that completes a hotel reservation on our website.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1" w:name="page22"/>
    <w:bookmarkEnd w:id="21"/>
    <w:p>
      <w:pPr>
        <w:ind w:left="1040" w:right="40" w:hanging="384"/>
        <w:spacing w:after="0" w:line="25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TripAdvisor-branded Display-based Advertising and Subscription Revenue. </w:t>
      </w:r>
      <w:r>
        <w:rPr>
          <w:rFonts w:ascii="Times New Roman" w:cs="Times New Roman" w:eastAsia="Times New Roman" w:hAnsi="Times New Roman"/>
          <w:sz w:val="18"/>
          <w:szCs w:val="18"/>
          <w:color w:val="auto"/>
        </w:rPr>
        <w:t>Advertising partners can promote their brands in a contextually-relevant manner through a variety of display-based advertising placements on our websites. Our display-based advertising clients are predominately direct suppliers of hotels, airlines and cruises, as well as destination marketing organizations. We also accept display-based advertising from OTAs and attractions, as well as advertisers from non-travel categories. Display-based advertising is sold predominantly on a cost per thousand impressions, or CPM, basis. Subscription-based advertising is offered to hotels, B&amp;Bs and other specialty lodging properties. This advertising product is sold for a flat fee and enables subscribers to list, for a contracted period of time, a website URL, email address and phone number on our TripAdvisor-branded websites, as well as to post special offers for travelers.</w:t>
      </w:r>
    </w:p>
    <w:p>
      <w:pPr>
        <w:spacing w:after="0" w:line="75" w:lineRule="exact"/>
        <w:rPr>
          <w:rFonts w:ascii="Times New Roman" w:cs="Times New Roman" w:eastAsia="Times New Roman" w:hAnsi="Times New Roman"/>
          <w:sz w:val="18"/>
          <w:szCs w:val="18"/>
          <w:color w:val="auto"/>
        </w:rPr>
      </w:pPr>
    </w:p>
    <w:p>
      <w:pPr>
        <w:ind w:left="1040" w:right="60" w:hanging="384"/>
        <w:spacing w:after="0" w:line="26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Hotel Revenue. </w:t>
      </w:r>
      <w:r>
        <w:rPr>
          <w:rFonts w:ascii="Times New Roman" w:cs="Times New Roman" w:eastAsia="Times New Roman" w:hAnsi="Times New Roman"/>
          <w:sz w:val="18"/>
          <w:szCs w:val="18"/>
          <w:color w:val="auto"/>
        </w:rPr>
        <w:t>Our other hotel revenue primarily includes revenue from non-TripAdvisor branded websites, such as smartertravel.com,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independenttraveler.com, and bookingbuddy.com, which includes click-based advertising revenue, display-based advertising revenue, hotel room reservations sold through these websites, and advertising revenue from making cruise reservations available for price comparison and booking.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Non-Hotel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Non-Hotel segment consists of the aggregation of three operating segments, our Attractions, Restaurants and Vacation Rentals businesses.</w:t>
      </w:r>
    </w:p>
    <w:p>
      <w:pPr>
        <w:spacing w:after="0" w:line="223" w:lineRule="exact"/>
        <w:rPr>
          <w:sz w:val="20"/>
          <w:szCs w:val="20"/>
          <w:color w:val="auto"/>
        </w:rPr>
      </w:pPr>
    </w:p>
    <w:p>
      <w:pPr>
        <w:ind w:right="6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Attractions. </w:t>
      </w:r>
      <w:r>
        <w:rPr>
          <w:rFonts w:ascii="Times New Roman" w:cs="Times New Roman" w:eastAsia="Times New Roman" w:hAnsi="Times New Roman"/>
          <w:sz w:val="18"/>
          <w:szCs w:val="18"/>
          <w:color w:val="auto"/>
        </w:rPr>
        <w:t>We provide information and services for users to research and book activities and attractions in popular travel destinations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Attractions business, Viator, as well as on our TripAdvisor website and applications. We generate revenue by charging the operators a commission for each transaction we facilitate through our online reservation systems. In addition to its consumer-direct business, Viator also powers activity and attractions booking capabilities to its affiliate partners, including some of the world’s top airlines, hotel chains and online and offline travel agencies. Viator’s bookable inventory is available on www.viator.com as well as TripAdvisor-branded websites and mobile applications.</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Restaurants. </w:t>
      </w:r>
      <w:r>
        <w:rPr>
          <w:rFonts w:ascii="Times New Roman" w:cs="Times New Roman" w:eastAsia="Times New Roman" w:hAnsi="Times New Roman"/>
          <w:sz w:val="18"/>
          <w:szCs w:val="18"/>
          <w:color w:val="auto"/>
        </w:rPr>
        <w:t>We provide information and services for users to research and book restaurants in popular travel destinations through our dedicated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 reservations business, TheFork, as well as on our TripAdvisor website and applications. TheFork is an online restaurant booking platform operating on a number of sites (including www.lafourchette.com, www.eltenedor.com, www.iens.nl, www.besttables.com, www.dimmi.com.au, and www.en.couverts.nl), with a network of restaurant partners primarily across Europe and Australia. We generate revenue by charging our restaurant partners a fee for each restaurant guest, or seated diner, that we facilitate through our online reservation systems. TheFork also provides flexible online booking and a premium data and analytics tool, for which the restaurant owner pays a subscription fee. TheFork’s bookable inventory is also available on TripAdvisor-branded websites and mobile applications.</w:t>
      </w:r>
    </w:p>
    <w:p>
      <w:pPr>
        <w:spacing w:after="0" w:line="183" w:lineRule="exact"/>
        <w:rPr>
          <w:sz w:val="20"/>
          <w:szCs w:val="20"/>
          <w:color w:val="auto"/>
        </w:rPr>
      </w:pPr>
    </w:p>
    <w:p>
      <w:pPr>
        <w:ind w:right="2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Vacation Rentals</w:t>
      </w:r>
      <w:r>
        <w:rPr>
          <w:rFonts w:ascii="Times New Roman" w:cs="Times New Roman" w:eastAsia="Times New Roman" w:hAnsi="Times New Roman"/>
          <w:sz w:val="18"/>
          <w:szCs w:val="18"/>
          <w:color w:val="auto"/>
        </w:rPr>
        <w:t>. We provide information and services for users to research and book vacation and short-term rental properties, including full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rentals, condominiums, villas, beach rentals, cabins and cottages. The Vacation Rentals business generates revenue by offering individual property owners and property managers, the ability to list their properties on our websites and mobile applications through a free-to-list, commission-based option, and to a lesser extent, an annual subscription-based fee structure. These properties are listed on a number of platforms, including www.flipkey.com, www.holidaylettings.co.uk, www.housetrip.com, www.niumba.com, and www.vacationhomerentals.com, as well as on our TripAdvisor-branded websites.</w:t>
      </w:r>
    </w:p>
    <w:p>
      <w:pPr>
        <w:spacing w:after="0" w:line="182"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Chief Executive Officer. Our chief operating decision maker is also our Hotel segment manager. Each Non-Hotel operating segment has a segment manager who is directly accountable to and maintains regular contact with our chief operating decision maker to discuss operating activities, financial results, forecasts, and plans for the segment.</w:t>
      </w:r>
    </w:p>
    <w:p>
      <w:pPr>
        <w:spacing w:after="0" w:line="18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3"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property and equipment, including amortization of internal use software and website development; (4) amortization of intangible assets;</w:t>
      </w:r>
    </w:p>
    <w:p>
      <w:pPr>
        <w:spacing w:after="0" w:line="9" w:lineRule="exact"/>
        <w:rPr>
          <w:rFonts w:ascii="Times New Roman" w:cs="Times New Roman" w:eastAsia="Times New Roman" w:hAnsi="Times New Roman"/>
          <w:sz w:val="18"/>
          <w:szCs w:val="18"/>
          <w:color w:val="auto"/>
        </w:rPr>
      </w:pPr>
    </w:p>
    <w:p>
      <w:pPr>
        <w:ind w:right="400" w:firstLine="8"/>
        <w:spacing w:after="0" w:line="261"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and other stock-settled obligations; (6) goodwill, long-lived asset and intangible asset impairments; and (7) non-recurring expenses and income.</w:t>
      </w:r>
    </w:p>
    <w:p>
      <w:pPr>
        <w:spacing w:after="0" w:line="180" w:lineRule="exact"/>
        <w:rPr>
          <w:sz w:val="20"/>
          <w:szCs w:val="20"/>
          <w:color w:val="auto"/>
        </w:rPr>
      </w:pPr>
    </w:p>
    <w:p>
      <w:pPr>
        <w:ind w:right="400" w:firstLine="548"/>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segment information for the three and six months ended June 30, 2017 and 2016, and include a reconciliation of Adjusted EBITDA to Net Income. We record depreciation of property and equipment, including amortization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22" w:name="page23"/>
    <w:bookmarkEnd w:id="22"/>
    <w:p>
      <w:pPr>
        <w:ind w:right="80"/>
        <w:spacing w:after="0" w:line="255" w:lineRule="auto"/>
        <w:rPr>
          <w:sz w:val="20"/>
          <w:szCs w:val="20"/>
          <w:color w:val="auto"/>
        </w:rPr>
      </w:pPr>
      <w:r>
        <w:rPr>
          <w:rFonts w:ascii="Times New Roman" w:cs="Times New Roman" w:eastAsia="Times New Roman" w:hAnsi="Times New Roman"/>
          <w:sz w:val="18"/>
          <w:szCs w:val="18"/>
          <w:color w:val="auto"/>
        </w:rPr>
        <w:t>internal-use software and website development, amortization of intangible assets, stock-based compensation and other stock-settled obligations,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evaluate operating segments using this information. We also do not regularly provide such information by segment to our chief operating decision maker. Intersegment revenue is not material and, in addition, already eliminated in the information by segment provided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 2017</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Hotel</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Non-Hotel</w:t>
            </w:r>
          </w:p>
        </w:tc>
        <w:tc>
          <w:tcPr>
            <w:tcW w:w="540" w:type="dxa"/>
            <w:vAlign w:val="bottom"/>
          </w:tcPr>
          <w:p>
            <w:pPr>
              <w:spacing w:after="0"/>
              <w:rPr>
                <w:sz w:val="10"/>
                <w:szCs w:val="10"/>
                <w:color w:val="auto"/>
              </w:rPr>
            </w:pPr>
          </w:p>
        </w:tc>
        <w:tc>
          <w:tcPr>
            <w:tcW w:w="1200" w:type="dxa"/>
            <w:vAlign w:val="bottom"/>
          </w:tcPr>
          <w:p>
            <w:pPr>
              <w:jc w:val="right"/>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Corporate and</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ind w:left="8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1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9"/>
              </w:rPr>
              <w:t>98</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17</w:t>
            </w: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30, 2016</w:t>
            </w: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Hotel</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Non-Hotel</w:t>
            </w:r>
          </w:p>
        </w:tc>
        <w:tc>
          <w:tcPr>
            <w:tcW w:w="540" w:type="dxa"/>
            <w:vAlign w:val="bottom"/>
          </w:tcPr>
          <w:p>
            <w:pPr>
              <w:spacing w:after="0"/>
              <w:rPr>
                <w:sz w:val="11"/>
                <w:szCs w:val="11"/>
                <w:color w:val="auto"/>
              </w:rPr>
            </w:pPr>
          </w:p>
        </w:tc>
        <w:tc>
          <w:tcPr>
            <w:tcW w:w="1760" w:type="dxa"/>
            <w:vAlign w:val="bottom"/>
            <w:gridSpan w:val="3"/>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316</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75</w:t>
            </w:r>
          </w:p>
        </w:tc>
        <w:tc>
          <w:tcPr>
            <w:tcW w:w="120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9"/>
              </w:rPr>
              <w:t>(17)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9"/>
              </w:rPr>
              <w:t>(23)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gridSpan w:val="3"/>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Six months ended June 30, 2017</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Hotel</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Non-Hotel</w:t>
            </w:r>
          </w:p>
        </w:tc>
        <w:tc>
          <w:tcPr>
            <w:tcW w:w="540" w:type="dxa"/>
            <w:vAlign w:val="bottom"/>
          </w:tcPr>
          <w:p>
            <w:pPr>
              <w:spacing w:after="0"/>
              <w:rPr>
                <w:sz w:val="11"/>
                <w:szCs w:val="11"/>
                <w:color w:val="auto"/>
              </w:rPr>
            </w:pPr>
          </w:p>
        </w:tc>
        <w:tc>
          <w:tcPr>
            <w:tcW w:w="1760" w:type="dxa"/>
            <w:vAlign w:val="bottom"/>
            <w:gridSpan w:val="3"/>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3"/>
          </w:tcPr>
          <w:p>
            <w:pPr>
              <w:jc w:val="center"/>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640</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6"/>
              </w:rPr>
              <w:t>156</w:t>
            </w:r>
          </w:p>
        </w:tc>
        <w:tc>
          <w:tcPr>
            <w:tcW w:w="12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172</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w w:val="99"/>
              </w:rPr>
              <w:t>(16)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w w:val="99"/>
              </w:rPr>
              <w:t>(47)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0"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center"/>
              <w:ind w:right="715"/>
              <w:spacing w:after="0"/>
              <w:rPr>
                <w:sz w:val="20"/>
                <w:szCs w:val="20"/>
                <w:color w:val="auto"/>
              </w:rPr>
            </w:pPr>
            <w:r>
              <w:rPr>
                <w:rFonts w:ascii="Times New Roman" w:cs="Times New Roman" w:eastAsia="Times New Roman" w:hAnsi="Times New Roman"/>
                <w:sz w:val="14"/>
                <w:szCs w:val="14"/>
                <w:b w:val="1"/>
                <w:bCs w:val="1"/>
                <w:color w:val="auto"/>
              </w:rPr>
              <w:t>Six months ended June 30, 2016</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0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2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Hotel</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8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Non-Hotel</w:t>
            </w:r>
          </w:p>
        </w:tc>
        <w:tc>
          <w:tcPr>
            <w:tcW w:w="300" w:type="dxa"/>
            <w:vAlign w:val="bottom"/>
          </w:tcPr>
          <w:p>
            <w:pPr>
              <w:spacing w:after="0"/>
              <w:rPr>
                <w:sz w:val="11"/>
                <w:szCs w:val="11"/>
                <w:color w:val="auto"/>
              </w:rPr>
            </w:pPr>
          </w:p>
        </w:tc>
        <w:tc>
          <w:tcPr>
            <w:tcW w:w="1520" w:type="dxa"/>
            <w:vAlign w:val="bottom"/>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0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left="661"/>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619</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(2)</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Borders>
              <w:bottom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1520" w:hanging="492"/>
        <w:spacing w:after="0" w:line="250"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allocated general and administrative expenses in our Hotel segment of $20 million and $38 million; and in our Non-Hotel segment of $10 million and $19 million for the three and six months ended June 30, 2017, respectively.</w:t>
      </w:r>
    </w:p>
    <w:p>
      <w:pPr>
        <w:ind w:left="500" w:right="1520" w:hanging="492"/>
        <w:spacing w:after="0" w:line="261"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allocated general and administrative expenses in our Hotel segment of $19 million and $41 million; and in our Non-Hotel segment of $9 million and $18 million for the three and six months ended June 30, 2016, respectively.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2016.</w:t>
      </w:r>
    </w:p>
    <w:p>
      <w:pPr>
        <w:spacing w:after="0" w:line="72"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six months ended June 30, 2017, Part II, Item 1A, “Risk Factors.”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TripAdvisor, Inc., by and through its subsidiaries, owns and operates a portfolio of leading online travel brands. TripAdvisor, our flagship brand, is the world’s largest travel site, and its mission is to help people around the world plan, book and experience the perfect trip. We accomplish this by, among other things, aggregating millions of travelers’ reviews and opinions about destinations, accommodations, activities and attractions, and restaurants worldwide, thereby creating the foundation for a unique platform that enables users to research and plan their travel experiences. Our platform also enables users to compare real-time pricing and availability for these experiences as well as to book hotels, flights, cruises, vacation rentals, tours, activities and attractions, and restaurants, either on a TripAdvisor site or app, or on the site or app of one of our travel partner sites.</w:t>
      </w:r>
    </w:p>
    <w:p>
      <w:pPr>
        <w:spacing w:after="0" w:line="188"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Our TripAdvisor-branded websites include tripadvisor.com in the United States and localized versions of the TripAdvisor website in 48 markets and 28 languages worldwide. Our TripAdvisor-branded websites reached nearly 415 million average monthly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24" w:name="page25"/>
    <w:bookmarkEnd w:id="24"/>
    <w:p>
      <w:pPr>
        <w:ind w:right="120"/>
        <w:spacing w:after="0" w:line="255" w:lineRule="auto"/>
        <w:rPr>
          <w:sz w:val="20"/>
          <w:szCs w:val="20"/>
          <w:color w:val="auto"/>
        </w:rPr>
      </w:pPr>
      <w:r>
        <w:rPr>
          <w:rFonts w:ascii="Times New Roman" w:cs="Times New Roman" w:eastAsia="Times New Roman" w:hAnsi="Times New Roman"/>
          <w:sz w:val="18"/>
          <w:szCs w:val="18"/>
          <w:color w:val="auto"/>
        </w:rPr>
        <w:t>unique visitors during the quarter ended June 30, 2017, according to our internal log files. We currently feature over 535 million reviews and opinions on 7.1 million places to stay, places to eat and things to do – including 1.1 million hotels and accommodations and 800,000 vacation rentals, 4.4 million restaurants and 830,000 activities and attractions worldwide. In addition to the flagship TripAdvisor brand, we now manage and operate the following 20 other travel media brands, connected by the common goal of providing users the most comprehensive travel-planning and trip-taking resources in the travel industry: www.airfarewatchdog.com, www.bookingbuddy.com, www.citymaps.com, www.cruisecritic.com, www.familyvacationcritic.com, www.flipkey.com, www.thefork.com (including www.lafourchette.com, www.eltenedor.com, www.iens.nl, and www.dimmi.com.au), www.gateguru.com, www.holidaylettings.co.uk, www.holidaywatchdog.com, www.housetrip.com, www.jetsetter.com, www.niumba.com, www.onetime.com, www.oyster.com, www.seatguru.com, www.smartertravel.com, www.tingo.com, www.vacationhomerentals.com, and www.viator.com.</w:t>
      </w:r>
    </w:p>
    <w:p>
      <w:pPr>
        <w:spacing w:after="0" w:line="185" w:lineRule="exact"/>
        <w:rPr>
          <w:sz w:val="20"/>
          <w:szCs w:val="20"/>
          <w:color w:val="auto"/>
        </w:rPr>
      </w:pPr>
    </w:p>
    <w:p>
      <w:pPr>
        <w:ind w:right="460" w:firstLine="518"/>
        <w:spacing w:after="0" w:line="266" w:lineRule="auto"/>
        <w:rPr>
          <w:sz w:val="20"/>
          <w:szCs w:val="20"/>
          <w:color w:val="auto"/>
        </w:rPr>
      </w:pPr>
      <w:r>
        <w:rPr>
          <w:rFonts w:ascii="Times New Roman" w:cs="Times New Roman" w:eastAsia="Times New Roman" w:hAnsi="Times New Roman"/>
          <w:sz w:val="18"/>
          <w:szCs w:val="18"/>
          <w:color w:val="auto"/>
        </w:rPr>
        <w:t>Our reporting structure includes two reportable segments: Hotel and Non-Hotel. Our Non-Hotel reportable segment consists of three operating segments, which includes our Attractions, Restaurants and Vacation Rentals businesses. The segments are determined based on how the chief operating decision maker regularly assesses information and evaluates performance for operating decision-making purposes, including allocation of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 and Trends</w:t>
      </w:r>
    </w:p>
    <w:p>
      <w:pPr>
        <w:spacing w:after="0" w:line="12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As the largest online travel platform, we believe we are an attractive marketing channel for advertisers—including hotel chains, independent hoteliers, online travel agencies, or OTAs, destination marketing organizations, and other travel-related and non-travel related product and service providers— who seek to sell their products and services to our large user base. We offer users the ability to do real-time price comparison through our metasearch product, as well as the ability to book hotels, flights, cruises, vacation rentals, tours, activities and attractions, and restaurants directly on our website through our instant booking product. The key drivers of our financial results are described below, including a summary of our growth strategy, current trends affecting our business, and our segment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We leverage significant investments in technology, operations, brand-building, and relationships with advertisers and other partners to expand our business and enhance our global competitive position. We continue to focus on the following areas to grow our business:</w:t>
      </w:r>
    </w:p>
    <w:p>
      <w:pPr>
        <w:spacing w:after="0" w:line="50" w:lineRule="exact"/>
        <w:rPr>
          <w:sz w:val="20"/>
          <w:szCs w:val="20"/>
          <w:color w:val="auto"/>
        </w:rPr>
      </w:pPr>
    </w:p>
    <w:p>
      <w:pPr>
        <w:ind w:left="1040" w:right="80" w:hanging="384"/>
        <w:spacing w:after="0" w:line="255"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Delivering a Great User Experience. </w:t>
      </w:r>
      <w:r>
        <w:rPr>
          <w:rFonts w:ascii="Times New Roman" w:cs="Times New Roman" w:eastAsia="Times New Roman" w:hAnsi="Times New Roman"/>
          <w:sz w:val="18"/>
          <w:szCs w:val="18"/>
          <w:color w:val="auto"/>
        </w:rPr>
        <w:t>In 2016, we completed the global instant booking rollout to all users on all devices worldwide,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enabled us to continue our progress in creating end-to-end travel solutions on our platform and making it easier for users to find the lowest room prices and book directly on our site. During the first half of 2017, we launched a simplified, more engaging hotel shopping interface, which we believe will result in better user experiences, and ultimately drive higher conversion to transactions for our partners and higher revenue per hotel shopper for our hotel segment. Our innovative culture supports bringing product enhancements to market at speed. In doing so, we believe that we can continue to improve the user experience and engagement by growing, among other things, high-quality content, best room price availability on hotel listings, in-destination bookable supply, and real-time email and push notifications, thereby also enhancing our competitive positioning.</w:t>
      </w:r>
    </w:p>
    <w:p>
      <w:pPr>
        <w:spacing w:after="0" w:line="77" w:lineRule="exact"/>
        <w:rPr>
          <w:rFonts w:ascii="Times New Roman" w:cs="Times New Roman" w:eastAsia="Times New Roman" w:hAnsi="Times New Roman"/>
          <w:sz w:val="18"/>
          <w:szCs w:val="18"/>
          <w:color w:val="auto"/>
        </w:rPr>
      </w:pPr>
    </w:p>
    <w:p>
      <w:pPr>
        <w:ind w:left="1040" w:hanging="384"/>
        <w:spacing w:after="0" w:line="254"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Traffic to Our Platform. </w:t>
      </w:r>
      <w:r>
        <w:rPr>
          <w:rFonts w:ascii="Times New Roman" w:cs="Times New Roman" w:eastAsia="Times New Roman" w:hAnsi="Times New Roman"/>
          <w:sz w:val="18"/>
          <w:szCs w:val="18"/>
          <w:color w:val="auto"/>
        </w:rPr>
        <w:t>We seek to amplify our global brand and products through various online and offline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channels in order to increase the number of users who navigate to our site either directly, also known as domain direct traffic, or from other marketing channels. We utilize a number of offline advertising channels, including permanent branding campaigns such as TripAdvisor branded campaigns (such as awards, certificates, stickers and badges) and television advertising. We also leverage a number of online advertising channels, including: customer relationship management, or CRM, email campaigns; social networks; search engine marketing, or SEM, which promotes websites by increasing their visibility in search engine results through paid placements, contextual advertising, and paid inclusions; and retargeting, which targets consumers based on their search behavior. In addition, for sources of user traffic, we also rely on search engine optimization, or SEO, which promotes websites with relevant and current content that rank well in “organic,” or unpaid search engine results, as well as referrals from partners whose sites contain links to TripAdvisor content. In order to continue growing unique visitors to our websites and enhancing the quality of those visits, we intend to invest in, some or all of, the aforementioned channels, as well as any new channels that we may identify in the future.</w:t>
      </w:r>
    </w:p>
    <w:p>
      <w:pPr>
        <w:spacing w:after="0" w:line="75" w:lineRule="exact"/>
        <w:rPr>
          <w:rFonts w:ascii="Times New Roman" w:cs="Times New Roman" w:eastAsia="Times New Roman" w:hAnsi="Times New Roman"/>
          <w:sz w:val="18"/>
          <w:szCs w:val="18"/>
          <w:color w:val="auto"/>
        </w:rPr>
      </w:pPr>
    </w:p>
    <w:p>
      <w:pPr>
        <w:ind w:left="1040" w:right="100" w:hanging="384"/>
        <w:spacing w:after="0" w:line="259"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Enhancing Our Mobile Phone Offerings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Innovating and improving our mobile phone products is a key priority as mobile phone devices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to proliferate and consumers increasingly conduct more internet searches and commerce on these devices. During the quarter ended June 30, 2017, approximately half of our average monthly unique visitors came from mobile phone, growing 33% year-over-year, according to our log files. We anticipate that the growth rate in mobile phone visitors will continue to exceed the growth rate of our overall monthly unique visitors, resulting in an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jc w:val="both"/>
        <w:ind w:left="1040" w:right="320"/>
        <w:spacing w:after="0" w:line="266" w:lineRule="auto"/>
        <w:rPr>
          <w:sz w:val="20"/>
          <w:szCs w:val="20"/>
          <w:color w:val="auto"/>
        </w:rPr>
      </w:pPr>
      <w:r>
        <w:rPr>
          <w:rFonts w:ascii="Times New Roman" w:cs="Times New Roman" w:eastAsia="Times New Roman" w:hAnsi="Times New Roman"/>
          <w:sz w:val="18"/>
          <w:szCs w:val="18"/>
          <w:color w:val="auto"/>
        </w:rPr>
        <w:t>increased proportion of users continuing to use their mobile phone devices to access the full range of services available on our websites and applications. We are investing significant resources to improve the features, functionality, engagement, and commercialization of our travel products on our mobile websites and applications.</w:t>
      </w:r>
    </w:p>
    <w:p>
      <w:pPr>
        <w:spacing w:after="0" w:line="64" w:lineRule="exact"/>
        <w:rPr>
          <w:sz w:val="20"/>
          <w:szCs w:val="20"/>
          <w:color w:val="auto"/>
        </w:rPr>
      </w:pPr>
    </w:p>
    <w:p>
      <w:pPr>
        <w:ind w:left="1040" w:right="200" w:hanging="384"/>
        <w:spacing w:after="0" w:line="257"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Growing Our Attractions, Restaurants and Vacation Rentals Businesses. </w:t>
      </w:r>
      <w:r>
        <w:rPr>
          <w:rFonts w:ascii="Times New Roman" w:cs="Times New Roman" w:eastAsia="Times New Roman" w:hAnsi="Times New Roman"/>
          <w:sz w:val="18"/>
          <w:szCs w:val="18"/>
          <w:color w:val="auto"/>
        </w:rPr>
        <w:t>A significant percentage of our users visit our websites to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related to the 830,000 activities and attractions, 4.4 million restaurants, and 800,000 vacation rentals on our platform, and we believe that continuing to grow the number of listings and bookable products, especially in our in-destination Attractions and Restaurants businesses, gives us a unique opportunity to delight users in more moments during more trips. We believe continuing to invest in improving the product experience, especially on mobile phone, enhancing our supply network and growing demand via online marketing channels will generate increased demand, repeat usage, bookings and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Trends in Our Business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Hotel Segment</w:t>
      </w:r>
    </w:p>
    <w:p>
      <w:pPr>
        <w:spacing w:after="0" w:line="11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During the second quarter of 2017, we continued to improve and streamline our hotel shopping experience, most notably through the launch of our redesigned website and applications, which makes it easier for our users to find the lowest prices for the right hotel. On the user experience side, we have and will continue to seek new ways to provide a better end-to-end hotel shopping experience, including by improving room-level content, optimizing the room selection process and helping users book with our hotelier and OTA partners. On the supply side, we continue to seek to on-board more partners that have unique brand, supply or room pricing to provide consumers a more comprehensive selection of accommodations in an effort to achieve repeat usage and higher conversion rates on our platform.</w:t>
      </w:r>
    </w:p>
    <w:p>
      <w:pPr>
        <w:spacing w:after="0" w:line="80" w:lineRule="exact"/>
        <w:rPr>
          <w:sz w:val="20"/>
          <w:szCs w:val="20"/>
          <w:color w:val="auto"/>
        </w:rPr>
      </w:pPr>
    </w:p>
    <w:p>
      <w:pPr>
        <w:ind w:firstLine="608"/>
        <w:spacing w:after="0" w:line="253" w:lineRule="auto"/>
        <w:rPr>
          <w:sz w:val="20"/>
          <w:szCs w:val="20"/>
          <w:color w:val="auto"/>
        </w:rPr>
      </w:pPr>
      <w:r>
        <w:rPr>
          <w:rFonts w:ascii="Times New Roman" w:cs="Times New Roman" w:eastAsia="Times New Roman" w:hAnsi="Times New Roman"/>
          <w:sz w:val="18"/>
          <w:szCs w:val="18"/>
          <w:color w:val="auto"/>
        </w:rPr>
        <w:t>The market to provide services to users looking to book hotels online is significant, continues to grow and remains highly competitive. We compete with other travel companies and search engines for traffic, or hotel shoppers. Over time, increased competition has caused hotel shoppers visiting our websites and applications from paid marketing channels to grow faster than traffic from unpaid channels. Hotel shoppers from unpaid channels, such as users that navigate directly to our homepage or applications through branded search queries on search engines, are of the highest value to our business. In pursuit of our objective to grow traffic faster from unpaid channels than from paid channels, following the launch of our new hotel shopping experience, we launched what we anticipate to be a multi-year television advertising campaign in June 2017 aimed to increase user awareness and usage of TripAdvisor as a place to find and book the best hotels at the lowest prices. We also continue to leverage a number of other marketing channels, both paid and unpaid, to achieve this objective, including online efforts such as SEO, SEM, social media, and CRM campaigns, as well as offline efforts such as TripAdvisor branded campaigns. We will continue our television advertising campaign and to adjust our marketing efforts and spend among the different marketing channels, in each case as we think are appropriate based on the relative growth opportunity, the expected returns and the competitive environment in which we operate. These marketing efforts have reduced, and may continue to reduce, our hotel segment marketing efficiencies and operating margins. However, we believe that over the long-term, as more of these users visit TripAdvisor to find the lowest hotel prices before they book, we will be able to drive revenue, marketing efficiency and profit growth.</w:t>
      </w:r>
    </w:p>
    <w:p>
      <w:pPr>
        <w:spacing w:after="0" w:line="81" w:lineRule="exact"/>
        <w:rPr>
          <w:sz w:val="20"/>
          <w:szCs w:val="20"/>
          <w:color w:val="auto"/>
        </w:rPr>
      </w:pPr>
    </w:p>
    <w:p>
      <w:pPr>
        <w:ind w:right="20" w:firstLine="518"/>
        <w:spacing w:after="0" w:line="252" w:lineRule="auto"/>
        <w:rPr>
          <w:sz w:val="20"/>
          <w:szCs w:val="20"/>
          <w:color w:val="auto"/>
        </w:rPr>
      </w:pPr>
      <w:r>
        <w:rPr>
          <w:rFonts w:ascii="Times New Roman" w:cs="Times New Roman" w:eastAsia="Times New Roman" w:hAnsi="Times New Roman"/>
          <w:sz w:val="18"/>
          <w:szCs w:val="18"/>
          <w:color w:val="auto"/>
        </w:rPr>
        <w:t>Another key objective is to grow the number of hotel shoppers on our platforms. In the second quarter of 2017, our average monthly unique hotel shoppers increased 11%, when compared to the same period in 2016, according to our log files. The increase is primarily due to the success in our online marketing strategy as well as the general trend of an increasing number of hotel shoppers visiting our websites and apps on mobile phones. During the second quarter of 2017, hotel shoppers that visited our websites and apps on mobile phones continued to grow significantly faster than traffic from desktop and tablet devices. Mobile phones currently generate significantly lower revenue per hotel shopper compared to desktop and tablet devices. We believe this monetization difference is due to a number of factors, including the reduced ability to achieve marketing attribution on the mobile phone for facilitating traffic to partner websites and applications; our limited advertising opportunities on smaller screen devices; and general consumer purchasing patterns on the mobile phone resulting in lower booking intent, lower conversion to a booking, lower cost-per-click, lower average gross booking value and our established consumer brand as a place to read reviews. As a result, the growth in hotel shoppers on mobile phones has remained a headwind against our revenue per hotel shopper and our TripAdvisor-branded click-based and transaction revenue. In addition, the general trend of increasing traffic to our websites and apps on mobile phones reduces our ability to grow TripAdvisor-branded display-based advertising revenue, as we believe prioritizing and preserving a cleaner user experience over increasing advertising units on smaller screen devices is the most appropriate way to engage and delight more users on our mobile phone products. We continue to align product and marketing in mobile and invest in product development to improve the user experience as well as mobile phone traffic acquisition to increase our user base. We believe this will result in increased usage and engagement, conversion of hotel shoppers to bookings for our hotel advertising partners and higher monetization rates over the long-term for us.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i w:val="1"/>
          <w:iCs w:val="1"/>
          <w:color w:val="auto"/>
        </w:rPr>
        <w:t>Non-Hotel Segment</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Our ongoing product efforts to deliver an end-to-end user experience extends to our Non-hotel segment, which includes our Attractions, Restaurants, and Vacation Rentals businesses. Our key growth strategies have been to grow users, improve our products and grow bookable supply. We continued to deliver on those objectives in the second quarter of 2017, as monthly unique users to these pages on our websites and applications continued to grow rapidly, we enhanced our product experience on all devices, and we grew the number of suppliers and bookable products on our platform. Notably, we have been able to increasingly leverage strong user growth on the TripAdvisor-branded platform to drive increased bookings, particularly in our Attractions business. Additionally, our Attractions and Restaurants businesses have both experienced increased engagement bookings on mobile phones.</w:t>
      </w:r>
    </w:p>
    <w:p>
      <w:pPr>
        <w:spacing w:after="0" w:line="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Continued successful execution of our key growth strategies and increased marketing efficiencies primarily contributed to this segment’s revenue growth and profit growth in the second quarter of 2017, as compared to the same period in 2016. Ongoing strategic objectives are to continue to enhance the user experience, drive increased engagement, traffic and bookable products, and bookings in these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Refer to “Note 12: Segment Information” in the notes to the unaudited condensed consolidated financial statements in this Quarterly Report on Form 10-Q for financial information and additional descriptive information related to our segments.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As of June 30, 2017, we had 3,291 employees. Of these employees, 51% were based in the United States. We believe we have good relationships with our employees, including relationships with employees represented by international works councils or other similar organizations.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Traveler expenditures in the global travel market tend to follow a seasonal pattern. As such, expenditures by travel advertisers to market to potential travelers and, therefore, our financial performance, or revenue and profits, tend to be seasonal as well. As a result, our financial performance tends to be seasonally highest in the second and third quarters of a year, as it is a key period for leisure travel research and trip-taking, which includes the seasonal peak in traveler hotel and vacation rental stays, and tours and attractions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4" w:lineRule="exact"/>
        <w:rPr>
          <w:sz w:val="20"/>
          <w:szCs w:val="20"/>
          <w:color w:val="auto"/>
        </w:rPr>
      </w:pPr>
    </w:p>
    <w:p>
      <w:pPr>
        <w:ind w:left="820" w:hanging="299"/>
        <w:spacing w:after="0" w:line="235" w:lineRule="auto"/>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w:t>
      </w:r>
    </w:p>
    <w:p>
      <w:pPr>
        <w:spacing w:after="0" w:line="89" w:lineRule="exact"/>
        <w:rPr>
          <w:rFonts w:ascii="Times New Roman" w:cs="Times New Roman" w:eastAsia="Times New Roman" w:hAnsi="Times New Roman"/>
          <w:sz w:val="22"/>
          <w:szCs w:val="22"/>
          <w:color w:val="auto"/>
        </w:rPr>
      </w:pPr>
    </w:p>
    <w:p>
      <w:pPr>
        <w:ind w:left="820" w:right="100" w:hanging="299"/>
        <w:spacing w:after="0" w:line="235" w:lineRule="auto"/>
        <w:tabs>
          <w:tab w:leader="none" w:pos="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98"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New Accounting Pronouncements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2: Significant Accounting Policies” in the notes to our unaudited condensed consolidated financial statements in this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6" w:right="279" w:bottom="1440" w:gutter="0" w:footer="0" w:header="0"/>
        </w:sectPr>
      </w:pPr>
    </w:p>
    <w:bookmarkStart w:id="27" w:name="page28"/>
    <w:bookmarkEnd w:id="27"/>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Quarterly Report on Form 10-Q for an overview of new accounting pronouncements that we have adopted or that we plan to adopt that have had or may have an impact on our financial statements.</w:t>
      </w:r>
    </w:p>
    <w:p>
      <w:pPr>
        <w:spacing w:after="0" w:line="162" w:lineRule="exact"/>
        <w:rPr>
          <w:sz w:val="20"/>
          <w:szCs w:val="20"/>
          <w:color w:val="auto"/>
        </w:rPr>
      </w:pPr>
    </w:p>
    <w:p>
      <w:pPr>
        <w:jc w:val="both"/>
        <w:ind w:right="60"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since December 31, 2016. For additional information about our accounting policies and estimates, refer to “Note 2: Significant Accounting Policies” in the notes to our consolidated financial statements in Item 8 of our Annual Report on Form 10-K for the year ended December 31, 2016.</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38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2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Technology and content</w:t>
            </w: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6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6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640" w:type="dxa"/>
            <w:vAlign w:val="bottom"/>
            <w:shd w:val="clear" w:color="auto" w:fill="CFF0FC"/>
          </w:tcPr>
          <w:p>
            <w:pPr>
              <w:jc w:val="right"/>
              <w:ind w:right="48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9" w:lineRule="exact"/>
        <w:rPr>
          <w:sz w:val="20"/>
          <w:szCs w:val="20"/>
          <w:color w:val="auto"/>
        </w:rPr>
      </w:pPr>
    </w:p>
    <w:p>
      <w:pPr>
        <w:ind w:left="440" w:hanging="207"/>
        <w:spacing w:after="0"/>
        <w:tabs>
          <w:tab w:leader="none" w:pos="4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See “Adjusted EBITDA” discussion below for more information.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8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316</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Non-Hotel</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Borders>
              <w:bottom w:val="single" w:sz="8" w:color="CFF0FC"/>
            </w:tcBorders>
          </w:tcPr>
          <w:p>
            <w:pPr>
              <w:spacing w:after="0"/>
              <w:rPr>
                <w:sz w:val="19"/>
                <w:szCs w:val="19"/>
                <w:color w:val="auto"/>
              </w:rPr>
            </w:pPr>
          </w:p>
        </w:tc>
        <w:tc>
          <w:tcPr>
            <w:tcW w:w="1480" w:type="dxa"/>
            <w:vAlign w:val="bottom"/>
            <w:tcBorders>
              <w:bottom w:val="single" w:sz="8" w:color="CFF0FC"/>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8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70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391</w:t>
            </w:r>
          </w:p>
        </w:tc>
        <w:tc>
          <w:tcPr>
            <w:tcW w:w="38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EBITDA by Segment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700" w:type="dxa"/>
            <w:vAlign w:val="bottom"/>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Non-Hotel</w:t>
            </w:r>
          </w:p>
        </w:tc>
        <w:tc>
          <w:tcPr>
            <w:tcW w:w="7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Adjusted EBITDA</w:t>
            </w:r>
          </w:p>
        </w:tc>
        <w:tc>
          <w:tcPr>
            <w:tcW w:w="70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CFF0FC"/>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 by</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Segment </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w:t>
            </w:r>
          </w:p>
        </w:tc>
        <w:tc>
          <w:tcPr>
            <w:tcW w:w="7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7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Non-Hotel</w:t>
            </w:r>
          </w:p>
        </w:tc>
        <w:tc>
          <w:tcPr>
            <w:tcW w:w="70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1120" w:right="2620" w:hanging="301"/>
        <w:spacing w:after="0" w:line="229" w:lineRule="auto"/>
        <w:tabs>
          <w:tab w:leader="none" w:pos="1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Adjusted EBITDA is a general and administrative expense allocation for each segment, which is based on the segment’s percentage of our total personnel costs, excluding stock-based compensation. See “Note 12: Segment Information” in the notes to our unaudited condensed consolidated financial statements for more information.</w:t>
      </w:r>
    </w:p>
    <w:p>
      <w:pPr>
        <w:ind w:left="1120" w:hanging="301"/>
        <w:spacing w:after="0"/>
        <w:tabs>
          <w:tab w:leader="none" w:pos="1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“Adjusted EBITDA Margin by Segment”, as Adjusted EBITDA by segment divided by revenue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-388620</wp:posOffset>
            </wp:positionV>
            <wp:extent cx="5351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Hotel Segment</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Our Hotel segment revenue increased by $10 million and $21 million during the three and six months ended June 30, 2017, respectively, when compared to the same periods in 2016, primarily due to a $13 million and $34 million increase in TripAdvisor-branded click-based and transaction revenue during the three and six months ended June 30, 2017, respectively, primarily offset by a decrease of $5 million and $12 million in other hotel revenue, during the three and six months ended June 30, 2017, respectively, all of which are discussed below.</w:t>
      </w:r>
    </w:p>
    <w:p>
      <w:pPr>
        <w:spacing w:after="0" w:line="140"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Adjusted EBITDA in our Hotel segment decreased $21 million and $39 million during three and six months ended June 30, 2017, respectively, when compared to the same periods in 2016, primarily due to increased SEM and other online traffic costs, and increased offline marketing costs related to our television campaign which launched in June 2017, partially offset by an increase in revenue. Our Hotel segment adjusted EBITDA margin decreased during the three and six months ended June 30, 2017, respectively, when compared to the same periods in 2016, primarily due to an increase in online and offline marketing costs to support long-term growth.</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Hotel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32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Pr>
          <w:p>
            <w:pPr>
              <w:spacing w:after="0"/>
              <w:rPr>
                <w:sz w:val="13"/>
                <w:szCs w:val="13"/>
                <w:color w:val="auto"/>
              </w:rPr>
            </w:pPr>
          </w:p>
        </w:tc>
        <w:tc>
          <w:tcPr>
            <w:tcW w:w="1040" w:type="dxa"/>
            <w:vAlign w:val="bottom"/>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240" w:type="dxa"/>
            <w:vAlign w:val="bottom"/>
          </w:tcPr>
          <w:p>
            <w:pPr>
              <w:spacing w:after="0"/>
              <w:rPr>
                <w:sz w:val="13"/>
                <w:szCs w:val="13"/>
                <w:color w:val="auto"/>
              </w:rPr>
            </w:pPr>
          </w:p>
        </w:tc>
        <w:tc>
          <w:tcPr>
            <w:tcW w:w="840" w:type="dxa"/>
            <w:vAlign w:val="bottom"/>
          </w:tcPr>
          <w:p>
            <w:pPr>
              <w:jc w:val="right"/>
              <w:ind w:right="31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13"/>
                <w:szCs w:val="13"/>
                <w:color w:val="auto"/>
              </w:rPr>
            </w:pPr>
          </w:p>
        </w:tc>
        <w:tc>
          <w:tcPr>
            <w:tcW w:w="134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r>
      <w:tr>
        <w:trPr>
          <w:trHeight w:val="156"/>
        </w:trPr>
        <w:tc>
          <w:tcPr>
            <w:tcW w:w="32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Hotel:</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1"/>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TripAdvisor-branded click-based and</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740" w:type="dxa"/>
            <w:vAlign w:val="bottom"/>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40" w:type="dxa"/>
            <w:vAlign w:val="bottom"/>
            <w:gridSpan w:val="2"/>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201</w:t>
            </w:r>
          </w:p>
        </w:tc>
        <w:tc>
          <w:tcPr>
            <w:tcW w:w="1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58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11"/>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TripAdvisor-branded display-based</w:t>
            </w: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4"/>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and subscription</w:t>
            </w:r>
          </w:p>
        </w:tc>
        <w:tc>
          <w:tcPr>
            <w:tcW w:w="74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hotel revenue</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740" w:type="dxa"/>
            <w:vAlign w:val="bottom"/>
            <w:tcBorders>
              <w:bottom w:val="single" w:sz="8" w:color="CFF0FC"/>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0" w:type="dxa"/>
            <w:vAlign w:val="bottom"/>
            <w:tcBorders>
              <w:bottom w:val="single" w:sz="8" w:color="CFF0FC"/>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32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Hotel revenue</w:t>
            </w:r>
          </w:p>
        </w:tc>
        <w:tc>
          <w:tcPr>
            <w:tcW w:w="740" w:type="dxa"/>
            <w:vAlign w:val="bottom"/>
            <w:tcBorders>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1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316</w:t>
            </w:r>
          </w:p>
        </w:tc>
        <w:tc>
          <w:tcPr>
            <w:tcW w:w="174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TripAdvisor-branded Click-based and Transaction Revenue</w:t>
      </w:r>
    </w:p>
    <w:p>
      <w:pPr>
        <w:spacing w:after="0" w:line="119"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TripAdvisor-branded click-based and transaction revenue includes cost-per-click-based advertising revenue from our TripAdvisor-branded websites as well as transaction-based revenue from our hotel instant booking feature. For both the three and six months ended June 30, 2017, 66% of our total Hotel segment revenue came from our TripAdvisor-branded click-based and transaction revenue. For the three and six months ended June 30, 2016, 64% and 63%, respectively, of our total Hotel segment revenue was derived from our TripAdvisor-branded click-based and transaction revenue. TripAdvisor-branded click-based and transaction revenue during the three and six months ended June 30, 2017 increased $13 million and $34 million, respectively, when compared to the same periods in 2016, primarily due to an increase of 11% and 10%, respectively, in average monthly unique hotel shoppers during the three and six months ended June 30, 2017, which is explained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9" w:name="page30"/>
    <w:bookmarkEnd w:id="29"/>
    <w:p>
      <w:pPr>
        <w:ind w:right="160" w:firstLine="518"/>
        <w:spacing w:after="0" w:line="253" w:lineRule="auto"/>
        <w:rPr>
          <w:sz w:val="20"/>
          <w:szCs w:val="20"/>
          <w:color w:val="auto"/>
        </w:rPr>
      </w:pPr>
      <w:r>
        <w:rPr>
          <w:rFonts w:ascii="Times New Roman" w:cs="Times New Roman" w:eastAsia="Times New Roman" w:hAnsi="Times New Roman"/>
          <w:sz w:val="18"/>
          <w:szCs w:val="18"/>
          <w:color w:val="auto"/>
        </w:rPr>
        <w:t>Our largest source of Hotel segment revenue is click-based advertising revenue from our TripAdvisor-branded websites, which includes links to our partners’ sites and contextually-relevant branded and related text links. Click-based advertising is generated primarily through our metasearch auction, a description of which follows. Our click-based advertising partners are predominantly OTAs, and direct suppliers in the hotel product category. Click-based advertising is generally priced on a cost-per-click, or CPC, basis, with payments from advertisers based on the number of users who click on each type of link, or in other words a conversion of a hotel shopper to a paid click. CPC is the price that partners are willing to pay for a hotel shopper lead, and is determined in a competitive process that enables our partners to use our proprietary, automated bidding system to submit CPC bids to have their rates and availability listed on our site. When a partner submits a CPC bid, they are agreeing to pay the amount of that bid each time a user subsequently clicks on the link to the partner’s website. Bids can be submitted periodically – as often as daily– on a property-by-property basis. Primary factors used to determine the placement of partner links on our site include, but are not limited to the size of the bid relative to other bids, room night price, and other variables. CPCs are generally lower in markets outside the U.S. market, and hotel shoppers visiting via mobile phones currently monetize at a significantly lower rate than hotel shoppers visiting via desktop or tablet.</w:t>
      </w:r>
    </w:p>
    <w:p>
      <w:pPr>
        <w:spacing w:after="0" w:line="152"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Our hotel transaction-based revenue is comprised of revenue from our hotel instant booking feature, which enables the merchant of record, generally an OTA or hotel partner, to pay a commission to TripAdvisor for a user that completes a hotel reservation on our website. Instant booking revenue is currently recognized under two different models: the transaction model and the consumption model. Our transaction model commission revenue is recorded at the time a traveler books a hotel reservation on our site with one of our transaction partners. Our transaction partners are liable for commission payments to us upon booking and the partner assumes the cancellation risk. When a traveler makes a hotel reservation on our site with one of our consumption partners, which comprises the majority of our instant booking revenue, revenue is not recorded until the traveler completes the stay as our consumption partners are liable for commission payment only upon the completion of stay by the traveler. OTA and hotel partner placement, as well as comparative hotel prices available to the traveler in the booking process under both models, are determined by a bidding process within our proprietary automated bidding system, based on a number of variables, primarily hotel room prices, but also including other factors, such as conversion rates and commission rates, depending on the specific hotel selected. Instant booking commissions are primarily a function of average gross booking value generated from hotel reservations, cancellation rates experienced, and commission rates negotiated with each of our partners.</w:t>
      </w:r>
    </w:p>
    <w:p>
      <w:pPr>
        <w:spacing w:after="0" w:line="166"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key drivers of TripAdvisor-branded click-based and transaction revenue include average monthly unique hotel shopper growth and revenue per hotel shopper growth, which measures how effectively we convert our hotel shoppers into revenue. We measure performance by calculating revenue per hotel shopper on an aggregate basis, dividing total TripAdvisor-branded click-based and transaction revenue by total average monthly unique hotel shoppers on TripAdvisor-branded websites for the periods presented.</w:t>
      </w:r>
    </w:p>
    <w:p>
      <w:pPr>
        <w:spacing w:after="0" w:line="14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While we believe total traffic growth, or growth in monthly visits from unique visitors, is reflective of our overall brand growth, we also track and analyze sub-segments of our traffic and their correlation to revenue generation and utilize data regarding hotel shoppers as one of the key indicators of revenue growth. Hotel shoppers are visitors who view either a listing of hotels in a city or a specific hotel page. The number of hotel shoppers tends to vary based on seasonality of the travel industry and general economic conditions, as well as other factors outside of our control. Given these factors, as well as the trend towards increased usage on mobile phones and international expansion, quarterly and annual hotel shopper growth is a difficult metric to forecast.</w:t>
      </w:r>
    </w:p>
    <w:p>
      <w:pPr>
        <w:spacing w:after="0" w:line="76"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below table summarizes our revenue per hotel shopper calculation and growth rate, in aggregate, for the periods presented (in millions, except calculated revenue per hotel shopper and percentages):</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per hotel shopper:</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3"/>
                <w:szCs w:val="13"/>
                <w:color w:val="auto"/>
              </w:rPr>
            </w:pPr>
          </w:p>
        </w:tc>
        <w:tc>
          <w:tcPr>
            <w:tcW w:w="13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3"/>
                <w:szCs w:val="13"/>
                <w:color w:val="auto"/>
              </w:rPr>
            </w:pPr>
          </w:p>
        </w:tc>
        <w:tc>
          <w:tcPr>
            <w:tcW w:w="122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0" w:type="dxa"/>
            <w:vAlign w:val="bottom"/>
          </w:tcPr>
          <w:p>
            <w:pPr>
              <w:spacing w:after="0"/>
              <w:rPr>
                <w:sz w:val="1"/>
                <w:szCs w:val="1"/>
                <w:color w:val="auto"/>
              </w:rPr>
            </w:pPr>
          </w:p>
        </w:tc>
      </w:tr>
      <w:tr>
        <w:trPr>
          <w:trHeight w:val="223"/>
        </w:trPr>
        <w:tc>
          <w:tcPr>
            <w:tcW w:w="24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TripAdvisor-branded</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click-based and transaction</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4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5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1"/>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Divided by: Total 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monthly unique hotel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shoppers for the quarter</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560" w:type="dxa"/>
            <w:vAlign w:val="bottom"/>
            <w:tcBorders>
              <w:bottom w:val="single" w:sz="8" w:color="CFF0FC"/>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46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5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overall revenue per hotel shopper decreased 2% and was flat during the three and six months ended June 30, 2017, respectively, when compared to the same periods in 2016, according to our internal log files, which was primarily driven by a greater percentage of hotel shoppers visiting TripAdvisor-branded websites and apps on mobile phones, as well as reallocation of online marketing spend to our television campaign in the month of June 2017, dilution from product testing related to the launch of our redesigned website and applications during the second quarter of 2017, foreign currency fluctuations and the timing of our instant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booking feature rollout in certain non-U.S. markets during the first half of 2016.</w:t>
      </w:r>
    </w:p>
    <w:p>
      <w:pPr>
        <w:spacing w:after="0" w:line="185"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aggregate average monthly unique hotel shoppers on TripAdvisor-branded websites increased by 11% and 10% during the three and six months ended June 30, 2017, respectively, when compared to the same periods in 2016, according to our log files. The increase in hotel shoppers for the three and six months ended June 30, 2017 is primarily due to the success in our online marketing strategy as well as the general trend of an increasing number of hotel shoppers visiting our websites and apps on mobile phones, as well as higher growth in our non-US markets.</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TripAdvisor-branded Display-based Advertising and Subscription Revenue</w:t>
      </w:r>
    </w:p>
    <w:p>
      <w:pPr>
        <w:spacing w:after="0" w:line="119"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2017, 23% and 22%, respectively, of our Hotel segment revenue came from our TripAdvisor-branded display-based advertising and subscription revenue, which primarily consists of revenue from display-based advertising and subscription-based hotel advertising revenue (or Business Advantage). For both the three and six months ended June 30, 2016, 23% of our Hotel segment revenue was derived from our TripAdvisor-branded display based advertising and subscription revenue.</w:t>
      </w:r>
    </w:p>
    <w:p>
      <w:pPr>
        <w:spacing w:after="0" w:line="140"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Our TripAdvisor-branded display-based advertising and subscription revenue increased by $2 million or 3%, during the three months ended June 30, 2017, when compared to the same period in 2016. Display-based advertising revenue increased marginally primarily due to an increase in impressions sold and pricing, partially offset by the general trend of increasing traffic visiting our websites and apps on mobile phones. While we continue to focus on new product initiatives to drive growth, our subscription revenue decreased marginally primarily as a result of slowing growth due to the maturation of this business, as well as hotel industry consolidation. Our TripAdvisor-branded display-based advertising and subscription revenue decreased slightly by $1 million or 1%, during the six months ended June 30, 2017, when compared to the same period in 2016.</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Hotel Revenue</w:t>
      </w:r>
    </w:p>
    <w:p>
      <w:pPr>
        <w:spacing w:after="0" w:line="11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For both the three and six months ended June 30, 2017, 12% of our Hotel segment revenue came from other hotel revenue. For both the three and six months ended June 30, 2016, 14% of our Hotel segment revenue was derived from other hotel revenue. Our other hotel revenue primarily includes revenue from non-TripAdvisor branded websites, such as bookingbuddy.com, cruisecritic.com, and onetime.com, including click-based advertising revenue, display-based advertising revenue and room reservations sold through these websites. Our other hotel revenue decreased by $5 million and $12 million during the three and six months ended June 30, 2017, when compared to the same periods in 2016, primarily due to increased focus on return on marketing spend from paid marketing channels within this revenue stream.</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Non-Hotel Segment</w:t>
      </w:r>
    </w:p>
    <w:p>
      <w:pPr>
        <w:spacing w:after="0" w:line="121" w:lineRule="exact"/>
        <w:rPr>
          <w:sz w:val="20"/>
          <w:szCs w:val="20"/>
          <w:color w:val="auto"/>
        </w:rPr>
      </w:pPr>
    </w:p>
    <w:p>
      <w:pPr>
        <w:ind w:right="440" w:firstLine="518"/>
        <w:spacing w:after="0" w:line="266" w:lineRule="auto"/>
        <w:rPr>
          <w:sz w:val="20"/>
          <w:szCs w:val="20"/>
          <w:color w:val="auto"/>
        </w:rPr>
      </w:pPr>
      <w:r>
        <w:rPr>
          <w:rFonts w:ascii="Times New Roman" w:cs="Times New Roman" w:eastAsia="Times New Roman" w:hAnsi="Times New Roman"/>
          <w:sz w:val="18"/>
          <w:szCs w:val="18"/>
          <w:color w:val="auto"/>
        </w:rPr>
        <w:t>Our Non-Hotel segment revenue increased by $23 million or 31%, and $32 million or 26% during the three and six months ended June 30, 2017, respectively, when compared to the same periods in 2016, primarily driven by increased bookable supply, user demand, and increased bookings in our Attractions and Restaurants businesses.</w:t>
      </w:r>
    </w:p>
    <w:p>
      <w:pPr>
        <w:spacing w:after="0" w:line="136"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Revenue growth in our Attractions business has been driven by growth in bookable products and traffic from free and paid sources, and conversion on our platform. We also continue to enhance user experience from the introduction of new features, such as attractions instant booking for mobile phone, which enables users to purchase tickets and tours seamlessly without leaving the mobile app. These factors are all contributing to more consumer choice, increased conversion, and continued revenue growth as a result of increased bookings. In our Restaurants business, we have experienced continued revenue growth due to increased bookings in our most established markets, in addition to an increase in bookable supply of restaurant listings during the three and six months ended June 30, 2017, respectively, when compared to the same periods in 2016.</w:t>
      </w:r>
    </w:p>
    <w:p>
      <w:pPr>
        <w:spacing w:after="0" w:line="16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Non-Hotel segment Adjusted EBITDA increased $27 million and $33 million during the three and six months ended June 30, 2017, respectively, when compared to the same periods in 2016. This increase was primarily due to increased revenue growth in free online marketing channels and increased efficiencies in paid online marketing channels in our Attractions business, partially offset primarily by increased personnel and overhead costs for the three and six months ended June 30, 2017.</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p>
      <w:pPr>
        <w:spacing w:after="0" w:line="121" w:lineRule="exact"/>
        <w:rPr>
          <w:sz w:val="20"/>
          <w:szCs w:val="20"/>
          <w:color w:val="auto"/>
        </w:rPr>
      </w:pPr>
    </w:p>
    <w:p>
      <w:pPr>
        <w:ind w:right="6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consolidated revenue by geographic region. Revenue by geography is based on the geographic location of our websites.</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6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2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Pr>
          <w:p>
            <w:pPr>
              <w:spacing w:after="0"/>
              <w:rPr>
                <w:sz w:val="13"/>
                <w:szCs w:val="13"/>
                <w:color w:val="auto"/>
              </w:rPr>
            </w:pPr>
          </w:p>
        </w:tc>
        <w:tc>
          <w:tcPr>
            <w:tcW w:w="122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r>
      <w:tr>
        <w:trPr>
          <w:trHeight w:val="156"/>
        </w:trPr>
        <w:tc>
          <w:tcPr>
            <w:tcW w:w="2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07"/>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geographic</w:t>
            </w:r>
          </w:p>
        </w:tc>
        <w:tc>
          <w:tcPr>
            <w:tcW w:w="6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8"/>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region(1):</w:t>
            </w:r>
          </w:p>
        </w:tc>
        <w:tc>
          <w:tcPr>
            <w:tcW w:w="6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240" w:type="dxa"/>
            <w:vAlign w:val="bottom"/>
            <w:gridSpan w:val="2"/>
          </w:tcPr>
          <w:p>
            <w:pPr>
              <w:jc w:val="right"/>
              <w:ind w:right="46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5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6"/>
              </w:rPr>
              <w:t>454</w:t>
            </w:r>
          </w:p>
        </w:tc>
        <w:tc>
          <w:tcPr>
            <w:tcW w:w="5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Europe</w:t>
            </w:r>
          </w:p>
        </w:tc>
        <w:tc>
          <w:tcPr>
            <w:tcW w:w="6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6"/>
              </w:rPr>
              <w:t>207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24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ROW</w:t>
            </w:r>
          </w:p>
        </w:tc>
        <w:tc>
          <w:tcPr>
            <w:tcW w:w="6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40" w:type="dxa"/>
            <w:vAlign w:val="bottom"/>
            <w:tcBorders>
              <w:bottom w:val="single" w:sz="8" w:color="CFF0FC"/>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6"/>
              </w:rPr>
              <w:t>135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20" w:type="dxa"/>
            <w:vAlign w:val="bottom"/>
            <w:tcBorders>
              <w:bottom w:val="single" w:sz="8" w:color="CFF0FC"/>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2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6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4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6"/>
              </w:rPr>
              <w:t>796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42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right="440" w:hanging="514"/>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2017, we reclassified Canada, Middle East, Africa, Asia-Pacific (“APAC”) and Latin America (“LATAM”) into rest of world (“ROW”) when presenting our revenue by geographic region. Prior period amounts were reclassified to conform to the current presentation. This change had no effect on our consolidated financial statements in any reporting period.</w:t>
      </w:r>
    </w:p>
    <w:p>
      <w:pPr>
        <w:spacing w:after="0" w:line="176"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Our U.S. revenue increased $26 million or 12%, and $52 million or 13%, during the three and six months ended June 30, 2017, respectively, when compared to the same periods in 2016. U. S. revenue represented 58% and 57%, of total revenue during the three and six months ended June 30, 2017, respectively, and represented 56% and 54%, of total revenue during the three and six months ended June 30, 2016, respectively. This increase was due to an increase in U.S. TripAdvisor-branded click-based and transaction revenue, driven by growth in U.S. revenue per hotel shopper during the three and six months ended June 30, 2017, when compared to the same periods in 2016, as well as due to growth in our Attractions business. Revenue outside of the U.S., or non-U.S. revenue, increased $7 million, or 4%, and $1 million or 0%, during the three and six months ended June 30, 2017, respectively, when compared to the same periods in 2016, primarily due to growth in our Restaurants business. Non-U.S. revenue represented 42% and 43%, of total revenue during the three and six months ended June 30, 2017, respectively, and represented 44% and 46%, of total revenue during the three and six months ended June 30, 2016. The decline in our non-U.S. revenue, as a percentage of total revenue during these periods, was primarily due to non-US hotel shoppers continuing to monetize at a lower rate than hotel shoppers in the U.S. market, as well as the general trend of an increasing number of hotel shoppers visiting TripAdvisor-branded websites and apps on mobile phones, foreign currency fluctuations and the timing of our instant booking feature rollout in certain non-U.S. markets during the first half of 2016.</w:t>
      </w:r>
    </w:p>
    <w:p>
      <w:pPr>
        <w:spacing w:after="0" w:line="295" w:lineRule="exact"/>
        <w:rPr>
          <w:sz w:val="20"/>
          <w:szCs w:val="20"/>
          <w:color w:val="auto"/>
        </w:rPr>
      </w:pPr>
    </w:p>
    <w:p>
      <w:pPr>
        <w:jc w:val="right"/>
        <w:ind w:right="9640"/>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jc w:val="right"/>
        <w:ind w:right="96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ad serving fees, flight search fees, credit card fees and other transaction costs, and data center costs. In addition, cost of revenue includes personnel and overhead expenses, including salaries, benefits, stock-based compensation and bonuses for certain customer support personnel who are directly involved in revenue generation.</w:t>
      </w:r>
    </w:p>
    <w:p>
      <w:pPr>
        <w:spacing w:after="0" w:line="35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3"/>
                <w:szCs w:val="13"/>
                <w:color w:val="auto"/>
              </w:rPr>
            </w:pPr>
          </w:p>
        </w:tc>
        <w:tc>
          <w:tcPr>
            <w:tcW w:w="10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3"/>
                <w:szCs w:val="13"/>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r>
      <w:tr>
        <w:trPr>
          <w:trHeight w:val="156"/>
        </w:trPr>
        <w:tc>
          <w:tcPr>
            <w:tcW w:w="20" w:type="dxa"/>
            <w:vAlign w:val="bottom"/>
          </w:tcPr>
          <w:p>
            <w:pPr>
              <w:spacing w:after="0"/>
              <w:rPr>
                <w:sz w:val="13"/>
                <w:szCs w:val="13"/>
                <w:color w:val="auto"/>
              </w:rPr>
            </w:pPr>
          </w:p>
        </w:tc>
        <w:tc>
          <w:tcPr>
            <w:tcW w:w="2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900" w:type="dxa"/>
            <w:vAlign w:val="bottom"/>
            <w:gridSpan w:val="2"/>
          </w:tcPr>
          <w:p>
            <w:pPr>
              <w:jc w:val="right"/>
              <w:ind w:right="40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9"/>
                <w:szCs w:val="19"/>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19"/>
                <w:szCs w:val="19"/>
                <w:color w:val="auto"/>
              </w:rPr>
            </w:pPr>
          </w:p>
        </w:tc>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3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63"/>
        </w:trPr>
        <w:tc>
          <w:tcPr>
            <w:tcW w:w="20" w:type="dxa"/>
            <w:vAlign w:val="bottom"/>
          </w:tcPr>
          <w:p>
            <w:pPr>
              <w:spacing w:after="0"/>
              <w:rPr>
                <w:sz w:val="22"/>
                <w:szCs w:val="22"/>
                <w:color w:val="auto"/>
              </w:rPr>
            </w:pPr>
          </w:p>
        </w:tc>
        <w:tc>
          <w:tcPr>
            <w:tcW w:w="2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bottom w:val="single" w:sz="8" w:color="CFF0FC"/>
            </w:tcBorders>
          </w:tcPr>
          <w:p>
            <w:pPr>
              <w:spacing w:after="0"/>
              <w:rPr>
                <w:sz w:val="22"/>
                <w:szCs w:val="22"/>
                <w:color w:val="auto"/>
              </w:rPr>
            </w:pPr>
          </w:p>
        </w:tc>
        <w:tc>
          <w:tcPr>
            <w:tcW w:w="1040" w:type="dxa"/>
            <w:vAlign w:val="bottom"/>
            <w:tcBorders>
              <w:bottom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2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380" w:firstLine="518"/>
        <w:spacing w:after="0" w:line="266" w:lineRule="auto"/>
        <w:rPr>
          <w:sz w:val="20"/>
          <w:szCs w:val="20"/>
          <w:color w:val="auto"/>
        </w:rPr>
      </w:pPr>
      <w:r>
        <w:rPr>
          <w:rFonts w:ascii="Times New Roman" w:cs="Times New Roman" w:eastAsia="Times New Roman" w:hAnsi="Times New Roman"/>
          <w:sz w:val="18"/>
          <w:szCs w:val="18"/>
          <w:color w:val="auto"/>
        </w:rPr>
        <w:t>Cost of revenue remained flat during the three months ended June 30, 2017, when compared to the same period in 2016, while cost of revenue increased $1 million during the six months ended June 30, 2017, when compared to the same period in 2016, primarily due to increased direct costs from merchant credit card and transaction fees in our Non-Hotel segment, as a result of revenue growth.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and public relations. In addition, our sales and marketing expenses consist of indirect costs such as personnel and overhead expenses, including salaries, commissions, benefits, stock-based compensation and bonuses for sales, sales support, customer support and marketing employees.</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3"/>
                <w:szCs w:val="13"/>
                <w:color w:val="auto"/>
              </w:rPr>
            </w:pPr>
          </w:p>
        </w:tc>
        <w:tc>
          <w:tcPr>
            <w:tcW w:w="116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3"/>
                <w:szCs w:val="13"/>
                <w:color w:val="auto"/>
              </w:rPr>
            </w:pPr>
          </w:p>
        </w:tc>
        <w:tc>
          <w:tcPr>
            <w:tcW w:w="10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5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selling and</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marketing</w:t>
            </w:r>
          </w:p>
        </w:tc>
        <w:tc>
          <w:tcPr>
            <w:tcW w:w="5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CFF0FC"/>
            </w:tcBorders>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50.3%</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552"/>
        <w:spacing w:after="0" w:line="258" w:lineRule="auto"/>
        <w:rPr>
          <w:sz w:val="20"/>
          <w:szCs w:val="20"/>
          <w:color w:val="auto"/>
        </w:rPr>
      </w:pPr>
      <w:r>
        <w:rPr>
          <w:rFonts w:ascii="Times New Roman" w:cs="Times New Roman" w:eastAsia="Times New Roman" w:hAnsi="Times New Roman"/>
          <w:sz w:val="18"/>
          <w:szCs w:val="18"/>
          <w:color w:val="auto"/>
        </w:rPr>
        <w:t>Direct selling and marketing costs increased $28 million and $60 million during the three and six months ended June 30, 2017, respectively, when compared to the same periods in 2016, driven primarily by increased traffic acquisition costs in our Hotel segment. Direct selling and marketing costs increased during the three and six months ended June 30, 2017 when compared to the same periods in 2016, primarily due to an increase in SEM and other online traffic acquisition costs of $13 million and $44 million, respectively, driven by our Hotel segment, as well as $16 million in costs incurred in the second quarter of 2017 related to the launch of our television campaign, which is recorded in our Hotel segment.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Technology and content expenses consist primarily of personnel and overhead expenses, including salaries and benefits, stock-based compensation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3"/>
                <w:szCs w:val="13"/>
                <w:color w:val="auto"/>
              </w:rPr>
            </w:pPr>
          </w:p>
        </w:tc>
        <w:tc>
          <w:tcPr>
            <w:tcW w:w="114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3"/>
                <w:szCs w:val="13"/>
                <w:color w:val="auto"/>
              </w:rPr>
            </w:pPr>
          </w:p>
        </w:tc>
        <w:tc>
          <w:tcPr>
            <w:tcW w:w="110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technology and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content</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Borders>
              <w:top w:val="single" w:sz="8" w:color="CFF0FC"/>
            </w:tcBorders>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Technology and content costs increased $1 million and decreased $1 million during the three and six months ended June 30, 2017, respectively, when compared to the same periods in 2016. Personnel and overhead costs increased $4 million during both the three and six months ended June 30, 2017, respectively, when compared to the same period in 2016, primarily due to an increase in personnel to support business growth, and mobile phone and website initiatives, including an increase in stock-based compensation of $2 million during the three months ended June 30, 2017. Other costs decreased by $3 million and $5 million during the three and six months ended June 30, 2017, respectively, when compared to the same periods in 2016, primarily due to a decrease in content translation costs.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20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overhead costs, including personnel engaged in executive leadership, finance, legal, and human resources, including stock-based compensation. General and administrative costs also include professional service fees and other fees including audit, legal, tax and accounting, and other costs including bad debt expense, non-income taxes and charitable contributions.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3" w:name="page34"/>
    <w:bookmarkEnd w:id="33"/>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3"/>
                <w:szCs w:val="13"/>
                <w:color w:val="auto"/>
              </w:rPr>
            </w:pPr>
          </w:p>
        </w:tc>
        <w:tc>
          <w:tcPr>
            <w:tcW w:w="11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300" w:type="dxa"/>
            <w:vAlign w:val="bottom"/>
          </w:tcPr>
          <w:p>
            <w:pPr>
              <w:spacing w:after="0"/>
              <w:rPr>
                <w:sz w:val="13"/>
                <w:szCs w:val="13"/>
                <w:color w:val="auto"/>
              </w:rPr>
            </w:pPr>
          </w:p>
        </w:tc>
        <w:tc>
          <w:tcPr>
            <w:tcW w:w="110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2017 vs.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Personnel and overhead</w:t>
            </w:r>
          </w:p>
        </w:tc>
        <w:tc>
          <w:tcPr>
            <w:tcW w:w="740" w:type="dxa"/>
            <w:vAlign w:val="bottom"/>
            <w:gridSpan w:val="2"/>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 fees and</w:t>
            </w: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6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general and</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2"/>
                <w:szCs w:val="22"/>
                <w:color w:val="auto"/>
              </w:rPr>
            </w:pPr>
          </w:p>
        </w:tc>
        <w:tc>
          <w:tcPr>
            <w:tcW w:w="540" w:type="dxa"/>
            <w:vAlign w:val="bottom"/>
          </w:tcPr>
          <w:p>
            <w:pPr>
              <w:jc w:val="right"/>
              <w:ind w:right="36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FF0FC"/>
            </w:tcBorders>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costs increased $4 million and $1 million during the three and six months ended June 30, 2017, respectively, when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same periods in 2016. Personnel and overhead costs increased $4 million and $6 million during the three and six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when compared to the same periods in 2016, primarily related to an increase in stock-based compensation of $2 million and $4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Professional service fees and other decreased $5 million during the six months ended June 30, 2017, when compared to the same period in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a decrease in consulting costs and non-income taxes, partially offset by an increase in bad debt costs.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128"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1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0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2"/>
          </w:tcPr>
          <w:p>
            <w:pPr>
              <w:jc w:val="center"/>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50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9"/>
                <w:szCs w:val="19"/>
                <w:color w:val="auto"/>
              </w:rPr>
            </w:pPr>
          </w:p>
        </w:tc>
      </w:tr>
      <w:tr>
        <w:trPr>
          <w:trHeight w:val="234"/>
        </w:trPr>
        <w:tc>
          <w:tcPr>
            <w:tcW w:w="1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3"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Depreciation expense increased $2 million and $5 million during the three and six months ended June 30, 2017, respectively, when compared to the same periods in 2016 primarily due to increased amortization related to capitalized software and website development costs.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consists of the amortization of purchased definite-lived intangibles.</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3"/>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2"/>
          </w:tcPr>
          <w:p>
            <w:pPr>
              <w:jc w:val="center"/>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19"/>
                <w:szCs w:val="19"/>
                <w:color w:val="auto"/>
              </w:rPr>
            </w:pPr>
          </w:p>
        </w:tc>
      </w:tr>
      <w:tr>
        <w:trPr>
          <w:trHeight w:val="234"/>
        </w:trPr>
        <w:tc>
          <w:tcPr>
            <w:tcW w:w="2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of revenue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52" w:lineRule="exact"/>
        <w:rPr>
          <w:sz w:val="20"/>
          <w:szCs w:val="20"/>
          <w:color w:val="auto"/>
        </w:rPr>
      </w:pPr>
    </w:p>
    <w:p>
      <w:pPr>
        <w:ind w:right="120" w:firstLine="58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did not materially change during both the three and six months ended June 30, 2017, respectively, when compared to the same periods in 2016.</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our 2015 Credit Facility, 2016 Credit Facility, and Chinese Credit Facilities, as well as interest on our financing obligation related to our corporate headquarters.</w:t>
      </w:r>
    </w:p>
    <w:p>
      <w:pPr>
        <w:spacing w:after="0" w:line="26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00" w:type="dxa"/>
            <w:vAlign w:val="bottom"/>
            <w:tcBorders>
              <w:bottom w:val="single" w:sz="8" w:color="auto"/>
            </w:tcBorders>
            <w:gridSpan w:val="3"/>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780" w:type="dxa"/>
            <w:vAlign w:val="bottom"/>
          </w:tcPr>
          <w:p>
            <w:pPr>
              <w:spacing w:after="0"/>
              <w:rPr>
                <w:sz w:val="13"/>
                <w:szCs w:val="13"/>
                <w:color w:val="auto"/>
              </w:rPr>
            </w:pPr>
          </w:p>
        </w:tc>
        <w:tc>
          <w:tcPr>
            <w:tcW w:w="760" w:type="dxa"/>
            <w:vAlign w:val="bottom"/>
            <w:tcBorders>
              <w:bottom w:val="single" w:sz="8" w:color="auto"/>
            </w:tcBorders>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gridSpan w:val="2"/>
          </w:tcPr>
          <w:p>
            <w:pPr>
              <w:jc w:val="center"/>
              <w:ind w:right="45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gridSpan w:val="2"/>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right="120" w:firstLine="552"/>
        <w:spacing w:after="0" w:line="282" w:lineRule="auto"/>
        <w:rPr>
          <w:sz w:val="20"/>
          <w:szCs w:val="20"/>
          <w:color w:val="auto"/>
        </w:rPr>
      </w:pPr>
      <w:r>
        <w:rPr>
          <w:rFonts w:ascii="Times New Roman" w:cs="Times New Roman" w:eastAsia="Times New Roman" w:hAnsi="Times New Roman"/>
          <w:sz w:val="18"/>
          <w:szCs w:val="18"/>
          <w:color w:val="auto"/>
        </w:rPr>
        <w:t>Interest expense increased $1 million during both the three and six months ended June 30, 2017, respectively, when compared to the same periods in 2016, primarily due to an increase in interest incurred due to higher average outstanding borrowings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2" w:right="279" w:bottom="1440" w:gutter="0" w:footer="0" w:header="0"/>
        </w:sectPr>
      </w:pPr>
    </w:p>
    <w:bookmarkStart w:id="34" w:name="page35"/>
    <w:bookmarkEnd w:id="34"/>
    <w:p>
      <w:pPr>
        <w:ind w:right="80"/>
        <w:spacing w:after="0" w:line="282" w:lineRule="auto"/>
        <w:rPr>
          <w:sz w:val="20"/>
          <w:szCs w:val="20"/>
          <w:color w:val="auto"/>
        </w:rPr>
      </w:pPr>
      <w:r>
        <w:rPr>
          <w:rFonts w:ascii="Times New Roman" w:cs="Times New Roman" w:eastAsia="Times New Roman" w:hAnsi="Times New Roman"/>
          <w:sz w:val="18"/>
          <w:szCs w:val="18"/>
          <w:color w:val="auto"/>
        </w:rPr>
        <w:t>effective interest rates during the first six months of 2017. Refer to “Note 6: Debt” in the notes to our unaudited condensed consolidated financial statements in this Quarterly Report on Form 10-Q for additional information on our 2015 Credit Facility, 2016 Credit Facility, and Chinese Credit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Net</w:t>
      </w:r>
    </w:p>
    <w:p>
      <w:pPr>
        <w:spacing w:after="0" w:line="121"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Interest income and other, net primarily consists of interest earned and amortization of discounts and premiums on our marketable securities, net foreign exchange gains and losses, and gains and losses on sales of our marketable securities and sale of businesses.</w:t>
      </w:r>
    </w:p>
    <w:p>
      <w:pPr>
        <w:spacing w:after="0" w:line="26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tcBorders>
              <w:bottom w:val="single" w:sz="8" w:color="auto"/>
            </w:tcBorders>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auto"/>
            </w:tcBorders>
          </w:tcPr>
          <w:p>
            <w:pPr>
              <w:ind w:left="400"/>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gridSpan w:val="2"/>
          </w:tcPr>
          <w:p>
            <w:pPr>
              <w:jc w:val="center"/>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2"/>
          </w:tcPr>
          <w:p>
            <w:pPr>
              <w:jc w:val="right"/>
              <w:ind w:right="539"/>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10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Interest income and other, net increased $2 million and $3 million during the three and six months ended June 30, 2017, respectively, when compared to the same periods in 2016, primarily due higher transaction gains and losses as a result of the fluctuation of foreign exchange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ectPr>
          <w:pgSz w:w="11900" w:h="16838" w:orient="portrait"/>
          <w:cols w:equalWidth="0" w:num="1">
            <w:col w:w="11360"/>
          </w:cols>
          <w:pgMar w:left="240" w:top="580" w:right="299" w:bottom="1440" w:gutter="0" w:footer="0" w:header="0"/>
        </w:sectPr>
      </w:pPr>
    </w:p>
    <w:p>
      <w:pPr>
        <w:spacing w:after="0" w:line="30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12" w:lineRule="exact"/>
        <w:rPr>
          <w:sz w:val="20"/>
          <w:szCs w:val="20"/>
          <w:color w:val="auto"/>
        </w:rPr>
      </w:pPr>
    </w:p>
    <w:tbl>
      <w:tblPr>
        <w:tblLayout w:type="fixed"/>
        <w:tblInd w:w="4320" w:type="dxa"/>
        <w:tblCellMar>
          <w:top w:w="0" w:type="dxa"/>
          <w:left w:w="0" w:type="dxa"/>
          <w:bottom w:w="0" w:type="dxa"/>
          <w:right w:w="0" w:type="dxa"/>
        </w:tblCellMar>
      </w:tblPr>
      <w:tr>
        <w:trPr>
          <w:trHeight w:val="156"/>
        </w:trPr>
        <w:tc>
          <w:tcPr>
            <w:tcW w:w="7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7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156"/>
        </w:trPr>
        <w:tc>
          <w:tcPr>
            <w:tcW w:w="740" w:type="dxa"/>
            <w:vAlign w:val="bottom"/>
          </w:tcPr>
          <w:p>
            <w:pPr>
              <w:spacing w:after="0"/>
              <w:rPr>
                <w:sz w:val="13"/>
                <w:szCs w:val="13"/>
                <w:color w:val="auto"/>
              </w:rPr>
            </w:pPr>
          </w:p>
        </w:tc>
        <w:tc>
          <w:tcPr>
            <w:tcW w:w="1720" w:type="dxa"/>
            <w:vAlign w:val="bottom"/>
          </w:tcPr>
          <w:p>
            <w:pPr>
              <w:jc w:val="right"/>
              <w:ind w:right="808"/>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5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156"/>
        </w:trPr>
        <w:tc>
          <w:tcPr>
            <w:tcW w:w="700" w:type="dxa"/>
            <w:vAlign w:val="bottom"/>
          </w:tcPr>
          <w:p>
            <w:pPr>
              <w:spacing w:after="0"/>
              <w:rPr>
                <w:sz w:val="13"/>
                <w:szCs w:val="13"/>
                <w:color w:val="auto"/>
              </w:rPr>
            </w:pPr>
          </w:p>
        </w:tc>
        <w:tc>
          <w:tcPr>
            <w:tcW w:w="1560" w:type="dxa"/>
            <w:vAlign w:val="bottom"/>
          </w:tcPr>
          <w:p>
            <w:pPr>
              <w:jc w:val="right"/>
              <w:ind w:right="688"/>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r>
    </w:tbl>
    <w:p>
      <w:pPr>
        <w:spacing w:after="0" w:line="20" w:lineRule="exact"/>
        <w:rPr>
          <w:sz w:val="20"/>
          <w:szCs w:val="20"/>
          <w:color w:val="auto"/>
        </w:rPr>
      </w:pPr>
    </w:p>
    <w:p>
      <w:pPr>
        <w:sectPr>
          <w:pgSz w:w="11900" w:h="16838" w:orient="portrait"/>
          <w:cols w:equalWidth="0" w:num="2">
            <w:col w:w="6780" w:space="480"/>
            <w:col w:w="4100"/>
          </w:cols>
          <w:pgMar w:left="240" w:top="580" w:right="299" w:bottom="1440" w:gutter="0" w:footer="0" w:header="0"/>
          <w:type w:val="continuous"/>
        </w:sectPr>
      </w:pPr>
    </w:p>
    <w:tbl>
      <w:tblPr>
        <w:tblLayout w:type="fixed"/>
        <w:tblInd w:w="1720" w:type="dxa"/>
        <w:tblCellMar>
          <w:top w:w="0" w:type="dxa"/>
          <w:left w:w="0" w:type="dxa"/>
          <w:bottom w:w="0" w:type="dxa"/>
          <w:right w:w="0" w:type="dxa"/>
        </w:tblCellMar>
      </w:tblPr>
      <w:tr>
        <w:trPr>
          <w:trHeight w:val="210"/>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2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Effective tax rate</w:t>
            </w:r>
          </w:p>
        </w:tc>
        <w:tc>
          <w:tcPr>
            <w:tcW w:w="7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38.6%</w:t>
            </w:r>
          </w:p>
        </w:tc>
        <w:tc>
          <w:tcPr>
            <w:tcW w:w="54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22.7%</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193"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Our effective tax rate increased during the three and six months ended June 30, 2017 over the same periods in 2016, primarily due to increased valuation allowances on losses in jurisdictions outside the United States and a lower stock price resulting in stock compensation shortfalls.</w:t>
      </w:r>
    </w:p>
    <w:p>
      <w:pPr>
        <w:spacing w:after="0" w:line="162"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2017, the effective tax rate is greater than the federal statutory rate primarily due to valuation allowances on losses in jurisdictions outside the United States and recognition of stock compensation shortfalls.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0"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3"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property and equipment, including amortization of internal use software and website development; (4) amortization of intangible assets;</w:t>
      </w:r>
    </w:p>
    <w:p>
      <w:pPr>
        <w:spacing w:after="0" w:line="9" w:lineRule="exact"/>
        <w:rPr>
          <w:rFonts w:ascii="Times New Roman" w:cs="Times New Roman" w:eastAsia="Times New Roman" w:hAnsi="Times New Roman"/>
          <w:sz w:val="18"/>
          <w:szCs w:val="18"/>
          <w:color w:val="auto"/>
        </w:rPr>
      </w:pPr>
    </w:p>
    <w:p>
      <w:pPr>
        <w:ind w:firstLine="8"/>
        <w:spacing w:after="0" w:line="261"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and other stock-settled obligations; (6) goodwill, long-lived asset and intangible asset impairments; and (7) other non-recurring expenses and income.</w:t>
      </w:r>
    </w:p>
    <w:p>
      <w:pPr>
        <w:spacing w:after="0" w:line="180" w:lineRule="exact"/>
        <w:rPr>
          <w:sz w:val="20"/>
          <w:szCs w:val="20"/>
          <w:color w:val="auto"/>
        </w:rPr>
      </w:pPr>
    </w:p>
    <w:p>
      <w:pPr>
        <w:ind w:right="380" w:firstLine="518"/>
        <w:spacing w:after="0" w:line="266"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 or other stock-settled obligations;</w:t>
      </w:r>
    </w:p>
    <w:p>
      <w:pPr>
        <w:spacing w:after="0" w:line="117" w:lineRule="exact"/>
        <w:rPr>
          <w:rFonts w:ascii="Times New Roman" w:cs="Times New Roman" w:eastAsia="Times New Roman" w:hAnsi="Times New Roman"/>
          <w:sz w:val="18"/>
          <w:szCs w:val="18"/>
          <w:color w:val="auto"/>
        </w:rPr>
      </w:pPr>
    </w:p>
    <w:p>
      <w:pPr>
        <w:ind w:left="1040" w:right="40" w:hanging="384"/>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 and</w:t>
      </w:r>
    </w:p>
    <w:p>
      <w:pPr>
        <w:spacing w:after="0" w:line="117" w:lineRule="exact"/>
        <w:rPr>
          <w:rFonts w:ascii="Times New Roman" w:cs="Times New Roman" w:eastAsia="Times New Roman" w:hAnsi="Times New Roman"/>
          <w:sz w:val="18"/>
          <w:szCs w:val="18"/>
          <w:color w:val="auto"/>
        </w:rPr>
      </w:pPr>
    </w:p>
    <w:p>
      <w:pPr>
        <w:ind w:left="1040" w:right="20" w:hanging="384"/>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2"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2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3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ind w:right="6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jc w:val="right"/>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r>
      <w:tr>
        <w:trPr>
          <w:trHeight w:val="151"/>
        </w:trPr>
        <w:tc>
          <w:tcPr>
            <w:tcW w:w="3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gridSpan w:val="3"/>
          </w:tcPr>
          <w:p>
            <w:pPr>
              <w:jc w:val="right"/>
              <w:ind w:right="75"/>
              <w:spacing w:after="0" w:line="151"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6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20"/>
                <w:szCs w:val="20"/>
                <w:color w:val="auto"/>
              </w:rPr>
            </w:pPr>
          </w:p>
        </w:tc>
        <w:tc>
          <w:tcPr>
            <w:tcW w:w="32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Provision for income taxes</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9"/>
                <w:szCs w:val="19"/>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intangible assets</w:t>
            </w: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w:t>
            </w:r>
          </w:p>
        </w:tc>
        <w:tc>
          <w:tcPr>
            <w:tcW w:w="5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Pr>
          <w:p>
            <w:pPr>
              <w:spacing w:after="0"/>
              <w:rPr>
                <w:sz w:val="19"/>
                <w:szCs w:val="19"/>
                <w:color w:val="auto"/>
              </w:rPr>
            </w:pPr>
          </w:p>
        </w:tc>
        <w:tc>
          <w:tcPr>
            <w:tcW w:w="96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For information on our relationship with Liberty TripAdvisor Holdings, Inc., refer to “Note 11: Related Party Transactions” in the notes to our unaudited condensed consolidated financial statements in this Quarterly Report on Form 10-Q. We had no related party transactions with LTRIP during the three and six months ended June 30, 2017 and 2016,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right="40" w:firstLine="518"/>
        <w:spacing w:after="0" w:line="261" w:lineRule="auto"/>
        <w:rPr>
          <w:sz w:val="20"/>
          <w:szCs w:val="20"/>
          <w:color w:val="auto"/>
        </w:rPr>
      </w:pPr>
      <w:r>
        <w:rPr>
          <w:rFonts w:ascii="Times New Roman" w:cs="Times New Roman" w:eastAsia="Times New Roman" w:hAnsi="Times New Roman"/>
          <w:sz w:val="18"/>
          <w:szCs w:val="18"/>
          <w:color w:val="auto"/>
        </w:rPr>
        <w:t>Refer to “Note 3: Stock Based Awards and Other Equity Instruments” in the notes to our unaudited condensed consolidated financial statements in this Quarterly Report on Form 10-Q for further information on current year equity award activity, including the issuance of 1,502,240 service-based stock options with a weighted average grant-date fair value per option of $17.19 and 4,001,615 service-based RSUs with a weighted average grant-date fair value of $42.88 during the six months ended June 30,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principal source of liquidity is cash flows generated from operations and cash, cash equivalents and marketable securities, although liquidity needs can also be met through drawdowns under our 2015 Credit Facility, 2016 Credit Facility, and Chinese Credit Facilities. As of June 30, 2017 and</w:t>
      </w:r>
    </w:p>
    <w:p>
      <w:pPr>
        <w:ind w:right="80"/>
        <w:spacing w:after="0" w:line="252" w:lineRule="auto"/>
        <w:rPr>
          <w:sz w:val="20"/>
          <w:szCs w:val="20"/>
          <w:color w:val="auto"/>
        </w:rPr>
      </w:pPr>
      <w:r>
        <w:rPr>
          <w:rFonts w:ascii="Times New Roman" w:cs="Times New Roman" w:eastAsia="Times New Roman" w:hAnsi="Times New Roman"/>
          <w:sz w:val="18"/>
          <w:szCs w:val="18"/>
          <w:color w:val="auto"/>
        </w:rPr>
        <w:t>December 31, 2016, we had $908 million and $746 million, respectively, of cash, cash equivalents and short and long-term available-for-sale marketable securities. As of June 30, 2017, approximately $687 million of our cash, cash equivalents and short and long-term marketable securities are held by our subsidiaries outside the United States. Cumulative undistributed earnings of foreign subsidiaries that we intend to indefinitely reinvest outside of the United States totaled approximately $845 million as of June 30, 2017. Should we distribute, or be treated under certain U.S. tax rules as having distributed, the earnings of foreign subsidiaries in the form of dividends or otherwise, we may be subject to U.S. income taxes. To date, we have permanently reinvested our foreign earnings outside of the United States and we currently do not intend to repatriate these earnings to fund U.S. operations. Determination of the amount of any unrecognized deferred income tax liability on this temporary difference is not practicable because of the complexities of the hypothetical calculation. The majority of cash on hand is denominated in U.S. dollars.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ind w:right="60" w:firstLine="589"/>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2017, we borrowed an additional $375 million and repaid $206 million of outstanding borrowings under the 2015 Credit Facility. These net borrowings during the year were primarily used to repurchase shares of our outstanding common stock under the Company’s share repurchase program described below. As of June 30, 2017, we had outstanding borrowings of $260 million in long-term debt, within our U.S. subsidiaries, and approximately $937 million of borrowing capacity available under our 2015 Credit Facility, which we are currently borrowing under a one-month interest period, which will reset periodically. The weighted average rate of our outstanding borrowings under the 2015 Credit Facility as of June 30, 2017 was 2.37% per annum. As of June 30, 2017, we were in compliance with the covenants in our 2015 Credit Facility. In addition, we had $73 million of additional borrowing capacity available under our 2016 Credit Facility. The Company repaid all outstanding borrowings under the 2016 Credit Facility during the three months ended March 31, 2017. Finally, as of June 30, 2017, we had short-term borrowings of $7 million and approximately $33 million of available borrowing capacity under our Chinese Credit Facilities, which currently bear interest at a weighted average rate of 4.47%. For further discussion on our credit facilities refer to “Note 6: Debt” in the notes to our unaudited condensed consolidated financial statements in this Quarterly Report on Form 10-Q.</w:t>
      </w:r>
    </w:p>
    <w:p>
      <w:pPr>
        <w:spacing w:after="0" w:line="78"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In our Vacation Rentals free-to-list model and our Attractions business, we receive cash from travelers at the time of booking and we record these amounts, net of commissions, on our consolidated balance sheets as deferred merchant payables. We pay the suppliers, or the vacation rental owners or tour providers, respectively, after the travelers’ use. Therefore, we receive cash from the traveler prior to paying the supplier and this operating cycle represents a working capital source or use of cash to us. Seasonal fluctuations in these transactions affect the timing of our annual cash flows related to working capital. During the first half of the year vacation rentals and attractions bookings typically exceed stays and tour-taking, resulting in higher cash flow related to working capital, while during the second half of the year, particularly in the third quarter, this pattern reverses and cash flows from these bookings are typically negative. While we expect the impact of seasonal fluctuations to continue, further significant shifts in our business mix or adverse economic conditions could result in future seasonal patterns that are different from historical trends.</w:t>
      </w:r>
    </w:p>
    <w:p>
      <w:pPr>
        <w:spacing w:after="0" w:line="77"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On January 25, 2017, our Board of Directors authorized the repurchase of $250 million of our shares of common stock under a new share repurchase program. As of June 30, 2017, we had repurchased a total of 6,079,003 shares of the Company’s outstanding common stock at an average share price of $41.13, or $250 million in the aggregate, and completed this share repurchase program.</w:t>
      </w:r>
    </w:p>
    <w:p>
      <w:pPr>
        <w:spacing w:after="0" w:line="68"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believe that our available cash and marketable securities, combined with expected cash flows generated by operating activities and available cash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and/or other expenditures in support of our business strategy; thus potentially reducing our cash balance and/or increasing our debt. We expect total capital expenditures for 2017 to be comparable to our 2016 spending levels.</w:t>
      </w:r>
    </w:p>
    <w:p>
      <w:pPr>
        <w:spacing w:after="0" w:line="76"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Our cash flows from/(used in) in operating, investing and financing activities during the periods presented, as reflected in the unaudited condensed consolidated statements of cash flows, are summarized in the following table:</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0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8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3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940" w:type="dxa"/>
            <w:vAlign w:val="bottom"/>
            <w:gridSpan w:val="2"/>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2960" w:type="dxa"/>
            <w:vAlign w:val="bottom"/>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355</w:t>
            </w:r>
          </w:p>
        </w:tc>
        <w:tc>
          <w:tcPr>
            <w:tcW w:w="9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r>
      <w:tr>
        <w:trPr>
          <w:trHeight w:val="230"/>
        </w:trPr>
        <w:tc>
          <w:tcPr>
            <w:tcW w:w="38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6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(167)</w:t>
            </w:r>
          </w:p>
        </w:tc>
        <w:tc>
          <w:tcPr>
            <w:tcW w:w="92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85"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2017, net cash provided by operating activities decreased by $8 million or 2% when compared to the same period in 2016, primarily due to a decrease in net income of $24 million, offset by an increase in non-cash items affecting cash flow of $13 million and a net increase in working capital movements of $3 million. The increase in working capital movements of $3 million was primarily related to an increase in operating cash flow from deferred merchant payables primarily due to growth in our Attractions business and timing of payments, partially offset by the timing of vendor payments and collection of receivables.</w:t>
      </w:r>
    </w:p>
    <w:p>
      <w:pPr>
        <w:spacing w:after="0" w:line="76"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net cash provided by investing activities increased by $154 million when compared to the same period in 2016, primarily due to a net increase in cash generated by the purchase, sales, and maturities of our marketable securities.</w:t>
      </w:r>
    </w:p>
    <w:p>
      <w:pPr>
        <w:spacing w:after="0" w:line="5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2017, net cash used in financing activities increased by $38 million when compared to the same period in 2016, primarily due to an increase of $238 million in cash used in the first six months of 2017 to purchase shares of our common stock under authorized share repurchase programs and repayment of our 2016 Credit Facility borrowings of $73 million in 2017, partially offset by an increase in net borrowings under our 2015 Credit Facility of $276 million for the first six months of 2017, when compared to the same period in 2016.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2016. As of June 30, 2017, other than our contractual obligations and commercial commitments, we did not have any off-balance sheet arrangements as defined in Item 303(a)(4)(ii) of Regulation S-K promulgated by the SEC. Refer to “Liquidity and Capital Resources” in Part II, Item 7. — Management’s Discussion and Analysis of Financial Condition and Results of Operations of our Annual Report on Form 10-K for the year ended December 31, 2016 for a discussion of our contractual obligations and commercial commitments.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and our subsidiaries are parties to regulatory and legal matters. These matters may relate to claims involving alleged infringement of third-party intellectual property rights, defamation, taxes, regulatory compliance and other claims. Periodically, we review the status of all significant outstanding matters to assess the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statements for loss contingencies that do not meet both of these conditions if there is a reasonable possibility that a 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Although occasional adverse decisions or settlements may occur, the Company does not believe that the final disposition of any of these matters will have a material adverse effect on the business. However, the final outcome of these matters could vary significantly from our estimates. Moreover, such claims, even if not meritorious, could result in the expenditure of significant financial and managerial resources, divert management's attention from the Company's business objectives and adversely affect the Company's business, results of operations, financial condition and cash flows. There may also be claims or actions pending or threatened against us of which we are currently not aware and the ultimate disposition of which would have a material adverse effect on us.</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4"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By virtue of previously filed consolidated income tax returns filed with Expedia, we are currently under an IRS audit for the 2009, 2010, and 2011 tax years, and have various ongoing state income tax audits. We are separately under examination by the IRS for the 2012 and 2013 tax years and under an employment tax audit by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2017, no material assessments have resulted, except as noted below regarding our 2009 and 2010 IRS audit with Expedia.</w:t>
      </w:r>
    </w:p>
    <w:p>
      <w:pPr>
        <w:spacing w:after="0" w:line="188"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In January 2017, we received Notices of Proposed Adjustment from the IRS for the 2009 and 2010 tax years. These proposed adjustments are related to certain transfer pricing arrangements with our foreign subsidiaries, and would result in an increase to our worldwide income tax expense in an estimated range totaling $10 million to $14 million for those specific years, after consideration of competent authority relief, exclusive of interest and penalties. We disagree with the proposed adjustments and we intend to defend our position through applicable administrative and, if necessary, judicial remedies. During the quarter ended June 30, 2017, we filed a request for Mutual Agreement Procedure consideration under Article 26 of the United States / United Kingdom Income Tax Convention and Rev. Proc. 2015-40, 2015-35 I.R.B. 236.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and 2010 transactions, if the IRS were to seek transfer pricing adjustments of a similar nature for transactions in subsequent years, we could be subject to significant additional tax liabilities.</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4" w:right="279" w:bottom="1440" w:gutter="0" w:footer="0" w:header="0"/>
        </w:sectPr>
      </w:pPr>
    </w:p>
    <w:bookmarkStart w:id="38" w:name="page39"/>
    <w:bookmarkEnd w:id="38"/>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See “Note 7: Income Taxes” in the notes to our unaudited condensed consolidated financial statements in this Quarterly Report on Form 10-Q for further information on potential contingencies surrounding current audits by the IRS and various other domestic and foreign tax authorities, and other income tax matters.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are exposed to certain market risks, including changes in interest rates and foreign currency exchange rates that could adversely affect our results of operations or financial condition. Our exposure to market risk includes our revolving credit facilities, derivative instruments and cash and cash equivalents, short term and long term marketable securities, accounts receivable, intercompany balances, accounts payable and deferred merchant payables denominated in foreign currencies.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foreign currency exchange rates and interest rates.</w:t>
      </w:r>
    </w:p>
    <w:p>
      <w:pPr>
        <w:spacing w:after="0" w:line="188"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six months ended June 30, 2017. For additional information, see “Quantitative and Qualitative Disclosures About Market Risk” in Item 7A. in Part II of our Annual Report on Form 10-K for the year ended December 31, 2016.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As of June 30, 2017, our management, with the participation of our President and Chief Executive Officer and our Chief Financial Officer, evaluated the effectiveness of our disclosure controls and procedures pursuant to Rule 13a-15(b) promulgated under the Securities Exchange Act of 1934, as amended, or the Exchange Act. Based upon that evaluation, our President and Chief Executive Officer and our Chief Financial Officer concluded that, as of June 30, 2017,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June 30, 2017 that have materially affected, or are reasonably likely to materially affect, our internal control over financial reporting.</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Such matters, however, even if not meritorious, could result in the expenditure of significant financial and managerial resources, divert management's attention from the Company's business objectives and adversely affect the Company's business, results of operations, financial condition and cash flows. In addition, there may be claims or actions pending or threatened against us of which we are currently not aware and the ultimate disposition of which could have a material adverse effect on us.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28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increase visitors to our websites and mobile apps and to cost-effectively convert these visitors into revenue-generating users, our revenue, financial results and business could be harmed.</w:t>
      </w:r>
    </w:p>
    <w:p>
      <w:pPr>
        <w:spacing w:after="0" w:line="15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long term success depends on our continued ability to maintain and increase the overall number of visitors flowing through our platforms in a cost effective manner, to engage users throughout the travel planning and booking phases and to attract consumers who will share their reviews from their trips. The primary asset that we use to attract visitors to our websites and convert these visitors into engaged users and bookers is our ability to collect or create, organize and distribute high-quality, commercially valuable content and products that meet users’ specific interests. Our traffic and user engagement could be adversely affected by a number of factors, including but not limited to increased competition, reduced consumer awareness of our brands, declines or inefficiencies in traffic acquisition, and macroeconomic conditions. Certain of our competitors have advertising campaigns expressly designed to drive consumer traffic directly to their websites, and these campaigns may negatively impact traffic to our site. There can be no assurances that we will continue to provide content and products in a cost-effective manner or in a manner that meets rapidly changing consumer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9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5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We strive to create the best experience for our users, providing them with the information, research and tools to enable them to plan, book, and experience the perfect trip. We believe that in doing so we will increase our rates of conversion, revenue per shopper and, ultimately, our financial performance over the long-term. We have taken actions in the past and may continue to make decisions in the future that have the effect of reducing our short-term revenue or profitability if we believe that the decisions benefit the aggregate user experience. For example, we may introduce changes to existing products or new products that direct users away from formats or use cases where we have a proven means of monetization. In addition, our approach of putting users first may negatively impact our relationship with existing or prospective advertisers. These actions and practices could result in a loss of advertisers,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users and advertisers, and our business and results of operations could be harmed.</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5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derive a substantial portion of our revenue from the sale of advertising, primarily through click-based advertising and, to a lesser extent, display-based advertising. We enter into master advertising contracts with our advertising partners, however, the agreement terms are generally limited to matters such as privacy and compliance, payment terms and conditions, termination and indemnities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acceptance of online advertising versus more traditional forms of advertising or more effective models,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93"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40" w:name="page41"/>
    <w:bookmarkEnd w:id="40"/>
    <w:p>
      <w:pPr>
        <w:ind w:right="280"/>
        <w:spacing w:after="0" w:line="282" w:lineRule="auto"/>
        <w:rPr>
          <w:sz w:val="20"/>
          <w:szCs w:val="20"/>
          <w:color w:val="auto"/>
        </w:rPr>
      </w:pPr>
      <w:r>
        <w:rPr>
          <w:rFonts w:ascii="Times New Roman" w:cs="Times New Roman" w:eastAsia="Times New Roman" w:hAnsi="Times New Roman"/>
          <w:sz w:val="18"/>
          <w:szCs w:val="18"/>
          <w:color w:val="auto"/>
        </w:rPr>
        <w:t>could have an adverse impact on our click-based advertising revenue which would, in turn, have an adverse effect on our business, financial condition and results of operations.</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5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derive a substantial portion of our revenue from a relatively small number of advertising partners and rely significantly on our relationships. For example, for the year ended December 31, 2016, our two most significant advertising partners, Expedia and Priceline (and their subsidiaries), accounted for a combined 46% of total revenue. While we enter into master advertising contracts with our partners, the terms of these agreements generally address matters such as privacy and compliance, payment terms and conditions, termination and indemnities and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29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internet search engine algorithms and dynamics, or search engine disintermediation, could have a negative impact on traffic for our sites and, ultimately, our business and results of operations.</w:t>
      </w:r>
    </w:p>
    <w:p>
      <w:pPr>
        <w:spacing w:after="0" w:line="159"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We rely heavily on internet search engines, such as Google, to generate traffic to our websites, principally through the purchase of travel-related keywords as well as through free, or organic, search. Pricing and operating dynamics for these traffic sources can change rapidly, both technically and competitively. Search engines frequently update and change the logic that determines the placement and display of results of a user’s search, such that the purchased or algorithmic placement of links to our websites can be negatively affected. In addition, a search engine could, for competitive or other purposes, alter its search algorithms or results causing our websites to place lower in organic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Furthermore, our failure to successfully manage our SEO and SEM strategies could result in a substantial decrease in traffic to our websites, as well as increased costs if we were to replace free traffic with paid traffic.</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addition, to the extent that Google or other leading search or metasearch engines that have a significant presence in our key markets, disintermediate OTAs or travel content providers, whether by offering their own comprehensive travel planning or shopping capabilities, or by referring leads to suppliers, other favored partners or themselves directly, there could be a material adverse impact on our business and financial performance. To the extent these actions have a negative effect on search results and traffic to our site, our business and financial performance could be adversely affected.</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We also rely on application marketplaces, such as Apple’s App Store and Google’s Play, to drive downloads of our applications. In the future, Apple, Google or other marketplace operators may make changes to their marketplaces that make access to our products more difficult. For example,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1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invest significant time and effort towards educating users about our brand and our product offerings and there can be no assurances that these efforts will be successful.</w:t>
      </w:r>
    </w:p>
    <w:p>
      <w:pPr>
        <w:spacing w:after="0" w:line="159" w:lineRule="exact"/>
        <w:rPr>
          <w:sz w:val="20"/>
          <w:szCs w:val="20"/>
          <w:color w:val="auto"/>
        </w:rPr>
      </w:pPr>
    </w:p>
    <w:p>
      <w:pPr>
        <w:ind w:firstLine="507"/>
        <w:spacing w:after="0" w:line="272" w:lineRule="auto"/>
        <w:rPr>
          <w:sz w:val="20"/>
          <w:szCs w:val="20"/>
          <w:color w:val="auto"/>
        </w:rPr>
      </w:pPr>
      <w:r>
        <w:rPr>
          <w:rFonts w:ascii="Times New Roman" w:cs="Times New Roman" w:eastAsia="Times New Roman" w:hAnsi="Times New Roman"/>
          <w:sz w:val="17"/>
          <w:szCs w:val="17"/>
          <w:color w:val="auto"/>
        </w:rPr>
        <w:t>The markets for the services we offer are intensely competitive, and some of our current and potential competitors have access to significantly greater and more diversified resources than we do, and they may be able to leverage other aspects of their businesses to enable them to compete more effectively with us. In an effort to be more competitive, we have initiated more aggressive marketing efforts aimed at increasing awareness of our ability to find our users the right hotels at the lowest prices. Specifically, we have initiated a television advertising campaign and reallocated some of our marketing efforts and dollars among the different marketing channels available to us.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 There is no assurance that these actions will have a positive impact on our marketing efficiencies and/or operating margins or when the financial benefit expected to results from these efforts will exceed the costs of such efforts.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1" w:name="page42"/>
    <w:bookmarkEnd w:id="41"/>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Consumer adoption and use of mobile phone devices creates new challenges and, if we are unable to operate effectively on mobile phone devices, our business may be adversely affected.</w:t>
      </w:r>
    </w:p>
    <w:p>
      <w:pPr>
        <w:spacing w:after="0" w:line="15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number of people who access the internet through mobile phones has increased substantially in the last few years and we anticipate that the rate of use of these devices will continue to grow. The mobile phone market in general remains a rapidly evolving market and mobile phones continue to monetize at a significantly lower rate than desktops and tablets. As new devices and platforms are released, users may begin consuming content in a manner that is more difficult to monetize. Advertising opportunities may be more limited on mobile phone devices. In addition, given the device sizes and technical limitations of these devices, mobile phone consumers may not be willing to download multiple apps from multiple companies providing similar service and instead prefer to use one or a limited number of apps for their hotel, restaurant and attractions activity.</w:t>
      </w:r>
    </w:p>
    <w:p>
      <w:pPr>
        <w:spacing w:after="0" w:line="188"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To address these growing user demands, we continue to extend our platform to develop and improve upon our mobile applications and monetization strategies. If we are unable to continue to rapidly innovate and create new, user-friendly and differentiated mobile phone offerings and websites optimized for mobile phone devices and efficiently and effectively advertise and distribute on these platforms, or if our mobile phone offerings are not used by consumers, our future growth and results of operations could be negatively impacted.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Declines or disruptions in the economy in general and travel industry in particular could adversely affect our businesses and financial performance.</w:t>
      </w:r>
    </w:p>
    <w:p>
      <w:pPr>
        <w:spacing w:after="0" w:line="22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further declines in consumer confidence. Decreased travel expenditures could reduce the demand for our services and have a negative impact on our business, working capital and financial performance.</w:t>
      </w:r>
    </w:p>
    <w:p>
      <w:pPr>
        <w:spacing w:after="0" w:line="185"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76"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On June 23, 2016, the United Kingdom held a referendum in which a majority of voters voted to exit the European Union (“Brexit”). Since the referendum, global markets and foreign currency exchange rates have experienced increased volatility, including a sharp decline in the value of the British Pound Sterling relative to the U.S. dollar. To leave the European Union, the United Kingdom must provide official notice of its decision and negotiate the terms of its exit. This process could take two years or more. The effects of Brexit will depend on, among other things, the terms, nature and timetable of the exit and the parties have not yet established these terms, Brexit could adversely affect European and global economic or market conditions and could contribute to instability in global financial markets. Any of these effects of Brexit, and others we cannot anticipate, may have a negative effect on the travel industry and may adversely affect our business.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value of our brands and consumer trust in our brands. If we are not able to protect, maintain and enhance our brands, or if events occur that damage our reputation and brands, our business may be harmed.</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believe that the strength of our brands (particularly the TripAdvisor brand) has contributed significantly to our success and that maintaining and enhancing our brands is critical to expanding our base of users, to creating content and to attracting advertisers. As a result, we invest significantly in brand marketing. We expect these investments to continue, or even increase, as a result of a variety of factors, including relatively high levels of advertising spending from competitors, the increasing costs of supporting multiple brands, expansion into new geographies, product positioning where our brands are less well known, inflation in media pricing, and the continued emergence and relative traffic share growth of search engines as destination sites for travelers.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2" w:name="page43"/>
    <w:bookmarkEnd w:id="42"/>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Our ability to protect, maintain and enhance our brand also depends largely on our ability to maintain consumer confidence in our products and in the quality and integrity of our content and other information found on our platform. If consumers do not believe our recommended reviews to be useful and reliable, they may seek other services to obtain the information for which they are looking and may not return to our platform as often in the future, or at all. In addition, unfavorable publicity regarding, for example, our practices relating to privacy and data protection, product changes, competitive pressures, litigation or regulatory activity, could adversely affect our reputation with our users and our advertisers. Such negative publicity also could have an adverse effect on the size, engagement, and loyalty of our user base and result in decreased revenue, which could adversely affect our business and financial results.</w:t>
      </w:r>
    </w:p>
    <w:p>
      <w:pPr>
        <w:spacing w:after="0" w:line="29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5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compete in rapidly evolving and competitive markets. We face competition for content, users, advertisers, online travel search and price comparison services, or what is known in the industry as hotel metasearch, and online reservations. In the competition to attract users to our platform, we rely on our ability to acquire traffic through offline brand recognition and brand-direct efforts such as online search, email and television. These marketing strategies can be impacted by competitive site content, changes to our website architecture and page designs, changes to search engine ranking algorithms, updates in competitor advertising strategies, or changes to display ordering in search engine results such as preferred placement for internal products offered by search engines.</w:t>
      </w:r>
    </w:p>
    <w:p>
      <w:pPr>
        <w:spacing w:after="0" w:line="188"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We also compete with different types of companies in the various markets and geographies we participate in, including large and small companies in the travel space as well as broader service providers. More specifically:</w:t>
      </w:r>
    </w:p>
    <w:p>
      <w:pPr>
        <w:spacing w:after="0" w:line="270" w:lineRule="exact"/>
        <w:rPr>
          <w:sz w:val="20"/>
          <w:szCs w:val="20"/>
          <w:color w:val="auto"/>
        </w:rPr>
      </w:pPr>
    </w:p>
    <w:p>
      <w:pPr>
        <w:ind w:left="1280" w:right="80" w:hanging="381"/>
        <w:spacing w:after="0" w:line="261"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Hotel segment, we face competition from OTAs (including Expedia, Inc. and The Priceline Group Inc. and certain of their respective subsidiaries), hotel metasearch providers (including Trivago, Kayak, Ctrip.com International, Ltd., and HotelsCombined), large online search, social media, and marketplace companies (including Google, Microsoft Bing, Yahoo, Baidu, Facebook, Alibaba, and Amazon), traditional offline travel agencies, and global hotel chains seeking to promote direct bookings.</w:t>
      </w:r>
    </w:p>
    <w:p>
      <w:pPr>
        <w:spacing w:after="0" w:line="180" w:lineRule="exact"/>
        <w:rPr>
          <w:rFonts w:ascii="Times New Roman" w:cs="Times New Roman" w:eastAsia="Times New Roman" w:hAnsi="Times New Roman"/>
          <w:sz w:val="18"/>
          <w:szCs w:val="18"/>
          <w:color w:val="auto"/>
        </w:rPr>
      </w:pPr>
    </w:p>
    <w:p>
      <w:pPr>
        <w:ind w:left="1280" w:right="60" w:hanging="381"/>
        <w:spacing w:after="0" w:line="256"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face competition from different companies in each of the operating segments in our Non-Hotel segment. Our Attractions business competes with traditional travel agencies, wholesalers, and individual tour operators as well as Airbnb and similar websites that have added other travel services such as tours and activities. Our Restaurants business competes with other online restaurant reservation services, such as SeatMe (owned by Yelp) and OpenTable (a subsidiary of Priceline). Our Vacation Rentals business competes with companies focused on alternative lodging, shared accommodations and online accommodation searches, including Airbnb, HomeAway (a subsidiary of Expedia) and booking.com (a subsidiary of Priceline).</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marketing and other resources compared to us and have expertise in developing online commerce and facilitating internet traffic as well as large client bases. They also have the ability to leverage other aspects of their business to enable them to compete more effectively against us.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88"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Certain of the companies we do business with, including some of our click-based advertising partners, are also our competitors. The consolidation of our competitors and partners, including Expedia (through its acquisitions of Orbitz, Travelocity, and HomeAway) and Priceline (through its acquisitions of Kayak and OpenTable),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member engagement, any of which could adversely affect our business and financial performance.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3" w:name="page44"/>
    <w:bookmarkEnd w:id="43"/>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5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technologies and systems for, among other things,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users.</w:t>
      </w:r>
    </w:p>
    <w:p>
      <w:pPr>
        <w:spacing w:after="0" w:line="188"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addition, the emergence of alternative platforms such as mobile phone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w:t>
      </w:r>
    </w:p>
    <w:p>
      <w:pPr>
        <w:spacing w:after="0" w:line="2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15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Our success depends in part on continued innovation to provide features and services that make our platform compelling to travelers. Our competitors are continually developing innovations in online travel-related services and features. As a result, we are continually working to improve our business model and user experience in order to drive user traffic and conversion rates. We can give no assurances that the changes we make will yield the benefits we expect and will not have adverse impacts that we did not anticipate. If we are unable to continue offering innovative products and services and quality features that travelers want to use, existing users may become dissatisfied and use competitors’ offerings and we may be unable to attract additional users, which could adversely affect our business and financial performance.</w:t>
      </w:r>
    </w:p>
    <w:p>
      <w:pPr>
        <w:spacing w:after="0" w:line="29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59"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use technology and processes to monitor the quality of the internet traffic that we deliver to online advertisers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5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believe that certain metrics are key to our business, including unique visitors, hotel shoppers, revenue per hotel shopper, and number of reviews and opinions. As the industry in which we operate and our business continues to evolve, so too might the metrics by which we evaluate our business. While the calculation of these metrics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users may restrict our ability to accurately identify them across visits, some mobile applications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more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In addition, historically, certain metrics were calculated by independent third parties. Accordingly readers should not place undue reliance on these numbers.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4" w:right="2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personnel, or our failure to attract and retain other highly qualified personnel in the future, could harm our business.</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future success depends upon the continued contributions of our senior corporate management and other key employees. In particular, the contributions of Stephen Kaufer, our co-founder, President and Chief Executive Officer, are critical to our overall management. We cannot ensure that we will be able to retain the services of these individuals, and the loss of one or more of our key personnel could seriously harm our business. We do not maintain any key person life insurance policies.</w:t>
      </w:r>
    </w:p>
    <w:p>
      <w:pPr>
        <w:spacing w:after="0" w:line="180"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such as those put in place in the United States in early 2017,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29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online vacation rental market is rapidly evolving and if we fail to predict the manner in which the market develops, our business and prospects may suffer.</w:t>
      </w:r>
    </w:p>
    <w:p>
      <w:pPr>
        <w:spacing w:after="0" w:line="159"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We offer vacation rental services on our TripAdvisor-branded sites as well as through our U.S.-based FlipKey and Vacation Home Rentals and European-based Holiday Lettings and Niumba businesses. The vacation rental market has been and continues to be, subject to regulatory development that affects the vacation rental industry and the ability of companies like us to list those vacation rentals online. For example, some states and local jurisdictions have adopted or are considering statutes or ordinances that prohibit property owners and managers from renting certain properties for fewer than 30 consecutive days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vacation rentals. In addition,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and in new and untested jurisdictions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29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violated intellectual property rights of others and these claims can be extremely costly to defend and could require us to pay significant damages and limit our ability to operate.</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Certain companies in the internet and technology industries that own patents, copyrights, trademarks and trade secrets frequently enter into litigation based on allegations of infringement or other violations of those intellectual property rights in order to extract value from technology companies, such as royalties in connection with grants of licenses. We have received in the past, and expect in the future to receive notices that claim we have misappropriated or misused other parties’ intellectual property rights. Any intellectual property claim against us, regardless of merit, could be time-consuming and expensive to settle or litigate and could divert management’s attention and other resources. These claims also could subject us to significant liability for damages and could result in our having to stop using 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45" w:name="page46"/>
    <w:bookmarkEnd w:id="45"/>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5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product offerings and expand user engagement in order to grow our business in response to changing technologies, user and advertiser demands and competitive pressures. As a result, we have acquired, invested in and/or entered into significant commercial arrangements with a number of new business in the past and our future growth may depend, in part, on future acquisitions, investments, commercial arrangements/or changes in business strategies, any of which could be material to our financial conditions and results of operations. Such endeavors may involve significant risks and uncertainties, including, but not limited to, the following:</w:t>
      </w:r>
    </w:p>
    <w:p>
      <w:pPr>
        <w:spacing w:after="0" w:line="76" w:lineRule="exact"/>
        <w:rPr>
          <w:sz w:val="20"/>
          <w:szCs w:val="20"/>
          <w:color w:val="auto"/>
        </w:rPr>
      </w:pPr>
    </w:p>
    <w:p>
      <w:pPr>
        <w:ind w:left="1040" w:hanging="384"/>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and unexpected costs incurred in identifying and pursuing these endeavors, and performing due diligence on potential targets that may or may not be successful;</w:t>
      </w:r>
    </w:p>
    <w:p>
      <w:pPr>
        <w:spacing w:after="0" w:line="53" w:lineRule="exact"/>
        <w:rPr>
          <w:rFonts w:ascii="Times New Roman" w:cs="Times New Roman" w:eastAsia="Times New Roman" w:hAnsi="Times New Roman"/>
          <w:sz w:val="18"/>
          <w:szCs w:val="18"/>
          <w:color w:val="auto"/>
        </w:rPr>
      </w:pPr>
    </w:p>
    <w:p>
      <w:pPr>
        <w:ind w:left="1040" w:right="380" w:hanging="384"/>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cash resources and incurrence of debt and contingent liabilities in funding these endeavors that may limit other potential uses of our cash, including stock repurchases, retirement of outstanding indebtedness and/or dividend payments;</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related to acquired intangible assets and other adverse accounting consequences;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or other resources from our existing business;</w:t>
      </w:r>
    </w:p>
    <w:p>
      <w:pPr>
        <w:spacing w:after="0" w:line="117" w:lineRule="exact"/>
        <w:rPr>
          <w:rFonts w:ascii="Times New Roman" w:cs="Times New Roman" w:eastAsia="Times New Roman" w:hAnsi="Times New Roman"/>
          <w:sz w:val="18"/>
          <w:szCs w:val="18"/>
          <w:color w:val="auto"/>
        </w:rPr>
      </w:pPr>
    </w:p>
    <w:p>
      <w:pPr>
        <w:ind w:left="1040" w:right="200" w:hanging="384"/>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implementing and retaining uniform standards, controls, procedures, policies and information systems;</w:t>
      </w:r>
    </w:p>
    <w:p>
      <w:pPr>
        <w:spacing w:after="0" w:line="117" w:lineRule="exact"/>
        <w:rPr>
          <w:rFonts w:ascii="Times New Roman" w:cs="Times New Roman" w:eastAsia="Times New Roman" w:hAnsi="Times New Roman"/>
          <w:sz w:val="18"/>
          <w:szCs w:val="18"/>
          <w:color w:val="auto"/>
        </w:rPr>
      </w:pPr>
    </w:p>
    <w:p>
      <w:pPr>
        <w:ind w:left="1040" w:right="40" w:hanging="384"/>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known and unknown debt and liabilities of the acquired company, including costs associated with litigation and other claims relating to the acquired company;</w:t>
      </w:r>
    </w:p>
    <w:p>
      <w:pPr>
        <w:spacing w:after="0" w:line="53" w:lineRule="exact"/>
        <w:rPr>
          <w:rFonts w:ascii="Times New Roman" w:cs="Times New Roman" w:eastAsia="Times New Roman" w:hAnsi="Times New Roman"/>
          <w:sz w:val="18"/>
          <w:szCs w:val="18"/>
          <w:color w:val="auto"/>
        </w:rPr>
      </w:pPr>
    </w:p>
    <w:p>
      <w:pPr>
        <w:ind w:left="1040" w:right="360" w:hanging="384"/>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generate adequate returns on acquisitions and investments;</w:t>
      </w:r>
    </w:p>
    <w:p>
      <w:pPr>
        <w:spacing w:after="0" w:line="117" w:lineRule="exact"/>
        <w:rPr>
          <w:rFonts w:ascii="Times New Roman" w:cs="Times New Roman" w:eastAsia="Times New Roman" w:hAnsi="Times New Roman"/>
          <w:sz w:val="18"/>
          <w:szCs w:val="18"/>
          <w:color w:val="auto"/>
        </w:rPr>
      </w:pPr>
    </w:p>
    <w:p>
      <w:pPr>
        <w:ind w:left="1040" w:right="760" w:hanging="384"/>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no direct prior experience and increased complexity in our business;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other intangible assets such as trademarks or other intellectual property arising from acquisitions;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acquisitions.</w:t>
      </w:r>
    </w:p>
    <w:p>
      <w:pPr>
        <w:spacing w:after="0" w:line="225" w:lineRule="exact"/>
        <w:rPr>
          <w:sz w:val="20"/>
          <w:szCs w:val="20"/>
          <w:color w:val="auto"/>
        </w:rPr>
      </w:pPr>
    </w:p>
    <w:p>
      <w:pPr>
        <w:ind w:right="140" w:firstLine="518"/>
        <w:spacing w:after="0" w:line="255" w:lineRule="auto"/>
        <w:rPr>
          <w:sz w:val="20"/>
          <w:szCs w:val="20"/>
          <w:color w:val="auto"/>
        </w:rPr>
      </w:pPr>
      <w:r>
        <w:rPr>
          <w:rFonts w:ascii="Times New Roman" w:cs="Times New Roman" w:eastAsia="Times New Roman" w:hAnsi="Times New Roman"/>
          <w:sz w:val="18"/>
          <w:szCs w:val="18"/>
          <w:color w:val="auto"/>
        </w:rPr>
        <w:t>We have recently invested, and may in the future invest, in privately-held companies and these investments are currently accounted for under the cost method.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8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brand, results of operations and business could be harmed.</w:t>
      </w:r>
    </w:p>
    <w:p>
      <w:pPr>
        <w:spacing w:after="0" w:line="22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have experienced rapid growth in our headcount and operations, including through acquisitions of other businesses and in new international markets. We continue to make substantial investments in our technology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6" w:name="page47"/>
    <w:bookmarkEnd w:id="46"/>
    <w:p>
      <w:pPr>
        <w:ind w:firstLine="518"/>
        <w:spacing w:after="0" w:line="258" w:lineRule="auto"/>
        <w:rPr>
          <w:sz w:val="20"/>
          <w:szCs w:val="20"/>
          <w:color w:val="auto"/>
        </w:rPr>
      </w:pPr>
      <w:r>
        <w:rPr>
          <w:rFonts w:ascii="Times New Roman" w:cs="Times New Roman" w:eastAsia="Times New Roman" w:hAnsi="Times New Roman"/>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regularly subject to claims, suits, government investigations, and other proceedings that may result in adverse outcomes.</w:t>
      </w:r>
    </w:p>
    <w:p>
      <w:pPr>
        <w:spacing w:after="0" w:line="22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are regularly subject to claims, suits, government investigations and other proceedings involving competition, intellectual property, privacy and data protection, consumer protection, tax, labor and employment, commercial disputes, content generated by our users, free speech issues, goods and services offered by advertisers or publishers using our platforms, and other matters. In addition, our businesses face intellectual property litigation that exposes us to the risk of exclusion and cease and desist orders, which could limit our ability to sell products and services.</w:t>
      </w:r>
    </w:p>
    <w:p>
      <w:pPr>
        <w:spacing w:after="0" w:line="180"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Such claims, suits, government investigations and proceedings are inherently uncertain and their results cannot be predicted with certainty. Regardless of the outcome, any of these types of legal proceedings can have an adverse impact on us because of legal costs, diversion of management resources, injunctions or damage awards and other factors. Determining reserves for our pending litigation is a complex, fact-intensive process that requires significant judgment. It is possible that a resolution of one or more such proceedings could result in substantial fines and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8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5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We operate in a number of jurisdictions both inside and outside of the United States and continue to expand our operations both domestically and internationally. Many regions have different economic conditions, languages, currencies, consumer expectations, levels of consumer acceptance and use of the internet for commerce, legislation, regulatory environments (including labors laws and customs), tax laws and levels of political stability. We are subject to associated risks typical of global businesses, including, but not limited to, the following:</w:t>
      </w:r>
    </w:p>
    <w:p>
      <w:pPr>
        <w:spacing w:after="0" w:line="72" w:lineRule="exact"/>
        <w:rPr>
          <w:sz w:val="20"/>
          <w:szCs w:val="20"/>
          <w:color w:val="auto"/>
        </w:rPr>
      </w:pPr>
    </w:p>
    <w:p>
      <w:pPr>
        <w:ind w:left="1040" w:right="440" w:hanging="344"/>
        <w:spacing w:after="0" w:line="282" w:lineRule="auto"/>
        <w:tabs>
          <w:tab w:leader="none" w:pos="10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additional laws, including the Foreign Corrupt Practices Act and U.K. Bribery Act, data privacy requirements, labor and employment law, laws regarding advertisements and promotions and anti-competition regulations;</w:t>
      </w:r>
    </w:p>
    <w:p>
      <w:pPr>
        <w:spacing w:after="0" w:line="53" w:lineRule="exact"/>
        <w:rPr>
          <w:rFonts w:ascii="Times New Roman" w:cs="Times New Roman" w:eastAsia="Times New Roman" w:hAnsi="Times New Roman"/>
          <w:sz w:val="18"/>
          <w:szCs w:val="18"/>
          <w:color w:val="auto"/>
        </w:rPr>
      </w:pPr>
    </w:p>
    <w:p>
      <w:pPr>
        <w:ind w:left="1040" w:hanging="34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legally enforce contractual rights;</w:t>
      </w:r>
    </w:p>
    <w:p>
      <w:pPr>
        <w:spacing w:after="0" w:line="117" w:lineRule="exact"/>
        <w:rPr>
          <w:rFonts w:ascii="Times New Roman" w:cs="Times New Roman" w:eastAsia="Times New Roman" w:hAnsi="Times New Roman"/>
          <w:sz w:val="18"/>
          <w:szCs w:val="18"/>
          <w:color w:val="auto"/>
        </w:rPr>
      </w:pPr>
    </w:p>
    <w:p>
      <w:pPr>
        <w:ind w:left="1040" w:hanging="34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and limits on enforceability of intellectual property rights;</w:t>
      </w:r>
    </w:p>
    <w:p>
      <w:pPr>
        <w:spacing w:after="0" w:line="117" w:lineRule="exact"/>
        <w:rPr>
          <w:rFonts w:ascii="Times New Roman" w:cs="Times New Roman" w:eastAsia="Times New Roman" w:hAnsi="Times New Roman"/>
          <w:sz w:val="18"/>
          <w:szCs w:val="18"/>
          <w:color w:val="auto"/>
        </w:rPr>
      </w:pPr>
    </w:p>
    <w:p>
      <w:pPr>
        <w:ind w:left="1040" w:hanging="34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repatriation of cash as well as restrictions on investments in operations in certain countries;</w:t>
      </w:r>
    </w:p>
    <w:p>
      <w:pPr>
        <w:spacing w:after="0" w:line="117" w:lineRule="exact"/>
        <w:rPr>
          <w:rFonts w:ascii="Times New Roman" w:cs="Times New Roman" w:eastAsia="Times New Roman" w:hAnsi="Times New Roman"/>
          <w:sz w:val="18"/>
          <w:szCs w:val="18"/>
          <w:color w:val="auto"/>
        </w:rPr>
      </w:pPr>
    </w:p>
    <w:p>
      <w:pPr>
        <w:ind w:left="1040" w:hanging="34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 arising from transactions in multiple currencies as well as foreign currency exchange restrictions;</w:t>
      </w:r>
    </w:p>
    <w:p>
      <w:pPr>
        <w:spacing w:after="0" w:line="117" w:lineRule="exact"/>
        <w:rPr>
          <w:rFonts w:ascii="Times New Roman" w:cs="Times New Roman" w:eastAsia="Times New Roman" w:hAnsi="Times New Roman"/>
          <w:sz w:val="18"/>
          <w:szCs w:val="18"/>
          <w:color w:val="auto"/>
        </w:rPr>
      </w:pPr>
    </w:p>
    <w:p>
      <w:pPr>
        <w:ind w:left="1040" w:hanging="34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adoption of the internet as an advertising, broadcast and commerce medium in certain international markets;</w:t>
      </w:r>
    </w:p>
    <w:p>
      <w:pPr>
        <w:spacing w:after="0" w:line="117" w:lineRule="exact"/>
        <w:rPr>
          <w:rFonts w:ascii="Times New Roman" w:cs="Times New Roman" w:eastAsia="Times New Roman" w:hAnsi="Times New Roman"/>
          <w:sz w:val="18"/>
          <w:szCs w:val="18"/>
          <w:color w:val="auto"/>
        </w:rPr>
      </w:pPr>
    </w:p>
    <w:p>
      <w:pPr>
        <w:ind w:left="1040" w:hanging="34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staff and operations due to distance, time zones, language and cultural differences;</w:t>
      </w:r>
    </w:p>
    <w:p>
      <w:pPr>
        <w:spacing w:after="0" w:line="117" w:lineRule="exact"/>
        <w:rPr>
          <w:rFonts w:ascii="Times New Roman" w:cs="Times New Roman" w:eastAsia="Times New Roman" w:hAnsi="Times New Roman"/>
          <w:sz w:val="18"/>
          <w:szCs w:val="18"/>
          <w:color w:val="auto"/>
        </w:rPr>
      </w:pPr>
    </w:p>
    <w:p>
      <w:pPr>
        <w:ind w:left="1040" w:right="240" w:hanging="344"/>
        <w:spacing w:after="0" w:line="282" w:lineRule="auto"/>
        <w:tabs>
          <w:tab w:leader="none" w:pos="10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liability for services, content and intellectual property rights, including uncertainty as a result of local laws and lack of precedent;</w:t>
      </w:r>
    </w:p>
    <w:p>
      <w:pPr>
        <w:spacing w:after="0" w:line="53" w:lineRule="exact"/>
        <w:rPr>
          <w:rFonts w:ascii="Times New Roman" w:cs="Times New Roman" w:eastAsia="Times New Roman" w:hAnsi="Times New Roman"/>
          <w:sz w:val="18"/>
          <w:szCs w:val="18"/>
          <w:color w:val="auto"/>
        </w:rPr>
      </w:pPr>
    </w:p>
    <w:p>
      <w:pPr>
        <w:ind w:left="1080" w:hanging="38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and</w:t>
      </w:r>
    </w:p>
    <w:p>
      <w:pPr>
        <w:spacing w:after="0" w:line="117" w:lineRule="exact"/>
        <w:rPr>
          <w:rFonts w:ascii="Times New Roman" w:cs="Times New Roman" w:eastAsia="Times New Roman" w:hAnsi="Times New Roman"/>
          <w:sz w:val="18"/>
          <w:szCs w:val="18"/>
          <w:color w:val="auto"/>
        </w:rPr>
      </w:pPr>
    </w:p>
    <w:p>
      <w:pPr>
        <w:ind w:left="1040" w:hanging="344"/>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acts of terrorism.</w:t>
      </w:r>
    </w:p>
    <w:p>
      <w:pPr>
        <w:spacing w:after="0" w:line="225"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For example, we have a business operating in China, which creates particular risks and uncertainties relating to the laws in China. The laws and regulations of China restrict foreign investment in areas including air-ticketing and travel agency services, internet content provision, mobile communication and related businesses. Although we have established effective control of our Chinese business through a series of agreements, future developments in the interpretation or enforcement of Chinese laws and regulations or a dispute relating to these agreements could restrict our ability to operate or restructure this business or to engage in strategic transactions. The success of this business, and of any future investments in China, is subject to risks and uncertainties regarding the application, development and interpretation of China’s laws and regulations.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Additionally, we continue to accumulate positive cash flows in foreign jurisdictions, which we consider indefinitely reinvested. The repatriation of such funds for use in the United States, including for corporate purposes such as acquisitions, stock repurchases, dividends or debt refinancings, may result in additional U.S. income tax expense and higher cost for such capital.</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5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 advertising and online commerce, consumer protection, data security and privacy, travel and vacation rental licensing and listing requirements and tax. In some cases, these laws continue to evolve.</w:t>
      </w:r>
    </w:p>
    <w:p>
      <w:pPr>
        <w:spacing w:after="0" w:line="180"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Further, our Vacation Rentals business has been and continues to be subject to regulatory developments that affect the vacation rental industry and the ability of competitors like us to list those vacation rentals online. For example, some states and local jurisdictions have adopted or are considering adopting statutes or ordinances that prohibit property owners and managers from renting certain properties for fewer than 30 consecutive days. Some states and local jurisdictions also have fair housing or other laws governing whether and how properties may be rented, which they assert apply to vacation rentals. Many homeowners, condominium and neighborhood associations have adopted rules that prohibit or restrict short-term vacation rentals.</w:t>
      </w:r>
    </w:p>
    <w:p>
      <w:pPr>
        <w:spacing w:after="0" w:line="184"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 competitive disadvantage vis-à-vis competitors who do not comply with such requirements.</w:t>
      </w:r>
    </w:p>
    <w:p>
      <w:pPr>
        <w:spacing w:after="0" w:line="184"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Unfavorable changes could decrease demand for products and services, limit marketing methods and capabilities, increase costs and/or subject us to additional liabilities. Violations of these laws and regulations could result in finds and/or criminal sanctions against us, our officers or our employees and/or prohibitions on the conduct of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sure that our intellectual property is protected from copying or use by others, including potential competitors.</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80"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ind w:right="200"/>
        <w:spacing w:after="0" w:line="282" w:lineRule="auto"/>
        <w:rPr>
          <w:sz w:val="20"/>
          <w:szCs w:val="20"/>
          <w:color w:val="auto"/>
        </w:rPr>
      </w:pPr>
      <w:r>
        <w:rPr>
          <w:rFonts w:ascii="Times New Roman" w:cs="Times New Roman" w:eastAsia="Times New Roman" w:hAnsi="Times New Roman"/>
          <w:sz w:val="18"/>
          <w:szCs w:val="18"/>
          <w:color w:val="auto"/>
        </w:rPr>
        <w:t>of resources and management attention. Our failure to protect our intellectual property in a cost-effective or effective manner could have a material adverse effect on our business and ability to protect our technology, content and brands.</w:t>
      </w:r>
    </w:p>
    <w:p>
      <w:pPr>
        <w:spacing w:after="0" w:line="162"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processing, storage and use of personal information and other data exposes us to risks of external and internal security breaches and could give rise to liabilities.</w:t>
      </w:r>
    </w:p>
    <w:p>
      <w:pPr>
        <w:spacing w:after="0" w:line="159"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 In addition, the European Union has adopted a new data protection legal framework, effective in May 2018, which may result in a greater compliance burden for companies, including us, with users in Europe and increased costs of compliance.</w:t>
      </w:r>
    </w:p>
    <w:p>
      <w:pPr>
        <w:spacing w:after="0" w:line="186"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Potential security breaches to our systems, whether resulting from internal or external sources, could significantly harm our business.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also face risks associated with security breaches affecting third parties conducting business over the internet. Much of our business is conducted with third party marketing affiliates or, more recently, through business partners powering our instant booking feature. In addition, we frequently use third parties to process credit card payments. A security breach at such third party could be perceived by consumers as a security breach of our systems and could result in negative publicity, damage our reputation, expose us to risk of loss or litigation and possible liability and subject us to regulatory penalties and sanctions. In addition, such third parties may not comply with applicable disclosure requirements, which could expose us to liability.</w:t>
      </w:r>
    </w:p>
    <w:p>
      <w:pPr>
        <w:spacing w:after="0" w:line="18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strive to comply with all applicable laws, policies, legal obligations and industry codes of conduct relating to privacy and data protection.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that could harm our reputation and cause our customers and members to lose trust in us, which could have an adverse effect on our business, brand, market share and results of operations. We may need to expend significant resources to protect against security breaches or to investigate and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 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19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We have acquired a number of companies over the years and may continue to do so in the future. While we make significant efforts to address any information technology security issues with respect to our acquisitions, we may still inherit such risks when we integrate the acquired businesses.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interruption and the lack of redundancy in some of our internal information systems may harm our business.</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We rely on computer systems to deliver content and services. We have experienced and may in the future experience system interruptions that make some or all of these systems unavailable or prevent us from efficiently providing content and services to users and third parties. Significant interruptions, outages or delays in internal systems, or systems of third parties that we rely upon, or deterioration in the performance of any such systems, would impair our ability to process transactions or display content and decrease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9" w:name="page50"/>
    <w:bookmarkEnd w:id="49"/>
    <w:p>
      <w:pPr>
        <w:spacing w:after="0" w:line="258" w:lineRule="auto"/>
        <w:rPr>
          <w:sz w:val="20"/>
          <w:szCs w:val="20"/>
          <w:color w:val="auto"/>
        </w:rPr>
      </w:pPr>
      <w:r>
        <w:rPr>
          <w:rFonts w:ascii="Times New Roman" w:cs="Times New Roman" w:eastAsia="Times New Roman" w:hAnsi="Times New Roman"/>
          <w:sz w:val="18"/>
          <w:szCs w:val="18"/>
          <w:color w:val="auto"/>
        </w:rPr>
        <w:t>the quality of the services we offer to travelers and users. These interruptions could include security intrusions and attacks on our systems for fraud or service interruption (called “denial of service” or “bot” attacks).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If we experience frequent or persistent system failures, our reputation and brand could be permanently and significantly harmed.</w:t>
      </w:r>
    </w:p>
    <w:p>
      <w:pPr>
        <w:spacing w:after="0" w:line="18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In addition,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future capital needs and may not be able to obtain additional financing on acceptable terms.</w:t>
      </w:r>
    </w:p>
    <w:p>
      <w:pPr>
        <w:spacing w:after="0" w:line="229" w:lineRule="exact"/>
        <w:rPr>
          <w:sz w:val="20"/>
          <w:szCs w:val="20"/>
          <w:color w:val="auto"/>
        </w:rPr>
      </w:pPr>
    </w:p>
    <w:p>
      <w:pPr>
        <w:ind w:right="160" w:firstLine="518"/>
        <w:spacing w:after="0" w:line="255" w:lineRule="auto"/>
        <w:rPr>
          <w:sz w:val="20"/>
          <w:szCs w:val="20"/>
          <w:color w:val="auto"/>
        </w:rPr>
      </w:pPr>
      <w:r>
        <w:rPr>
          <w:rFonts w:ascii="Times New Roman" w:cs="Times New Roman" w:eastAsia="Times New Roman" w:hAnsi="Times New Roman"/>
          <w:sz w:val="18"/>
          <w:szCs w:val="18"/>
          <w:color w:val="auto"/>
        </w:rPr>
        <w:t>We are currently party to a credit agreement with respect to a $1.2 billion revolving credit facility maturing in May 2022, or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indebtedness which could adversely affect our business and financial condition.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have outstanding $260 million in long-term debt. Risks relating to our indebtedness include:</w:t>
      </w:r>
    </w:p>
    <w:p>
      <w:pPr>
        <w:spacing w:after="0" w:line="117" w:lineRule="exact"/>
        <w:rPr>
          <w:sz w:val="20"/>
          <w:szCs w:val="20"/>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17" w:lineRule="exact"/>
        <w:rPr>
          <w:rFonts w:ascii="Times New Roman" w:cs="Times New Roman" w:eastAsia="Times New Roman" w:hAnsi="Times New Roman"/>
          <w:sz w:val="18"/>
          <w:szCs w:val="18"/>
          <w:color w:val="auto"/>
        </w:rPr>
      </w:pPr>
    </w:p>
    <w:p>
      <w:pPr>
        <w:jc w:val="both"/>
        <w:ind w:left="1040" w:right="140" w:hanging="384"/>
        <w:spacing w:after="0" w:line="313" w:lineRule="auto"/>
        <w:tabs>
          <w:tab w:leader="none" w:pos="10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30" w:lineRule="exact"/>
        <w:rPr>
          <w:rFonts w:ascii="Times New Roman" w:cs="Times New Roman" w:eastAsia="Times New Roman" w:hAnsi="Times New Roman"/>
          <w:sz w:val="17"/>
          <w:szCs w:val="17"/>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optimally capitalize and manage the cash flow for our businesses;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businesses and the markets in which we operate;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Possibly placing us at a competitive disadvantage compared to our competitors that have less debt;</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or to borrow funds at rates or on other terms that we find acceptable;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because our outstanding debt is expected to be subject to variable rates of interest.</w:t>
      </w:r>
    </w:p>
    <w:p>
      <w:pPr>
        <w:spacing w:after="0" w:line="225"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current debt levels, the risks described above could intensify.</w:t>
      </w:r>
    </w:p>
    <w:p>
      <w:pPr>
        <w:spacing w:after="0" w:line="28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their covenants could have a material adverse effect on us.</w:t>
      </w:r>
    </w:p>
    <w:p>
      <w:pPr>
        <w:spacing w:after="0" w:line="15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54" w:lineRule="exact"/>
        <w:rPr>
          <w:sz w:val="20"/>
          <w:szCs w:val="20"/>
          <w:color w:val="auto"/>
        </w:rPr>
      </w:pPr>
    </w:p>
    <w:p>
      <w:pPr>
        <w:ind w:left="1040" w:hanging="384"/>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redeem or repurchase our capital stock;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50" w:name="page51"/>
    <w:bookmarkEnd w:id="50"/>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asset sale transactions, including partial or full spin-off transactions;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secured financing arrangements;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unrelated businesses.</w:t>
      </w:r>
    </w:p>
    <w:p>
      <w:pPr>
        <w:spacing w:after="0" w:line="225" w:lineRule="exact"/>
        <w:rPr>
          <w:sz w:val="20"/>
          <w:szCs w:val="20"/>
          <w:color w:val="auto"/>
        </w:rPr>
      </w:pPr>
    </w:p>
    <w:p>
      <w:pPr>
        <w:jc w:val="both"/>
        <w:ind w:right="240" w:firstLine="518"/>
        <w:spacing w:after="0" w:line="261" w:lineRule="auto"/>
        <w:rPr>
          <w:sz w:val="20"/>
          <w:szCs w:val="20"/>
          <w:color w:val="auto"/>
        </w:rPr>
      </w:pPr>
      <w:r>
        <w:rPr>
          <w:rFonts w:ascii="Times New Roman" w:cs="Times New Roman" w:eastAsia="Times New Roman" w:hAnsi="Times New Roman"/>
          <w:sz w:val="18"/>
          <w:szCs w:val="18"/>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facilities.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15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84"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The final determination of audits could be materially different from our income tax provisions and accruals and could have a material effect on our financial position, results of operations, or cash flows in the period or periods for which that determination is made.</w:t>
      </w:r>
    </w:p>
    <w:p>
      <w:pPr>
        <w:spacing w:after="0" w:line="18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Additionally, we continue to accumulate positive cash flows in foreign jurisdictions, which we consider indefinitely reinvested.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or the examination of our tax positions, could materially affect our financial position and results of operations.</w:t>
      </w:r>
    </w:p>
    <w:p>
      <w:pPr>
        <w:spacing w:after="0" w:line="22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derive could be undermined due to changing tax laws. In particular, the current U.S. administration and key members of Congress have made public statements indicating that tax reform is a priority, resulting in uncertainty not only with respect to the future corporate tax rate, but also the U.S. tax consequences of income derived from income related to intellectual property earned overseas in low tax jurisdictions. Certain changes to U.S. tax laws, including limitations on the ability to defer U.S. taxation on earnings outside of the United States until those earnings are repatriated to the United States, as well as changes to U.S. tax laws that may be enacted in the future, could affect the tax treatment of our foreign earnings.</w:t>
      </w:r>
    </w:p>
    <w:p>
      <w:pPr>
        <w:spacing w:after="0" w:line="18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business, operating results and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In connection with the Spin-Off, we could be subject to significant tax liabilities.</w:t>
      </w:r>
    </w:p>
    <w:p>
      <w:pPr>
        <w:spacing w:after="0" w:line="22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an IRS audit for the 2009, 2010, and 2011 tax years. In connection with that audit, we received, in January 2017, notices of proposed adjustment from the IRS for the 2009 and 2010 tax years, which would result in an increase in our worldwide income tax expense. The proposed adjustments would result in an increase to our worldwide income tax expense in an estimated range totaling $10 million to $14 million for those specific years after consideration of competent authority relief, exclusive of interest and penalties. We are also subject to various ongoing state income tax audits. The outcome of these matters or any other audits could subject us to significant tax liabilities.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fluctuation in foreign currency exchange risk.</w:t>
      </w:r>
    </w:p>
    <w:p>
      <w:pPr>
        <w:spacing w:after="0" w:line="22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conduct a significant and growing portion of our business outside the United States but report our results in U.S. dollars. As a result, we face exposure to movements in foreign currency exchange rates, particularly those related to the Euro, British pound sterling,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84"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89"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TripAdvisor Holdings, Inc. currently is a controlling stockholder.</w:t>
      </w:r>
    </w:p>
    <w:p>
      <w:pPr>
        <w:spacing w:after="0" w:line="22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 Maffei and Director Albert Rosenthaler also serve as officers and directors of LTRIP. LTRIP, which has investments in other companies,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Liberty’s control of us, as well as the existing provisions of our organizational documents and Delaware law, may discourage or prevent a change of control that might otherwise be beneficial, which may reduce the market price of our common stock.</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52" w:name="page53"/>
    <w:bookmarkEnd w:id="5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59"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54" w:lineRule="exact"/>
        <w:rPr>
          <w:sz w:val="20"/>
          <w:szCs w:val="20"/>
          <w:color w:val="auto"/>
        </w:rPr>
      </w:pPr>
    </w:p>
    <w:p>
      <w:pPr>
        <w:ind w:left="1040" w:hanging="384"/>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1040" w:right="820" w:hanging="384"/>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53" w:lineRule="exact"/>
        <w:rPr>
          <w:rFonts w:ascii="Times New Roman" w:cs="Times New Roman" w:eastAsia="Times New Roman" w:hAnsi="Times New Roman"/>
          <w:sz w:val="18"/>
          <w:szCs w:val="18"/>
          <w:color w:val="auto"/>
        </w:rPr>
      </w:pPr>
    </w:p>
    <w:p>
      <w:pPr>
        <w:ind w:left="1040" w:right="680" w:hanging="384"/>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62"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59"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may be volatile and may face negative pressure.</w:t>
      </w:r>
    </w:p>
    <w:p>
      <w:pPr>
        <w:spacing w:after="0" w:line="229"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68" w:lineRule="exact"/>
        <w:rPr>
          <w:sz w:val="20"/>
          <w:szCs w:val="20"/>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market expectations;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117" w:lineRule="exact"/>
        <w:rPr>
          <w:rFonts w:ascii="Times New Roman" w:cs="Times New Roman" w:eastAsia="Times New Roman" w:hAnsi="Times New Roman"/>
          <w:sz w:val="18"/>
          <w:szCs w:val="18"/>
          <w:color w:val="auto"/>
        </w:rPr>
      </w:pPr>
    </w:p>
    <w:p>
      <w:pPr>
        <w:ind w:left="1040" w:right="140" w:hanging="384"/>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 including changes in governmental regulations; and</w:t>
      </w:r>
    </w:p>
    <w:p>
      <w:pPr>
        <w:spacing w:after="0" w:line="117" w:lineRule="exact"/>
        <w:rPr>
          <w:rFonts w:ascii="Times New Roman" w:cs="Times New Roman" w:eastAsia="Times New Roman" w:hAnsi="Times New Roman"/>
          <w:sz w:val="18"/>
          <w:szCs w:val="18"/>
          <w:color w:val="auto"/>
        </w:rPr>
      </w:pPr>
    </w:p>
    <w:p>
      <w:pPr>
        <w:ind w:left="1040" w:right="620" w:hanging="384"/>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related to our operating performance or the operating performance of our competitors.</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2017, the average daily trading volume of our common stock on NASDAQ was approximately 2.9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9"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75" w:lineRule="exact"/>
        <w:rPr>
          <w:sz w:val="20"/>
          <w:szCs w:val="20"/>
          <w:color w:val="auto"/>
        </w:rPr>
      </w:pPr>
    </w:p>
    <w:p>
      <w:pPr>
        <w:jc w:val="both"/>
        <w:ind w:right="20" w:firstLine="51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54" w:lineRule="exact"/>
        <w:rPr>
          <w:sz w:val="20"/>
          <w:szCs w:val="20"/>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and issuance of Class B common stock that entitles holders to ten votes per share;</w:t>
      </w:r>
    </w:p>
    <w:p>
      <w:pPr>
        <w:spacing w:after="0" w:line="117" w:lineRule="exact"/>
        <w:rPr>
          <w:rFonts w:ascii="Times New Roman" w:cs="Times New Roman" w:eastAsia="Times New Roman" w:hAnsi="Times New Roman"/>
          <w:sz w:val="18"/>
          <w:szCs w:val="18"/>
          <w:color w:val="auto"/>
        </w:rPr>
      </w:pPr>
    </w:p>
    <w:p>
      <w:pPr>
        <w:ind w:left="1040" w:right="80" w:hanging="384"/>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preferred stock which can be created and issued by the Board of Directors without prior stockholder approval, with rights senior to those of our common stock;</w:t>
      </w:r>
    </w:p>
    <w:p>
      <w:pPr>
        <w:spacing w:after="0" w:line="5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stockholders from filling board vacancies or calling special stockholder meetings; and</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who may call special meetings of stockholders.</w:t>
      </w:r>
    </w:p>
    <w:p>
      <w:pPr>
        <w:spacing w:after="0" w:line="22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2017,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On January 25, 2017, our Board of Directors authorized the repurchase of $250 million of our shares of common stock under a new share repurchase program. Our Board of Directors authorized and directed management, working with the Executive Committee of our Board of Directors to affect the share repurchase program in compliance with applicable legal requirements.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84" w:right="259" w:bottom="1440" w:gutter="0" w:footer="0" w:header="0"/>
        </w:sectPr>
      </w:pPr>
    </w:p>
    <w:bookmarkStart w:id="54" w:name="page55"/>
    <w:bookmarkEnd w:id="54"/>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2017, we repurchased 2,549,080 shares of outstanding common stock under the share repurchase program at an average share price of approximately $39.23. A summary of information about our common stock repurchases during the second quarter of 2017 is set forth in the table below:</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50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5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500" w:type="dxa"/>
            <w:vAlign w:val="bottom"/>
          </w:tcPr>
          <w:p>
            <w:pPr>
              <w:spacing w:after="0"/>
              <w:rPr>
                <w:sz w:val="18"/>
                <w:szCs w:val="18"/>
                <w:color w:val="auto"/>
              </w:rPr>
            </w:pPr>
          </w:p>
        </w:tc>
        <w:tc>
          <w:tcPr>
            <w:tcW w:w="1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5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50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5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5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20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50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1 to April 30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100,000,041</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1 to May 31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2,020,577</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39.10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2,020,577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20,995,441</w:t>
            </w: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1 to June 30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528,503</w:t>
            </w:r>
          </w:p>
        </w:tc>
        <w:tc>
          <w:tcPr>
            <w:tcW w:w="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39.72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528,503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2,549,080</w:t>
            </w:r>
          </w:p>
        </w:tc>
        <w:tc>
          <w:tcPr>
            <w:tcW w:w="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2,549,080</w:t>
            </w:r>
          </w:p>
        </w:tc>
        <w:tc>
          <w:tcPr>
            <w:tcW w:w="5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0"/>
        </w:trPr>
        <w:tc>
          <w:tcPr>
            <w:tcW w:w="5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As of June 30, 2017, we have repurchased a total of 6,079,003 shares of outstanding common stock under the share repurchase program at an average share price of approximately $41.13, or $250 million in the aggregate, and have completed our share repurchase program authorized by our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Effective August 7, 2017, the Company adopted an Executive Severance Plan and Summary Plan Description (the “Plan”) applicable to certain employees of the Company and its subsidiaries. The Plan formalizes and standardizes the Company’s severance practices for certain designated employees (each, a “Participant” and, collectively, the “Participants”). The Plan will apply to all “named executive officers” of the Company, although the Plan specifically provides that in the event of any conflict or inconsistency between the terms of any existing employment arrangement or any non-US local law and the terms of the Plan, the terms more beneficial to the Participant shall prevail, without duplication. Adoption of the Plan was approved by the Company’s Compensation Committee, prior to its adoption by the full Board of Directors.</w:t>
      </w:r>
    </w:p>
    <w:p>
      <w:pPr>
        <w:spacing w:after="0" w:line="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Participants covered by the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Plan are determined based on the job classification of the Participants (as reflected in internal job profile designations) and, in certain cases, their years of service with the Company.</w:t>
      </w:r>
    </w:p>
    <w:p>
      <w:pPr>
        <w:spacing w:after="0" w:line="70"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Cause is a defined term under the Plan and generally includes willful or gross neglect by the Participant of his or her duties; the plea of guilty or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contendere </w:t>
      </w:r>
      <w:r>
        <w:rPr>
          <w:rFonts w:ascii="Times New Roman" w:cs="Times New Roman" w:eastAsia="Times New Roman" w:hAnsi="Times New Roman"/>
          <w:sz w:val="18"/>
          <w:szCs w:val="18"/>
          <w:color w:val="auto"/>
        </w:rPr>
        <w:t>to, or conviction for, the commission of a felony offense by the Participant; a material breach by the Participant of fiduciary duty owed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 material breach by the Participant of any nondisclosure, non-solicitation or non-competition obligation owed to the Company or any of its subsidiaries or affiliates. Good Reason is a defined term under the Plan and generally includes a material reduction in the Participant’s annual base salary; a relocation of the Participant’s principal place of business more than 35 miles from the location of the principal place of business from which the Participant worked; or a material and demonstrable adverse change in the nature and scope of the Participant’s duties. Change in Control is also a defined term under the Plan and generally includes the acquisition (by a person other than Liberty TripAdvisor Holdings, Inc. or its affiliates) of more than 50% of the voting power of the Company; a change in the composition of a majority of the Board of Directors of the Company; a reorganization, merger, consolidation, sale or other disposition of all or substantially all of the assets of the Company; or a complete liquidation or dissolution of the Company.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8"/>
          <w:szCs w:val="18"/>
          <w:color w:val="auto"/>
        </w:rPr>
        <w:t>Under the Plan, in the event of a termination by the Company without Cause more than three months prior to a Change in Control or more than twelve</w:t>
      </w:r>
    </w:p>
    <w:p>
      <w:pPr>
        <w:spacing w:after="0" w:line="27"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Change in Control, the severance benefits for the Participant generally shall consist of the following:</w:t>
      </w:r>
    </w:p>
    <w:p>
      <w:pPr>
        <w:spacing w:after="0" w:line="206"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payment of base salary for a period of six to eighteen (18) months following the date of such Participant’s termination of employment; and</w:t>
      </w:r>
    </w:p>
    <w:p>
      <w:pPr>
        <w:spacing w:after="0" w:line="161"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coverage under the Company’s health insurance plan through the Company’s payment of COBRA premiums for a period of six to eighteen (18) months following the date of such Participant’s termination of employment.</w:t>
      </w:r>
    </w:p>
    <w:p>
      <w:pPr>
        <w:spacing w:after="0" w:line="162"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Under the Plan, in the event of a termination by the Company without Cause or by the Participant for Good Reason, in each case within three months prior to or twelve (12) months following a Change in Control, the severance benefits for the Participant shall consist of the following:</w:t>
      </w:r>
    </w:p>
    <w:p>
      <w:pPr>
        <w:spacing w:after="0" w:line="162" w:lineRule="exact"/>
        <w:rPr>
          <w:sz w:val="20"/>
          <w:szCs w:val="20"/>
          <w:color w:val="auto"/>
        </w:rPr>
      </w:pPr>
    </w:p>
    <w:p>
      <w:pPr>
        <w:ind w:left="900" w:right="36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lump sum amount equal to (i) twelve (12) to twenty four (24) months of the Participant’s Base Salary, plus (ii) the Participant’s Target Bonus multiplied by 1, 1.5 or 2; and</w:t>
      </w:r>
    </w:p>
    <w:p>
      <w:pPr>
        <w:spacing w:after="0" w:line="161" w:lineRule="exact"/>
        <w:rPr>
          <w:rFonts w:ascii="Times New Roman" w:cs="Times New Roman" w:eastAsia="Times New Roman" w:hAnsi="Times New Roman"/>
          <w:sz w:val="18"/>
          <w:szCs w:val="18"/>
          <w:color w:val="auto"/>
        </w:rPr>
      </w:pPr>
    </w:p>
    <w:p>
      <w:pPr>
        <w:ind w:left="900" w:right="480" w:hanging="446"/>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 lump sum amount equal to the premiums required to continue the Participant’s medical coverage under the Company’s health insurance plan for a period of twelve (12) to twenty four (24) months.</w:t>
      </w:r>
    </w:p>
    <w:p>
      <w:pPr>
        <w:spacing w:after="0" w:line="162" w:lineRule="exact"/>
        <w:rPr>
          <w:sz w:val="20"/>
          <w:szCs w:val="20"/>
          <w:color w:val="auto"/>
        </w:rPr>
      </w:pPr>
    </w:p>
    <w:p>
      <w:pPr>
        <w:ind w:right="180" w:firstLine="563"/>
        <w:spacing w:after="0" w:line="258" w:lineRule="auto"/>
        <w:rPr>
          <w:sz w:val="20"/>
          <w:szCs w:val="20"/>
          <w:color w:val="auto"/>
        </w:rPr>
      </w:pPr>
      <w:r>
        <w:rPr>
          <w:rFonts w:ascii="Times New Roman" w:cs="Times New Roman" w:eastAsia="Times New Roman" w:hAnsi="Times New Roman"/>
          <w:sz w:val="18"/>
          <w:szCs w:val="18"/>
          <w:color w:val="auto"/>
        </w:rPr>
        <w:t>Payments are designed to comply with Section 409A of the Internal Revenue Code (the “Code”). In addition, if any payment under the Plan would constitute an excess parachute payment within the meaning of Section 280G of the Code, the payments will be reduced to the minimum extent necessary so that no portion of any payment or benefit will constitute an excess parachute payment, provided however, that the reduction will be made only if and to the extent that such reduction would result in an increase in the aggregate payment and benefits to be provided, determined on an after tax basis (taking into account the excise tax imposed pursuant to Section 4999 of the Code, or any successor provision, or any other tax).</w:t>
      </w:r>
    </w:p>
    <w:p>
      <w:pPr>
        <w:spacing w:after="0" w:line="76"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right, in its sole discretion, to amend the Plan or to terminate it prospectively, provided that the Plan may not be amended in any manner which is materially adverse to any Participant without that Participant’s written consent.</w:t>
      </w:r>
    </w:p>
    <w:p>
      <w:pPr>
        <w:spacing w:after="0" w:line="54"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Executive Severance Plan and Summary Plan Description filed as Exhibit 10.4 to this Quarterly Report on Form 10-Q and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20" w:type="dxa"/>
            <w:vAlign w:val="bottom"/>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100" w:type="dxa"/>
            <w:vAlign w:val="bottom"/>
          </w:tcPr>
          <w:p>
            <w:pPr>
              <w:spacing w:after="0"/>
              <w:rPr>
                <w:sz w:val="12"/>
                <w:szCs w:val="12"/>
                <w:color w:val="auto"/>
              </w:rPr>
            </w:pPr>
          </w:p>
        </w:tc>
        <w:tc>
          <w:tcPr>
            <w:tcW w:w="72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Herewith</w:t>
            </w:r>
          </w:p>
        </w:tc>
        <w:tc>
          <w:tcPr>
            <w:tcW w:w="200" w:type="dxa"/>
            <w:vAlign w:val="bottom"/>
          </w:tcPr>
          <w:p>
            <w:pPr>
              <w:spacing w:after="0"/>
              <w:rPr>
                <w:sz w:val="12"/>
                <w:szCs w:val="12"/>
                <w:color w:val="auto"/>
              </w:rPr>
            </w:pPr>
          </w:p>
        </w:tc>
        <w:tc>
          <w:tcPr>
            <w:tcW w:w="2740" w:type="dxa"/>
            <w:vAlign w:val="bottom"/>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Form  SEC File No.  Exhibit  Filing Date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1">
            <w:col w:w="11420"/>
          </w:cols>
          <w:pgMar w:left="240" w:top="684"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10.1+  Offer Letter dated May 9, 2017 between Dermot Halpin and TripAdvisor LLC</w:t>
      </w:r>
    </w:p>
    <w:p>
      <w:pPr>
        <w:spacing w:after="0" w:line="144" w:lineRule="exact"/>
        <w:rPr>
          <w:sz w:val="20"/>
          <w:szCs w:val="20"/>
          <w:color w:val="auto"/>
        </w:rPr>
      </w:pPr>
    </w:p>
    <w:p>
      <w:pPr>
        <w:ind w:left="560" w:right="380" w:hanging="553"/>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10.2</w:t>
        <w:tab/>
        <w:t>First Amendment, dated as of May 12, 2017, by and among TripAdvisor, Inc., TripAdvisor Holdings, LLC, TripAdvisor LLC, the other Subsidiary Loan Parties party thereto, the Lenders party thereto, JPMorgan Chase Bank, N.A., as administrative agent, and J.P. Morgan Europe Limited, as London agent.</w:t>
      </w:r>
    </w:p>
    <w:p>
      <w:pPr>
        <w:spacing w:after="0" w:line="86" w:lineRule="exact"/>
        <w:rPr>
          <w:sz w:val="20"/>
          <w:szCs w:val="20"/>
          <w:color w:val="auto"/>
        </w:rPr>
      </w:pPr>
    </w:p>
    <w:p>
      <w:pPr>
        <w:ind w:left="560" w:right="640" w:hanging="553"/>
        <w:spacing w:after="0" w:line="282" w:lineRule="auto"/>
        <w:rPr>
          <w:sz w:val="20"/>
          <w:szCs w:val="20"/>
          <w:color w:val="auto"/>
        </w:rPr>
      </w:pPr>
      <w:r>
        <w:rPr>
          <w:rFonts w:ascii="Times New Roman" w:cs="Times New Roman" w:eastAsia="Times New Roman" w:hAnsi="Times New Roman"/>
          <w:sz w:val="18"/>
          <w:szCs w:val="18"/>
          <w:color w:val="auto"/>
        </w:rPr>
        <w:t>10.3+ Amended and Restated Option Agreement dated June 5, 2017 between Stephen Kaufer and TripAdvisor, Inc.</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Executive Severance Plan and Summary Plan Description dated August 7, 2017</w:t>
      </w:r>
    </w:p>
    <w:p>
      <w:pPr>
        <w:spacing w:after="0" w:line="13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the Chief Executive Officer pursuant to Section 302 of the Sarbanes-Oxley Act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2002</w:t>
      </w:r>
    </w:p>
    <w:p>
      <w:pPr>
        <w:spacing w:after="0" w:line="12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31.2</w:t>
        <w:tab/>
        <w:t>Certification of the Chief Financial Officer pursuant to Section 302 of the Sarbanes-Oxley Act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2002</w:t>
      </w:r>
    </w:p>
    <w:p>
      <w:pPr>
        <w:spacing w:after="0" w:line="12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the Chief Executive Officer pursuant to Section 906 of the Sarbanes-Oxley Act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2002</w:t>
      </w:r>
    </w:p>
    <w:p>
      <w:pPr>
        <w:spacing w:after="0" w:line="12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32.2</w:t>
        <w:tab/>
        <w:t>Certification of the Chief Financial Officer pursuant to Section 906 of the Sarbanes-Oxley Act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2002</w:t>
      </w:r>
    </w:p>
    <w:p>
      <w:pPr>
        <w:spacing w:after="0" w:line="126" w:lineRule="exact"/>
        <w:rPr>
          <w:sz w:val="20"/>
          <w:szCs w:val="20"/>
          <w:color w:val="auto"/>
        </w:rPr>
      </w:pPr>
    </w:p>
    <w:p>
      <w:pPr>
        <w:ind w:left="560" w:hanging="552"/>
        <w:spacing w:after="0" w:line="257" w:lineRule="auto"/>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period ended June 30, 2017, formatted in XBRL: (i) Unaudited Condensed Consolidated Statements of Operations, (ii) Unaudited Condensed Consolidated Statements of Comprehensive Income,</w:t>
      </w:r>
    </w:p>
    <w:p>
      <w:pPr>
        <w:spacing w:after="0" w:line="1" w:lineRule="exact"/>
        <w:rPr>
          <w:rFonts w:ascii="Times New Roman" w:cs="Times New Roman" w:eastAsia="Times New Roman" w:hAnsi="Times New Roman"/>
          <w:sz w:val="18"/>
          <w:szCs w:val="18"/>
          <w:color w:val="auto"/>
        </w:rPr>
      </w:pPr>
    </w:p>
    <w:p>
      <w:pPr>
        <w:ind w:left="560" w:right="1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(iii) Unaudited Condensed Consolidated Balance Sheets, (iv) Unaudited Condensed Consolidated Statement of Changes in Stockholders’ Equity, (v) Unaudited Condensed Consolidated Statements of Cash Flows, and (vi) Notes to Unaudited Condensed Consolidated Financial Statements.</w:t>
      </w:r>
    </w:p>
    <w:p>
      <w:pPr>
        <w:spacing w:after="0" w:line="167" w:lineRule="exact"/>
        <w:rPr>
          <w:sz w:val="20"/>
          <w:szCs w:val="20"/>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Indicates a management contract or a compensatory plan, contract or arrangement.</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399" w:lineRule="exact"/>
        <w:rPr>
          <w:rFonts w:ascii="Times New Roman" w:cs="Times New Roman" w:eastAsia="Times New Roman" w:hAnsi="Times New Roman"/>
          <w:sz w:val="18"/>
          <w:szCs w:val="18"/>
          <w:i w:val="1"/>
          <w:iCs w:val="1"/>
          <w:color w:val="auto"/>
        </w:rPr>
      </w:pPr>
    </w:p>
    <w:p>
      <w:pPr>
        <w:ind w:left="562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0"/>
        <w:spacing w:after="0"/>
        <w:tabs>
          <w:tab w:leader="none" w:pos="980" w:val="left"/>
          <w:tab w:leader="none" w:pos="2480" w:val="left"/>
        </w:tabs>
        <w:rPr>
          <w:sz w:val="20"/>
          <w:szCs w:val="20"/>
          <w:color w:val="auto"/>
        </w:rPr>
      </w:pPr>
      <w:r>
        <w:rPr>
          <w:rFonts w:ascii="Times New Roman" w:cs="Times New Roman" w:eastAsia="Times New Roman" w:hAnsi="Times New Roman"/>
          <w:sz w:val="18"/>
          <w:szCs w:val="18"/>
          <w:color w:val="auto"/>
        </w:rPr>
        <w:t>10-Q</w:t>
        <w:tab/>
        <w:t>001-35362  10.1</w:t>
      </w:r>
      <w:r>
        <w:rPr>
          <w:sz w:val="20"/>
          <w:szCs w:val="20"/>
          <w:color w:val="auto"/>
        </w:rPr>
        <w:tab/>
      </w:r>
      <w:r>
        <w:rPr>
          <w:rFonts w:ascii="Times New Roman" w:cs="Times New Roman" w:eastAsia="Times New Roman" w:hAnsi="Times New Roman"/>
          <w:sz w:val="17"/>
          <w:szCs w:val="17"/>
          <w:color w:val="auto"/>
        </w:rPr>
        <w:t>5/9/17</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160"/>
        <w:spacing w:after="0"/>
        <w:tabs>
          <w:tab w:leader="none" w:pos="2040" w:val="left"/>
          <w:tab w:leader="none" w:pos="540" w:val="left"/>
        </w:tabs>
        <w:rPr>
          <w:sz w:val="20"/>
          <w:szCs w:val="20"/>
          <w:color w:val="auto"/>
        </w:rPr>
      </w:pPr>
      <w:r>
        <w:rPr>
          <w:rFonts w:ascii="Times New Roman" w:cs="Times New Roman" w:eastAsia="Times New Roman" w:hAnsi="Times New Roman"/>
          <w:sz w:val="18"/>
          <w:szCs w:val="18"/>
          <w:color w:val="auto"/>
        </w:rPr>
        <w:t>8-K</w:t>
        <w:tab/>
        <w:t>001-35362  10.1</w:t>
        <w:tab/>
        <w:t>5/15/17</w:t>
      </w:r>
    </w:p>
    <w:p>
      <w:pPr>
        <w:spacing w:after="0" w:line="347" w:lineRule="exact"/>
        <w:rPr>
          <w:sz w:val="20"/>
          <w:szCs w:val="20"/>
          <w:color w:val="auto"/>
        </w:rPr>
      </w:pPr>
    </w:p>
    <w:p>
      <w:pPr>
        <w:ind w:left="480"/>
        <w:spacing w:after="0"/>
        <w:tabs>
          <w:tab w:leader="none" w:pos="980" w:val="left"/>
          <w:tab w:leader="none" w:pos="2480" w:val="left"/>
        </w:tabs>
        <w:rPr>
          <w:sz w:val="20"/>
          <w:szCs w:val="20"/>
          <w:color w:val="auto"/>
        </w:rPr>
      </w:pPr>
      <w:r>
        <w:rPr>
          <w:rFonts w:ascii="Times New Roman" w:cs="Times New Roman" w:eastAsia="Times New Roman" w:hAnsi="Times New Roman"/>
          <w:sz w:val="18"/>
          <w:szCs w:val="18"/>
          <w:color w:val="auto"/>
        </w:rPr>
        <w:t>8-K</w:t>
        <w:tab/>
        <w:t>001-35362  10.1</w:t>
      </w:r>
      <w:r>
        <w:rPr>
          <w:sz w:val="20"/>
          <w:szCs w:val="20"/>
          <w:color w:val="auto"/>
        </w:rPr>
        <w:tab/>
      </w:r>
      <w:r>
        <w:rPr>
          <w:rFonts w:ascii="Times New Roman" w:cs="Times New Roman" w:eastAsia="Times New Roman" w:hAnsi="Times New Roman"/>
          <w:sz w:val="17"/>
          <w:szCs w:val="17"/>
          <w:color w:val="auto"/>
        </w:rPr>
        <w:t>6/8/17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780" w:space="420"/>
            <w:col w:w="3220"/>
          </w:cols>
          <w:pgMar w:left="240" w:top="684" w:right="2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Inc.</w:t>
            </w:r>
          </w:p>
        </w:tc>
        <w:tc>
          <w:tcPr>
            <w:tcW w:w="3200" w:type="dxa"/>
            <w:vAlign w:val="bottom"/>
          </w:tcPr>
          <w:p>
            <w:pPr>
              <w:spacing w:after="0"/>
              <w:rPr>
                <w:sz w:val="20"/>
                <w:szCs w:val="20"/>
                <w:color w:val="auto"/>
              </w:rPr>
            </w:pPr>
          </w:p>
        </w:tc>
      </w:tr>
      <w:tr>
        <w:trPr>
          <w:trHeight w:val="47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/s/ Ernst Teunissen</w:t>
            </w:r>
          </w:p>
        </w:tc>
      </w:tr>
      <w:tr>
        <w:trPr>
          <w:trHeight w:val="187"/>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Ernst Teunissen</w:t>
            </w:r>
          </w:p>
        </w:tc>
      </w:tr>
      <w:tr>
        <w:trPr>
          <w:trHeight w:val="238"/>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Chief Financial Officer</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2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/s/ Noel Watson</w:t>
            </w:r>
          </w:p>
        </w:tc>
      </w:tr>
      <w:tr>
        <w:trPr>
          <w:trHeight w:val="187"/>
        </w:trPr>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Noel Watson</w:t>
            </w:r>
          </w:p>
        </w:tc>
      </w:tr>
      <w:tr>
        <w:trPr>
          <w:trHeight w:val="238"/>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Chief 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60"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TRIPADVISOR,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EXECUTIVE SEVERANCE PLAN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 SUMMARY PLAN DESCRIPTION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TripAdvisor, Inc. hereby establishes the TripAdvisor, Inc. Executive Severance Plan and Summary Plan Description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for the benefit of certain employees of TripAdvisor, Inc. and its subsidiaries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The purpose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Plan is to provide certain designated employees with benefits in the event that the employee’s employment is terminated 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circumstances entitling the employee to such benefits, as described herein. The Plan is an unfunded welfare benefit plan for a select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group of management or highly compensated employees that is intended to qualify for the exemptions provided in ERISA Sections</w:t>
      </w:r>
    </w:p>
    <w:p>
      <w:pPr>
        <w:spacing w:after="0" w:line="232" w:lineRule="auto"/>
        <w:rPr>
          <w:sz w:val="20"/>
          <w:szCs w:val="20"/>
          <w:color w:val="auto"/>
        </w:rPr>
      </w:pPr>
      <w:r>
        <w:rPr>
          <w:rFonts w:ascii="Times New Roman" w:cs="Times New Roman" w:eastAsia="Times New Roman" w:hAnsi="Times New Roman"/>
          <w:sz w:val="22"/>
          <w:szCs w:val="22"/>
          <w:color w:val="auto"/>
        </w:rPr>
        <w:t>201, 301 and 401 and Department of Labor Reg. §2520.104-24. This Plan supersedes all prior policies and practices of the</w:t>
      </w:r>
    </w:p>
    <w:p>
      <w:pPr>
        <w:spacing w:after="0"/>
        <w:rPr>
          <w:sz w:val="20"/>
          <w:szCs w:val="20"/>
          <w:color w:val="auto"/>
        </w:rPr>
      </w:pPr>
      <w:r>
        <w:rPr>
          <w:rFonts w:ascii="Times New Roman" w:cs="Times New Roman" w:eastAsia="Times New Roman" w:hAnsi="Times New Roman"/>
          <w:sz w:val="21"/>
          <w:szCs w:val="21"/>
          <w:color w:val="auto"/>
        </w:rPr>
        <w:t>Company with respect to severance or separation pay for participating employees whose employment is terminated on or after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(as defined below).</w:t>
      </w:r>
    </w:p>
    <w:p>
      <w:pPr>
        <w:spacing w:after="0" w:line="182" w:lineRule="exact"/>
        <w:rPr>
          <w:sz w:val="20"/>
          <w:szCs w:val="20"/>
          <w:color w:val="auto"/>
        </w:rPr>
      </w:pPr>
    </w:p>
    <w:p>
      <w:pPr>
        <w:ind w:left="820" w:hanging="812"/>
        <w:spacing w:after="0"/>
        <w:tabs>
          <w:tab w:leader="none" w:pos="8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780" w:firstLine="598"/>
        <w:spacing w:after="0" w:line="282"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refers to TripAdvisor, LLC, which shall be the administrator of the Plan as defined in Section 3(16) of ERISA and shall have responsibility for general administration of the Plan and carrying out its provisions.</w:t>
      </w:r>
    </w:p>
    <w:p>
      <w:pPr>
        <w:spacing w:after="0" w:line="135" w:lineRule="exact"/>
        <w:rPr>
          <w:sz w:val="20"/>
          <w:szCs w:val="20"/>
          <w:color w:val="auto"/>
        </w:rPr>
      </w:pPr>
    </w:p>
    <w:p>
      <w:pPr>
        <w:ind w:right="260" w:firstLine="598"/>
        <w:spacing w:after="0" w:line="258"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specified Person, another Person that directly or indirectly Controls or is Controlled by or under common Control with the Person specified.</w:t>
      </w:r>
    </w:p>
    <w:p>
      <w:pPr>
        <w:spacing w:after="0" w:line="158" w:lineRule="exact"/>
        <w:rPr>
          <w:sz w:val="20"/>
          <w:szCs w:val="20"/>
          <w:color w:val="auto"/>
        </w:rPr>
      </w:pPr>
    </w:p>
    <w:p>
      <w:pPr>
        <w:ind w:right="120" w:firstLine="598"/>
        <w:spacing w:after="0" w:line="238"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Affiliated Holders</w:t>
      </w:r>
      <w:r>
        <w:rPr>
          <w:rFonts w:ascii="Times New Roman" w:cs="Times New Roman" w:eastAsia="Times New Roman" w:hAnsi="Times New Roman"/>
          <w:sz w:val="22"/>
          <w:szCs w:val="22"/>
          <w:color w:val="auto"/>
        </w:rPr>
        <w:t>” means, with respect to any specified natural Person, (i) such specified natural Person’s parents, spouse, siblings, descendants, step children, step grandchildren, nieces and nephews and their respective spouses, (ii) the estate, legatees and devisees of such specified natural person and each of the Persons referred to in clause (i) of this definition, and</w:t>
      </w:r>
    </w:p>
    <w:p>
      <w:pPr>
        <w:spacing w:after="0" w:line="1" w:lineRule="exact"/>
        <w:rPr>
          <w:sz w:val="20"/>
          <w:szCs w:val="20"/>
          <w:color w:val="auto"/>
        </w:rPr>
      </w:pPr>
    </w:p>
    <w:p>
      <w:pPr>
        <w:jc w:val="both"/>
        <w:ind w:right="160" w:firstLine="8"/>
        <w:spacing w:after="0" w:line="235" w:lineRule="auto"/>
        <w:tabs>
          <w:tab w:leader="none" w:pos="37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partnership, trust or other entity or investment vehicle Controlled by such specified natural person or any of the Persons referred to in clause (i) or (ii) of this definition or the holding of which is for the primary benefit of such specified natural person or any of the persons referred to in clause (i) or (ii) of this definition.</w:t>
      </w:r>
    </w:p>
    <w:p>
      <w:pPr>
        <w:spacing w:after="0" w:line="178" w:lineRule="exact"/>
        <w:rPr>
          <w:sz w:val="20"/>
          <w:szCs w:val="20"/>
          <w:color w:val="auto"/>
        </w:rPr>
      </w:pPr>
    </w:p>
    <w:p>
      <w:pPr>
        <w:ind w:left="600"/>
        <w:spacing w:after="0"/>
        <w:tabs>
          <w:tab w:leader="none" w:pos="156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means the Participant’s annual base salary rate in effect on his or her Termination Date.</w:t>
      </w:r>
    </w:p>
    <w:p>
      <w:pPr>
        <w:spacing w:after="0" w:line="206" w:lineRule="exact"/>
        <w:rPr>
          <w:sz w:val="20"/>
          <w:szCs w:val="20"/>
          <w:color w:val="auto"/>
        </w:rPr>
      </w:pPr>
    </w:p>
    <w:p>
      <w:pPr>
        <w:ind w:right="280" w:firstLine="598"/>
        <w:spacing w:after="0" w:line="244"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means benefits (including payments) provided to Participants pursuant to Section 3 of the Plan (including Medical Benefits) on account of termination from the Company under circumstances set forth in this Plan.</w:t>
      </w:r>
    </w:p>
    <w:p>
      <w:pPr>
        <w:spacing w:after="0" w:line="174" w:lineRule="exact"/>
        <w:rPr>
          <w:sz w:val="20"/>
          <w:szCs w:val="20"/>
          <w:color w:val="auto"/>
        </w:rPr>
      </w:pPr>
    </w:p>
    <w:p>
      <w:pPr>
        <w:ind w:left="600"/>
        <w:spacing w:after="0"/>
        <w:tabs>
          <w:tab w:leader="none" w:pos="156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TripAdvisor, Inc.</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9" w:name="page60"/>
    <w:bookmarkEnd w:id="59"/>
    <w:p>
      <w:pPr>
        <w:ind w:firstLine="598"/>
        <w:spacing w:after="0" w:line="236"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means: (i) “Cause” as defined in any Employment Arrangement to which the applicable Participant is a party; or (ii) if there is no such Employment Arrangement or if it does not define Cause, (A) the willful or gross neglect by a Participant of his or her employment duties; (B) the plea of guilty or </w:t>
      </w:r>
      <w:r>
        <w:rPr>
          <w:rFonts w:ascii="Times New Roman" w:cs="Times New Roman" w:eastAsia="Times New Roman" w:hAnsi="Times New Roman"/>
          <w:sz w:val="22"/>
          <w:szCs w:val="22"/>
          <w:u w:val="single" w:color="auto"/>
          <w:color w:val="auto"/>
        </w:rPr>
        <w:t>nolo contendere</w:t>
      </w:r>
      <w:r>
        <w:rPr>
          <w:rFonts w:ascii="Times New Roman" w:cs="Times New Roman" w:eastAsia="Times New Roman" w:hAnsi="Times New Roman"/>
          <w:sz w:val="22"/>
          <w:szCs w:val="22"/>
          <w:color w:val="auto"/>
        </w:rPr>
        <w:t xml:space="preserve"> to, or conviction for, the commission of a felony offense by Participant; (C) a material breach by Participant of any fiduciary duty owed to the Company; or (D) a material breach by Participant of any nondisclosure, non-solicitation or non-competition obligation owed to the Company; in each case, such determination to be made by the Administrator in its sole discretion.</w:t>
      </w:r>
    </w:p>
    <w:p>
      <w:pPr>
        <w:spacing w:after="0" w:line="182" w:lineRule="exact"/>
        <w:rPr>
          <w:sz w:val="20"/>
          <w:szCs w:val="20"/>
          <w:color w:val="auto"/>
        </w:rPr>
      </w:pPr>
    </w:p>
    <w:p>
      <w:pPr>
        <w:ind w:left="600"/>
        <w:spacing w:after="0"/>
        <w:tabs>
          <w:tab w:leader="none" w:pos="156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the occurrence of any of the following events:</w:t>
      </w:r>
    </w:p>
    <w:p>
      <w:pPr>
        <w:spacing w:after="0" w:line="206" w:lineRule="exact"/>
        <w:rPr>
          <w:sz w:val="20"/>
          <w:szCs w:val="20"/>
          <w:color w:val="auto"/>
        </w:rPr>
      </w:pPr>
    </w:p>
    <w:p>
      <w:pPr>
        <w:ind w:left="880" w:right="340" w:firstLine="780"/>
        <w:spacing w:after="0" w:line="234" w:lineRule="auto"/>
        <w:tabs>
          <w:tab w:leader="none" w:pos="249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by any Person (within the meaning of Section 13(d)(3) or 14(d)(2) of the Securities Exchange Act of 1934, as amended (the “Exchange Act”)), other than Liberty TripAdvisor Holdings, Inc. and its Affiliates, of beneficial ownership (within the meaning of Rule 13d-3 promulgated under the Exchange Act) of equity securities of TripAdvisor, Inc. or its successor (“TripAdvisor”) representing more than 50% of the voting power of the then outstanding equity securities of TripAdvisor entitled to vote generally in the election of directors (the “Outstanding Company Voting Securities”); provided, however, that for purposes of this subsection (i), the following acquisitions shall not constitute a Change in Control: (A) any acquisition by TripAdvisor, (B) any acquisition directly from TripAdvisor, (C) any acquisition by any employee benefit plan (or related trust) sponsored or maintained by TripAdvisor or any corporation controlled by TripAdvisor, or (D) any acquisition pursuant to a transaction which complies with clauses (A), (B) and (C) of subsection (iii); or</w:t>
      </w:r>
    </w:p>
    <w:p>
      <w:pPr>
        <w:spacing w:after="0" w:line="180" w:lineRule="exact"/>
        <w:rPr>
          <w:rFonts w:ascii="Times New Roman" w:cs="Times New Roman" w:eastAsia="Times New Roman" w:hAnsi="Times New Roman"/>
          <w:sz w:val="22"/>
          <w:szCs w:val="22"/>
          <w:color w:val="auto"/>
        </w:rPr>
      </w:pPr>
    </w:p>
    <w:p>
      <w:pPr>
        <w:ind w:left="880" w:right="380" w:firstLine="780"/>
        <w:spacing w:after="0" w:line="235" w:lineRule="auto"/>
        <w:tabs>
          <w:tab w:leader="none" w:pos="254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constitute the Board (the “Incumbent Board”) cease for any reason to constitute at least a majority of the Board; provided, however, that any individual becoming a director subsequent to the Effective Date, whose election, or nomination for election by TripAdvisor’s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Times New Roman" w:cs="Times New Roman" w:eastAsia="Times New Roman" w:hAnsi="Times New Roman"/>
          <w:sz w:val="22"/>
          <w:szCs w:val="22"/>
          <w:color w:val="auto"/>
        </w:rPr>
      </w:pPr>
    </w:p>
    <w:p>
      <w:pPr>
        <w:ind w:left="880" w:right="420" w:firstLine="780"/>
        <w:spacing w:after="0" w:line="235" w:lineRule="auto"/>
        <w:tabs>
          <w:tab w:leader="none" w:pos="260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or consolidation or sale or other disposition of all or substantially all of the assets of TripAdvisor or the purchase of assets or stock of another entity (a “Business Combination”),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w:t>
      </w:r>
    </w:p>
    <w:p>
      <w:pPr>
        <w:spacing w:after="0" w:line="1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sectPr>
      </w:pPr>
    </w:p>
    <w:bookmarkStart w:id="60" w:name="page61"/>
    <w:bookmarkEnd w:id="60"/>
    <w:p>
      <w:pPr>
        <w:ind w:left="880" w:right="480"/>
        <w:spacing w:after="0" w:line="274" w:lineRule="auto"/>
        <w:rPr>
          <w:sz w:val="20"/>
          <w:szCs w:val="20"/>
          <w:color w:val="auto"/>
        </w:rPr>
      </w:pPr>
      <w:r>
        <w:rPr>
          <w:rFonts w:ascii="Times New Roman" w:cs="Times New Roman" w:eastAsia="Times New Roman" w:hAnsi="Times New Roman"/>
          <w:sz w:val="19"/>
          <w:szCs w:val="19"/>
          <w:color w:val="auto"/>
        </w:rPr>
        <w:t>applicable) of the entity resulting from such Business Combination (including, without limitation, an entity which as a result of such transaction owns TripAdvisor or all or substantially all of TripAdvisor’s assets either directly or through one or more subsidiaries) in substantially the same proportions as their ownership, immediately prior to such Business Combination of the Outstanding Company Voting Securities, (B) no Person (excluding Liberty TripAdvisor Holdings, Inc., and its Affiliates, any employee benefit plan (or related trust) of TripAdvisor or such entity resulting from such Business Combination) will beneficially own, directly or indirectly, more than a majority of the combined voting power of the then outstanding voting securities of such entity except to the extent that such ownership of TripAdvisor existed prior to the Business Combination and (C) at least a majority of the members of the board of directors (or equivalent governing body, if applicable) of the entity resulting from such Business Combination will have been members of the Incumbent Board at the time of the initial agreement, or action of the Board, providing for such Business Combination; or</w:t>
      </w:r>
    </w:p>
    <w:p>
      <w:pPr>
        <w:spacing w:after="0" w:line="153" w:lineRule="exact"/>
        <w:rPr>
          <w:sz w:val="20"/>
          <w:szCs w:val="20"/>
          <w:color w:val="auto"/>
        </w:rPr>
      </w:pPr>
    </w:p>
    <w:p>
      <w:pPr>
        <w:ind w:left="2600" w:hanging="940"/>
        <w:spacing w:after="0"/>
        <w:tabs>
          <w:tab w:leader="none" w:pos="26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Approval by the stockholders of TripAdvisor of a complete liquidation or dissolution of TripAdvisor.</w:t>
      </w:r>
    </w:p>
    <w:p>
      <w:pPr>
        <w:spacing w:after="0" w:line="218" w:lineRule="exact"/>
        <w:rPr>
          <w:sz w:val="20"/>
          <w:szCs w:val="20"/>
          <w:color w:val="auto"/>
        </w:rPr>
      </w:pPr>
    </w:p>
    <w:p>
      <w:pPr>
        <w:ind w:left="600"/>
        <w:spacing w:after="0"/>
        <w:tabs>
          <w:tab w:leader="none" w:pos="156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means the classification of a Participant, which determines the amount of Benefits to which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is entitled under the Plan, as follows:</w:t>
      </w:r>
    </w:p>
    <w:p>
      <w:pPr>
        <w:spacing w:after="0" w:line="182" w:lineRule="exact"/>
        <w:rPr>
          <w:sz w:val="20"/>
          <w:szCs w:val="20"/>
          <w:color w:val="auto"/>
        </w:rPr>
      </w:pPr>
    </w:p>
    <w:p>
      <w:pPr>
        <w:ind w:left="2580" w:hanging="884"/>
        <w:spacing w:after="0"/>
        <w:tabs>
          <w:tab w:leader="none" w:pos="25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1” consists solely of the Chief Executive Officer of TripAdvisor, Inc.</w:t>
      </w:r>
    </w:p>
    <w:p>
      <w:pPr>
        <w:spacing w:after="0" w:line="206" w:lineRule="exact"/>
        <w:rPr>
          <w:rFonts w:ascii="Times New Roman" w:cs="Times New Roman" w:eastAsia="Times New Roman" w:hAnsi="Times New Roman"/>
          <w:sz w:val="22"/>
          <w:szCs w:val="22"/>
          <w:color w:val="auto"/>
        </w:rPr>
      </w:pPr>
    </w:p>
    <w:p>
      <w:pPr>
        <w:jc w:val="both"/>
        <w:ind w:left="880" w:right="480" w:firstLine="816"/>
        <w:spacing w:after="0" w:line="244" w:lineRule="auto"/>
        <w:tabs>
          <w:tab w:leader="none" w:pos="259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2” consists of (i) Senior Vice Presidents of the Company based on the internal job profile designations in the Company’s HRIS system; and (ii) other employees of the Company whom the Administrator has designated as Class 2.</w:t>
      </w:r>
    </w:p>
    <w:p>
      <w:pPr>
        <w:spacing w:after="0" w:line="173" w:lineRule="exact"/>
        <w:rPr>
          <w:rFonts w:ascii="Times New Roman" w:cs="Times New Roman" w:eastAsia="Times New Roman" w:hAnsi="Times New Roman"/>
          <w:sz w:val="22"/>
          <w:szCs w:val="22"/>
          <w:color w:val="auto"/>
        </w:rPr>
      </w:pPr>
    </w:p>
    <w:p>
      <w:pPr>
        <w:ind w:left="880" w:firstLine="816"/>
        <w:spacing w:after="0" w:line="244" w:lineRule="auto"/>
        <w:tabs>
          <w:tab w:leader="none" w:pos="257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3” consists of (i) Vice Presidents of the Company based on the internal job profile designations in the Company’s HRIS system; and (ii) other employees of the Company whom the Administrator has designated as Class 3.</w:t>
      </w:r>
    </w:p>
    <w:p>
      <w:pPr>
        <w:spacing w:after="0" w:line="174" w:lineRule="exact"/>
        <w:rPr>
          <w:sz w:val="20"/>
          <w:szCs w:val="20"/>
          <w:color w:val="auto"/>
        </w:rPr>
      </w:pPr>
    </w:p>
    <w:p>
      <w:pPr>
        <w:ind w:right="380" w:firstLine="598"/>
        <w:spacing w:after="0" w:line="258"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such other committee of the Board as the Board may from time to time designate.</w:t>
      </w:r>
    </w:p>
    <w:p>
      <w:pPr>
        <w:spacing w:after="0" w:line="158" w:lineRule="exact"/>
        <w:rPr>
          <w:sz w:val="20"/>
          <w:szCs w:val="20"/>
          <w:color w:val="auto"/>
        </w:rPr>
      </w:pPr>
    </w:p>
    <w:p>
      <w:pPr>
        <w:ind w:right="60" w:firstLine="598"/>
        <w:spacing w:after="0" w:line="244"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means the possession, directly or indirectly, of the power to direct or cause the direction of the management or policies, or the dismissal or appointment of the management, of TripAdvisor, Inc., whether through the ability to exercise voting power, by contract or otherwise.</w:t>
      </w:r>
    </w:p>
    <w:p>
      <w:pPr>
        <w:spacing w:after="0" w:line="174" w:lineRule="exact"/>
        <w:rPr>
          <w:sz w:val="20"/>
          <w:szCs w:val="20"/>
          <w:color w:val="auto"/>
        </w:rPr>
      </w:pPr>
    </w:p>
    <w:p>
      <w:pPr>
        <w:ind w:left="600"/>
        <w:spacing w:after="0"/>
        <w:tabs>
          <w:tab w:leader="none" w:pos="166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August 7, 2017.</w:t>
      </w:r>
    </w:p>
    <w:p>
      <w:pPr>
        <w:spacing w:after="0" w:line="206" w:lineRule="exact"/>
        <w:rPr>
          <w:sz w:val="20"/>
          <w:szCs w:val="20"/>
          <w:color w:val="auto"/>
        </w:rPr>
      </w:pPr>
    </w:p>
    <w:p>
      <w:pPr>
        <w:ind w:right="260" w:firstLine="598"/>
        <w:spacing w:after="0" w:line="258"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Employment Arrangement</w:t>
      </w:r>
      <w:r>
        <w:rPr>
          <w:rFonts w:ascii="Times New Roman" w:cs="Times New Roman" w:eastAsia="Times New Roman" w:hAnsi="Times New Roman"/>
          <w:sz w:val="22"/>
          <w:szCs w:val="22"/>
          <w:color w:val="auto"/>
        </w:rPr>
        <w:t>” means any employment agreement or offer letter between the Participant and the Company.</w:t>
      </w:r>
    </w:p>
    <w:p>
      <w:pPr>
        <w:spacing w:after="0" w:line="158" w:lineRule="exact"/>
        <w:rPr>
          <w:sz w:val="20"/>
          <w:szCs w:val="20"/>
          <w:color w:val="auto"/>
        </w:rPr>
      </w:pPr>
    </w:p>
    <w:p>
      <w:pPr>
        <w:ind w:left="600"/>
        <w:spacing w:after="0"/>
        <w:tabs>
          <w:tab w:leader="none" w:pos="166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1" w:name="page62"/>
    <w:bookmarkEnd w:id="61"/>
    <w:p>
      <w:pPr>
        <w:ind w:firstLine="598"/>
        <w:spacing w:after="0" w:line="238"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without the Participant’s prior written consent: (i) a material reduction in the Participant’s annual base salary from the annual base salary then in effect for such Participant, (ii) a relocation of the Participant’s principal place of business more than 35 miles from the location of the principal place of business from which Participant works, or</w:t>
      </w:r>
    </w:p>
    <w:p>
      <w:pPr>
        <w:spacing w:after="0" w:line="1" w:lineRule="exact"/>
        <w:rPr>
          <w:sz w:val="20"/>
          <w:szCs w:val="20"/>
          <w:color w:val="auto"/>
        </w:rPr>
      </w:pPr>
    </w:p>
    <w:p>
      <w:pPr>
        <w:ind w:firstLine="8"/>
        <w:spacing w:after="0" w:line="232" w:lineRule="auto"/>
        <w:tabs>
          <w:tab w:leader="none" w:pos="3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demonstrable adverse change in the nature and scope of the Participant’s duties. In order to invoke a termination of employment for Good Reason, the Participant must provide written notice to the Company of the existence of one or more of the conditions described in clauses (i) through (iii) within 90 days following the Participant’s knowledge of the initial existence of such condition or conditions, and the Company shall have 30 days following receipt of such written notice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p>
    <w:p>
      <w:pPr>
        <w:spacing w:after="0" w:line="182" w:lineRule="exact"/>
        <w:rPr>
          <w:sz w:val="20"/>
          <w:szCs w:val="20"/>
          <w:color w:val="auto"/>
        </w:rPr>
      </w:pPr>
    </w:p>
    <w:p>
      <w:pPr>
        <w:ind w:right="320" w:firstLine="598"/>
        <w:spacing w:after="0" w:line="244"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u w:val="single" w:color="auto"/>
          <w:color w:val="auto"/>
        </w:rPr>
        <w:t>Medical Benefits</w:t>
      </w:r>
      <w:r>
        <w:rPr>
          <w:rFonts w:ascii="Times New Roman" w:cs="Times New Roman" w:eastAsia="Times New Roman" w:hAnsi="Times New Roman"/>
          <w:sz w:val="22"/>
          <w:szCs w:val="22"/>
          <w:color w:val="auto"/>
        </w:rPr>
        <w:t>” refers to the amount equal to the premiums required to continue the Participant’s and the Participant’s dependents’ participation in any medical plan (including dental or vision but not including any flexible spending account) in which the Participant was participating at the Termination Date.</w:t>
      </w:r>
    </w:p>
    <w:p>
      <w:pPr>
        <w:spacing w:after="0" w:line="174" w:lineRule="exact"/>
        <w:rPr>
          <w:sz w:val="20"/>
          <w:szCs w:val="20"/>
          <w:color w:val="auto"/>
        </w:rPr>
      </w:pPr>
    </w:p>
    <w:p>
      <w:pPr>
        <w:ind w:right="200" w:firstLine="598"/>
        <w:spacing w:after="0" w:line="258"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refers to any employee of the Company or any Subsidiary or Affiliate thereof who is eligible for Benefits under this Plan pursuant to Section 2 below.</w:t>
      </w:r>
    </w:p>
    <w:p>
      <w:pPr>
        <w:spacing w:after="0" w:line="158" w:lineRule="exact"/>
        <w:rPr>
          <w:sz w:val="20"/>
          <w:szCs w:val="20"/>
          <w:color w:val="auto"/>
        </w:rPr>
      </w:pPr>
    </w:p>
    <w:p>
      <w:pPr>
        <w:ind w:right="20" w:firstLine="598"/>
        <w:spacing w:after="0" w:line="242"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u w:val="single" w:color="auto"/>
          <w:color w:val="auto"/>
        </w:rPr>
        <w:t>Permitted Holders</w:t>
      </w:r>
      <w:r>
        <w:rPr>
          <w:rFonts w:ascii="Times New Roman" w:cs="Times New Roman" w:eastAsia="Times New Roman" w:hAnsi="Times New Roman"/>
          <w:sz w:val="22"/>
          <w:szCs w:val="22"/>
          <w:color w:val="auto"/>
        </w:rPr>
        <w:t>” means any one or more of (i) Liberty TripAdvisor Holdings, Inc. (“</w:t>
      </w:r>
      <w:r>
        <w:rPr>
          <w:rFonts w:ascii="Times New Roman" w:cs="Times New Roman" w:eastAsia="Times New Roman" w:hAnsi="Times New Roman"/>
          <w:sz w:val="22"/>
          <w:szCs w:val="22"/>
          <w:u w:val="single" w:color="auto"/>
          <w:color w:val="auto"/>
        </w:rPr>
        <w:t>Liberty</w:t>
      </w:r>
      <w:r>
        <w:rPr>
          <w:rFonts w:ascii="Times New Roman" w:cs="Times New Roman" w:eastAsia="Times New Roman" w:hAnsi="Times New Roman"/>
          <w:sz w:val="22"/>
          <w:szCs w:val="22"/>
          <w:color w:val="auto"/>
        </w:rPr>
        <w:t>”), (ii) a successor of Liberty, (iii) John C. Malone or Gregory Maffei, (iv) each of the Affiliated Holders of the Persons referred to in clause</w:t>
      </w:r>
    </w:p>
    <w:p>
      <w:pPr>
        <w:ind w:right="800" w:firstLine="8"/>
        <w:spacing w:after="0" w:line="237" w:lineRule="auto"/>
        <w:tabs>
          <w:tab w:leader="none" w:pos="37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definition, and (v) any Affiliates of one or more of the Persons referred to in clauses (i), (ii), (iii), or (iv) of this definition.</w:t>
      </w:r>
    </w:p>
    <w:p>
      <w:pPr>
        <w:spacing w:after="0" w:line="179" w:lineRule="exact"/>
        <w:rPr>
          <w:sz w:val="20"/>
          <w:szCs w:val="20"/>
          <w:color w:val="auto"/>
        </w:rPr>
      </w:pPr>
    </w:p>
    <w:p>
      <w:pPr>
        <w:ind w:right="640" w:firstLine="598"/>
        <w:spacing w:after="0" w:line="258"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company, corporation, limited liability company, trust, joint venture, association, partnership, governmental authority or other entity.</w:t>
      </w:r>
    </w:p>
    <w:p>
      <w:pPr>
        <w:spacing w:after="0" w:line="158" w:lineRule="exact"/>
        <w:rPr>
          <w:sz w:val="20"/>
          <w:szCs w:val="20"/>
          <w:color w:val="auto"/>
        </w:rPr>
      </w:pPr>
    </w:p>
    <w:p>
      <w:pPr>
        <w:ind w:right="100" w:firstLine="598"/>
        <w:spacing w:after="0" w:line="255" w:lineRule="auto"/>
        <w:rPr>
          <w:sz w:val="20"/>
          <w:szCs w:val="20"/>
          <w:color w:val="auto"/>
        </w:rPr>
      </w:pPr>
      <w:r>
        <w:rPr>
          <w:rFonts w:ascii="Times New Roman" w:cs="Times New Roman" w:eastAsia="Times New Roman" w:hAnsi="Times New Roman"/>
          <w:sz w:val="21"/>
          <w:szCs w:val="21"/>
          <w:color w:val="auto"/>
        </w:rPr>
        <w:t>1.20. “</w:t>
      </w:r>
      <w:r>
        <w:rPr>
          <w:rFonts w:ascii="Times New Roman" w:cs="Times New Roman" w:eastAsia="Times New Roman" w:hAnsi="Times New Roman"/>
          <w:sz w:val="21"/>
          <w:szCs w:val="21"/>
          <w:u w:val="single" w:color="auto"/>
          <w:color w:val="auto"/>
        </w:rPr>
        <w:t>Resulting Voting Power</w:t>
      </w:r>
      <w:r>
        <w:rPr>
          <w:rFonts w:ascii="Times New Roman" w:cs="Times New Roman" w:eastAsia="Times New Roman" w:hAnsi="Times New Roman"/>
          <w:sz w:val="21"/>
          <w:szCs w:val="21"/>
          <w:color w:val="auto"/>
        </w:rPr>
        <w:t>” shall mean the outstanding combined voting power of the then outstanding voting securities entitled to vote generally in the election of directors (or equivalent governing body, if applicable) of the entity resulting from a Business Combination (including, without limitation, an entity which as a result of such transaction owns TripAdvisor, Inc. or all or substantially all of the assets of TripAdvisor, Inc. either directly or through one or more Subsidiaries).</w:t>
      </w:r>
    </w:p>
    <w:p>
      <w:pPr>
        <w:spacing w:after="0" w:line="162" w:lineRule="exact"/>
        <w:rPr>
          <w:sz w:val="20"/>
          <w:szCs w:val="20"/>
          <w:color w:val="auto"/>
        </w:rPr>
      </w:pPr>
    </w:p>
    <w:p>
      <w:pPr>
        <w:ind w:right="620" w:firstLine="598"/>
        <w:spacing w:after="0" w:line="258"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Internal Revenue Code, and all Treasury regulations or other authoritative administrative guidance promulgated by the Internal Revenue Service pursuant to such section.</w:t>
      </w:r>
    </w:p>
    <w:p>
      <w:pPr>
        <w:spacing w:after="0" w:line="158" w:lineRule="exact"/>
        <w:rPr>
          <w:sz w:val="20"/>
          <w:szCs w:val="20"/>
          <w:color w:val="auto"/>
        </w:rPr>
      </w:pPr>
    </w:p>
    <w:p>
      <w:pPr>
        <w:ind w:right="40" w:firstLine="598"/>
        <w:spacing w:after="0" w:line="244"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Separation and General Release Agreement</w:t>
      </w:r>
      <w:r>
        <w:rPr>
          <w:rFonts w:ascii="Times New Roman" w:cs="Times New Roman" w:eastAsia="Times New Roman" w:hAnsi="Times New Roman"/>
          <w:sz w:val="22"/>
          <w:szCs w:val="22"/>
          <w:color w:val="auto"/>
        </w:rPr>
        <w:t>” means a legally binding document, in a form as may be generally used by the Company from time to time, that includes, without limitation, (i) a general release of claims and non-disparagement covenant in favor of the Company and related persons and entities and (ii) reaffirmation of the Participant’s obligations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62" w:name="page63"/>
    <w:bookmarkEnd w:id="62"/>
    <w:p>
      <w:pPr>
        <w:ind w:right="940"/>
        <w:spacing w:after="0" w:line="258" w:lineRule="auto"/>
        <w:rPr>
          <w:sz w:val="20"/>
          <w:szCs w:val="20"/>
          <w:color w:val="auto"/>
        </w:rPr>
      </w:pPr>
      <w:r>
        <w:rPr>
          <w:rFonts w:ascii="Times New Roman" w:cs="Times New Roman" w:eastAsia="Times New Roman" w:hAnsi="Times New Roman"/>
          <w:sz w:val="22"/>
          <w:szCs w:val="22"/>
          <w:color w:val="auto"/>
        </w:rPr>
        <w:t>under the Participant’s nondisclosure, developments and noncompetition agreement with the Company. Whether or not a Participant chooses to sign the Separation and General Release Agreement shall be at his or her discretion.</w:t>
      </w:r>
    </w:p>
    <w:p>
      <w:pPr>
        <w:spacing w:after="0" w:line="158" w:lineRule="exact"/>
        <w:rPr>
          <w:sz w:val="20"/>
          <w:szCs w:val="20"/>
          <w:color w:val="auto"/>
        </w:rPr>
      </w:pPr>
    </w:p>
    <w:p>
      <w:pPr>
        <w:jc w:val="both"/>
        <w:ind w:right="180" w:firstLine="598"/>
        <w:spacing w:after="0" w:line="244"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means any corporation, partnership, joint venture, limited liability company or other entity during any period in which at least 50% voting or profits interest is owned, directly or indirectly, by TripAdvisor, Inc. or any successor to TripAdvisor, Inc.</w:t>
      </w:r>
    </w:p>
    <w:p>
      <w:pPr>
        <w:spacing w:after="0" w:line="174" w:lineRule="exact"/>
        <w:rPr>
          <w:sz w:val="20"/>
          <w:szCs w:val="20"/>
          <w:color w:val="auto"/>
        </w:rPr>
      </w:pPr>
    </w:p>
    <w:p>
      <w:pPr>
        <w:jc w:val="both"/>
        <w:ind w:right="180" w:firstLine="598"/>
        <w:spacing w:after="0" w:line="258"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the Participant’s annual target bonus as established by the Company in connection with the Company’s short-term incentive program and in effect on the Termination Date.</w:t>
      </w:r>
    </w:p>
    <w:p>
      <w:pPr>
        <w:spacing w:after="0" w:line="158" w:lineRule="exact"/>
        <w:rPr>
          <w:sz w:val="20"/>
          <w:szCs w:val="20"/>
          <w:color w:val="auto"/>
        </w:rPr>
      </w:pPr>
    </w:p>
    <w:p>
      <w:pPr>
        <w:ind w:left="600"/>
        <w:spacing w:after="0"/>
        <w:tabs>
          <w:tab w:leader="none" w:pos="166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means the final day of employment with the Company.</w:t>
      </w:r>
    </w:p>
    <w:p>
      <w:pPr>
        <w:spacing w:after="0" w:line="206" w:lineRule="exact"/>
        <w:rPr>
          <w:sz w:val="20"/>
          <w:szCs w:val="20"/>
          <w:color w:val="auto"/>
        </w:rPr>
      </w:pPr>
    </w:p>
    <w:p>
      <w:pPr>
        <w:ind w:left="820" w:hanging="812"/>
        <w:spacing w:after="0"/>
        <w:tabs>
          <w:tab w:leader="none" w:pos="8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for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598"/>
        <w:spacing w:after="0" w:line="249"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General Eligibility</w:t>
      </w:r>
      <w:r>
        <w:rPr>
          <w:rFonts w:ascii="Times New Roman" w:cs="Times New Roman" w:eastAsia="Times New Roman" w:hAnsi="Times New Roman"/>
          <w:sz w:val="21"/>
          <w:szCs w:val="21"/>
          <w:color w:val="auto"/>
        </w:rPr>
        <w:t xml:space="preserve">. The Company has determined that certain employees of the Company shall be eligible to participate in the Plan. The Company shall advise each Participant of his or her participation in the Plan. Except as otherwise provided in the Plan, a Participant is entitled to Benefits under the Plan in the event of a termination by the Company without Cause or by the Participant for Good Reason in connection with a Change in Control;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the Participant has executed a non-competition, non-solicitation, confidential information and proprietary rights agreement in a form acceptable to the Company as determined by the Administrator,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the Participant signs and does not later revoke a Separation and General Release Agreement.</w:t>
      </w:r>
    </w:p>
    <w:p>
      <w:pPr>
        <w:spacing w:after="0" w:line="171" w:lineRule="exact"/>
        <w:rPr>
          <w:sz w:val="20"/>
          <w:szCs w:val="20"/>
          <w:color w:val="auto"/>
        </w:rPr>
      </w:pPr>
    </w:p>
    <w:p>
      <w:pPr>
        <w:ind w:left="600"/>
        <w:spacing w:after="0"/>
        <w:tabs>
          <w:tab w:leader="none" w:pos="156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Exclusions</w:t>
      </w:r>
      <w:r>
        <w:rPr>
          <w:rFonts w:ascii="Times New Roman" w:cs="Times New Roman" w:eastAsia="Times New Roman" w:hAnsi="Times New Roman"/>
          <w:sz w:val="21"/>
          <w:szCs w:val="21"/>
          <w:color w:val="auto"/>
        </w:rPr>
        <w:t>. A Participant is</w:t>
      </w:r>
      <w:r>
        <w:rPr>
          <w:rFonts w:ascii="Times New Roman" w:cs="Times New Roman" w:eastAsia="Times New Roman" w:hAnsi="Times New Roman"/>
          <w:sz w:val="21"/>
          <w:szCs w:val="21"/>
          <w:u w:val="single" w:color="auto"/>
          <w:color w:val="auto"/>
        </w:rPr>
        <w:t xml:space="preserve"> not </w:t>
      </w:r>
      <w:r>
        <w:rPr>
          <w:rFonts w:ascii="Times New Roman" w:cs="Times New Roman" w:eastAsia="Times New Roman" w:hAnsi="Times New Roman"/>
          <w:sz w:val="21"/>
          <w:szCs w:val="21"/>
          <w:color w:val="auto"/>
        </w:rPr>
        <w:t>eligible for Benefits if:</w:t>
      </w:r>
    </w:p>
    <w:p>
      <w:pPr>
        <w:spacing w:after="0" w:line="206" w:lineRule="exact"/>
        <w:rPr>
          <w:sz w:val="20"/>
          <w:szCs w:val="20"/>
          <w:color w:val="auto"/>
        </w:rPr>
      </w:pPr>
    </w:p>
    <w:p>
      <w:pPr>
        <w:ind w:left="880" w:right="100" w:firstLine="816"/>
        <w:spacing w:after="0" w:line="244" w:lineRule="auto"/>
        <w:tabs>
          <w:tab w:leader="none" w:pos="25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voluntarily resigns (other than for Good Reason in connection with a Change in Control), including a resignation that occurs after the Participant has been advised by the Company that he or she will be terminated but before the effective date of such termination;</w:t>
      </w:r>
    </w:p>
    <w:p>
      <w:pPr>
        <w:spacing w:after="0" w:line="173" w:lineRule="exact"/>
        <w:rPr>
          <w:rFonts w:ascii="Times New Roman" w:cs="Times New Roman" w:eastAsia="Times New Roman" w:hAnsi="Times New Roman"/>
          <w:sz w:val="22"/>
          <w:szCs w:val="22"/>
          <w:color w:val="auto"/>
        </w:rPr>
      </w:pPr>
    </w:p>
    <w:p>
      <w:pPr>
        <w:ind w:left="2600" w:hanging="904"/>
        <w:spacing w:after="0"/>
        <w:tabs>
          <w:tab w:leader="none" w:pos="26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has ceased to be a Participant as defined by the Plan;</w:t>
      </w:r>
    </w:p>
    <w:p>
      <w:pPr>
        <w:spacing w:after="0" w:line="206" w:lineRule="exact"/>
        <w:rPr>
          <w:rFonts w:ascii="Times New Roman" w:cs="Times New Roman" w:eastAsia="Times New Roman" w:hAnsi="Times New Roman"/>
          <w:sz w:val="22"/>
          <w:szCs w:val="22"/>
          <w:color w:val="auto"/>
        </w:rPr>
      </w:pPr>
    </w:p>
    <w:p>
      <w:pPr>
        <w:ind w:left="2580" w:hanging="884"/>
        <w:spacing w:after="0"/>
        <w:tabs>
          <w:tab w:leader="none" w:pos="25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of the Participant terminates by reason of death;</w:t>
      </w:r>
    </w:p>
    <w:p>
      <w:pPr>
        <w:spacing w:after="0" w:line="206" w:lineRule="exact"/>
        <w:rPr>
          <w:rFonts w:ascii="Times New Roman" w:cs="Times New Roman" w:eastAsia="Times New Roman" w:hAnsi="Times New Roman"/>
          <w:sz w:val="22"/>
          <w:szCs w:val="22"/>
          <w:color w:val="auto"/>
        </w:rPr>
      </w:pPr>
    </w:p>
    <w:p>
      <w:pPr>
        <w:ind w:left="880" w:firstLine="816"/>
        <w:spacing w:after="0" w:line="244" w:lineRule="auto"/>
        <w:tabs>
          <w:tab w:leader="none" w:pos="259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entitled to long-term disability benefits from the Company-sponsored long-term disability plan as of the date the involuntary termination would have occurred had the individual been actively at work on such date;</w:t>
      </w:r>
    </w:p>
    <w:p>
      <w:pPr>
        <w:spacing w:after="0" w:line="173" w:lineRule="exact"/>
        <w:rPr>
          <w:rFonts w:ascii="Times New Roman" w:cs="Times New Roman" w:eastAsia="Times New Roman" w:hAnsi="Times New Roman"/>
          <w:sz w:val="22"/>
          <w:szCs w:val="22"/>
          <w:color w:val="auto"/>
        </w:rPr>
      </w:pPr>
    </w:p>
    <w:p>
      <w:pPr>
        <w:ind w:left="880" w:right="100" w:firstLine="816"/>
        <w:spacing w:after="0" w:line="258" w:lineRule="auto"/>
        <w:tabs>
          <w:tab w:leader="none" w:pos="25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has notified the Company of his or her intent to retire from the Company prior to the date the Company notified the Participant of his or her involuntary termination;</w:t>
      </w:r>
    </w:p>
    <w:p>
      <w:pPr>
        <w:spacing w:after="0" w:line="158" w:lineRule="exact"/>
        <w:rPr>
          <w:rFonts w:ascii="Times New Roman" w:cs="Times New Roman" w:eastAsia="Times New Roman" w:hAnsi="Times New Roman"/>
          <w:sz w:val="22"/>
          <w:szCs w:val="22"/>
          <w:color w:val="auto"/>
        </w:rPr>
      </w:pPr>
    </w:p>
    <w:p>
      <w:pPr>
        <w:ind w:left="2560" w:hanging="864"/>
        <w:spacing w:after="0"/>
        <w:tabs>
          <w:tab w:leader="none" w:pos="25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fails to return to work immediately following the conclusion of an approved leave-of-</w:t>
      </w:r>
    </w:p>
    <w:p>
      <w:pPr>
        <w:spacing w:after="0" w:line="14" w:lineRule="exact"/>
        <w:rPr>
          <w:rFonts w:ascii="Times New Roman" w:cs="Times New Roman" w:eastAsia="Times New Roman" w:hAnsi="Times New Roman"/>
          <w:sz w:val="22"/>
          <w:szCs w:val="22"/>
          <w:color w:val="auto"/>
        </w:rPr>
      </w:pPr>
    </w:p>
    <w:p>
      <w:pPr>
        <w:ind w:left="8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absence;</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3" w:name="page64"/>
    <w:bookmarkEnd w:id="63"/>
    <w:p>
      <w:pPr>
        <w:ind w:left="2592" w:hanging="904"/>
        <w:spacing w:after="0"/>
        <w:tabs>
          <w:tab w:leader="none" w:pos="259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is terminated for, or on account of, Cause; or</w:t>
      </w:r>
    </w:p>
    <w:p>
      <w:pPr>
        <w:spacing w:after="0" w:line="206" w:lineRule="exact"/>
        <w:rPr>
          <w:sz w:val="20"/>
          <w:szCs w:val="20"/>
          <w:color w:val="auto"/>
        </w:rPr>
      </w:pPr>
    </w:p>
    <w:p>
      <w:pPr>
        <w:ind w:left="872" w:right="760" w:firstLine="816"/>
        <w:spacing w:after="0" w:line="258" w:lineRule="auto"/>
        <w:tabs>
          <w:tab w:leader="none" w:pos="251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determines that the payment of benefits under the Plan in connection with such termination of employment would be inconsistent with the intent and purposes of the Plan.</w:t>
      </w:r>
    </w:p>
    <w:p>
      <w:pPr>
        <w:spacing w:after="0" w:line="158" w:lineRule="exact"/>
        <w:rPr>
          <w:sz w:val="20"/>
          <w:szCs w:val="20"/>
          <w:color w:val="auto"/>
        </w:rPr>
      </w:pPr>
    </w:p>
    <w:p>
      <w:pPr>
        <w:ind w:left="592"/>
        <w:spacing w:after="0"/>
        <w:tabs>
          <w:tab w:leader="none" w:pos="1552"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Other Benefits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72" w:right="20" w:firstLine="816"/>
        <w:spacing w:after="0" w:line="249" w:lineRule="auto"/>
        <w:tabs>
          <w:tab w:leader="none" w:pos="2570"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the Participant and Company acknowledge and agree that in the event of any conflict or inconsistency between the terms of any Employment Arrangement and the terms of this Plan, whichever term is more beneficial to the Participant (including, for example, the amount of Benefits) between this Plan and the Employment Arrangement shall prevail and the amount of Benefits paid to the Participant shall be capped at the amounts provided by such prevailing terms. In no event shall Participant be entitled to the same type of benefits under both this Plan and any Employment Arrangement for the same event or qualifying termination.</w:t>
      </w:r>
    </w:p>
    <w:p>
      <w:pPr>
        <w:spacing w:after="0" w:line="171" w:lineRule="exact"/>
        <w:rPr>
          <w:rFonts w:ascii="Times New Roman" w:cs="Times New Roman" w:eastAsia="Times New Roman" w:hAnsi="Times New Roman"/>
          <w:sz w:val="21"/>
          <w:szCs w:val="21"/>
          <w:color w:val="auto"/>
        </w:rPr>
      </w:pPr>
    </w:p>
    <w:p>
      <w:pPr>
        <w:jc w:val="both"/>
        <w:ind w:left="872" w:right="380" w:firstLine="816"/>
        <w:spacing w:after="0" w:line="238" w:lineRule="auto"/>
        <w:tabs>
          <w:tab w:leader="none" w:pos="258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federal, state, or local law, including, without limitation, so-called “plant closing” laws, or the Worker Adjustment and Retraining Notification act (“</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requires the Company to provide benefits of any kind to an employee because of that employee’s involuntary termination or similar event, the Benefits provided under this Plan shall be reduced as determined by the Administrator to the extent of any such other benefits.</w:t>
      </w:r>
    </w:p>
    <w:p>
      <w:pPr>
        <w:spacing w:after="0" w:line="177" w:lineRule="exact"/>
        <w:rPr>
          <w:rFonts w:ascii="Times New Roman" w:cs="Times New Roman" w:eastAsia="Times New Roman" w:hAnsi="Times New Roman"/>
          <w:sz w:val="22"/>
          <w:szCs w:val="22"/>
          <w:color w:val="auto"/>
        </w:rPr>
      </w:pPr>
    </w:p>
    <w:p>
      <w:pPr>
        <w:ind w:left="872" w:right="140" w:firstLine="816"/>
        <w:spacing w:after="0" w:line="236" w:lineRule="auto"/>
        <w:tabs>
          <w:tab w:leader="none" w:pos="257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non-U.S. law requires the Company to provide benefits of any kind to an employee or imposes terms more favorable than the terms of the Plan in connection with the employee’s involuntary termination or similar event, the Participant shall be entitled to the better of such mandatory benefits or terms and the Benefits provided under this Plan, without duplication. To the extent the Company pays any benefits to a non-U.S. Participant outside the Plan in connection with the Participant’s involuntary termination or similar event, such payments shall be reduced by any Benefits available to such Participant under the Plan.</w:t>
      </w:r>
    </w:p>
    <w:p>
      <w:pPr>
        <w:spacing w:after="0" w:line="182" w:lineRule="exact"/>
        <w:rPr>
          <w:rFonts w:ascii="Times New Roman" w:cs="Times New Roman" w:eastAsia="Times New Roman" w:hAnsi="Times New Roman"/>
          <w:sz w:val="22"/>
          <w:szCs w:val="22"/>
          <w:color w:val="auto"/>
        </w:rPr>
      </w:pPr>
    </w:p>
    <w:p>
      <w:pPr>
        <w:ind w:left="872" w:right="160" w:firstLine="816"/>
        <w:spacing w:after="0" w:line="244" w:lineRule="auto"/>
        <w:tabs>
          <w:tab w:leader="none" w:pos="258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intends for the Benefits provided under this Plan to satisfy any and all statutory obligations which may arise out of an employee’s involuntary termination (including, for the avoidance of doubt, notice or pay in lieu of notice), and the Administrator shall so construe and implement the terms of this Plan.</w:t>
      </w:r>
    </w:p>
    <w:p>
      <w:pPr>
        <w:spacing w:after="0" w:line="173" w:lineRule="exact"/>
        <w:rPr>
          <w:rFonts w:ascii="Times New Roman" w:cs="Times New Roman" w:eastAsia="Times New Roman" w:hAnsi="Times New Roman"/>
          <w:sz w:val="22"/>
          <w:szCs w:val="22"/>
          <w:color w:val="auto"/>
        </w:rPr>
      </w:pPr>
    </w:p>
    <w:p>
      <w:pPr>
        <w:ind w:left="812" w:hanging="812"/>
        <w:spacing w:after="0"/>
        <w:tabs>
          <w:tab w:leader="none" w:pos="81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Amount and Form of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592"/>
        <w:spacing w:after="0"/>
        <w:tabs>
          <w:tab w:leader="none" w:pos="1612"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Termination Not in Connection with a Change in Control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72" w:firstLine="816"/>
        <w:spacing w:after="0" w:line="239" w:lineRule="auto"/>
        <w:tabs>
          <w:tab w:leader="none" w:pos="257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remaining provisions of this Plan, a Participant whose employment is terminated by the Company without Cause more than three months prior to a Change in Control or more than twelve months following a Change in Control shall be entitled to Benefits equal to (x) an amount equal to the Participant’s Base Salary as of the Termination Date for the Base Period described below, paid in the form of Salary</w:t>
      </w:r>
    </w:p>
    <w:p>
      <w:pPr>
        <w:spacing w:after="0" w:line="19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71" w:right="259" w:bottom="1440" w:gutter="0" w:footer="0" w:header="0"/>
        </w:sectPr>
      </w:pPr>
    </w:p>
    <w:bookmarkStart w:id="64" w:name="page65"/>
    <w:bookmarkEnd w:id="64"/>
    <w:p>
      <w:pPr>
        <w:ind w:left="320" w:right="140"/>
        <w:spacing w:after="0" w:line="244" w:lineRule="auto"/>
        <w:rPr>
          <w:sz w:val="20"/>
          <w:szCs w:val="20"/>
          <w:color w:val="auto"/>
        </w:rPr>
      </w:pPr>
      <w:r>
        <w:rPr>
          <w:rFonts w:ascii="Times New Roman" w:cs="Times New Roman" w:eastAsia="Times New Roman" w:hAnsi="Times New Roman"/>
          <w:sz w:val="22"/>
          <w:szCs w:val="22"/>
          <w:color w:val="auto"/>
        </w:rPr>
        <w:t>Continuation (defined below), based upon the Participant’s Class on the Termination Date, plus (y) Health Care Continuation (defined below) for the Medical Period described below, based upon Participant’s Class at the Termination Date.</w:t>
      </w:r>
    </w:p>
    <w:p>
      <w:pPr>
        <w:spacing w:after="0" w:line="208" w:lineRule="exact"/>
        <w:rPr>
          <w:sz w:val="20"/>
          <w:szCs w:val="20"/>
          <w:color w:val="auto"/>
        </w:rPr>
      </w:pPr>
    </w:p>
    <w:tbl>
      <w:tblPr>
        <w:tblLayout w:type="fixed"/>
        <w:tblInd w:w="370" w:type="dxa"/>
        <w:tblCellMar>
          <w:top w:w="0" w:type="dxa"/>
          <w:left w:w="0" w:type="dxa"/>
          <w:bottom w:w="0" w:type="dxa"/>
          <w:right w:w="0" w:type="dxa"/>
        </w:tblCellMar>
      </w:tblPr>
      <w:tr>
        <w:trPr>
          <w:trHeight w:val="257"/>
        </w:trPr>
        <w:tc>
          <w:tcPr>
            <w:tcW w:w="33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Class</w:t>
            </w:r>
          </w:p>
        </w:tc>
        <w:tc>
          <w:tcPr>
            <w:tcW w:w="31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Base Period</w:t>
            </w:r>
          </w:p>
        </w:tc>
        <w:tc>
          <w:tcPr>
            <w:tcW w:w="30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Medical Period</w:t>
            </w:r>
          </w:p>
        </w:tc>
      </w:tr>
      <w:tr>
        <w:trPr>
          <w:trHeight w:val="237"/>
        </w:trPr>
        <w:tc>
          <w:tcPr>
            <w:tcW w:w="33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Class 1</w:t>
            </w:r>
          </w:p>
        </w:tc>
        <w:tc>
          <w:tcPr>
            <w:tcW w:w="318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18 months</w:t>
            </w:r>
          </w:p>
        </w:tc>
        <w:tc>
          <w:tcPr>
            <w:tcW w:w="302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18 months</w:t>
            </w:r>
          </w:p>
        </w:tc>
      </w:tr>
      <w:tr>
        <w:trPr>
          <w:trHeight w:val="237"/>
        </w:trPr>
        <w:tc>
          <w:tcPr>
            <w:tcW w:w="33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Class 2</w:t>
            </w:r>
          </w:p>
        </w:tc>
        <w:tc>
          <w:tcPr>
            <w:tcW w:w="318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12 months</w:t>
            </w:r>
          </w:p>
        </w:tc>
        <w:tc>
          <w:tcPr>
            <w:tcW w:w="302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12 months</w:t>
            </w:r>
          </w:p>
        </w:tc>
      </w:tr>
      <w:tr>
        <w:trPr>
          <w:trHeight w:val="237"/>
        </w:trPr>
        <w:tc>
          <w:tcPr>
            <w:tcW w:w="338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Class 3</w:t>
            </w:r>
          </w:p>
        </w:tc>
        <w:tc>
          <w:tcPr>
            <w:tcW w:w="318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6 – 9 months*</w:t>
            </w:r>
          </w:p>
        </w:tc>
        <w:tc>
          <w:tcPr>
            <w:tcW w:w="3020" w:type="dxa"/>
            <w:vAlign w:val="bottom"/>
            <w:tcBorders>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6 – 9 months*</w:t>
            </w:r>
          </w:p>
        </w:tc>
      </w:tr>
    </w:tbl>
    <w:p>
      <w:pPr>
        <w:spacing w:after="0" w:line="198" w:lineRule="exact"/>
        <w:rPr>
          <w:sz w:val="20"/>
          <w:szCs w:val="20"/>
          <w:color w:val="auto"/>
        </w:rPr>
      </w:pPr>
    </w:p>
    <w:p>
      <w:pPr>
        <w:ind w:left="640" w:right="100"/>
        <w:spacing w:after="0" w:line="261" w:lineRule="auto"/>
        <w:rPr>
          <w:sz w:val="20"/>
          <w:szCs w:val="20"/>
          <w:color w:val="auto"/>
        </w:rPr>
      </w:pPr>
      <w:r>
        <w:rPr>
          <w:rFonts w:ascii="Times New Roman" w:cs="Times New Roman" w:eastAsia="Times New Roman" w:hAnsi="Times New Roman"/>
          <w:sz w:val="18"/>
          <w:szCs w:val="18"/>
          <w:color w:val="auto"/>
        </w:rPr>
        <w:t>*For Participants in Class 3, Benefits shall be calculated at a rate of one month for every full year of service to the Company, subject to a minimum of 6 months and a maximum of 9 months. Thus, for purposes of illustration, if a Participant was employed by the Company for 4</w:t>
      </w:r>
    </w:p>
    <w:p>
      <w:pPr>
        <w:ind w:left="640" w:right="560" w:firstLine="2"/>
        <w:spacing w:after="0" w:line="277" w:lineRule="auto"/>
        <w:tabs>
          <w:tab w:leader="none" w:pos="8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as of the Termination Date, then the Base Period and Medical Period will be 6 months. If a Participant was employed by the Company for 7 ½ years as of the Termination Date, then the Base Period and Medical Period will be 7 months. If a Participant was employed by the Company for 9 years or more as of the Termination Date, then the Base Period and Medical Period will be 9 months.</w:t>
      </w:r>
    </w:p>
    <w:p>
      <w:pPr>
        <w:spacing w:after="0" w:line="160" w:lineRule="exact"/>
        <w:rPr>
          <w:rFonts w:ascii="Times New Roman" w:cs="Times New Roman" w:eastAsia="Times New Roman" w:hAnsi="Times New Roman"/>
          <w:sz w:val="17"/>
          <w:szCs w:val="17"/>
          <w:color w:val="auto"/>
        </w:rPr>
      </w:pPr>
    </w:p>
    <w:p>
      <w:pPr>
        <w:ind w:left="320" w:right="60" w:firstLine="816"/>
        <w:spacing w:after="0" w:line="234" w:lineRule="auto"/>
        <w:tabs>
          <w:tab w:leader="none" w:pos="203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3.5, “</w:t>
      </w:r>
      <w:r>
        <w:rPr>
          <w:rFonts w:ascii="Times New Roman" w:cs="Times New Roman" w:eastAsia="Times New Roman" w:hAnsi="Times New Roman"/>
          <w:sz w:val="22"/>
          <w:szCs w:val="22"/>
          <w:u w:val="single" w:color="auto"/>
          <w:color w:val="auto"/>
        </w:rPr>
        <w:t>Salary Continuation</w:t>
      </w:r>
      <w:r>
        <w:rPr>
          <w:rFonts w:ascii="Times New Roman" w:cs="Times New Roman" w:eastAsia="Times New Roman" w:hAnsi="Times New Roman"/>
          <w:sz w:val="22"/>
          <w:szCs w:val="22"/>
          <w:color w:val="auto"/>
        </w:rPr>
        <w:t>” means that the Company shall continue to pay Participant’s Base Salary at the rate in effect on the Termination Date during the Base Period provided in Section 3.1(a) above. The first payment of Salary Continuation shall be paid within sixty (60) days after the Termination Date provided Participant timely executes the Separation and General Release Agreement and the period during which the Separation and General Release Agreement may be revoked expires without revocation. The Salary Continuation Benefits shall be paid on the Company’s regular payroll dates; provided, however, that if the sixty (60) day period begins in one calendar year and ends in a second calendar year, the first payment of Salary Continuation shall be paid in the second calendar year. In the event the Participant misses one or more regular payroll periods between the date of termination and the first Salary Continuation payment, the first Salary Continuation payment shall include a “catch up” payment of accrued but unpaid Salary Continuation payments.</w:t>
      </w:r>
    </w:p>
    <w:p>
      <w:pPr>
        <w:spacing w:after="0" w:line="176" w:lineRule="exact"/>
        <w:rPr>
          <w:rFonts w:ascii="Times New Roman" w:cs="Times New Roman" w:eastAsia="Times New Roman" w:hAnsi="Times New Roman"/>
          <w:sz w:val="22"/>
          <w:szCs w:val="22"/>
          <w:color w:val="auto"/>
        </w:rPr>
      </w:pPr>
    </w:p>
    <w:p>
      <w:pPr>
        <w:ind w:left="320" w:right="300" w:firstLine="816"/>
        <w:spacing w:after="0" w:line="235" w:lineRule="auto"/>
        <w:tabs>
          <w:tab w:leader="none" w:pos="201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Health Care Continuation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that if the Participant is participating in the Company’s group health plan immediately prior to the Termination Date, then subject to timely election and eligibility for benefits under the law known as COBRA, and any law that is the successor to COBRA, the Company shall continue to pay the employer portion of the Participant’s health benefits until the earlier of the end of the Medical Period and the date the Participant becomes re-employed or otherwise ineligible for COBRA. With respect to a Participant who is employed outside of the United States, such Participant will be eligible to continue to receive medical and dental insurance coverage during the Medical Period at the same level of coverage as on the date of the Participant’s termination of employment, to the extent available under the plans and consistent with applicable law.</w:t>
      </w:r>
    </w:p>
    <w:p>
      <w:pPr>
        <w:spacing w:after="0" w:line="183" w:lineRule="exact"/>
        <w:rPr>
          <w:sz w:val="20"/>
          <w:szCs w:val="20"/>
          <w:color w:val="auto"/>
        </w:rPr>
      </w:pPr>
    </w:p>
    <w:p>
      <w:pPr>
        <w:ind w:firstLine="627"/>
        <w:spacing w:after="0" w:line="239" w:lineRule="auto"/>
        <w:rPr>
          <w:sz w:val="20"/>
          <w:szCs w:val="20"/>
          <w:color w:val="auto"/>
        </w:rPr>
      </w:pPr>
      <w:r>
        <w:rPr>
          <w:rFonts w:ascii="Times New Roman" w:cs="Times New Roman" w:eastAsia="Times New Roman" w:hAnsi="Times New Roman"/>
          <w:sz w:val="22"/>
          <w:szCs w:val="22"/>
          <w:color w:val="auto"/>
        </w:rPr>
        <w:t>Each Participant shall be required to notify the Company immediately if the Participant becomes covered by a group health plan of a subsequent employer. No Participant shall be entitled to receive cash or other consideration in lieu of coverage, except as determined by the Administrator. At the end of the Medical Period, the Participant shall no longer have a right to receive contributions towards continued health plan coverage,</w:t>
      </w:r>
    </w:p>
    <w:p>
      <w:pPr>
        <w:spacing w:after="0" w:line="19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167640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571" w:right="239" w:bottom="1440" w:gutter="0" w:footer="0" w:header="0"/>
        </w:sectPr>
      </w:pPr>
    </w:p>
    <w:bookmarkStart w:id="65" w:name="page66"/>
    <w:bookmarkEnd w:id="65"/>
    <w:p>
      <w:pPr>
        <w:ind w:left="560" w:right="380"/>
        <w:spacing w:after="0" w:line="258" w:lineRule="auto"/>
        <w:rPr>
          <w:sz w:val="20"/>
          <w:szCs w:val="20"/>
          <w:color w:val="auto"/>
        </w:rPr>
      </w:pPr>
      <w:r>
        <w:rPr>
          <w:rFonts w:ascii="Times New Roman" w:cs="Times New Roman" w:eastAsia="Times New Roman" w:hAnsi="Times New Roman"/>
          <w:sz w:val="22"/>
          <w:szCs w:val="22"/>
          <w:color w:val="auto"/>
        </w:rPr>
        <w:t>which shall be continued only to the extent required by applicable law and only to the extent that Participant continues to timely pay the full amount required for continuation of health plan coverage.</w:t>
      </w:r>
    </w:p>
    <w:p>
      <w:pPr>
        <w:spacing w:after="0" w:line="158" w:lineRule="exact"/>
        <w:rPr>
          <w:sz w:val="20"/>
          <w:szCs w:val="20"/>
          <w:color w:val="auto"/>
        </w:rPr>
      </w:pPr>
    </w:p>
    <w:p>
      <w:pPr>
        <w:ind w:left="600"/>
        <w:spacing w:after="0"/>
        <w:tabs>
          <w:tab w:leader="none" w:pos="156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Termination in Connection with a Change in Control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880" w:firstLine="810"/>
        <w:spacing w:after="0" w:line="235" w:lineRule="auto"/>
        <w:rPr>
          <w:sz w:val="20"/>
          <w:szCs w:val="20"/>
          <w:color w:val="auto"/>
        </w:rPr>
      </w:pPr>
      <w:r>
        <w:rPr>
          <w:rFonts w:ascii="Times New Roman" w:cs="Times New Roman" w:eastAsia="Times New Roman" w:hAnsi="Times New Roman"/>
          <w:sz w:val="22"/>
          <w:szCs w:val="22"/>
          <w:color w:val="auto"/>
        </w:rPr>
        <w:t>(a) Subject to the remaining provisions of this Plan, a Participant whose employment is terminated by the Company without Cause, or who resigns for Good Reason, within three months prior to a Change in Control or within twelve months following a Change in Control shall be entitled to Benefits equal to (x) an amount equal to the Participant’s Base Salary as of the Termination Date for the Base Period described below, based upon the Participant’s Class on the Termination Date, plus (y) an amount equal to the Participant’s Target Bonus for the fiscal year in which the termination occurs as of the Termination Date multiplied by the number set forth below under Bonus Amount, based upon the Participant’s Class on the Termination Date, plus (z) an amount equal to the Participant’s Medical Benefits for the Medical Period described below, based upon the Participant’s Class on the Termination Date.</w:t>
      </w:r>
    </w:p>
    <w:p>
      <w:pPr>
        <w:spacing w:after="0" w:line="214" w:lineRule="exact"/>
        <w:rPr>
          <w:sz w:val="20"/>
          <w:szCs w:val="20"/>
          <w:color w:val="auto"/>
        </w:rPr>
      </w:pPr>
    </w:p>
    <w:tbl>
      <w:tblPr>
        <w:tblLayout w:type="fixed"/>
        <w:tblInd w:w="930" w:type="dxa"/>
        <w:tblCellMar>
          <w:top w:w="0" w:type="dxa"/>
          <w:left w:w="0" w:type="dxa"/>
          <w:bottom w:w="0" w:type="dxa"/>
          <w:right w:w="0" w:type="dxa"/>
        </w:tblCellMar>
      </w:tblPr>
      <w:tr>
        <w:trPr>
          <w:trHeight w:val="257"/>
        </w:trPr>
        <w:tc>
          <w:tcPr>
            <w:tcW w:w="244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Base Period</w:t>
            </w:r>
          </w:p>
        </w:tc>
        <w:tc>
          <w:tcPr>
            <w:tcW w:w="220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color w:val="auto"/>
              </w:rPr>
              <w:t>Bonus Amount</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Medical Period</w:t>
            </w:r>
          </w:p>
        </w:tc>
      </w:tr>
      <w:tr>
        <w:trPr>
          <w:trHeight w:val="237"/>
        </w:trPr>
        <w:tc>
          <w:tcPr>
            <w:tcW w:w="2440" w:type="dxa"/>
            <w:vAlign w:val="bottom"/>
            <w:tcBorders>
              <w:left w:val="single" w:sz="8" w:color="auto"/>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Class 1</w:t>
            </w:r>
          </w:p>
        </w:tc>
        <w:tc>
          <w:tcPr>
            <w:tcW w:w="2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24 months</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2</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24 months</w:t>
            </w:r>
          </w:p>
        </w:tc>
      </w:tr>
      <w:tr>
        <w:trPr>
          <w:trHeight w:val="237"/>
        </w:trPr>
        <w:tc>
          <w:tcPr>
            <w:tcW w:w="2440" w:type="dxa"/>
            <w:vAlign w:val="bottom"/>
            <w:tcBorders>
              <w:left w:val="single" w:sz="8" w:color="auto"/>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Class 2</w:t>
            </w:r>
          </w:p>
        </w:tc>
        <w:tc>
          <w:tcPr>
            <w:tcW w:w="2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18 months</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4"/>
              </w:rPr>
              <w:t>1.5</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18 months</w:t>
            </w:r>
          </w:p>
        </w:tc>
      </w:tr>
      <w:tr>
        <w:trPr>
          <w:trHeight w:val="237"/>
        </w:trPr>
        <w:tc>
          <w:tcPr>
            <w:tcW w:w="2440" w:type="dxa"/>
            <w:vAlign w:val="bottom"/>
            <w:tcBorders>
              <w:left w:val="single" w:sz="8" w:color="auto"/>
              <w:bottom w:val="single" w:sz="8" w:color="auto"/>
              <w:right w:val="single" w:sz="8" w:color="auto"/>
            </w:tcBorders>
          </w:tcPr>
          <w:p>
            <w:pPr>
              <w:spacing w:after="0" w:line="237" w:lineRule="exact"/>
              <w:rPr>
                <w:sz w:val="20"/>
                <w:szCs w:val="20"/>
                <w:color w:val="auto"/>
              </w:rPr>
            </w:pPr>
            <w:r>
              <w:rPr>
                <w:rFonts w:ascii="Times New Roman" w:cs="Times New Roman" w:eastAsia="Times New Roman" w:hAnsi="Times New Roman"/>
                <w:sz w:val="22"/>
                <w:szCs w:val="22"/>
                <w:color w:val="auto"/>
              </w:rPr>
              <w:t>Class 3</w:t>
            </w:r>
          </w:p>
        </w:tc>
        <w:tc>
          <w:tcPr>
            <w:tcW w:w="21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12 months</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1</w:t>
            </w:r>
          </w:p>
        </w:tc>
        <w:tc>
          <w:tcPr>
            <w:tcW w:w="28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9"/>
              </w:rPr>
              <w:t>12 months</w:t>
            </w:r>
          </w:p>
        </w:tc>
      </w:tr>
    </w:tbl>
    <w:p>
      <w:pPr>
        <w:spacing w:after="0" w:line="189" w:lineRule="exact"/>
        <w:rPr>
          <w:sz w:val="20"/>
          <w:szCs w:val="20"/>
          <w:color w:val="auto"/>
        </w:rPr>
      </w:pPr>
    </w:p>
    <w:p>
      <w:pPr>
        <w:ind w:left="880" w:firstLine="810"/>
        <w:spacing w:after="0" w:line="236" w:lineRule="auto"/>
        <w:rPr>
          <w:sz w:val="20"/>
          <w:szCs w:val="20"/>
          <w:color w:val="auto"/>
        </w:rPr>
      </w:pPr>
      <w:r>
        <w:rPr>
          <w:rFonts w:ascii="Times New Roman" w:cs="Times New Roman" w:eastAsia="Times New Roman" w:hAnsi="Times New Roman"/>
          <w:sz w:val="22"/>
          <w:szCs w:val="22"/>
          <w:color w:val="auto"/>
        </w:rPr>
        <w:t>(b) Except as otherwise required pursuant to Section 3.5, any payments of Benefits under this Section 3.2 shall be paid in a single lump sum, less applicable payroll or other taxes required to be withheld. The Benefits shall be paid as soon as practicable after the Participant executes the Separation and General Release Agreement and the period during which the Separation and General Release Agreement may be revoked expires, but in no event later than</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March 15 of the year following the year in which the termination occurs.</w:t>
      </w:r>
    </w:p>
    <w:p>
      <w:pPr>
        <w:spacing w:after="0" w:line="182" w:lineRule="exact"/>
        <w:rPr>
          <w:sz w:val="20"/>
          <w:szCs w:val="20"/>
          <w:color w:val="auto"/>
        </w:rPr>
      </w:pPr>
    </w:p>
    <w:p>
      <w:pPr>
        <w:ind w:right="760" w:firstLine="598"/>
        <w:spacing w:after="0" w:line="25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Conditions and Limitations on Benefits</w:t>
      </w:r>
      <w:r>
        <w:rPr>
          <w:rFonts w:ascii="Times New Roman" w:cs="Times New Roman" w:eastAsia="Times New Roman" w:hAnsi="Times New Roman"/>
          <w:sz w:val="22"/>
          <w:szCs w:val="22"/>
          <w:color w:val="auto"/>
        </w:rPr>
        <w:t>. Any payments of Benefits are specifically conditioned upon the following:</w:t>
      </w:r>
    </w:p>
    <w:p>
      <w:pPr>
        <w:spacing w:after="0" w:line="158" w:lineRule="exact"/>
        <w:rPr>
          <w:sz w:val="20"/>
          <w:szCs w:val="20"/>
          <w:color w:val="auto"/>
        </w:rPr>
      </w:pPr>
    </w:p>
    <w:p>
      <w:pPr>
        <w:ind w:left="880" w:right="120" w:firstLine="816"/>
        <w:spacing w:after="0" w:line="239" w:lineRule="auto"/>
        <w:tabs>
          <w:tab w:leader="none" w:pos="257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must sign and not later revoke a Separation and General Release Agreement. Under no circumstances will any Benefits be provided to a Participant who elects not to sign, or who revokes, a Separation and General Release Agreement. Each Participant is encouraged to review the Separation and General Release Agreement with his or her personal attorney at his or her own expense, if he or she so desires.</w:t>
      </w:r>
    </w:p>
    <w:p>
      <w:pPr>
        <w:spacing w:after="0" w:line="180" w:lineRule="exact"/>
        <w:rPr>
          <w:rFonts w:ascii="Times New Roman" w:cs="Times New Roman" w:eastAsia="Times New Roman" w:hAnsi="Times New Roman"/>
          <w:sz w:val="22"/>
          <w:szCs w:val="22"/>
          <w:color w:val="auto"/>
        </w:rPr>
      </w:pPr>
    </w:p>
    <w:p>
      <w:pPr>
        <w:ind w:left="880" w:right="620" w:firstLine="816"/>
        <w:spacing w:after="0" w:line="238" w:lineRule="auto"/>
        <w:tabs>
          <w:tab w:leader="none" w:pos="259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non-competition, non-solicitation, confidential information and proprietary rights agreement in the form provided by the Company is a condition to eligibility for benefits under this Plan. Under no circumstances shall any employee be entitled to participate in this Plan without an executed non-competition, non-solicitation, confidential information and proprietary rights agreement in a form acceptable to the Company, as determined by the Administrator. The Participant must comply with any</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6" w:name="page67"/>
    <w:bookmarkEnd w:id="66"/>
    <w:p>
      <w:pPr>
        <w:jc w:val="both"/>
        <w:ind w:left="880" w:right="700"/>
        <w:spacing w:after="0" w:line="239" w:lineRule="auto"/>
        <w:rPr>
          <w:sz w:val="20"/>
          <w:szCs w:val="20"/>
          <w:color w:val="auto"/>
        </w:rPr>
      </w:pPr>
      <w:r>
        <w:rPr>
          <w:rFonts w:ascii="Times New Roman" w:cs="Times New Roman" w:eastAsia="Times New Roman" w:hAnsi="Times New Roman"/>
          <w:sz w:val="22"/>
          <w:szCs w:val="22"/>
          <w:color w:val="auto"/>
        </w:rPr>
        <w:t>non-competition, non-solicitation, confidential information and proprietary rights, or similar restrictive covenants contained in any agreement to which the Participant is a party. If the Participant violates any such agreement, the Company shall have no further obligation to provide any Benefits, and may in its discretion bring suit against the Participant to recover Benefits previously paid.</w:t>
      </w:r>
    </w:p>
    <w:p>
      <w:pPr>
        <w:spacing w:after="0" w:line="181" w:lineRule="exact"/>
        <w:rPr>
          <w:sz w:val="20"/>
          <w:szCs w:val="20"/>
          <w:color w:val="auto"/>
        </w:rPr>
      </w:pPr>
    </w:p>
    <w:p>
      <w:pPr>
        <w:ind w:left="880" w:right="40" w:firstLine="816"/>
        <w:spacing w:after="0" w:line="236" w:lineRule="auto"/>
        <w:tabs>
          <w:tab w:leader="none" w:pos="257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must not have engaged in conduct that would have constituted Cause for dismissal. If the Participant is terminated for a reason other than Cause, and the Company subsequently discovers that the Participant engaged in conduct that would have constituted Cause, the Company shall have no further obligation to provide any Benefits, and may in its discretion bring suit against the Participant to recover Benefits previously paid, and the difference between the premiums actually paid for Medical Benefits and the premiums that would have been required for the same coverage under COBRA.</w:t>
      </w:r>
    </w:p>
    <w:p>
      <w:pPr>
        <w:spacing w:after="0" w:line="182" w:lineRule="exact"/>
        <w:rPr>
          <w:sz w:val="20"/>
          <w:szCs w:val="20"/>
          <w:color w:val="auto"/>
        </w:rPr>
      </w:pPr>
    </w:p>
    <w:p>
      <w:pPr>
        <w:ind w:right="220" w:firstLine="598"/>
        <w:spacing w:after="0" w:line="244"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Payment of Severance Benefits upon Participant’s Death</w:t>
      </w:r>
      <w:r>
        <w:rPr>
          <w:rFonts w:ascii="Times New Roman" w:cs="Times New Roman" w:eastAsia="Times New Roman" w:hAnsi="Times New Roman"/>
          <w:sz w:val="22"/>
          <w:szCs w:val="22"/>
          <w:color w:val="auto"/>
        </w:rPr>
        <w:t>. If a Participant dies after the Termination Date and after executing the Separation and General Release Agreement, but before Severance Benefits are paid, any remaining Severance Benefits will be paid to the Participant’s estate in a lump sum within 90 days after the Participant’s death.</w:t>
      </w:r>
    </w:p>
    <w:p>
      <w:pPr>
        <w:spacing w:after="0" w:line="174" w:lineRule="exact"/>
        <w:rPr>
          <w:sz w:val="20"/>
          <w:szCs w:val="20"/>
          <w:color w:val="auto"/>
        </w:rPr>
      </w:pPr>
    </w:p>
    <w:p>
      <w:pPr>
        <w:ind w:firstLine="598"/>
        <w:spacing w:after="0" w:line="239"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It is the intent of the Company that all amounts payable to a Participant pursuant to this Plan, including without limitation amounts payable under this Section 3, be paid in a manner that satisfies the requirements of Section 409A, to the extent applicable, and to the maximum extent possible this Plan shall be so interpreted. Without limiting the foregoing:</w:t>
      </w:r>
    </w:p>
    <w:p>
      <w:pPr>
        <w:spacing w:after="0" w:line="181" w:lineRule="exact"/>
        <w:rPr>
          <w:sz w:val="20"/>
          <w:szCs w:val="20"/>
          <w:color w:val="auto"/>
        </w:rPr>
      </w:pPr>
    </w:p>
    <w:p>
      <w:pPr>
        <w:ind w:left="880" w:right="40" w:firstLine="816"/>
        <w:spacing w:after="0" w:line="253" w:lineRule="auto"/>
        <w:tabs>
          <w:tab w:leader="none" w:pos="2578"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installment of Severance Benefits paid pursuant to Section 3.1 shall constitute a separate “payment” for purposes of Section 409A. For purposes of this Agreement, the term “</w:t>
      </w:r>
      <w:r>
        <w:rPr>
          <w:rFonts w:ascii="Times New Roman" w:cs="Times New Roman" w:eastAsia="Times New Roman" w:hAnsi="Times New Roman"/>
          <w:sz w:val="21"/>
          <w:szCs w:val="21"/>
          <w:u w:val="single" w:color="auto"/>
          <w:color w:val="auto"/>
        </w:rPr>
        <w:t>Section 409A Payment</w:t>
      </w:r>
      <w:r>
        <w:rPr>
          <w:rFonts w:ascii="Times New Roman" w:cs="Times New Roman" w:eastAsia="Times New Roman" w:hAnsi="Times New Roman"/>
          <w:sz w:val="21"/>
          <w:szCs w:val="21"/>
          <w:color w:val="auto"/>
        </w:rPr>
        <w:t>” shall mean:</w:t>
      </w:r>
    </w:p>
    <w:p>
      <w:pPr>
        <w:spacing w:after="0" w:line="1" w:lineRule="exact"/>
        <w:rPr>
          <w:rFonts w:ascii="Times New Roman" w:cs="Times New Roman" w:eastAsia="Times New Roman" w:hAnsi="Times New Roman"/>
          <w:sz w:val="21"/>
          <w:szCs w:val="21"/>
          <w:color w:val="auto"/>
        </w:rPr>
      </w:pPr>
    </w:p>
    <w:p>
      <w:pPr>
        <w:ind w:left="880" w:right="60" w:firstLine="5"/>
        <w:spacing w:after="0" w:line="244" w:lineRule="auto"/>
        <w:tabs>
          <w:tab w:leader="none" w:pos="113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Severance Benefit that is paid after the later of March 15 of the calendar year following the year in which the Termination Date occurs or the fifteenth day of the third month following the end of the Company’s fiscal year in which the Termination Date occurs, but only to the extent that such Severance Benefit, when added to the sum of all Severance Benefits paid after such date, exceeds two times the lesser of the Participant’s Base Salary at the end of the year preceding the year in which the Termination Date occurs or the dollar limitation in effect under Section 401(a)(17) of the Internal Revenue Code in the year in which the Termination Date occurs, and (ii) any other payment that the Administrator determines in good faith constitutes a payment of deferred compensation subject to Section 409A.</w:t>
      </w:r>
    </w:p>
    <w:p>
      <w:pPr>
        <w:spacing w:after="0" w:line="175" w:lineRule="exact"/>
        <w:rPr>
          <w:rFonts w:ascii="Times New Roman" w:cs="Times New Roman" w:eastAsia="Times New Roman" w:hAnsi="Times New Roman"/>
          <w:sz w:val="21"/>
          <w:szCs w:val="21"/>
          <w:color w:val="auto"/>
        </w:rPr>
      </w:pPr>
    </w:p>
    <w:p>
      <w:pPr>
        <w:jc w:val="both"/>
        <w:ind w:left="880" w:right="140" w:firstLine="816"/>
        <w:spacing w:after="0" w:line="239" w:lineRule="auto"/>
        <w:tabs>
          <w:tab w:leader="none" w:pos="259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is a “specified employee” as defined in Section 409A at the time of the Participant’s termination of employment, then no Section 409A Payments shall be paid to the Participant until the first business day that is more than six months following the Termination Date, and all Section 409A Payments that would otherwise have been paid prior to such date shall be paid on such date, without interest, in a lump sum.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67" w:name="page68"/>
    <w:bookmarkEnd w:id="67"/>
    <w:p>
      <w:pPr>
        <w:ind w:left="280" w:right="40" w:firstLine="816"/>
        <w:spacing w:after="0" w:line="234" w:lineRule="auto"/>
        <w:tabs>
          <w:tab w:leader="none" w:pos="197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Section 409A Payment shall be paid at a time other than the time specified herein, whether by amendment to the Agreement or otherwise, and no amount shall be paid in substitution for any Section 409A Payment if such amount is paid at a different time than the Section 409A Payment would have been paid, except as permitted by Section 409A. Without limiting the generality of the foregoing, if any Participant becomes entitled to Severance Benefits pursuant to Section 3.2 by reason of a termination occurring after a Change in Control that does not constitute a “change in control event” with respect to such Participant as defined in Section 409A, then a portion of the Severance Benefit payable under Section 3.2 equal to the sum of all Section 409A Payments that the Participant would have received under Section 3.1 if he or she had been terminated more than three months prior to a Change in Control shall be paid in installments at the same times that such Section 409A Payments would have been paid.</w:t>
      </w:r>
    </w:p>
    <w:p>
      <w:pPr>
        <w:spacing w:after="0" w:line="184" w:lineRule="exact"/>
        <w:rPr>
          <w:rFonts w:ascii="Times New Roman" w:cs="Times New Roman" w:eastAsia="Times New Roman" w:hAnsi="Times New Roman"/>
          <w:sz w:val="22"/>
          <w:szCs w:val="22"/>
          <w:color w:val="auto"/>
        </w:rPr>
      </w:pPr>
    </w:p>
    <w:p>
      <w:pPr>
        <w:ind w:left="280" w:right="20" w:firstLine="816"/>
        <w:spacing w:after="0" w:line="244" w:lineRule="auto"/>
        <w:tabs>
          <w:tab w:leader="none" w:pos="199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termination of employment occurs that does not constitute a separation from service as defined in Section 409A, then any Section 409A Payment that becomes payable by reason of such Termination shall not be paid until the Participant incurs a separation from service as defined in Section 409A.</w:t>
      </w:r>
    </w:p>
    <w:p>
      <w:pPr>
        <w:spacing w:after="0" w:line="17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1"/>
          <w:szCs w:val="21"/>
          <w:u w:val="single" w:color="auto"/>
          <w:color w:val="auto"/>
        </w:rPr>
        <w:t>Reduction of Payments to Comply with Section 280G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80" w:right="180" w:firstLine="816"/>
        <w:spacing w:after="0" w:line="236" w:lineRule="auto"/>
        <w:tabs>
          <w:tab w:leader="none" w:pos="197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Plan to the contrary notwithstanding, in the event that the amount of the Severance Benefits, and any additional compensation, payment or distribution by the Company to or for the benefit of Participant, whether paid or payable or distributed or distributable pursuant to the terms of this Plan or otherwise, calculated in a manner consistent with Section 280G of the Code and the applicable regulations thereunder (the “</w:t>
      </w:r>
      <w:r>
        <w:rPr>
          <w:rFonts w:ascii="Times New Roman" w:cs="Times New Roman" w:eastAsia="Times New Roman" w:hAnsi="Times New Roman"/>
          <w:sz w:val="22"/>
          <w:szCs w:val="22"/>
          <w:u w:val="single" w:color="auto"/>
          <w:color w:val="auto"/>
        </w:rPr>
        <w:t>Total 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be subject to the excise tax imposed by Section 4999 of the Code, the following provisions shall apply:</w:t>
      </w:r>
    </w:p>
    <w:p>
      <w:pPr>
        <w:spacing w:after="0" w:line="182" w:lineRule="exact"/>
        <w:rPr>
          <w:rFonts w:ascii="Times New Roman" w:cs="Times New Roman" w:eastAsia="Times New Roman" w:hAnsi="Times New Roman"/>
          <w:sz w:val="22"/>
          <w:szCs w:val="22"/>
          <w:color w:val="auto"/>
        </w:rPr>
      </w:pPr>
    </w:p>
    <w:p>
      <w:pPr>
        <w:ind w:left="1160" w:right="60" w:firstLine="746"/>
        <w:spacing w:after="0" w:line="238" w:lineRule="auto"/>
        <w:tabs>
          <w:tab w:leader="none" w:pos="275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total Severance Benefits, reduced by the sum of (1) the Excise Tax (as defined below) and (2) the total of the Federal, state, and local income and employment taxes payable by Participant on the amount of the Total Severance Payments which are in excess of the Threshold Amount (as defined below), are greater than or equal to the Threshold Amount, Participant shall be entitled to the full benefits payable under this Plan.</w:t>
      </w:r>
    </w:p>
    <w:p>
      <w:pPr>
        <w:spacing w:after="0" w:line="177" w:lineRule="exact"/>
        <w:rPr>
          <w:rFonts w:ascii="Times New Roman" w:cs="Times New Roman" w:eastAsia="Times New Roman" w:hAnsi="Times New Roman"/>
          <w:sz w:val="22"/>
          <w:szCs w:val="22"/>
          <w:color w:val="auto"/>
        </w:rPr>
      </w:pPr>
    </w:p>
    <w:p>
      <w:pPr>
        <w:ind w:left="1160" w:firstLine="746"/>
        <w:spacing w:after="0" w:line="247" w:lineRule="auto"/>
        <w:tabs>
          <w:tab w:leader="none" w:pos="2815"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Threshold Amount is less than (x) the Total Severance Payments, but greater than (y) the Total Severance Payments reduced by the sum of (1) the Excise Tax and (2) the total of the Federal, state, and local income and employment taxes on the amount of the Total Severance Payments which are in excess of the Threshold Amount, then the Total Severance Payments shall be reduced (but not below zero) to the extent necessary so that the sum of all Total Severance Payments shall not exceed the Threshold Amount. In such event, the Total Severance Payments shall be reduced in the following order: (1) cash payments not subject to Section 409A of the Code; (2) cash payments subject to Section 409A of the Code; (3) equity-based payments and acceleration; and (4) non-cash forms of benefits. To the extent any payment is to be made over time</w:t>
      </w:r>
    </w:p>
    <w:p>
      <w:pPr>
        <w:spacing w:after="0" w:line="18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167640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780"/>
          </w:cols>
          <w:pgMar w:left="840" w:top="571" w:right="279" w:bottom="1440" w:gutter="0" w:footer="0" w:header="0"/>
        </w:sectPr>
      </w:pPr>
    </w:p>
    <w:bookmarkStart w:id="68" w:name="page69"/>
    <w:bookmarkEnd w:id="68"/>
    <w:p>
      <w:pPr>
        <w:ind w:left="1760"/>
        <w:spacing w:after="0"/>
        <w:rPr>
          <w:sz w:val="20"/>
          <w:szCs w:val="20"/>
          <w:color w:val="auto"/>
        </w:rPr>
      </w:pPr>
      <w:r>
        <w:rPr>
          <w:rFonts w:ascii="Times New Roman" w:cs="Times New Roman" w:eastAsia="Times New Roman" w:hAnsi="Times New Roman"/>
          <w:sz w:val="22"/>
          <w:szCs w:val="22"/>
          <w:color w:val="auto"/>
        </w:rPr>
        <w:t>(e.g., in installments, etc.), then the payments shall be reduced in reverse chronological order.</w:t>
      </w:r>
    </w:p>
    <w:p>
      <w:pPr>
        <w:spacing w:after="0" w:line="206" w:lineRule="exact"/>
        <w:rPr>
          <w:sz w:val="20"/>
          <w:szCs w:val="20"/>
          <w:color w:val="auto"/>
        </w:rPr>
      </w:pPr>
    </w:p>
    <w:p>
      <w:pPr>
        <w:ind w:left="880" w:right="80" w:firstLine="816"/>
        <w:spacing w:after="0" w:line="239" w:lineRule="auto"/>
        <w:tabs>
          <w:tab w:leader="none" w:pos="259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3.6, “</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shall mean three times the Participant’s “base amount” within the meaning of Section 280G(b)(3) of the Code and the regulations promulgated thereunder less one dollar ($1.00); and “Excise Tax” shall mean the excise tax imposed by Section 4999 of the Code, and any interest or penalties incurred by the Participant with respect to such excise tax.</w:t>
      </w:r>
    </w:p>
    <w:p>
      <w:pPr>
        <w:spacing w:after="0" w:line="180" w:lineRule="exact"/>
        <w:rPr>
          <w:rFonts w:ascii="Times New Roman" w:cs="Times New Roman" w:eastAsia="Times New Roman" w:hAnsi="Times New Roman"/>
          <w:sz w:val="22"/>
          <w:szCs w:val="22"/>
          <w:color w:val="auto"/>
        </w:rPr>
      </w:pPr>
    </w:p>
    <w:p>
      <w:pPr>
        <w:ind w:left="880" w:firstLine="816"/>
        <w:spacing w:after="0" w:line="234" w:lineRule="auto"/>
        <w:tabs>
          <w:tab w:leader="none" w:pos="25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as to which of the alternative provisions of this Section 3.6 shall apply shall be made by a nationally recognized accounting firm selected by the Company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which shall provide detailed supporting calculations to both the Company and Participant within 15 business days of the Termination Date, or at such earlier time as is reasonably requested by the Company. For purposes of determining which of the alternative provisions of this Section 3.6 shall apply, Participant shall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Participant’s residence on the date of termination, net of the maximum reduction in federal income taxes which could be obtained from deduction of such state and local taxes. Any determination by the Accounting Firm shall be binding upon the Company and Participant.</w:t>
      </w:r>
    </w:p>
    <w:p>
      <w:pPr>
        <w:spacing w:after="0" w:line="180"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will withhold from all Severance Benefits all required federal, state, local and other taxes and any other payroll deductions required.</w:t>
      </w:r>
    </w:p>
    <w:p>
      <w:pPr>
        <w:spacing w:after="0" w:line="158" w:lineRule="exact"/>
        <w:rPr>
          <w:sz w:val="20"/>
          <w:szCs w:val="20"/>
          <w:color w:val="auto"/>
        </w:rPr>
      </w:pPr>
    </w:p>
    <w:p>
      <w:pPr>
        <w:ind w:left="820" w:hanging="812"/>
        <w:spacing w:after="0"/>
        <w:tabs>
          <w:tab w:leader="none" w:pos="8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598"/>
        <w:spacing w:after="0" w:line="235" w:lineRule="auto"/>
        <w:rPr>
          <w:sz w:val="20"/>
          <w:szCs w:val="20"/>
          <w:color w:val="auto"/>
        </w:rPr>
      </w:pPr>
      <w:r>
        <w:rPr>
          <w:rFonts w:ascii="Times New Roman" w:cs="Times New Roman" w:eastAsia="Times New Roman" w:hAnsi="Times New Roman"/>
          <w:sz w:val="22"/>
          <w:szCs w:val="22"/>
          <w:color w:val="auto"/>
        </w:rPr>
        <w:t>The Administrator has the sole and unlimited discretion to interpret the terms of the Plan, to adopt such rules and procedures as it may determine to be appropriate for the administration of the Plan, and to make all determinations about eligibility and payment of benefits. All decisions of the Administrator, any action taken by the Administrator with respect to the Plan and within the powers granted to the Administrator under the Plan, and any interpretation by the Administrator of any term or condition of the Plan, are conclusive and binding on all persons, and will be given the maximum possible deference allowed by law. The Administrator may delegate and reallocate any authority and responsibility with respect to the Plan. The authority of the Administrator may also be exercised in routine and administrative matters by the Company’s Chief People Officer, or persons acting under his or her authority.</w:t>
      </w:r>
    </w:p>
    <w:p>
      <w:pPr>
        <w:spacing w:after="0" w:line="179" w:lineRule="exact"/>
        <w:rPr>
          <w:sz w:val="20"/>
          <w:szCs w:val="20"/>
          <w:color w:val="auto"/>
        </w:rPr>
      </w:pPr>
    </w:p>
    <w:p>
      <w:pPr>
        <w:ind w:left="820" w:hanging="812"/>
        <w:spacing w:after="0"/>
        <w:tabs>
          <w:tab w:leader="none" w:pos="8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598"/>
        <w:spacing w:after="0" w:line="238" w:lineRule="auto"/>
        <w:rPr>
          <w:sz w:val="20"/>
          <w:szCs w:val="20"/>
          <w:color w:val="auto"/>
        </w:rPr>
      </w:pPr>
      <w:r>
        <w:rPr>
          <w:rFonts w:ascii="Times New Roman" w:cs="Times New Roman" w:eastAsia="Times New Roman" w:hAnsi="Times New Roman"/>
          <w:sz w:val="22"/>
          <w:szCs w:val="22"/>
          <w:color w:val="auto"/>
        </w:rPr>
        <w:t xml:space="preserve">The Company reserves the right, in its sole and unlimited discretion, to amend or terminate the Plan at any time by action of the Committee or the Board, without prior notice to any Participant;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however, that no such amendment or termination shall materially adversely affect the interests or rights of any Participant whose Termination Date has occurred prior to any such amendment or termination of the Plan;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in the event of a termination or amendment of the Plan, if any Participant is terminated after the date of</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69" w:name="page70"/>
    <w:bookmarkEnd w:id="69"/>
    <w:p>
      <w:pPr>
        <w:ind w:right="140"/>
        <w:spacing w:after="0" w:line="239" w:lineRule="auto"/>
        <w:rPr>
          <w:sz w:val="20"/>
          <w:szCs w:val="20"/>
          <w:color w:val="auto"/>
        </w:rPr>
      </w:pPr>
      <w:r>
        <w:rPr>
          <w:rFonts w:ascii="Times New Roman" w:cs="Times New Roman" w:eastAsia="Times New Roman" w:hAnsi="Times New Roman"/>
          <w:sz w:val="22"/>
          <w:szCs w:val="22"/>
          <w:color w:val="auto"/>
        </w:rPr>
        <w:t>amendment or termination of the Plan, but prior to the date on which the Participant’s employment agreement would have expired had it not been terminated, the Participant shall be entitled to (i) the same Benefits the Participant would have received under the terms of such employment agreement had it not been terminated, or (ii) the Benefits to which the Participant would be entitled under this Plan, whichever is the greater benefit to the Participant.</w:t>
      </w:r>
    </w:p>
    <w:p>
      <w:pPr>
        <w:spacing w:after="0" w:line="181" w:lineRule="exact"/>
        <w:rPr>
          <w:sz w:val="20"/>
          <w:szCs w:val="20"/>
          <w:color w:val="auto"/>
        </w:rPr>
      </w:pPr>
    </w:p>
    <w:p>
      <w:pPr>
        <w:ind w:left="820" w:hanging="812"/>
        <w:spacing w:after="0"/>
        <w:tabs>
          <w:tab w:leader="none" w:pos="8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598"/>
        <w:spacing w:after="0" w:line="23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Notice of Claim</w:t>
      </w:r>
      <w:r>
        <w:rPr>
          <w:rFonts w:ascii="Times New Roman" w:cs="Times New Roman" w:eastAsia="Times New Roman" w:hAnsi="Times New Roman"/>
          <w:sz w:val="22"/>
          <w:szCs w:val="22"/>
          <w:color w:val="auto"/>
        </w:rPr>
        <w:t>. Any person who believes that he or she is entitled to any payment under the Plan (“</w:t>
      </w:r>
      <w:r>
        <w:rPr>
          <w:rFonts w:ascii="Times New Roman" w:cs="Times New Roman" w:eastAsia="Times New Roman" w:hAnsi="Times New Roman"/>
          <w:sz w:val="22"/>
          <w:szCs w:val="22"/>
          <w:u w:val="single" w:color="auto"/>
          <w:color w:val="auto"/>
        </w:rPr>
        <w:t>Applicant</w:t>
      </w:r>
      <w:r>
        <w:rPr>
          <w:rFonts w:ascii="Times New Roman" w:cs="Times New Roman" w:eastAsia="Times New Roman" w:hAnsi="Times New Roman"/>
          <w:sz w:val="22"/>
          <w:szCs w:val="22"/>
          <w:color w:val="auto"/>
        </w:rPr>
        <w:t>”) may submit a claim in writing to the Company’s human resources department. If a claim is denied in whole or in part, the Company shall furnish the Applicant within 90 days after receipt of such claim with a written notice which specifies the reason for the denial, refers to the pertinent provisions of the Plan on which the denial is based, describes any additional material or information necessary for properly completing the claim and explains why such material or information is necessary, and explains the claim review procedures of this Section 6, including the Applicant’s right to file suit in accordance with Section 6.4 if the claim is denied following review. The 90-day period for responding to a claim may be extended by up to an additional 90 days if the Applicant is given, by the end of the initial 90-day period, a written notice of the extension, including an explanation of the reason for the extension and an estimate of when the claim will be resolved.</w:t>
      </w:r>
    </w:p>
    <w:p>
      <w:pPr>
        <w:spacing w:after="0" w:line="184" w:lineRule="exact"/>
        <w:rPr>
          <w:sz w:val="20"/>
          <w:szCs w:val="20"/>
          <w:color w:val="auto"/>
        </w:rPr>
      </w:pPr>
    </w:p>
    <w:p>
      <w:pPr>
        <w:ind w:firstLine="598"/>
        <w:spacing w:after="0" w:line="235"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Review of Decision</w:t>
      </w:r>
      <w:r>
        <w:rPr>
          <w:rFonts w:ascii="Times New Roman" w:cs="Times New Roman" w:eastAsia="Times New Roman" w:hAnsi="Times New Roman"/>
          <w:sz w:val="22"/>
          <w:szCs w:val="22"/>
          <w:color w:val="auto"/>
        </w:rPr>
        <w:t>. If within 60 days after receipt of a notice of denial pursuant to Section 6.1, the Applicant so requests in writing, the Committee shall review such decision. The Committee’s decision on review shall be in writing, and shall include specific reasons for the decision, written in a manner calculated to be understood by the Applicant, and shall include specific references to the pertinent provisions of the Plan on which the decision is based, and shall explain the Applicant’s right to file suit in accordance with Section 6.4. It shall be delivered to the Applicant within 60 days after the request for review is received, unless extraordinary circumstances require a longer period, in which event the 60-day period may be extended by up to an additional 60 days if the Applicant is given, by the end of the initial 60-day period, a written notice of the extension, including an explanation of the reason for the extension and an estimate of when the appeal will be resolved.</w:t>
      </w:r>
    </w:p>
    <w:p>
      <w:pPr>
        <w:spacing w:after="0" w:line="179" w:lineRule="exact"/>
        <w:rPr>
          <w:sz w:val="20"/>
          <w:szCs w:val="20"/>
          <w:color w:val="auto"/>
        </w:rPr>
      </w:pPr>
    </w:p>
    <w:p>
      <w:pPr>
        <w:ind w:right="140" w:firstLine="598"/>
        <w:spacing w:after="0" w:line="238"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provisions of this Section 6 are intended to comply with the requirements of ERISA Section 503 and the regulations issued thereunder, and shall be so construed. In accordance with such regulations, each Applicant shall be entitled, upon written request and without charge, to review and receive copies of all material relevant to his or her claim within the meaning of Department of Labor Regulations 29 C.F.R. Section 2560.503-1(m)(8), and to be represented by a qualified representative.</w:t>
      </w:r>
    </w:p>
    <w:p>
      <w:pPr>
        <w:spacing w:after="0" w:line="177" w:lineRule="exact"/>
        <w:rPr>
          <w:sz w:val="20"/>
          <w:szCs w:val="20"/>
          <w:color w:val="auto"/>
        </w:rPr>
      </w:pPr>
    </w:p>
    <w:p>
      <w:pPr>
        <w:ind w:right="40" w:firstLine="598"/>
        <w:spacing w:after="0" w:line="23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Process for Appeal</w:t>
      </w:r>
      <w:r>
        <w:rPr>
          <w:rFonts w:ascii="Times New Roman" w:cs="Times New Roman" w:eastAsia="Times New Roman" w:hAnsi="Times New Roman"/>
          <w:sz w:val="22"/>
          <w:szCs w:val="22"/>
          <w:color w:val="auto"/>
        </w:rPr>
        <w:t>. In further consideration of being permitted to participate in the Plan, each Participant agrees on behalf of himself, and all other persons claiming through him, that he will not commence any action at law or equity (including without limitation any action under ERISA Section 502), or any proceeding before any administrative agency, for payment of any benefit under this Plan without first filing a written claim for such benefit and appealing the denial of that claim in accordance with the provisions of this Section 6, and in any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70" w:name="page71"/>
    <w:bookmarkEnd w:id="70"/>
    <w:p>
      <w:pPr>
        <w:ind w:right="320"/>
        <w:spacing w:after="0" w:line="258" w:lineRule="auto"/>
        <w:rPr>
          <w:sz w:val="20"/>
          <w:szCs w:val="20"/>
          <w:color w:val="auto"/>
        </w:rPr>
      </w:pPr>
      <w:r>
        <w:rPr>
          <w:rFonts w:ascii="Times New Roman" w:cs="Times New Roman" w:eastAsia="Times New Roman" w:hAnsi="Times New Roman"/>
          <w:sz w:val="22"/>
          <w:szCs w:val="22"/>
          <w:color w:val="auto"/>
        </w:rPr>
        <w:t>event will not commence any such action more than one hundred eighty (180) days after the appeal is denied in accordance with subsection 6.2.</w:t>
      </w:r>
    </w:p>
    <w:p>
      <w:pPr>
        <w:spacing w:after="0" w:line="158" w:lineRule="exact"/>
        <w:rPr>
          <w:sz w:val="20"/>
          <w:szCs w:val="20"/>
          <w:color w:val="auto"/>
        </w:rPr>
      </w:pPr>
    </w:p>
    <w:p>
      <w:pPr>
        <w:ind w:left="820" w:hanging="812"/>
        <w:spacing w:after="0"/>
        <w:tabs>
          <w:tab w:leader="none" w:pos="8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Inalienability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firstLine="598"/>
        <w:spacing w:after="0" w:line="244" w:lineRule="auto"/>
        <w:rPr>
          <w:sz w:val="20"/>
          <w:szCs w:val="20"/>
          <w:color w:val="auto"/>
        </w:rPr>
      </w:pPr>
      <w:r>
        <w:rPr>
          <w:rFonts w:ascii="Times New Roman" w:cs="Times New Roman" w:eastAsia="Times New Roman" w:hAnsi="Times New Roman"/>
          <w:sz w:val="22"/>
          <w:szCs w:val="22"/>
          <w:color w:val="auto"/>
        </w:rPr>
        <w:t>In no event may any Participant sell, transfer, anticipate, assign or otherwise dispose of any right or interest under the Plan and any attempt to do so shall be null and void. At no time will any such right or interest be subject to the claims of creditors or liable to attachment, execution or other legal process.</w:t>
      </w:r>
    </w:p>
    <w:p>
      <w:pPr>
        <w:spacing w:after="0" w:line="174" w:lineRule="exact"/>
        <w:rPr>
          <w:sz w:val="20"/>
          <w:szCs w:val="20"/>
          <w:color w:val="auto"/>
        </w:rPr>
      </w:pPr>
    </w:p>
    <w:p>
      <w:pPr>
        <w:ind w:left="820" w:hanging="812"/>
        <w:spacing w:after="0"/>
        <w:tabs>
          <w:tab w:leader="none" w:pos="8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Payments Made by Mistake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A Participant shall be required to return to the Company any Severance Benefit, or portion thereof, paid by a mistake of fact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law.</w:t>
      </w:r>
    </w:p>
    <w:p>
      <w:pPr>
        <w:spacing w:after="0" w:line="182" w:lineRule="exact"/>
        <w:rPr>
          <w:sz w:val="20"/>
          <w:szCs w:val="20"/>
          <w:color w:val="auto"/>
        </w:rPr>
      </w:pPr>
    </w:p>
    <w:p>
      <w:pPr>
        <w:ind w:left="820" w:hanging="812"/>
        <w:spacing w:after="0"/>
        <w:tabs>
          <w:tab w:leader="none" w:pos="8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Enlargement of Employment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598"/>
        <w:spacing w:after="0" w:line="244" w:lineRule="auto"/>
        <w:rPr>
          <w:sz w:val="20"/>
          <w:szCs w:val="20"/>
          <w:color w:val="auto"/>
        </w:rPr>
      </w:pPr>
      <w:r>
        <w:rPr>
          <w:rFonts w:ascii="Times New Roman" w:cs="Times New Roman" w:eastAsia="Times New Roman" w:hAnsi="Times New Roman"/>
          <w:sz w:val="22"/>
          <w:szCs w:val="22"/>
          <w:color w:val="auto"/>
        </w:rPr>
        <w:t>Neither the establishment or maintenance of the Plan, the payment of any amount hereunder by the Company nor any action of the Company shall confer upon any individual any right to continue as an employee of the Company or any Subsidiary thereof or as a Participant under this Plan nor any right or interest in the Plan other than as provided in the Plan.</w:t>
      </w:r>
    </w:p>
    <w:p>
      <w:pPr>
        <w:spacing w:after="0" w:line="174" w:lineRule="exact"/>
        <w:rPr>
          <w:sz w:val="20"/>
          <w:szCs w:val="20"/>
          <w:color w:val="auto"/>
        </w:rPr>
      </w:pPr>
    </w:p>
    <w:p>
      <w:pPr>
        <w:ind w:left="920" w:hanging="912"/>
        <w:spacing w:after="0"/>
        <w:tabs>
          <w:tab w:leader="none" w:pos="9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Mitigation and Offset</w:t>
      </w:r>
    </w:p>
    <w:p>
      <w:pPr>
        <w:spacing w:after="0" w:line="206" w:lineRule="exact"/>
        <w:rPr>
          <w:sz w:val="20"/>
          <w:szCs w:val="20"/>
          <w:color w:val="auto"/>
        </w:rPr>
      </w:pPr>
    </w:p>
    <w:p>
      <w:pPr>
        <w:ind w:right="20" w:firstLine="598"/>
        <w:spacing w:after="0" w:line="233" w:lineRule="auto"/>
        <w:rPr>
          <w:sz w:val="20"/>
          <w:szCs w:val="20"/>
          <w:color w:val="auto"/>
        </w:rPr>
      </w:pPr>
      <w:r>
        <w:rPr>
          <w:rFonts w:ascii="Times New Roman" w:cs="Times New Roman" w:eastAsia="Times New Roman" w:hAnsi="Times New Roman"/>
          <w:sz w:val="22"/>
          <w:szCs w:val="22"/>
          <w:color w:val="auto"/>
        </w:rPr>
        <w:t>10.1 A Participant who becomes entitled to receive Severance Benefits pursuant to Section 3.1 shall, as a condition to his or her continued eligibility for Severance Benefits, use reasonable best efforts to seek other employment and to take other reasonable actions to mitigate the amounts payable under Section 3.1 hereof. If the Participant obtains other employment during the Base Period, the Company shall have the right to offset against the Severance Benefits the amount earned by the Participant from another employer during the Base Period. For purposes of this Section 10.1, the Participant shall inform the Company regarding his or her employment status following termination and during the Base Period. The Company shall have the right to withhold Severance Benefits if the Participant fails to periodically certify his or her employment status in accordance with procedures established by the Company, or to recover any Severance Benefits to a Participant who fails to advise the Company of other employment. If a Participant receiving Health Care Continuation Benefits under Section 3.1 obtains other employment and is eligible for medical coverage through such employment, the subsidized portion of Health Care Continuation shall terminate regardless of whether the Participant continues to be eligible for COBRA coverage, and the Participant shall thereafter be required to pay the full COBRA premium.</w:t>
      </w:r>
    </w:p>
    <w:p>
      <w:pPr>
        <w:spacing w:after="0" w:line="186" w:lineRule="exact"/>
        <w:rPr>
          <w:sz w:val="20"/>
          <w:szCs w:val="20"/>
          <w:color w:val="auto"/>
        </w:rPr>
      </w:pPr>
    </w:p>
    <w:p>
      <w:pPr>
        <w:ind w:firstLine="598"/>
        <w:spacing w:after="0" w:line="238" w:lineRule="auto"/>
        <w:rPr>
          <w:sz w:val="20"/>
          <w:szCs w:val="20"/>
          <w:color w:val="auto"/>
        </w:rPr>
      </w:pPr>
      <w:r>
        <w:rPr>
          <w:rFonts w:ascii="Times New Roman" w:cs="Times New Roman" w:eastAsia="Times New Roman" w:hAnsi="Times New Roman"/>
          <w:sz w:val="22"/>
          <w:szCs w:val="22"/>
          <w:color w:val="auto"/>
        </w:rPr>
        <w:t>10.2 The mitigation and offset provisions of Section 10.1 shall not apply to a Participant who becomes entitled to receive Severance Benefits pursuant to Section 3.2 by reason of a termination occurring in within three months prior or 12 months following a Change in Control. Such Participants shall not be required to mitigate damages or to offset Severance Benefits. Nothing contained herein shall be construed to preclude the Company from discontinuing Health Care Continuation to a Participant who has obtained other medical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coverage in accordance with COBRA, on behalf of an Executive who has obtained other employment.</w:t>
      </w:r>
    </w:p>
    <w:p>
      <w:pPr>
        <w:spacing w:after="0" w:line="206" w:lineRule="exact"/>
        <w:rPr>
          <w:sz w:val="20"/>
          <w:szCs w:val="20"/>
          <w:color w:val="auto"/>
        </w:rPr>
      </w:pPr>
    </w:p>
    <w:p>
      <w:pPr>
        <w:ind w:left="920" w:hanging="912"/>
        <w:spacing w:after="0"/>
        <w:tabs>
          <w:tab w:leader="none" w:pos="9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firstLine="877"/>
        <w:spacing w:after="0" w:line="239" w:lineRule="auto"/>
        <w:rPr>
          <w:sz w:val="20"/>
          <w:szCs w:val="20"/>
          <w:color w:val="auto"/>
        </w:rPr>
      </w:pPr>
      <w:r>
        <w:rPr>
          <w:rFonts w:ascii="Times New Roman" w:cs="Times New Roman" w:eastAsia="Times New Roman" w:hAnsi="Times New Roman"/>
          <w:sz w:val="22"/>
          <w:szCs w:val="22"/>
          <w:color w:val="auto"/>
        </w:rPr>
        <w:t>The parties to this Plan acknowledge and agree that this Plan and the parties’ rights and obligations hereunder shall be construed, interpreted, administered and enforced in accordance with ERISA, and to the extent applicable and not pre-empted by Federal law, in accordance with the laws of the Commonwealth of Massachusetts, without regard to the Commonwealth of Massachusetts’s conflict of law principles.</w:t>
      </w:r>
    </w:p>
    <w:p>
      <w:pPr>
        <w:spacing w:after="0" w:line="181" w:lineRule="exact"/>
        <w:rPr>
          <w:sz w:val="20"/>
          <w:szCs w:val="20"/>
          <w:color w:val="auto"/>
        </w:rPr>
      </w:pPr>
    </w:p>
    <w:p>
      <w:pPr>
        <w:ind w:left="920" w:hanging="912"/>
        <w:spacing w:after="0"/>
        <w:tabs>
          <w:tab w:leader="none" w:pos="9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580" w:firstLine="598"/>
        <w:spacing w:after="0" w:line="258" w:lineRule="auto"/>
        <w:rPr>
          <w:sz w:val="20"/>
          <w:szCs w:val="20"/>
          <w:color w:val="auto"/>
        </w:rPr>
      </w:pPr>
      <w:r>
        <w:rPr>
          <w:rFonts w:ascii="Times New Roman" w:cs="Times New Roman" w:eastAsia="Times New Roman" w:hAnsi="Times New Roman"/>
          <w:sz w:val="22"/>
          <w:szCs w:val="22"/>
          <w:color w:val="auto"/>
        </w:rPr>
        <w:t>If any provision of the Plan is held invalid or unenforceable, its invalidity or unenforceability will not affect any other provision of the Plan, and the Plan will be construed and enforced as if such provision had not been included.</w:t>
      </w:r>
    </w:p>
    <w:p>
      <w:pPr>
        <w:spacing w:after="0" w:line="158" w:lineRule="exact"/>
        <w:rPr>
          <w:sz w:val="20"/>
          <w:szCs w:val="20"/>
          <w:color w:val="auto"/>
        </w:rPr>
      </w:pPr>
    </w:p>
    <w:p>
      <w:pPr>
        <w:ind w:left="920" w:hanging="912"/>
        <w:spacing w:after="0"/>
        <w:tabs>
          <w:tab w:leader="none" w:pos="9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598"/>
        <w:spacing w:after="0" w:line="244" w:lineRule="auto"/>
        <w:rPr>
          <w:sz w:val="20"/>
          <w:szCs w:val="20"/>
          <w:color w:val="auto"/>
        </w:rPr>
      </w:pPr>
      <w:r>
        <w:rPr>
          <w:rFonts w:ascii="Times New Roman" w:cs="Times New Roman" w:eastAsia="Times New Roman" w:hAnsi="Times New Roman"/>
          <w:sz w:val="22"/>
          <w:szCs w:val="22"/>
          <w:color w:val="auto"/>
        </w:rPr>
        <w:t>The Company may assign its rights under the Plan to any successor in interest, whether by merger, consolidation, sale of assets, or otherwise. The Plan shall be binding whether it is between the Company and Participant or any successor or assignee of the Company or affiliate thereof and Participant.</w:t>
      </w:r>
    </w:p>
    <w:p>
      <w:pPr>
        <w:spacing w:after="0" w:line="174" w:lineRule="exact"/>
        <w:rPr>
          <w:sz w:val="20"/>
          <w:szCs w:val="20"/>
          <w:color w:val="auto"/>
        </w:rPr>
      </w:pPr>
    </w:p>
    <w:p>
      <w:pPr>
        <w:ind w:left="920" w:hanging="912"/>
        <w:spacing w:after="0"/>
        <w:tabs>
          <w:tab w:leader="none" w:pos="9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658"/>
        <w:spacing w:after="0" w:line="236" w:lineRule="auto"/>
        <w:rPr>
          <w:sz w:val="20"/>
          <w:szCs w:val="20"/>
          <w:color w:val="auto"/>
        </w:rPr>
      </w:pPr>
      <w:r>
        <w:rPr>
          <w:rFonts w:ascii="Times New Roman" w:cs="Times New Roman" w:eastAsia="Times New Roman" w:hAnsi="Times New Roman"/>
          <w:sz w:val="22"/>
          <w:szCs w:val="22"/>
          <w:color w:val="auto"/>
        </w:rPr>
        <w:t>The Plan is intended to create an unfunded compensation arrangement. Nothing contained in the Plan, and no action taken pursuant to the Plan, shall create or be construed to create a trust of any kind. A Participant’s right to receive the Benefits shall be no greater than the right of an unsecured general creditor of the Company. All Benefits shall be paid from the general funds of the Company, and no special or separate fund shall be established and no segregation of assets shall be made to assure payment of such awards. There shall not vest in any Participant or beneficiary any right, title, or interest in and to any specific assets of the Company.</w:t>
      </w:r>
    </w:p>
    <w:p>
      <w:pPr>
        <w:spacing w:after="0" w:line="182" w:lineRule="exact"/>
        <w:rPr>
          <w:sz w:val="20"/>
          <w:szCs w:val="20"/>
          <w:color w:val="auto"/>
        </w:rPr>
      </w:pPr>
    </w:p>
    <w:p>
      <w:pPr>
        <w:ind w:left="920" w:hanging="912"/>
        <w:spacing w:after="0"/>
        <w:tabs>
          <w:tab w:leader="none" w:pos="9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Statement of ERISA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20" w:firstLine="658"/>
        <w:spacing w:after="0" w:line="258" w:lineRule="auto"/>
        <w:rPr>
          <w:sz w:val="20"/>
          <w:szCs w:val="20"/>
          <w:color w:val="auto"/>
        </w:rPr>
      </w:pPr>
      <w:r>
        <w:rPr>
          <w:rFonts w:ascii="Times New Roman" w:cs="Times New Roman" w:eastAsia="Times New Roman" w:hAnsi="Times New Roman"/>
          <w:sz w:val="22"/>
          <w:szCs w:val="22"/>
          <w:color w:val="auto"/>
        </w:rPr>
        <w:t>As an employee eligible to participate in the Plan, you are entitled to certain rights and protections under the Employee Retirement Income Security Act of 1974 (ERISA).</w:t>
      </w:r>
    </w:p>
    <w:p>
      <w:pPr>
        <w:spacing w:after="0" w:line="158" w:lineRule="exact"/>
        <w:rPr>
          <w:sz w:val="20"/>
          <w:szCs w:val="20"/>
          <w:color w:val="auto"/>
        </w:rPr>
      </w:pPr>
    </w:p>
    <w:p>
      <w:pPr>
        <w:ind w:left="600"/>
        <w:spacing w:after="0"/>
        <w:tabs>
          <w:tab w:leader="none" w:pos="162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u w:val="single" w:color="auto"/>
          <w:color w:val="auto"/>
        </w:rPr>
        <w:t>Receive Information About Your Plan and Benefit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ERISA provides that all plan participants shall be entitled to:</w:t>
      </w:r>
    </w:p>
    <w:p>
      <w:pPr>
        <w:spacing w:after="0" w:line="206" w:lineRule="exact"/>
        <w:rPr>
          <w:sz w:val="20"/>
          <w:szCs w:val="20"/>
          <w:color w:val="auto"/>
        </w:rPr>
      </w:pPr>
    </w:p>
    <w:p>
      <w:pPr>
        <w:ind w:left="880" w:right="360" w:firstLine="816"/>
        <w:spacing w:after="0" w:line="239" w:lineRule="auto"/>
        <w:tabs>
          <w:tab w:leader="none" w:pos="254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Examine, without charge, at the Administrator’s office and at other specified locations, such as worksites, all documents governing the plan, and (if applicable) a copy of the latest annual report (Form 5500 Series) filed by the plan with the U. S. Department of Labor and available at the Public Disclosure Room of the Employee Benefits Security Administration.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72" w:name="page73"/>
    <w:bookmarkEnd w:id="72"/>
    <w:p>
      <w:pPr>
        <w:ind w:left="880" w:right="260" w:firstLine="816"/>
        <w:spacing w:after="0" w:line="244" w:lineRule="auto"/>
        <w:tabs>
          <w:tab w:leader="none" w:pos="260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upon written request to the Administrator, copies of documents governing the operation of the plan, and (if applicable) copies of the latest annual report (Form 5500 Series) and updated summary plan description. The Administrator may make a reasonable charge for the copies.</w:t>
      </w:r>
    </w:p>
    <w:p>
      <w:pPr>
        <w:spacing w:after="0" w:line="173" w:lineRule="exact"/>
        <w:rPr>
          <w:rFonts w:ascii="Times New Roman" w:cs="Times New Roman" w:eastAsia="Times New Roman" w:hAnsi="Times New Roman"/>
          <w:sz w:val="22"/>
          <w:szCs w:val="22"/>
          <w:color w:val="auto"/>
        </w:rPr>
      </w:pPr>
    </w:p>
    <w:p>
      <w:pPr>
        <w:ind w:left="2660" w:hanging="964"/>
        <w:spacing w:after="0"/>
        <w:tabs>
          <w:tab w:leader="none" w:pos="2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a summary of the plan’s annual financial report (if applicable).</w:t>
      </w:r>
    </w:p>
    <w:p>
      <w:pPr>
        <w:spacing w:after="0" w:line="206" w:lineRule="exact"/>
        <w:rPr>
          <w:sz w:val="20"/>
          <w:szCs w:val="20"/>
          <w:color w:val="auto"/>
        </w:rPr>
      </w:pPr>
    </w:p>
    <w:p>
      <w:pPr>
        <w:ind w:left="600"/>
        <w:spacing w:after="0"/>
        <w:tabs>
          <w:tab w:leader="none" w:pos="162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u w:val="single" w:color="auto"/>
          <w:color w:val="auto"/>
        </w:rPr>
        <w:t>Actions by Plan Fiduciaries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00" w:firstLine="598"/>
        <w:spacing w:after="0" w:line="258" w:lineRule="auto"/>
        <w:rPr>
          <w:sz w:val="20"/>
          <w:szCs w:val="20"/>
          <w:color w:val="auto"/>
        </w:rPr>
      </w:pPr>
      <w:r>
        <w:rPr>
          <w:rFonts w:ascii="Times New Roman" w:cs="Times New Roman" w:eastAsia="Times New Roman" w:hAnsi="Times New Roman"/>
          <w:sz w:val="22"/>
          <w:szCs w:val="22"/>
          <w:color w:val="auto"/>
        </w:rPr>
        <w:t>No one, including your employer, or any other person, may fire you or otherwise discriminate against you in any way to prevent you from obtaining a benefit or exercising your rights under ERISA.</w:t>
      </w:r>
    </w:p>
    <w:p>
      <w:pPr>
        <w:spacing w:after="0" w:line="158" w:lineRule="exact"/>
        <w:rPr>
          <w:sz w:val="20"/>
          <w:szCs w:val="20"/>
          <w:color w:val="auto"/>
        </w:rPr>
      </w:pPr>
    </w:p>
    <w:p>
      <w:pPr>
        <w:ind w:left="600"/>
        <w:spacing w:after="0"/>
        <w:tabs>
          <w:tab w:leader="none" w:pos="162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u w:val="single" w:color="auto"/>
          <w:color w:val="auto"/>
        </w:rPr>
        <w:t>Enforce Your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180" w:firstLine="598"/>
        <w:spacing w:after="0" w:line="282" w:lineRule="auto"/>
        <w:rPr>
          <w:sz w:val="20"/>
          <w:szCs w:val="20"/>
          <w:color w:val="auto"/>
        </w:rPr>
      </w:pPr>
      <w:r>
        <w:rPr>
          <w:rFonts w:ascii="Times New Roman" w:cs="Times New Roman" w:eastAsia="Times New Roman" w:hAnsi="Times New Roman"/>
          <w:sz w:val="21"/>
          <w:szCs w:val="21"/>
          <w:color w:val="auto"/>
        </w:rPr>
        <w:t>If your claim for a severance benefit is denied or ignored, in whole or in part, you have a right to know why this was done, to obtain copies of documents relating to the decision without charge, and to appeal any denial, all within certain time schedules.</w:t>
      </w:r>
    </w:p>
    <w:p>
      <w:pPr>
        <w:spacing w:after="0" w:line="135" w:lineRule="exact"/>
        <w:rPr>
          <w:sz w:val="20"/>
          <w:szCs w:val="20"/>
          <w:color w:val="auto"/>
        </w:rPr>
      </w:pPr>
    </w:p>
    <w:p>
      <w:pPr>
        <w:ind w:firstLine="598"/>
        <w:spacing w:after="0" w:line="234" w:lineRule="auto"/>
        <w:rPr>
          <w:sz w:val="20"/>
          <w:szCs w:val="20"/>
          <w:color w:val="auto"/>
        </w:rPr>
      </w:pPr>
      <w:r>
        <w:rPr>
          <w:rFonts w:ascii="Times New Roman" w:cs="Times New Roman" w:eastAsia="Times New Roman" w:hAnsi="Times New Roman"/>
          <w:sz w:val="22"/>
          <w:szCs w:val="22"/>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Administrator to provide the materials and pay you up to $110 a day until you receive the materials, unless the materials were not sent because of reasons beyond the control of the Administrator. If you have a claim for benefits that is denied or ignored, in whole or in part, you may file suit in a state of Federal court. If it should happen that you are discriminated against for asserting your rights, you may seek assistance from the U. 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4" w:lineRule="exact"/>
        <w:rPr>
          <w:sz w:val="20"/>
          <w:szCs w:val="20"/>
          <w:color w:val="auto"/>
        </w:rPr>
      </w:pPr>
    </w:p>
    <w:p>
      <w:pPr>
        <w:ind w:left="600"/>
        <w:spacing w:after="0"/>
        <w:tabs>
          <w:tab w:leader="none" w:pos="162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u w:val="single" w:color="auto"/>
          <w:color w:val="auto"/>
        </w:rPr>
        <w:t>Assistance with Your Questions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20" w:firstLine="598"/>
        <w:spacing w:after="0" w:line="235" w:lineRule="auto"/>
        <w:rPr>
          <w:sz w:val="20"/>
          <w:szCs w:val="20"/>
          <w:color w:val="auto"/>
        </w:rPr>
      </w:pPr>
      <w:r>
        <w:rPr>
          <w:rFonts w:ascii="Times New Roman" w:cs="Times New Roman" w:eastAsia="Times New Roman" w:hAnsi="Times New Roman"/>
          <w:sz w:val="22"/>
          <w:szCs w:val="22"/>
          <w:color w:val="auto"/>
        </w:rPr>
        <w:t>If you have any questions about your plan, you should contact the Administrator. If you have any questions about this statement or about your rights under ERISA, or if you need assistance in obtaining documents form the Administrator, you should contact the nearest office of the Employee Benefits Security Administration. U. S. Department of Labor, listed in your telephone directory or the Division of Technical Assistance and Inquiries, Employee Benefits Security Administration, U.S. Department of Labor, 200 Constitution Avenue, N.W., Washington, D. C. 20210. You may also obtain certain publications about your rights and responsibilities under ERISA by calling the publications hotline of the Employee Benefits Security Administration at 800.998.7542.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73" w:name="page74"/>
    <w:bookmarkEnd w:id="73"/>
    <w:p>
      <w:pPr>
        <w:ind w:left="600"/>
        <w:spacing w:after="0"/>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TripAdvisor, Inc., by its duly authorized officer, has executed the Plan on the date indicated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TRIPADVISOR LLC</w:t>
      </w:r>
    </w:p>
    <w:p>
      <w:pPr>
        <w:spacing w:after="0" w:line="200" w:lineRule="exact"/>
        <w:rPr>
          <w:sz w:val="20"/>
          <w:szCs w:val="20"/>
          <w:color w:val="auto"/>
        </w:rPr>
      </w:pPr>
    </w:p>
    <w:p>
      <w:pPr>
        <w:spacing w:after="0" w:line="213" w:lineRule="exact"/>
        <w:rPr>
          <w:sz w:val="20"/>
          <w:szCs w:val="20"/>
          <w:color w:val="auto"/>
        </w:rPr>
      </w:pPr>
    </w:p>
    <w:tbl>
      <w:tblPr>
        <w:tblLayout w:type="fixed"/>
        <w:tblInd w:w="5700" w:type="dxa"/>
        <w:tblCellMar>
          <w:top w:w="0" w:type="dxa"/>
          <w:left w:w="0" w:type="dxa"/>
          <w:bottom w:w="0" w:type="dxa"/>
          <w:right w:w="0" w:type="dxa"/>
        </w:tblCellMar>
      </w:tblP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22"/>
                <w:szCs w:val="22"/>
                <w:color w:val="auto"/>
              </w:rPr>
              <w:t>/s/ Seth J. Kalvert</w:t>
            </w:r>
          </w:p>
        </w:tc>
        <w:tc>
          <w:tcPr>
            <w:tcW w:w="0" w:type="dxa"/>
            <w:vAlign w:val="bottom"/>
          </w:tcPr>
          <w:p>
            <w:pPr>
              <w:spacing w:after="0"/>
              <w:rPr>
                <w:sz w:val="1"/>
                <w:szCs w:val="1"/>
                <w:color w:val="auto"/>
              </w:rPr>
            </w:pPr>
          </w:p>
        </w:tc>
      </w:tr>
      <w:tr>
        <w:trPr>
          <w:trHeight w:val="13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4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000" w:type="dxa"/>
            <w:vAlign w:val="bottom"/>
            <w:vMerge w:val="continue"/>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22"/>
                <w:szCs w:val="22"/>
                <w:color w:val="auto"/>
              </w:rPr>
              <w:t>Seth J. Kalvert</w:t>
            </w:r>
          </w:p>
        </w:tc>
        <w:tc>
          <w:tcPr>
            <w:tcW w:w="0" w:type="dxa"/>
            <w:vAlign w:val="bottom"/>
          </w:tcPr>
          <w:p>
            <w:pPr>
              <w:spacing w:after="0"/>
              <w:rPr>
                <w:sz w:val="1"/>
                <w:szCs w:val="1"/>
                <w:color w:val="auto"/>
              </w:rPr>
            </w:pPr>
          </w:p>
        </w:tc>
      </w:tr>
      <w:tr>
        <w:trPr>
          <w:trHeight w:val="12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1000" w:type="dxa"/>
            <w:vAlign w:val="bottom"/>
            <w:vMerge w:val="continue"/>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22"/>
                <w:szCs w:val="22"/>
                <w:color w:val="auto"/>
              </w:rPr>
              <w:t>SVP, General Counsel and Secretary</w:t>
            </w:r>
          </w:p>
        </w:tc>
        <w:tc>
          <w:tcPr>
            <w:tcW w:w="0" w:type="dxa"/>
            <w:vAlign w:val="bottom"/>
          </w:tcPr>
          <w:p>
            <w:pPr>
              <w:spacing w:after="0"/>
              <w:rPr>
                <w:sz w:val="1"/>
                <w:szCs w:val="1"/>
                <w:color w:val="auto"/>
              </w:rPr>
            </w:pPr>
          </w:p>
        </w:tc>
      </w:tr>
      <w:tr>
        <w:trPr>
          <w:trHeight w:val="123"/>
        </w:trPr>
        <w:tc>
          <w:tcPr>
            <w:tcW w:w="1000" w:type="dxa"/>
            <w:vAlign w:val="bottom"/>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4" w:name="page75"/>
    <w:bookmarkEnd w:id="74"/>
    <w:p>
      <w:pPr>
        <w:ind w:left="4032"/>
        <w:spacing w:after="0"/>
        <w:rPr>
          <w:sz w:val="20"/>
          <w:szCs w:val="20"/>
          <w:color w:val="auto"/>
        </w:rPr>
      </w:pPr>
      <w:r>
        <w:rPr>
          <w:rFonts w:ascii="Times New Roman" w:cs="Times New Roman" w:eastAsia="Times New Roman" w:hAnsi="Times New Roman"/>
          <w:sz w:val="22"/>
          <w:szCs w:val="22"/>
          <w:u w:val="single" w:color="auto"/>
          <w:color w:val="auto"/>
        </w:rPr>
        <w:t>MISCELLANEOUS INFORMATION</w:t>
      </w:r>
    </w:p>
    <w:p>
      <w:pPr>
        <w:spacing w:after="0" w:line="200" w:lineRule="exact"/>
        <w:rPr>
          <w:sz w:val="20"/>
          <w:szCs w:val="20"/>
          <w:color w:val="auto"/>
        </w:rPr>
      </w:pPr>
    </w:p>
    <w:p>
      <w:pPr>
        <w:spacing w:after="0" w:line="357" w:lineRule="exact"/>
        <w:rPr>
          <w:sz w:val="20"/>
          <w:szCs w:val="20"/>
          <w:color w:val="auto"/>
        </w:rPr>
      </w:pPr>
    </w:p>
    <w:p>
      <w:pPr>
        <w:ind w:left="732" w:hanging="732"/>
        <w:spacing w:after="0"/>
        <w:tabs>
          <w:tab w:leader="none" w:pos="7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NAME:</w:t>
      </w:r>
    </w:p>
    <w:p>
      <w:pPr>
        <w:spacing w:after="0" w:line="98" w:lineRule="exact"/>
        <w:rPr>
          <w:rFonts w:ascii="Times New Roman" w:cs="Times New Roman" w:eastAsia="Times New Roman" w:hAnsi="Times New Roman"/>
          <w:sz w:val="22"/>
          <w:szCs w:val="22"/>
          <w:color w:val="auto"/>
        </w:rPr>
      </w:pPr>
    </w:p>
    <w:p>
      <w:pPr>
        <w:ind w:left="7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TripAdvisor, Inc. Executive Severance Plan</w:t>
      </w:r>
    </w:p>
    <w:p>
      <w:pPr>
        <w:spacing w:after="0" w:line="206" w:lineRule="exact"/>
        <w:rPr>
          <w:rFonts w:ascii="Times New Roman" w:cs="Times New Roman" w:eastAsia="Times New Roman" w:hAnsi="Times New Roman"/>
          <w:sz w:val="22"/>
          <w:szCs w:val="22"/>
          <w:color w:val="auto"/>
        </w:rPr>
      </w:pPr>
    </w:p>
    <w:p>
      <w:pPr>
        <w:ind w:left="732" w:right="6459" w:hanging="732"/>
        <w:spacing w:after="0" w:line="352" w:lineRule="auto"/>
        <w:tabs>
          <w:tab w:leader="none" w:pos="7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(PLAN SPONSOR): TripAdvisor, Inc.</w:t>
      </w:r>
    </w:p>
    <w:p>
      <w:pPr>
        <w:ind w:left="732" w:right="7599"/>
        <w:spacing w:after="0" w:line="38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400 First Ave. Needham, MA 02494</w:t>
      </w:r>
    </w:p>
    <w:p>
      <w:pPr>
        <w:ind w:left="1252" w:hanging="523"/>
        <w:spacing w:after="0"/>
        <w:tabs>
          <w:tab w:leader="none" w:pos="125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800-5800</w:t>
      </w:r>
    </w:p>
    <w:p>
      <w:pPr>
        <w:spacing w:after="0" w:line="246"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IDENTIFICATION NUMBER: XX-XXXXXXX</w:t>
      </w:r>
    </w:p>
    <w:p>
      <w:pPr>
        <w:spacing w:after="0" w:line="206"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NUMBER: 5XX</w:t>
      </w:r>
    </w:p>
    <w:p>
      <w:pPr>
        <w:spacing w:after="0" w:line="206"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YEAR: Calendar year, January 1 – December 31</w:t>
      </w:r>
    </w:p>
    <w:p>
      <w:pPr>
        <w:spacing w:after="0" w:line="206" w:lineRule="exact"/>
        <w:rPr>
          <w:rFonts w:ascii="Times New Roman" w:cs="Times New Roman" w:eastAsia="Times New Roman" w:hAnsi="Times New Roman"/>
          <w:sz w:val="22"/>
          <w:szCs w:val="22"/>
          <w:color w:val="auto"/>
        </w:rPr>
      </w:pPr>
    </w:p>
    <w:p>
      <w:pPr>
        <w:ind w:left="732" w:right="2239" w:hanging="732"/>
        <w:spacing w:after="0" w:line="352" w:lineRule="auto"/>
        <w:tabs>
          <w:tab w:leader="none" w:pos="7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 ADMINISTRATOR AND AGENT FOR SERVICE OF LEGAL PROCESS: Chief People Officer</w:t>
      </w:r>
    </w:p>
    <w:p>
      <w:pPr>
        <w:ind w:left="7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TripAdvisor, Inc.</w:t>
      </w:r>
    </w:p>
    <w:p>
      <w:pPr>
        <w:spacing w:after="0" w:line="138" w:lineRule="exact"/>
        <w:rPr>
          <w:rFonts w:ascii="Times New Roman" w:cs="Times New Roman" w:eastAsia="Times New Roman" w:hAnsi="Times New Roman"/>
          <w:sz w:val="22"/>
          <w:szCs w:val="22"/>
          <w:color w:val="auto"/>
        </w:rPr>
      </w:pPr>
    </w:p>
    <w:p>
      <w:pPr>
        <w:ind w:left="7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First Ave</w:t>
      </w:r>
    </w:p>
    <w:p>
      <w:pPr>
        <w:spacing w:after="0" w:line="138" w:lineRule="exact"/>
        <w:rPr>
          <w:rFonts w:ascii="Times New Roman" w:cs="Times New Roman" w:eastAsia="Times New Roman" w:hAnsi="Times New Roman"/>
          <w:sz w:val="22"/>
          <w:szCs w:val="22"/>
          <w:color w:val="auto"/>
        </w:rPr>
      </w:pPr>
    </w:p>
    <w:p>
      <w:pPr>
        <w:ind w:left="7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Needham, Massachusetts 02494</w:t>
      </w:r>
    </w:p>
    <w:p>
      <w:pPr>
        <w:spacing w:after="0" w:line="138" w:lineRule="exact"/>
        <w:rPr>
          <w:rFonts w:ascii="Times New Roman" w:cs="Times New Roman" w:eastAsia="Times New Roman" w:hAnsi="Times New Roman"/>
          <w:sz w:val="22"/>
          <w:szCs w:val="22"/>
          <w:color w:val="auto"/>
        </w:rPr>
      </w:pPr>
    </w:p>
    <w:p>
      <w:pPr>
        <w:ind w:left="1252" w:hanging="523"/>
        <w:spacing w:after="0"/>
        <w:tabs>
          <w:tab w:leader="none" w:pos="125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800-5800</w:t>
      </w:r>
    </w:p>
    <w:p>
      <w:pPr>
        <w:spacing w:after="0" w:line="246"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PLAN:</w:t>
      </w:r>
    </w:p>
    <w:p>
      <w:pPr>
        <w:spacing w:after="0" w:line="98" w:lineRule="exact"/>
        <w:rPr>
          <w:rFonts w:ascii="Times New Roman" w:cs="Times New Roman" w:eastAsia="Times New Roman" w:hAnsi="Times New Roman"/>
          <w:sz w:val="22"/>
          <w:szCs w:val="22"/>
          <w:color w:val="auto"/>
        </w:rPr>
      </w:pPr>
    </w:p>
    <w:p>
      <w:pPr>
        <w:ind w:left="73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Plan is an employee welfare benefit plan under ERISA offering severance benefits.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11"/>
          </w:cols>
          <w:pgMar w:left="248" w:top="463"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2017 of TripAdvisor,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2017</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June 30, 2017 of TripAdvisor,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2017</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ERNST TEUNISSEN</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Ernst Teunissen</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420"/>
          </w:cols>
          <w:pgMar w:left="240" w:top="117"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June 30, 2017, as filed with the Securities and Exchange Commission on the date hereof (the “Report”), I, Stephen Kaufer, Chief Executive Officer of the Company, certify, pursuant to Section 906 of the Sarbanes-Oxley Act of 2002, 18 U.S.C. Section 1350, that:</w:t>
      </w:r>
    </w:p>
    <w:p>
      <w:pPr>
        <w:spacing w:after="0" w:line="68" w:lineRule="exact"/>
        <w:rPr>
          <w:sz w:val="20"/>
          <w:szCs w:val="20"/>
          <w:color w:val="auto"/>
        </w:rPr>
      </w:pPr>
    </w:p>
    <w:p>
      <w:pPr>
        <w:ind w:left="52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2017</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KAUFER</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Stephen Kaufer</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ectPr>
          <w:pgSz w:w="11900" w:h="16838" w:orient="portrait"/>
          <w:cols w:equalWidth="0" w:num="1">
            <w:col w:w="11420"/>
          </w:cols>
          <w:pgMar w:left="240" w:top="117"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June 30, 2017, as filed with the Securities and Exchange Commission on the date hereof (the “Report”), I, Ernst Teunissen, Chief Financial Officer of the Company, certify, pursuant to Section 906 of the Sarbanes-Oxley Act of 2002, 18 U.S.C. Section 1350, that:</w:t>
      </w:r>
    </w:p>
    <w:p>
      <w:pPr>
        <w:spacing w:after="0" w:line="68" w:lineRule="exact"/>
        <w:rPr>
          <w:sz w:val="20"/>
          <w:szCs w:val="20"/>
          <w:color w:val="auto"/>
        </w:rPr>
      </w:pPr>
    </w:p>
    <w:p>
      <w:pPr>
        <w:ind w:left="520" w:hanging="512"/>
        <w:spacing w:after="0" w:line="282" w:lineRule="auto"/>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2017</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ERNST TEUNISSEN</w:t>
            </w:r>
          </w:p>
        </w:tc>
      </w:tr>
      <w:tr>
        <w:trPr>
          <w:trHeight w:val="189"/>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Ernst Teunissen</w:t>
            </w:r>
          </w:p>
        </w:tc>
      </w:tr>
      <w:tr>
        <w:trPr>
          <w:trHeight w:val="236"/>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1)"/>
      <w:numFmt w:val="decimal"/>
      <w:start w:val="4"/>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1)"/>
      <w:numFmt w:val="decimal"/>
      <w:start w:val="3"/>
    </w:lvl>
  </w:abstractNum>
  <w:abstractNum w:abstractNumId="13">
    <w:nsid w:val="4B588F54"/>
    <w:multiLevelType w:val="hybridMultilevel"/>
    <w:lvl w:ilvl="0">
      <w:lvlJc w:val="left"/>
      <w:lvlText w:val="(%1)"/>
      <w:numFmt w:val="decimal"/>
      <w:start w:val="5"/>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3"/>
    </w:lvl>
  </w:abstractNum>
  <w:abstractNum w:abstractNumId="22">
    <w:nsid w:val="3DC240FB"/>
    <w:multiLevelType w:val="hybridMultilevel"/>
    <w:lvl w:ilvl="0">
      <w:lvlJc w:val="left"/>
      <w:lvlText w:val="(%1)"/>
      <w:numFmt w:val="decimal"/>
      <w:start w:val="5"/>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1)"/>
      <w:numFmt w:val="decimal"/>
      <w:start w:val="12"/>
    </w:lvl>
    <w:lvl w:ilvl="1">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decimal"/>
      <w:start w:val="10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1)"/>
      <w:numFmt w:val="lowerRoman"/>
      <w:start w:val="3"/>
    </w:lvl>
  </w:abstractNum>
  <w:abstractNum w:abstractNumId="39">
    <w:nsid w:val="354FE9F9"/>
    <w:multiLevelType w:val="hybridMultilevel"/>
    <w:lvl w:ilvl="0">
      <w:lvlJc w:val="left"/>
      <w:lvlText w:val="(%1)"/>
      <w:numFmt w:val="lowerRoman"/>
      <w:start w:val="1"/>
    </w:lvl>
  </w:abstractNum>
  <w:abstractNum w:abstractNumId="40">
    <w:nsid w:val="15B5AF5C"/>
    <w:multiLevelType w:val="hybridMultilevel"/>
    <w:lvl w:ilvl="0">
      <w:lvlJc w:val="left"/>
      <w:lvlText w:val="(%1)"/>
      <w:numFmt w:val="lowerRoman"/>
      <w:start w:val="4"/>
    </w:lvl>
  </w:abstractNum>
  <w:abstractNum w:abstractNumId="41">
    <w:nsid w:val="741226BB"/>
    <w:multiLevelType w:val="hybridMultilevel"/>
    <w:lvl w:ilvl="0">
      <w:lvlJc w:val="left"/>
      <w:lvlText w:val="(%1)"/>
      <w:numFmt w:val="lowerLetter"/>
      <w:start w:val="1"/>
    </w:lvl>
  </w:abstractNum>
  <w:abstractNum w:abstractNumId="42">
    <w:nsid w:val="D34B6A8"/>
    <w:multiLevelType w:val="hybridMultilevel"/>
    <w:lvl w:ilvl="0">
      <w:lvlJc w:val="left"/>
      <w:lvlText w:val="(%1)"/>
      <w:numFmt w:val="lowerRoman"/>
      <w:start w:val="3"/>
    </w:lvl>
  </w:abstractNum>
  <w:abstractNum w:abstractNumId="43">
    <w:nsid w:val="10233C99"/>
    <w:multiLevelType w:val="hybridMultilevel"/>
    <w:lvl w:ilvl="0">
      <w:lvlJc w:val="left"/>
      <w:lvlText w:val="(%1)"/>
      <w:numFmt w:val="lowerRoman"/>
      <w:start w:val="3"/>
    </w:lvl>
  </w:abstractNum>
  <w:abstractNum w:abstractNumId="44">
    <w:nsid w:val="3F6AB60F"/>
    <w:multiLevelType w:val="hybridMultilevel"/>
    <w:lvl w:ilvl="0">
      <w:lvlJc w:val="left"/>
      <w:lvlText w:val="%1."/>
      <w:numFmt w:val="decimal"/>
      <w:start w:val="2"/>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7"/>
    </w:lvl>
  </w:abstractNum>
  <w:abstractNum w:abstractNumId="47">
    <w:nsid w:val="77AE35EB"/>
    <w:multiLevelType w:val="hybridMultilevel"/>
    <w:lvl w:ilvl="0">
      <w:lvlJc w:val="left"/>
      <w:lvlText w:val="%1)"/>
      <w:numFmt w:val="lowerLetter"/>
      <w:start w:val="8"/>
    </w:lvl>
  </w:abstractNum>
  <w:abstractNum w:abstractNumId="48">
    <w:nsid w:val="579BE4F1"/>
    <w:multiLevelType w:val="hybridMultilevel"/>
    <w:lvl w:ilvl="0">
      <w:lvlJc w:val="left"/>
      <w:lvlText w:val="%1"/>
      <w:numFmt w:val="decimal"/>
      <w:start w:val="1"/>
    </w:lvl>
    <w:lvl w:ilvl="1">
      <w:lvlJc w:val="left"/>
      <w:lvlText w:val="(%2)"/>
      <w:numFmt w:val="lowerLetter"/>
      <w:start w:val="1"/>
    </w:lvl>
  </w:abstractNum>
  <w:abstractNum w:abstractNumId="49">
    <w:nsid w:val="310C50B3"/>
    <w:multiLevelType w:val="hybridMultilevel"/>
    <w:lvl w:ilvl="0">
      <w:lvlJc w:val="left"/>
      <w:lvlText w:val="%1."/>
      <w:numFmt w:val="decimal"/>
      <w:start w:val="3"/>
    </w:lvl>
    <w:lvl w:ilvl="1">
      <w:lvlJc w:val="left"/>
      <w:lvlText w:val="%2"/>
      <w:numFmt w:val="lowerLetter"/>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½"/>
      <w:numFmt w:val="bullet"/>
      <w:start w:val="1"/>
    </w:lvl>
    <w:lvl w:ilvl="1">
      <w:lvlJc w:val="left"/>
      <w:lvlText w:val="(%2)"/>
      <w:numFmt w:val="lowerLetter"/>
      <w:start w:val="2"/>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1)"/>
      <w:numFmt w:val="lowerLetter"/>
      <w:start w:val="3"/>
    </w:lvl>
  </w:abstractNum>
  <w:abstractNum w:abstractNumId="54">
    <w:nsid w:val="4AD084E9"/>
    <w:multiLevelType w:val="hybridMultilevel"/>
    <w:lvl w:ilvl="0">
      <w:lvlJc w:val="left"/>
      <w:lvlText w:val="%1"/>
      <w:numFmt w:val="lowerLetter"/>
      <w:start w:val="1"/>
    </w:lvl>
    <w:lvl w:ilvl="1">
      <w:lvlJc w:val="left"/>
      <w:lvlText w:val="(%2)"/>
      <w:numFmt w:val="lowerLetter"/>
      <w:start w:val="1"/>
    </w:lvl>
  </w:abstractNum>
  <w:abstractNum w:abstractNumId="55">
    <w:nsid w:val="1F48EAA1"/>
    <w:multiLevelType w:val="hybridMultilevel"/>
    <w:lvl w:ilvl="0">
      <w:lvlJc w:val="left"/>
      <w:lvlText w:val="(%1)"/>
      <w:numFmt w:val="lowerLetter"/>
      <w:start w:val="9"/>
    </w:lvl>
    <w:lvl w:ilvl="1">
      <w:lvlJc w:val="left"/>
      <w:lvlText w:val="(%2)"/>
      <w:numFmt w:val="lowerLetter"/>
      <w:start w:val="2"/>
    </w:lvl>
  </w:abstractNum>
  <w:abstractNum w:abstractNumId="56">
    <w:nsid w:val="1381823A"/>
    <w:multiLevelType w:val="hybridMultilevel"/>
    <w:lvl w:ilvl="0">
      <w:lvlJc w:val="left"/>
      <w:lvlText w:val="(%1)"/>
      <w:numFmt w:val="lowerLetter"/>
      <w:start w:val="3"/>
    </w:lvl>
  </w:abstractNum>
  <w:abstractNum w:abstractNumId="57">
    <w:nsid w:val="5DB70AE5"/>
    <w:multiLevelType w:val="hybridMultilevel"/>
    <w:lvl w:ilvl="0">
      <w:lvlJc w:val="left"/>
      <w:lvlText w:val="(%1)"/>
      <w:numFmt w:val="lowerLetter"/>
      <w:start w:val="1"/>
    </w:lvl>
    <w:lvl w:ilvl="1">
      <w:lvlJc w:val="left"/>
      <w:lvlText w:val="(%2)"/>
      <w:numFmt w:val="lowerRoman"/>
      <w:start w:val="1"/>
    </w:lvl>
  </w:abstractNum>
  <w:abstractNum w:abstractNumId="58">
    <w:nsid w:val="100F8FCA"/>
    <w:multiLevelType w:val="hybridMultilevel"/>
    <w:lvl w:ilvl="0">
      <w:lvlJc w:val="left"/>
      <w:lvlText w:val="(%1)"/>
      <w:numFmt w:val="lowerLetter"/>
      <w:start w:val="2"/>
    </w:lvl>
  </w:abstractNum>
  <w:abstractNum w:abstractNumId="59">
    <w:nsid w:val="6590700B"/>
    <w:multiLevelType w:val="hybridMultilevel"/>
    <w:lvl w:ilvl="0">
      <w:lvlJc w:val="left"/>
      <w:lvlText w:val="%1."/>
      <w:numFmt w:val="decimal"/>
      <w:start w:val="4"/>
    </w:lvl>
  </w:abstractNum>
  <w:abstractNum w:abstractNumId="60">
    <w:nsid w:val="15014ACB"/>
    <w:multiLevelType w:val="hybridMultilevel"/>
    <w:lvl w:ilvl="0">
      <w:lvlJc w:val="left"/>
      <w:lvlText w:val="%1."/>
      <w:numFmt w:val="decimal"/>
      <w:start w:val="5"/>
    </w:lvl>
  </w:abstractNum>
  <w:abstractNum w:abstractNumId="61">
    <w:nsid w:val="5F5E7FD0"/>
    <w:multiLevelType w:val="hybridMultilevel"/>
    <w:lvl w:ilvl="0">
      <w:lvlJc w:val="left"/>
      <w:lvlText w:val="%1."/>
      <w:numFmt w:val="decimal"/>
      <w:start w:val="6"/>
    </w:lvl>
  </w:abstractNum>
  <w:abstractNum w:abstractNumId="62">
    <w:nsid w:val="98A3148"/>
    <w:multiLevelType w:val="hybridMultilevel"/>
    <w:lvl w:ilvl="0">
      <w:lvlJc w:val="left"/>
      <w:lvlText w:val="%1."/>
      <w:numFmt w:val="decimal"/>
      <w:start w:val="7"/>
    </w:lvl>
  </w:abstractNum>
  <w:abstractNum w:abstractNumId="63">
    <w:nsid w:val="799D0247"/>
    <w:multiLevelType w:val="hybridMultilevel"/>
    <w:lvl w:ilvl="0">
      <w:lvlJc w:val="left"/>
      <w:lvlText w:val="%1."/>
      <w:numFmt w:val="decimal"/>
      <w:start w:val="8"/>
    </w:lvl>
  </w:abstractNum>
  <w:abstractNum w:abstractNumId="64">
    <w:nsid w:val="6B94764"/>
    <w:multiLevelType w:val="hybridMultilevel"/>
    <w:lvl w:ilvl="0">
      <w:lvlJc w:val="left"/>
      <w:lvlText w:val="%1."/>
      <w:numFmt w:val="decimal"/>
      <w:start w:val="9"/>
    </w:lvl>
  </w:abstractNum>
  <w:abstractNum w:abstractNumId="65">
    <w:nsid w:val="42C296BD"/>
    <w:multiLevelType w:val="hybridMultilevel"/>
    <w:lvl w:ilvl="0">
      <w:lvlJc w:val="left"/>
      <w:lvlText w:val="%1."/>
      <w:numFmt w:val="decimal"/>
      <w:start w:val="10"/>
    </w:lvl>
  </w:abstractNum>
  <w:abstractNum w:abstractNumId="66">
    <w:nsid w:val="168E121F"/>
    <w:multiLevelType w:val="hybridMultilevel"/>
    <w:lvl w:ilvl="0">
      <w:lvlJc w:val="left"/>
      <w:lvlText w:val="%1."/>
      <w:numFmt w:val="decimal"/>
      <w:start w:val="10"/>
    </w:lvl>
  </w:abstractNum>
  <w:abstractNum w:abstractNumId="67">
    <w:nsid w:val="1EBA5D23"/>
    <w:multiLevelType w:val="hybridMultilevel"/>
    <w:lvl w:ilvl="0">
      <w:lvlJc w:val="left"/>
      <w:lvlText w:val="%1."/>
      <w:numFmt w:val="decimal"/>
      <w:start w:val="11"/>
    </w:lvl>
  </w:abstractNum>
  <w:abstractNum w:abstractNumId="68">
    <w:nsid w:val="661E3F1E"/>
    <w:multiLevelType w:val="hybridMultilevel"/>
    <w:lvl w:ilvl="0">
      <w:lvlJc w:val="left"/>
      <w:lvlText w:val="%1."/>
      <w:numFmt w:val="decimal"/>
      <w:start w:val="12"/>
    </w:lvl>
  </w:abstractNum>
  <w:abstractNum w:abstractNumId="69">
    <w:nsid w:val="5DC79EA8"/>
    <w:multiLevelType w:val="hybridMultilevel"/>
    <w:lvl w:ilvl="0">
      <w:lvlJc w:val="left"/>
      <w:lvlText w:val="%1."/>
      <w:numFmt w:val="decimal"/>
      <w:start w:val="13"/>
    </w:lvl>
  </w:abstractNum>
  <w:abstractNum w:abstractNumId="70">
    <w:nsid w:val="540A471C"/>
    <w:multiLevelType w:val="hybridMultilevel"/>
    <w:lvl w:ilvl="0">
      <w:lvlJc w:val="left"/>
      <w:lvlText w:val="%1."/>
      <w:numFmt w:val="decimal"/>
      <w:start w:val="14"/>
    </w:lvl>
  </w:abstractNum>
  <w:abstractNum w:abstractNumId="71">
    <w:nsid w:val="7BD3EE7B"/>
    <w:multiLevelType w:val="hybridMultilevel"/>
    <w:lvl w:ilvl="0">
      <w:lvlJc w:val="left"/>
      <w:lvlText w:val="(%1)"/>
      <w:numFmt w:val="lowerRoman"/>
      <w:start w:val="1"/>
    </w:lvl>
  </w:abstractNum>
  <w:abstractNum w:abstractNumId="72">
    <w:nsid w:val="51D9C564"/>
    <w:multiLevelType w:val="hybridMultilevel"/>
    <w:lvl w:ilvl="0">
      <w:lvlJc w:val="left"/>
      <w:lvlText w:val="(%1)"/>
      <w:numFmt w:val="lowerRoman"/>
      <w:start w:val="2"/>
    </w:lvl>
  </w:abstractNum>
  <w:abstractNum w:abstractNumId="73">
    <w:nsid w:val="613EFDC5"/>
    <w:multiLevelType w:val="hybridMultilevel"/>
    <w:lvl w:ilvl="0">
      <w:lvlJc w:val="left"/>
      <w:lvlText w:val="%1."/>
      <w:numFmt w:val="decimal"/>
      <w:start w:val="1"/>
    </w:lvl>
    <w:lvl w:ilvl="1">
      <w:lvlJc w:val="left"/>
      <w:lvlText w:val="(%2)"/>
      <w:numFmt w:val="decimal"/>
      <w:start w:val="78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2019-12-29T05:20:50Z</dcterms:created>
  <dcterms:modified xsi:type="dcterms:W3CDTF">2019-12-29T05:20:50Z</dcterms:modified>
</cp:coreProperties>
</file>