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47625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74295</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42" w:lineRule="exact"/>
        <w:rPr>
          <w:sz w:val="24"/>
          <w:szCs w:val="24"/>
          <w:color w:val="auto"/>
        </w:rPr>
      </w:pPr>
    </w:p>
    <w:p>
      <w:pPr>
        <w:ind w:left="4360" w:right="3780" w:hanging="4352"/>
        <w:spacing w:after="0" w:line="322" w:lineRule="auto"/>
        <w:tabs>
          <w:tab w:leader="none" w:pos="60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2016</w:t>
      </w:r>
    </w:p>
    <w:p>
      <w:pPr>
        <w:ind w:left="560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p>
      <w:pPr>
        <w:ind w:left="436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2"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57785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0" w:lineRule="exact"/>
        <w:rPr>
          <w:sz w:val="24"/>
          <w:szCs w:val="24"/>
          <w:color w:val="auto"/>
        </w:rPr>
      </w:pPr>
    </w:p>
    <w:tbl>
      <w:tblPr>
        <w:tblLayout w:type="fixed"/>
        <w:tblInd w:w="600" w:type="dxa"/>
        <w:tblCellMar>
          <w:top w:w="0" w:type="dxa"/>
          <w:left w:w="0" w:type="dxa"/>
          <w:bottom w:w="0" w:type="dxa"/>
          <w:right w:w="0" w:type="dxa"/>
        </w:tblCellMar>
      </w:tblPr>
      <w:tr>
        <w:trPr>
          <w:trHeight w:val="445"/>
        </w:trPr>
        <w:tc>
          <w:tcPr>
            <w:tcW w:w="9300" w:type="dxa"/>
            <w:vAlign w:val="bottom"/>
            <w:gridSpan w:val="5"/>
          </w:tcPr>
          <w:p>
            <w:pPr>
              <w:jc w:val="center"/>
              <w:ind w:left="842"/>
              <w:spacing w:after="0"/>
              <w:rPr>
                <w:sz w:val="20"/>
                <w:szCs w:val="20"/>
                <w:color w:val="auto"/>
              </w:rPr>
            </w:pPr>
            <w:r>
              <w:rPr>
                <w:rFonts w:ascii="Arial" w:cs="Arial" w:eastAsia="Arial" w:hAnsi="Arial"/>
                <w:sz w:val="36"/>
                <w:szCs w:val="36"/>
                <w:b w:val="1"/>
                <w:bCs w:val="1"/>
                <w:color w:val="auto"/>
              </w:rPr>
              <w:t>TRIPADVISOR, INC.</w:t>
            </w:r>
          </w:p>
        </w:tc>
      </w:tr>
      <w:tr>
        <w:trPr>
          <w:trHeight w:val="174"/>
        </w:trPr>
        <w:tc>
          <w:tcPr>
            <w:tcW w:w="6740" w:type="dxa"/>
            <w:vAlign w:val="bottom"/>
            <w:gridSpan w:val="4"/>
          </w:tcPr>
          <w:p>
            <w:pPr>
              <w:jc w:val="center"/>
              <w:ind w:left="340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560" w:type="dxa"/>
            <w:vAlign w:val="bottom"/>
          </w:tcPr>
          <w:p>
            <w:pPr>
              <w:spacing w:after="0"/>
              <w:rPr>
                <w:sz w:val="15"/>
                <w:szCs w:val="15"/>
                <w:color w:val="auto"/>
              </w:rPr>
            </w:pPr>
          </w:p>
        </w:tc>
      </w:tr>
      <w:tr>
        <w:trPr>
          <w:trHeight w:val="55"/>
        </w:trPr>
        <w:tc>
          <w:tcPr>
            <w:tcW w:w="380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197"/>
        </w:trPr>
        <w:tc>
          <w:tcPr>
            <w:tcW w:w="674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94"/>
              </w:rPr>
              <w:t>Delaware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80-0743202</w:t>
            </w:r>
          </w:p>
        </w:tc>
      </w:tr>
      <w:tr>
        <w:trPr>
          <w:trHeight w:val="149"/>
        </w:trPr>
        <w:tc>
          <w:tcPr>
            <w:tcW w:w="6740" w:type="dxa"/>
            <w:vAlign w:val="bottom"/>
            <w:gridSpan w:val="4"/>
          </w:tcPr>
          <w:p>
            <w:pPr>
              <w:jc w:val="center"/>
              <w:ind w:right="23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4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89"/>
              </w:rPr>
              <w:t>incorporation or organization)</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167"/>
        </w:trPr>
        <w:tc>
          <w:tcPr>
            <w:tcW w:w="3800" w:type="dxa"/>
            <w:vAlign w:val="bottom"/>
          </w:tcPr>
          <w:p>
            <w:pPr>
              <w:spacing w:after="0"/>
              <w:rPr>
                <w:sz w:val="14"/>
                <w:szCs w:val="14"/>
                <w:color w:val="auto"/>
              </w:rPr>
            </w:pPr>
          </w:p>
        </w:tc>
        <w:tc>
          <w:tcPr>
            <w:tcW w:w="2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400 1</w:t>
            </w:r>
            <w:r>
              <w:rPr>
                <w:rFonts w:ascii="Arial" w:cs="Arial" w:eastAsia="Arial" w:hAnsi="Arial"/>
                <w:sz w:val="12"/>
                <w:szCs w:val="12"/>
                <w:b w:val="1"/>
                <w:bCs w:val="1"/>
                <w:color w:val="auto"/>
                <w:w w:val="89"/>
              </w:rPr>
              <w:t>st</w:t>
            </w:r>
            <w:r>
              <w:rPr>
                <w:rFonts w:ascii="Arial" w:cs="Arial" w:eastAsia="Arial" w:hAnsi="Arial"/>
                <w:sz w:val="14"/>
                <w:szCs w:val="14"/>
                <w:b w:val="1"/>
                <w:bCs w:val="1"/>
                <w:color w:val="auto"/>
                <w:w w:val="89"/>
              </w:rPr>
              <w:t xml:space="preserve"> Avenue</w:t>
            </w:r>
          </w:p>
        </w:tc>
        <w:tc>
          <w:tcPr>
            <w:tcW w:w="2560" w:type="dxa"/>
            <w:vAlign w:val="bottom"/>
          </w:tcPr>
          <w:p>
            <w:pPr>
              <w:spacing w:after="0"/>
              <w:rPr>
                <w:sz w:val="14"/>
                <w:szCs w:val="14"/>
                <w:color w:val="auto"/>
              </w:rPr>
            </w:pPr>
          </w:p>
        </w:tc>
      </w:tr>
      <w:tr>
        <w:trPr>
          <w:trHeight w:val="158"/>
        </w:trPr>
        <w:tc>
          <w:tcPr>
            <w:tcW w:w="3800" w:type="dxa"/>
            <w:vAlign w:val="bottom"/>
          </w:tcPr>
          <w:p>
            <w:pPr>
              <w:spacing w:after="0"/>
              <w:rPr>
                <w:sz w:val="13"/>
                <w:szCs w:val="13"/>
                <w:color w:val="auto"/>
              </w:rPr>
            </w:pPr>
          </w:p>
        </w:tc>
        <w:tc>
          <w:tcPr>
            <w:tcW w:w="2940" w:type="dxa"/>
            <w:vAlign w:val="bottom"/>
            <w:gridSpan w:val="3"/>
          </w:tcPr>
          <w:p>
            <w:pPr>
              <w:jc w:val="center"/>
              <w:ind w:right="320"/>
              <w:spacing w:after="0" w:line="159" w:lineRule="exact"/>
              <w:rPr>
                <w:sz w:val="20"/>
                <w:szCs w:val="20"/>
                <w:color w:val="auto"/>
              </w:rPr>
            </w:pPr>
            <w:r>
              <w:rPr>
                <w:rFonts w:ascii="Arial" w:cs="Arial" w:eastAsia="Arial" w:hAnsi="Arial"/>
                <w:sz w:val="14"/>
                <w:szCs w:val="14"/>
                <w:b w:val="1"/>
                <w:bCs w:val="1"/>
                <w:color w:val="auto"/>
                <w:w w:val="95"/>
              </w:rPr>
              <w:t>Needham, MA 02494</w:t>
            </w:r>
          </w:p>
        </w:tc>
        <w:tc>
          <w:tcPr>
            <w:tcW w:w="2560" w:type="dxa"/>
            <w:vAlign w:val="bottom"/>
          </w:tcPr>
          <w:p>
            <w:pPr>
              <w:spacing w:after="0"/>
              <w:rPr>
                <w:sz w:val="13"/>
                <w:szCs w:val="13"/>
                <w:color w:val="auto"/>
              </w:rPr>
            </w:pPr>
          </w:p>
        </w:tc>
      </w:tr>
      <w:tr>
        <w:trPr>
          <w:trHeight w:val="174"/>
        </w:trPr>
        <w:tc>
          <w:tcPr>
            <w:tcW w:w="6740" w:type="dxa"/>
            <w:vAlign w:val="bottom"/>
            <w:gridSpan w:val="4"/>
          </w:tcPr>
          <w:p>
            <w:pPr>
              <w:jc w:val="center"/>
              <w:ind w:left="3422"/>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2560" w:type="dxa"/>
            <w:vAlign w:val="bottom"/>
          </w:tcPr>
          <w:p>
            <w:pPr>
              <w:spacing w:after="0"/>
              <w:rPr>
                <w:sz w:val="15"/>
                <w:szCs w:val="15"/>
                <w:color w:val="auto"/>
              </w:rPr>
            </w:pPr>
          </w:p>
        </w:tc>
      </w:tr>
      <w:tr>
        <w:trPr>
          <w:trHeight w:val="167"/>
        </w:trPr>
        <w:tc>
          <w:tcPr>
            <w:tcW w:w="6740" w:type="dxa"/>
            <w:vAlign w:val="bottom"/>
            <w:gridSpan w:val="4"/>
          </w:tcPr>
          <w:p>
            <w:pPr>
              <w:jc w:val="center"/>
              <w:ind w:left="342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560" w:type="dxa"/>
            <w:vAlign w:val="bottom"/>
          </w:tcPr>
          <w:p>
            <w:pPr>
              <w:spacing w:after="0"/>
              <w:rPr>
                <w:sz w:val="14"/>
                <w:szCs w:val="14"/>
                <w:color w:val="auto"/>
              </w:rPr>
            </w:pPr>
          </w:p>
        </w:tc>
      </w:tr>
      <w:tr>
        <w:trPr>
          <w:trHeight w:val="186"/>
        </w:trPr>
        <w:tc>
          <w:tcPr>
            <w:tcW w:w="6420" w:type="dxa"/>
            <w:vAlign w:val="bottom"/>
            <w:gridSpan w:val="2"/>
          </w:tcPr>
          <w:p>
            <w:pPr>
              <w:jc w:val="center"/>
              <w:ind w:left="3722"/>
              <w:spacing w:after="0"/>
              <w:rPr>
                <w:sz w:val="20"/>
                <w:szCs w:val="20"/>
                <w:color w:val="auto"/>
              </w:rPr>
            </w:pPr>
            <w:r>
              <w:rPr>
                <w:rFonts w:ascii="Arial" w:cs="Arial" w:eastAsia="Arial" w:hAnsi="Arial"/>
                <w:sz w:val="14"/>
                <w:szCs w:val="14"/>
                <w:b w:val="1"/>
                <w:bCs w:val="1"/>
                <w:color w:val="auto"/>
                <w:w w:val="93"/>
              </w:rPr>
              <w:t>(781) 800-5000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66"/>
        </w:trPr>
        <w:tc>
          <w:tcPr>
            <w:tcW w:w="38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60" w:type="dxa"/>
            <w:vAlign w:val="bottom"/>
            <w:gridSpan w:val="2"/>
          </w:tcPr>
          <w:p>
            <w:pPr>
              <w:spacing w:after="0"/>
              <w:rPr>
                <w:sz w:val="5"/>
                <w:szCs w:val="5"/>
                <w:color w:val="auto"/>
              </w:rPr>
            </w:pPr>
          </w:p>
        </w:tc>
      </w:tr>
      <w:tr>
        <w:trPr>
          <w:trHeight w:val="211"/>
        </w:trPr>
        <w:tc>
          <w:tcPr>
            <w:tcW w:w="9300" w:type="dxa"/>
            <w:vAlign w:val="bottom"/>
            <w:gridSpan w:val="5"/>
          </w:tcPr>
          <w:p>
            <w:pPr>
              <w:jc w:val="center"/>
              <w:ind w:left="862"/>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78"/>
        </w:trPr>
        <w:tc>
          <w:tcPr>
            <w:tcW w:w="674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84"/>
              </w:rPr>
              <w:t>Title of each class: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86"/>
        </w:trPr>
        <w:tc>
          <w:tcPr>
            <w:tcW w:w="674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92"/>
              </w:rPr>
              <w:t>Common Stock, $0.001 par value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9"/>
              </w:rPr>
              <w:t>The NASDAQ Stock Market LLC</w:t>
            </w:r>
          </w:p>
        </w:tc>
      </w:tr>
      <w:tr>
        <w:trPr>
          <w:trHeight w:val="203"/>
        </w:trPr>
        <w:tc>
          <w:tcPr>
            <w:tcW w:w="9300" w:type="dxa"/>
            <w:vAlign w:val="bottom"/>
            <w:gridSpan w:val="5"/>
          </w:tcPr>
          <w:p>
            <w:pPr>
              <w:jc w:val="center"/>
              <w:ind w:left="842"/>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r>
      <w:tr>
        <w:trPr>
          <w:trHeight w:val="66"/>
        </w:trPr>
        <w:tc>
          <w:tcPr>
            <w:tcW w:w="38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880" w:type="dxa"/>
            <w:vAlign w:val="bottom"/>
            <w:gridSpan w:val="3"/>
          </w:tcPr>
          <w:p>
            <w:pPr>
              <w:spacing w:after="0"/>
              <w:rPr>
                <w:sz w:val="5"/>
                <w:szCs w:val="5"/>
                <w:color w:val="auto"/>
              </w:rPr>
            </w:pPr>
          </w:p>
        </w:tc>
      </w:tr>
      <w:tr>
        <w:trPr>
          <w:trHeight w:val="241"/>
        </w:trPr>
        <w:tc>
          <w:tcPr>
            <w:tcW w:w="930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30"/>
        </w:trPr>
        <w:tc>
          <w:tcPr>
            <w:tcW w:w="6740" w:type="dxa"/>
            <w:vAlign w:val="bottom"/>
            <w:gridSpan w:val="4"/>
          </w:tcPr>
          <w:p>
            <w:pPr>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w:t>
            </w:r>
          </w:p>
        </w:tc>
        <w:tc>
          <w:tcPr>
            <w:tcW w:w="256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18" w:lineRule="exact"/>
        <w:rPr>
          <w:sz w:val="24"/>
          <w:szCs w:val="24"/>
          <w:color w:val="auto"/>
        </w:rPr>
      </w:pPr>
    </w:p>
    <w:p>
      <w:pPr>
        <w:ind w:right="20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340" w:firstLine="59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right="60" w:firstLine="59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280" w:firstLine="59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8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3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4"/>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5860" w:type="dxa"/>
            <w:vAlign w:val="bottom"/>
          </w:tcPr>
          <w:p>
            <w:pPr>
              <w:ind w:left="6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640" w:type="dxa"/>
            <w:vAlign w:val="bottom"/>
          </w:tcPr>
          <w:p>
            <w:pPr>
              <w:ind w:left="3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7760" w:type="dxa"/>
            <w:vAlign w:val="bottom"/>
            <w:gridSpan w:val="2"/>
          </w:tcPr>
          <w:p>
            <w:pPr>
              <w:ind w:left="60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26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880" w:type="dxa"/>
            <w:vAlign w:val="bottom"/>
          </w:tcPr>
          <w:p>
            <w:pPr>
              <w:spacing w:after="0"/>
              <w:rPr>
                <w:sz w:val="19"/>
                <w:szCs w:val="19"/>
                <w:color w:val="auto"/>
              </w:rPr>
            </w:pPr>
          </w:p>
        </w:tc>
      </w:tr>
    </w:tbl>
    <w:p>
      <w:pPr>
        <w:spacing w:after="0" w:line="18" w:lineRule="exact"/>
        <w:rPr>
          <w:sz w:val="24"/>
          <w:szCs w:val="24"/>
          <w:color w:val="auto"/>
        </w:rPr>
      </w:pPr>
    </w:p>
    <w:p>
      <w:pPr>
        <w:ind w:firstLine="598"/>
        <w:spacing w:after="0" w:line="238" w:lineRule="auto"/>
        <w:rPr>
          <w:sz w:val="20"/>
          <w:szCs w:val="20"/>
          <w:color w:val="auto"/>
        </w:rPr>
      </w:pPr>
      <w:r>
        <w:rPr>
          <w:rFonts w:ascii="Arial" w:cs="Arial" w:eastAsia="Arial" w:hAnsi="Arial"/>
          <w:sz w:val="14"/>
          <w:szCs w:val="14"/>
          <w:color w:val="auto"/>
        </w:rPr>
        <w:t>The aggregate market value of the common stock of the registrant held by non-affiliates of the registrant as of the last business day of the registrant’s most recently completed second fiscal quarter was $7,344,191,894 based on the closing price on The NASDAQ Global Select Market on such date. For the purpose of the foregoing calculation only, all directors and executive officers of the registrant are assumed to be affiliates of the registrant.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Shares at February 10, 2017</w:t>
            </w:r>
          </w:p>
        </w:tc>
      </w:tr>
      <w:tr>
        <w:trPr>
          <w:trHeight w:val="123"/>
        </w:trPr>
        <w:tc>
          <w:tcPr>
            <w:tcW w:w="5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Common Stock, $0.001 par value per share</w:t>
            </w:r>
          </w:p>
        </w:tc>
        <w:tc>
          <w:tcPr>
            <w:tcW w:w="200" w:type="dxa"/>
            <w:vAlign w:val="bottom"/>
          </w:tcPr>
          <w:p>
            <w:pPr>
              <w:spacing w:after="0"/>
              <w:rPr>
                <w:sz w:val="10"/>
                <w:szCs w:val="10"/>
                <w:color w:val="auto"/>
              </w:rPr>
            </w:pPr>
          </w:p>
        </w:tc>
        <w:tc>
          <w:tcPr>
            <w:tcW w:w="5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131,359,879 shares</w:t>
            </w:r>
          </w:p>
        </w:tc>
      </w:tr>
      <w:tr>
        <w:trPr>
          <w:trHeight w:val="182"/>
        </w:trPr>
        <w:tc>
          <w:tcPr>
            <w:tcW w:w="58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Class B Common Stock, $0.001 par value per share</w:t>
            </w:r>
          </w:p>
        </w:tc>
        <w:tc>
          <w:tcPr>
            <w:tcW w:w="5600" w:type="dxa"/>
            <w:vAlign w:val="bottom"/>
          </w:tcPr>
          <w:p>
            <w:pPr>
              <w:jc w:val="center"/>
              <w:spacing w:after="0"/>
              <w:rPr>
                <w:sz w:val="20"/>
                <w:szCs w:val="20"/>
                <w:color w:val="auto"/>
              </w:rPr>
            </w:pPr>
            <w:r>
              <w:rPr>
                <w:rFonts w:ascii="Arial" w:cs="Arial" w:eastAsia="Arial" w:hAnsi="Arial"/>
                <w:sz w:val="14"/>
                <w:szCs w:val="14"/>
                <w:color w:val="auto"/>
                <w:w w:val="89"/>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33655</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380" w:firstLine="598"/>
        <w:spacing w:after="0" w:line="253" w:lineRule="auto"/>
        <w:rPr>
          <w:sz w:val="20"/>
          <w:szCs w:val="20"/>
          <w:color w:val="auto"/>
        </w:rPr>
      </w:pPr>
      <w:r>
        <w:rPr>
          <w:rFonts w:ascii="Arial" w:cs="Arial" w:eastAsia="Arial" w:hAnsi="Arial"/>
          <w:sz w:val="14"/>
          <w:szCs w:val="14"/>
          <w:color w:val="auto"/>
        </w:rPr>
        <w:t>The registrant intends to file a proxy statement pursuant to Regulation 14A not later than 120 days after the close of the fiscal year ended December 31, 2016.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80" w:type="dxa"/>
            <w:vAlign w:val="bottom"/>
            <w:gridSpan w:val="10"/>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580" w:type="dxa"/>
            <w:vAlign w:val="bottom"/>
            <w:gridSpan w:val="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58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8500" w:type="dxa"/>
            <w:vAlign w:val="bottom"/>
            <w:gridSpan w:val="18"/>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Unresolved Staff Comments</w:t>
              </w:r>
            </w:hyperlink>
          </w:p>
        </w:tc>
        <w:tc>
          <w:tcPr>
            <w:tcW w:w="7360" w:type="dxa"/>
            <w:vAlign w:val="bottom"/>
            <w:gridSpan w:val="13"/>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Properties</w:t>
              </w:r>
            </w:hyperlink>
          </w:p>
        </w:tc>
        <w:tc>
          <w:tcPr>
            <w:tcW w:w="8680" w:type="dxa"/>
            <w:vAlign w:val="bottom"/>
            <w:gridSpan w:val="19"/>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942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942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58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79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Market for Registrant’s Common Equity, Related Stockholder Matters and Issuer Purchases of Equity Securities</w:t>
              </w:r>
            </w:hyperlink>
          </w:p>
        </w:tc>
        <w:tc>
          <w:tcPr>
            <w:tcW w:w="15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Selected Financial Data</w:t>
              </w:r>
            </w:hyperlink>
          </w:p>
        </w:tc>
        <w:tc>
          <w:tcPr>
            <w:tcW w:w="7700" w:type="dxa"/>
            <w:vAlign w:val="bottom"/>
            <w:gridSpan w:val="16"/>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942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2960" w:type="dxa"/>
            <w:vAlign w:val="bottom"/>
            <w:gridSpan w:val="4"/>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24"/>
                <w:szCs w:val="24"/>
                <w:color w:val="auto"/>
              </w:rPr>
            </w:pPr>
          </w:p>
        </w:tc>
        <w:tc>
          <w:tcPr>
            <w:tcW w:w="5060" w:type="dxa"/>
            <w:vAlign w:val="bottom"/>
            <w:gridSpan w:val="7"/>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9420" w:type="dxa"/>
            <w:vAlign w:val="bottom"/>
            <w:gridSpan w:val="2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Changes in and Disagreements with Accountants on Accounting and Financial Disclosure</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2"/>
          </w:tcPr>
          <w:p>
            <w:pPr>
              <w:spacing w:after="0"/>
              <w:rPr>
                <w:sz w:val="24"/>
                <w:szCs w:val="24"/>
                <w:color w:val="auto"/>
              </w:rPr>
            </w:pPr>
          </w:p>
        </w:tc>
        <w:tc>
          <w:tcPr>
            <w:tcW w:w="2940" w:type="dxa"/>
            <w:vAlign w:val="bottom"/>
            <w:gridSpan w:val="3"/>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9420" w:type="dxa"/>
            <w:vAlign w:val="bottom"/>
            <w:gridSpan w:val="21"/>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Other Information</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18"/>
        </w:trPr>
        <w:tc>
          <w:tcPr>
            <w:tcW w:w="1580" w:type="dxa"/>
            <w:vAlign w:val="bottom"/>
            <w:gridSpan w:val="6"/>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9420" w:type="dxa"/>
            <w:vAlign w:val="bottom"/>
            <w:gridSpan w:val="21"/>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Directors, Executive Officers and Corporate Governance</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320" w:type="dxa"/>
            <w:vAlign w:val="bottom"/>
            <w:gridSpan w:val="8"/>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9420" w:type="dxa"/>
            <w:vAlign w:val="bottom"/>
            <w:gridSpan w:val="21"/>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Security Ownership of Certain Beneficial Owners and Management and Related Stockholder Matters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124">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24"/>
                <w:szCs w:val="24"/>
                <w:color w:val="auto"/>
              </w:rPr>
            </w:pPr>
          </w:p>
        </w:tc>
        <w:tc>
          <w:tcPr>
            <w:tcW w:w="2120" w:type="dxa"/>
            <w:vAlign w:val="bottom"/>
            <w:gridSpan w:val="2"/>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9420" w:type="dxa"/>
            <w:vAlign w:val="bottom"/>
            <w:gridSpan w:val="21"/>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Principal Accounting Fees and Services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25">
              <w:r>
                <w:rPr>
                  <w:rFonts w:ascii="Arial" w:cs="Arial" w:eastAsia="Arial" w:hAnsi="Arial"/>
                  <w:sz w:val="18"/>
                  <w:szCs w:val="18"/>
                  <w:color w:val="0000EE"/>
                  <w:w w:val="94"/>
                </w:rPr>
                <w:t>PART IV</w:t>
              </w:r>
            </w:hyperlink>
          </w:p>
        </w:tc>
        <w:tc>
          <w:tcPr>
            <w:tcW w:w="9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18"/>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9420" w:type="dxa"/>
            <w:vAlign w:val="bottom"/>
            <w:gridSpan w:val="21"/>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Exhibits; Financial Statement Schedules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18"/>
        </w:trPr>
        <w:tc>
          <w:tcPr>
            <w:tcW w:w="1580" w:type="dxa"/>
            <w:vAlign w:val="bottom"/>
            <w:gridSpan w:val="6"/>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ind w:right="140" w:firstLine="877"/>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this Annual Report on Form 10-K.</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“estimate,” “expect,” “intend,” “may,” “might,” “plan,” “project,”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78"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Investors should also refer to our quarterly reports on Form 10-Q for future periods and current reports on Form 8-K as we file them with the U.S. Securities and Exchange Commission, or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jc w:val="cente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598"/>
        <w:spacing w:after="0" w:line="273" w:lineRule="auto"/>
        <w:rPr>
          <w:sz w:val="20"/>
          <w:szCs w:val="20"/>
          <w:color w:val="auto"/>
        </w:rPr>
      </w:pPr>
      <w:r>
        <w:rPr>
          <w:rFonts w:ascii="Arial" w:cs="Arial" w:eastAsia="Arial" w:hAnsi="Arial"/>
          <w:sz w:val="17"/>
          <w:szCs w:val="17"/>
          <w:color w:val="auto"/>
        </w:rPr>
        <w:t>TripAdvisor, Inc., by and through its subsidiaries, owns and operates a portfolio of leading online travel brands. TripAdvisor, our flagship brand, is the world’s largest travel site, and its mission is to help people around the world plan, book and experience the perfect trip. We accomplish this by, among other things, aggregating millions of travelers’ reviews and opinions about destinations, accommodations, activities and attractions, and restaurants worldwide, thereby creating the foundation for a unique platform that enables users to research and plan their travel experiences. Our platform also enables users to compare real-time pricing and availability for these experiences as well as to book hotels, flights, cruises, vacation rentals, tours, activities and attractions, and restaurants, on either a TripAdvisor site or app, or a travel partner site or app.</w:t>
      </w:r>
    </w:p>
    <w:p>
      <w:pPr>
        <w:spacing w:after="0" w:line="17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Our TripAdvisor-branded websites include tripadvisor.com in the United States and localized versions of the TripAdvisor website in 48 markets and 28 languages worldwide. Our TripAdvisor-branded websites reached nearly 390 million average monthly unique visitors in our seasonal peak during the year ended December 31, 2016, according to our internal log files. We currently feature approximately 465 million reviews and opinions on 7 million places to stay, places to eat and things to do – including 1,060,000 hotels and accommodations and 835,000 vacation rentals, 4.3 million restaurants and 760,000 activities and attractions worldwide.</w:t>
      </w:r>
    </w:p>
    <w:p>
      <w:pPr>
        <w:spacing w:after="0" w:line="18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In addition to the flagship TripAdvisor brand, we manage and operate the following 23 other travel media brands, connected by the common goal of providing users the most comprehensive travel-planning and trip-taking resources in the travel industry: www.airfarewatchdog.com, www.bookingbuddy.com, www.citymaps.com, www.cruisecritic.com, www.familyvacationcritic.com, www.flipkey.com, www.gateguru.com, www.holidaylettings.co.uk, www.holidaywatchdog.com, www.housetrip.com, www.independenttraveler.com, www.jetsetter.com, www.thefork.com (including www.lafourchette.com, www.eltenedor.com, www.iens.nl, www.besttables.com, www.dimmi.com.au, and www.en.couverts.nl), www.niumba.com, www.onetime.com, www.oyster.com, www.seatguru.com, www.smartertravel.com, www.tingo.com, www.travelpod.com, www.tripbod.com, www.vacationhomerentals.com, and www.viator.com.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right="520" w:firstLine="598"/>
        <w:spacing w:after="0" w:line="342" w:lineRule="auto"/>
        <w:rPr>
          <w:sz w:val="20"/>
          <w:szCs w:val="20"/>
          <w:color w:val="auto"/>
        </w:rPr>
      </w:pPr>
      <w:r>
        <w:rPr>
          <w:rFonts w:ascii="Arial" w:cs="Arial" w:eastAsia="Arial" w:hAnsi="Arial"/>
          <w:sz w:val="16"/>
          <w:szCs w:val="16"/>
          <w:color w:val="auto"/>
        </w:rPr>
        <w:t>Our platforms connect users wishing to plan and book the best travel experiences with providers of travel accommodations and travel services worldwide. We manage our business in two reportable segments: Hotel and Non-Hotel. We derive the majority of our revenue from our Hotel segment.</w:t>
      </w:r>
    </w:p>
    <w:p>
      <w:pPr>
        <w:spacing w:after="0" w:line="124"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Our Hotel business accounted for 80%, 85%, and 91%, of our Company’s consolidated revenue in the years ended December 31, 2016, 2015 and 2014, respectively, and includes the following revenue sources:</w:t>
      </w:r>
    </w:p>
    <w:p>
      <w:pPr>
        <w:spacing w:after="0" w:line="62" w:lineRule="exact"/>
        <w:rPr>
          <w:sz w:val="20"/>
          <w:szCs w:val="20"/>
          <w:color w:val="auto"/>
        </w:rPr>
      </w:pPr>
    </w:p>
    <w:p>
      <w:pPr>
        <w:ind w:left="1180" w:right="80" w:hanging="429"/>
        <w:spacing w:after="0" w:line="253"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Click-Based advertising and transaction revenue. </w:t>
      </w:r>
      <w:r>
        <w:rPr>
          <w:rFonts w:ascii="Arial" w:cs="Arial" w:eastAsia="Arial" w:hAnsi="Arial"/>
          <w:sz w:val="18"/>
          <w:szCs w:val="18"/>
          <w:color w:val="auto"/>
        </w:rPr>
        <w:t>Our largest source of Hotel segment revenue is generated from click-based advertising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TripAdvisor-branded websites, which is primarily comprised of contextually-relevant booking links to our partners’ sites. Our click-based advertising partners are predominantly online travel agencies, or OTAs, and direct suppliers in the hotel product category. Click-based advertising is generally priced on a cost-per-click, or “CPC”, basis, with payments from advertisers determined by the number of users who click on a link multiplied by the price that partner is willing to pay for that click, or hotel shopper lead. CPC rates are determined in a dynamic, competitive auction process that enables our partners to use our proprietary, automated bidding system to submit CPC bids to have their hotel rates and availability listed on our site. Transaction revenue is generated from our instant booking feature, which enables the merchant of record, generally an OTA or hotel partner, to pay a commission to TripAdvisor for a user that completes a hotel reservation on our website.</w:t>
      </w:r>
    </w:p>
    <w:p>
      <w:pPr>
        <w:spacing w:after="0" w:line="89" w:lineRule="exact"/>
        <w:rPr>
          <w:rFonts w:ascii="Arial" w:cs="Arial" w:eastAsia="Arial" w:hAnsi="Arial"/>
          <w:sz w:val="18"/>
          <w:szCs w:val="18"/>
          <w:color w:val="auto"/>
        </w:rPr>
      </w:pPr>
    </w:p>
    <w:p>
      <w:pPr>
        <w:ind w:left="1180" w:right="40" w:hanging="429"/>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Display-Based and subscription-based advertising revenue. </w:t>
      </w:r>
      <w:r>
        <w:rPr>
          <w:rFonts w:ascii="Arial" w:cs="Arial" w:eastAsia="Arial" w:hAnsi="Arial"/>
          <w:sz w:val="18"/>
          <w:szCs w:val="18"/>
          <w:color w:val="auto"/>
        </w:rPr>
        <w:t>Advertising partners can promote their brands in a contextually-relevant manner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a variety of display-based advertising placements on our websites. Our display-based advertising clients are predominately direct suppliers of hotels, airlines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1180" w:right="40"/>
        <w:spacing w:after="0" w:line="257" w:lineRule="auto"/>
        <w:rPr>
          <w:sz w:val="20"/>
          <w:szCs w:val="20"/>
          <w:color w:val="auto"/>
        </w:rPr>
      </w:pPr>
      <w:r>
        <w:rPr>
          <w:rFonts w:ascii="Arial" w:cs="Arial" w:eastAsia="Arial" w:hAnsi="Arial"/>
          <w:sz w:val="18"/>
          <w:szCs w:val="18"/>
          <w:color w:val="auto"/>
        </w:rPr>
        <w:t>and cruises, as well as destination marketing organizations. We also accept display advertising from OTAs and attractions, as well as advertisers from non-travel categories. Display-based advertising is sold predominantly on a cost per thousand impressions, or “CPM” basis. Subscription-based advertising is offered to hotels, B&amp;Bs and other specialty lodging properties. This advertising product is sold for a flat fee and enables subscribers to list, for a contracted period of time, a website URL, email address and phone number on our TripAdvisor-branded websites, as well as to post special offers for travelers.</w:t>
      </w:r>
    </w:p>
    <w:p>
      <w:pPr>
        <w:spacing w:after="0" w:line="80" w:lineRule="exact"/>
        <w:rPr>
          <w:sz w:val="20"/>
          <w:szCs w:val="20"/>
          <w:color w:val="auto"/>
        </w:rPr>
      </w:pPr>
    </w:p>
    <w:p>
      <w:pPr>
        <w:ind w:left="1180" w:right="20" w:hanging="429"/>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hotel revenue. </w:t>
      </w:r>
      <w:r>
        <w:rPr>
          <w:rFonts w:ascii="Arial" w:cs="Arial" w:eastAsia="Arial" w:hAnsi="Arial"/>
          <w:sz w:val="18"/>
          <w:szCs w:val="18"/>
          <w:color w:val="auto"/>
        </w:rPr>
        <w:t>Our other hotel revenue primarily includes revenue from non-TripAdvisor branded websites, such as smartertravel.com,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independenttraveler.com, and bookingbuddy.com, which includes click-based advertising revenue, display-based advertising revenue, hotel room reservations sold through these websites, and advertising revenue from making cruise reservations available for price comparison and booking.</w:t>
      </w:r>
    </w:p>
    <w:p>
      <w:pPr>
        <w:spacing w:after="0" w:line="187"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A significant percentage of our users are not hotel shoppers and visit TripAdvisor sites without navigating to pages that contain a listing of hotels in a particular city or a specific hotel’s page. These users contribute to our Non-Hotel segment revenue, which accounted for 20%, 15%, and 9% of our consolidated revenue for the years ended December 31, 2016, 2015 and 2014, respectively, and consists of the following businesses, or operating segments:</w:t>
      </w:r>
    </w:p>
    <w:p>
      <w:pPr>
        <w:spacing w:after="0" w:line="35" w:lineRule="exact"/>
        <w:rPr>
          <w:sz w:val="20"/>
          <w:szCs w:val="20"/>
          <w:color w:val="auto"/>
        </w:rPr>
      </w:pPr>
    </w:p>
    <w:p>
      <w:pPr>
        <w:ind w:left="1180" w:right="320" w:hanging="429"/>
        <w:spacing w:after="0" w:line="298"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Attractions. </w:t>
      </w:r>
      <w:r>
        <w:rPr>
          <w:rFonts w:ascii="Arial" w:cs="Arial" w:eastAsia="Arial" w:hAnsi="Arial"/>
          <w:sz w:val="16"/>
          <w:szCs w:val="16"/>
          <w:color w:val="auto"/>
        </w:rPr>
        <w:t>We provide information and services for users to research and book activities and attractions in popular travel destinations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our dedicated attractions business, Viator. We generate revenue by charging the operators a commission for each transaction we facilitate through our online reservation systems. In addition to its consumer-direct business, Viator also powers activity and attractions booking capabilities to its affiliate partners, including some of the world’s top airlines, hotel chains and online and offline travel agencies. Viator’s bookable inventory is available on www.viator.com as well as on TripAdvisor-branded websites and mobile applications.</w:t>
      </w:r>
    </w:p>
    <w:p>
      <w:pPr>
        <w:spacing w:after="0" w:line="46" w:lineRule="exact"/>
        <w:rPr>
          <w:rFonts w:ascii="Arial" w:cs="Arial" w:eastAsia="Arial" w:hAnsi="Arial"/>
          <w:sz w:val="16"/>
          <w:szCs w:val="16"/>
          <w:color w:val="auto"/>
        </w:rPr>
      </w:pPr>
    </w:p>
    <w:p>
      <w:pPr>
        <w:ind w:left="1180" w:right="40" w:hanging="429"/>
        <w:spacing w:after="0" w:line="255"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Restaurants. </w:t>
      </w:r>
      <w:r>
        <w:rPr>
          <w:rFonts w:ascii="Arial" w:cs="Arial" w:eastAsia="Arial" w:hAnsi="Arial"/>
          <w:sz w:val="18"/>
          <w:szCs w:val="18"/>
          <w:color w:val="auto"/>
        </w:rPr>
        <w:t>Through our restaurant reservations business The Fork we provide information and services for users to research and book</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restaurants. The Fork is an online restaurant booking platform operating on a number of sites (including www.lafourchette.com, www.eltenedor.com, www.iens.nl, www.besttables.com, www.dimmi.com.au, and www.en.couverts.nl), with a network of restaurant partners primarily across Europe and Australia. The Fork generates revenue by charging our restaurant partners a fee for each restaurant guest, or seated diner, that we facilitate through our online reservation systems. The Fork also provides flexible online booking and a premium data and analytics tool, for which the restaurant owner pays a subscription fee. The Fork’s bookable inventory is also available on TripAdvisor-branded websites and mobile applications.</w:t>
      </w:r>
    </w:p>
    <w:p>
      <w:pPr>
        <w:spacing w:after="0" w:line="81" w:lineRule="exact"/>
        <w:rPr>
          <w:rFonts w:ascii="Arial" w:cs="Arial" w:eastAsia="Arial" w:hAnsi="Arial"/>
          <w:sz w:val="18"/>
          <w:szCs w:val="18"/>
          <w:color w:val="auto"/>
        </w:rPr>
      </w:pPr>
    </w:p>
    <w:p>
      <w:pPr>
        <w:ind w:left="1180" w:right="40" w:hanging="429"/>
        <w:spacing w:after="0" w:line="274" w:lineRule="auto"/>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Vacation Rentals. </w:t>
      </w:r>
      <w:r>
        <w:rPr>
          <w:rFonts w:ascii="Arial" w:cs="Arial" w:eastAsia="Arial" w:hAnsi="Arial"/>
          <w:sz w:val="17"/>
          <w:szCs w:val="17"/>
          <w:color w:val="auto"/>
        </w:rPr>
        <w:t>We provide information and services for users to research and book vacation and short-term rental properties,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full home rentals, condominiums, villas, beach rentals, cabins and cottages. The vacation rentals business generates revenue by offering individual property owners and property managers, the ability to list their properties on our websites and mobile applications through a free-to-list, commission-based option, and to a lesser extent, an annual subscription-based fee structure. These properties are listed on a number of platforms, including www.flipkey.com, www.holidaylettings.co.uk, www.housetrip.com, www.niumba.com, and www.vacationhomerentals.com, as well as on our TripAdvisor-branded websites.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We leverage significant investments in technology, operations, brand-building, and relationships with advertisers and other partners to expand our business and enhance our global competitive position. We continue to focus on the following areas to grow our business:</w:t>
      </w:r>
    </w:p>
    <w:p>
      <w:pPr>
        <w:spacing w:after="0" w:line="62" w:lineRule="exact"/>
        <w:rPr>
          <w:sz w:val="20"/>
          <w:szCs w:val="20"/>
          <w:color w:val="auto"/>
        </w:rPr>
      </w:pPr>
    </w:p>
    <w:p>
      <w:pPr>
        <w:ind w:left="1180" w:hanging="429"/>
        <w:spacing w:after="0" w:line="255"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Delivering a Great User Experience. </w:t>
      </w:r>
      <w:r>
        <w:rPr>
          <w:rFonts w:ascii="Arial" w:cs="Arial" w:eastAsia="Arial" w:hAnsi="Arial"/>
          <w:sz w:val="18"/>
          <w:szCs w:val="18"/>
          <w:color w:val="auto"/>
        </w:rPr>
        <w:t>In 2016, in addition to completing the global instant booking rollout to all users on all devices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we also made it easier for users to find the best room prices on our site, whether offered through hotel metasearch or instant booking. We believe our continued progress in creating end-to-end travel solutions on our platform will result in better user experiences, and ultimately drive higher conversion to transactions for our partners and higher revenue per hotel shopper for our hotel business. Our innovative culture supports bringing product enhancements to market at speed. In doing so, we believe that we can continue to improve the user experience and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1180" w:right="400"/>
        <w:spacing w:after="0" w:line="308" w:lineRule="auto"/>
        <w:rPr>
          <w:sz w:val="20"/>
          <w:szCs w:val="20"/>
          <w:color w:val="auto"/>
        </w:rPr>
      </w:pPr>
      <w:r>
        <w:rPr>
          <w:rFonts w:ascii="Arial" w:cs="Arial" w:eastAsia="Arial" w:hAnsi="Arial"/>
          <w:sz w:val="17"/>
          <w:szCs w:val="17"/>
          <w:color w:val="auto"/>
        </w:rPr>
        <w:t>engagement by growing, among other things, high-quality content, best room price availability on hotel listings, in-destination bookable supply, and real-time email and push notifications, thereby also enhancing our competitive positioning.</w:t>
      </w:r>
    </w:p>
    <w:p>
      <w:pPr>
        <w:spacing w:after="0" w:line="38" w:lineRule="exact"/>
        <w:rPr>
          <w:sz w:val="20"/>
          <w:szCs w:val="20"/>
          <w:color w:val="auto"/>
        </w:rPr>
      </w:pPr>
    </w:p>
    <w:p>
      <w:pPr>
        <w:ind w:left="1180" w:right="20" w:hanging="429"/>
        <w:spacing w:after="0" w:line="287"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Traffic to Our Platform. </w:t>
      </w:r>
      <w:r>
        <w:rPr>
          <w:rFonts w:ascii="Arial" w:cs="Arial" w:eastAsia="Arial" w:hAnsi="Arial"/>
          <w:sz w:val="16"/>
          <w:szCs w:val="16"/>
          <w:color w:val="auto"/>
        </w:rPr>
        <w:t>We seek to amplify our global brand and products through various online and offline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channels in order to increase the number of users who navigate to our site either directly, also known as domain direct traffic, or from other marketing channels. We have leveraged, at different points in time, a number of offline advertising channels, including permanent branding campaigns such as TripAdvisor-branded travel awards, certificates, stickers and badges and television advertising. We also leverage a number of online advertising channels, including: customer relationship management email campaigns, or “CRM”; social networks; “SEM”, which promotes websites by increasing their visibility in search engine results through paid placements, contextual advertising, and paid inclusions; and retargeting, which targets consumers based on their search behavior. In addition, for sources of user traffic, we rely on search engine optimization, or SEO, which promotes websites with relevant and current content that rank well in “organic,” or unpaid search engine results, as well as referrals from partners whose sites contain links to TripAdvisor content, badges or widgets. In order to continue growing unique visitors to our websites and enhancing the quality of those visits, we intend to invest in, some or all, of the aforementioned channels, as well as any new channels that we may identify in the future.</w:t>
      </w:r>
    </w:p>
    <w:p>
      <w:pPr>
        <w:spacing w:after="0" w:line="64" w:lineRule="exact"/>
        <w:rPr>
          <w:rFonts w:ascii="Arial" w:cs="Arial" w:eastAsia="Arial" w:hAnsi="Arial"/>
          <w:sz w:val="16"/>
          <w:szCs w:val="16"/>
          <w:color w:val="auto"/>
        </w:rPr>
      </w:pPr>
    </w:p>
    <w:p>
      <w:pPr>
        <w:ind w:left="1180" w:hanging="429"/>
        <w:spacing w:after="0" w:line="255"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Enhancing Our Mobile Offerings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Innovating and improving our mobile products is a key priority as mobile devices continue to proliferate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consumers increasingly conduct more internet searches and commerce on these devices. During the year ended December 31, 2016, nearly half of our average monthly unique visitors came from mobile phone, growing 29% year-over-year, according to our log files. We anticipate that the growth rate in mobile visitors will continue to exceed the growth rate of our overall monthly unique visitors, resulting in an increased proportion of users continuing to use their mobile devices to access the full range of services available on our websites and applications. We are investing significant resources to improve the features, functionality, engagement, and commercialization of our travel products on our mobile websites and applications.</w:t>
      </w:r>
    </w:p>
    <w:p>
      <w:pPr>
        <w:spacing w:after="0" w:line="81" w:lineRule="exact"/>
        <w:rPr>
          <w:rFonts w:ascii="Arial" w:cs="Arial" w:eastAsia="Arial" w:hAnsi="Arial"/>
          <w:sz w:val="18"/>
          <w:szCs w:val="18"/>
          <w:color w:val="auto"/>
        </w:rPr>
      </w:pPr>
    </w:p>
    <w:p>
      <w:pPr>
        <w:ind w:left="1180" w:right="100" w:hanging="429"/>
        <w:spacing w:after="0" w:line="25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Attractions, Restaurants and Vacation Rentals Businesses. </w:t>
      </w:r>
      <w:r>
        <w:rPr>
          <w:rFonts w:ascii="Arial" w:cs="Arial" w:eastAsia="Arial" w:hAnsi="Arial"/>
          <w:sz w:val="18"/>
          <w:szCs w:val="18"/>
          <w:color w:val="auto"/>
        </w:rPr>
        <w:t>A significant percentage of our users come to our websites for content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760,000 activities and attractions, 4.3 million restaurants, and 835,000 vacation rentals, and we believe that continuing to build in-destination listings gives us a unique opportunity to delight users in more moments during more trips. We continue to execute this strategy and increase the stickiness of our products by investing in increasing bookable supply and strengthening our user engagement through our mobile platform.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Strengths</w:t>
      </w:r>
    </w:p>
    <w:p>
      <w:pPr>
        <w:spacing w:after="0" w:line="121"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Our mission is to help people around the world plan, book and experience the perfect trip. In order to achieve this goal and our growth strategies, we leverage our key assets—a loyal travel community, rich user-generated content, end-to-end travel experience, continuous technological innovation and global reach—as follows:</w:t>
      </w:r>
    </w:p>
    <w:p>
      <w:pPr>
        <w:spacing w:after="0" w:line="73" w:lineRule="exact"/>
        <w:rPr>
          <w:sz w:val="20"/>
          <w:szCs w:val="20"/>
          <w:color w:val="auto"/>
        </w:rPr>
      </w:pPr>
    </w:p>
    <w:p>
      <w:pPr>
        <w:ind w:left="1180" w:hanging="429"/>
        <w:spacing w:after="0" w:line="271"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Loyal Travel Community</w:t>
      </w:r>
      <w:r>
        <w:rPr>
          <w:rFonts w:ascii="Arial" w:cs="Arial" w:eastAsia="Arial" w:hAnsi="Arial"/>
          <w:sz w:val="17"/>
          <w:szCs w:val="17"/>
          <w:color w:val="auto"/>
        </w:rPr>
        <w:t>. We believe that we have the largest breadth of travel-planning content in the global travel industry and, as a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travelers gravitate to our websites to research and plan their trips. We view our large, highly engaged and loyal community of travelers as a valuable resource and provide them an interactive platform to share their experiences. After completing their trip, consumers can return to our websites to write reviews to give back to the community that helped them plan their trip. To encourage better experiences for travelers and to create a feedback loop between the hospitality industry and travelers, we engage hospitality management representatives to respond to reviews of their properties on our website. Through this cycle, more content is generated, which further drives community, traffic, loyalty and higher search engine rankings, all of which leads to additional content creation. We believe this sense of community among users and brand loyalty is a key competitive advantage for TripAdvisor.</w:t>
      </w:r>
    </w:p>
    <w:p>
      <w:pPr>
        <w:spacing w:after="0" w:line="70" w:lineRule="exact"/>
        <w:rPr>
          <w:rFonts w:ascii="Arial" w:cs="Arial" w:eastAsia="Arial" w:hAnsi="Arial"/>
          <w:sz w:val="17"/>
          <w:szCs w:val="17"/>
          <w:color w:val="auto"/>
        </w:rPr>
      </w:pPr>
    </w:p>
    <w:p>
      <w:pPr>
        <w:ind w:left="1180" w:right="100" w:hanging="429"/>
        <w:spacing w:after="0" w:line="264"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User-Generated Content. </w:t>
      </w:r>
      <w:r>
        <w:rPr>
          <w:rFonts w:ascii="Arial" w:cs="Arial" w:eastAsia="Arial" w:hAnsi="Arial"/>
          <w:sz w:val="18"/>
          <w:szCs w:val="18"/>
          <w:color w:val="auto"/>
        </w:rPr>
        <w:t>To help our users plan their trip, the TripAdvisor platform contains 465 million reviews and opinions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90 million candid traveler photos on 7 million places to stay, places to eat and things to do. This valuable content creation reached 290 contributions per minute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ind w:left="1180" w:right="160"/>
        <w:spacing w:after="0" w:line="277" w:lineRule="auto"/>
        <w:rPr>
          <w:sz w:val="20"/>
          <w:szCs w:val="20"/>
          <w:color w:val="auto"/>
        </w:rPr>
      </w:pPr>
      <w:r>
        <w:rPr>
          <w:rFonts w:ascii="Arial" w:cs="Arial" w:eastAsia="Arial" w:hAnsi="Arial"/>
          <w:sz w:val="18"/>
          <w:szCs w:val="18"/>
          <w:color w:val="auto"/>
        </w:rPr>
        <w:t>in 2016, up approximately 40% from December 31, 2015. In addition, our tools and travel content are available to users around the world in 28 different languages on all devices, including mobile phone, desktop and tablet.</w:t>
      </w:r>
    </w:p>
    <w:p>
      <w:pPr>
        <w:spacing w:after="0" w:line="62" w:lineRule="exact"/>
        <w:rPr>
          <w:sz w:val="20"/>
          <w:szCs w:val="20"/>
          <w:color w:val="auto"/>
        </w:rPr>
      </w:pPr>
    </w:p>
    <w:p>
      <w:pPr>
        <w:ind w:left="1180" w:right="20" w:hanging="429"/>
        <w:spacing w:after="0" w:line="293"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End-to-End Travel Experience. </w:t>
      </w:r>
      <w:r>
        <w:rPr>
          <w:rFonts w:ascii="Arial" w:cs="Arial" w:eastAsia="Arial" w:hAnsi="Arial"/>
          <w:sz w:val="16"/>
          <w:szCs w:val="16"/>
          <w:color w:val="auto"/>
        </w:rPr>
        <w:t>TripAdvisor products enable users to research, plan, price compare and book travel in a comprehensive, end-to-end fashion across a portfolio of 1,060,000 hotels, 835,000 vacation rentals, 4.3 million restaurants and 760,000 activities and attractions worldwide. In addition to user-generated content, our websites and applications feature price comparison tools and search functionality with links to partner websites, including travel advertisers, on which users can find and book their travel arrangements at the best prices. We also enable users to book hotels, activities and attractions and restaurant reservations on our site. These capabilities cover all phases of the travel experience, from pre-trip research and booking to in-destination booking to post-trip review submission.</w:t>
      </w:r>
    </w:p>
    <w:p>
      <w:pPr>
        <w:spacing w:after="0" w:line="56" w:lineRule="exact"/>
        <w:rPr>
          <w:rFonts w:ascii="Arial" w:cs="Arial" w:eastAsia="Arial" w:hAnsi="Arial"/>
          <w:sz w:val="16"/>
          <w:szCs w:val="16"/>
          <w:color w:val="auto"/>
        </w:rPr>
      </w:pPr>
    </w:p>
    <w:p>
      <w:pPr>
        <w:ind w:left="1180" w:right="20" w:hanging="429"/>
        <w:spacing w:after="0" w:line="25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and Product</w:t>
      </w:r>
      <w:r>
        <w:rPr>
          <w:rFonts w:ascii="Arial" w:cs="Arial" w:eastAsia="Arial" w:hAnsi="Arial"/>
          <w:sz w:val="18"/>
          <w:szCs w:val="18"/>
          <w:color w:val="auto"/>
        </w:rPr>
        <w:t>. Continuous product testing and speed to market are two of our most important priorities, as they enable us to create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richer user experience. We operate on a regular product release cycle, where releases contain new product features for our websites and mobile applications. Our ongoing commitment to innovation also extends to content syndication and review collection partnerships, as we leverage our technology and content for the benefit of other websites. In addition, we utilize manual and electronic fraud detection in order to maintain the quality and authenticity of user reviews.</w:t>
      </w:r>
    </w:p>
    <w:p>
      <w:pPr>
        <w:spacing w:after="0" w:line="80" w:lineRule="exact"/>
        <w:rPr>
          <w:rFonts w:ascii="Arial" w:cs="Arial" w:eastAsia="Arial" w:hAnsi="Arial"/>
          <w:sz w:val="18"/>
          <w:szCs w:val="18"/>
          <w:color w:val="auto"/>
        </w:rPr>
      </w:pPr>
    </w:p>
    <w:p>
      <w:pPr>
        <w:ind w:left="1180" w:right="40" w:hanging="429"/>
        <w:spacing w:after="0" w:line="273"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Global Reach</w:t>
      </w:r>
      <w:r>
        <w:rPr>
          <w:rFonts w:ascii="Arial" w:cs="Arial" w:eastAsia="Arial" w:hAnsi="Arial"/>
          <w:sz w:val="17"/>
          <w:szCs w:val="17"/>
          <w:color w:val="auto"/>
        </w:rPr>
        <w:t>. We are a global company, evidenced both through the reach of our portfolio of branded websites and through our in-market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staffing in 24 countries. As of December 31, 2016, we had 1,614 employees based outside of the United States, representing approximately 49% of our employee population. As of December 31, 2016, we had branded websites in 48 markets outside the United States in 28 languages. We have approximately 1.6 billion review translations, and are committed to continuing to improve the in-country user experience and the local content coverage for all of our points-of-sale. We believe that the universally-relevant content and community of our core TripAdvisor platform and our other brands uniquely position us to appeal to travelers throughout the world.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operate in the global travel industry, focusing exclusively on online travel activity and the online advertising market.</w:t>
      </w:r>
    </w:p>
    <w:p>
      <w:pPr>
        <w:spacing w:after="0" w:line="225"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According to Phocuswright, global travel spending is expected to be greater than $1.3 trillion in 2017, or an increase of 5% over 2016. Recent trends show that, each year, an increasing percentage of global travel spending is conducted online through supplier websites and OTAs. We believe that this trend will continue as online penetration continues to grow, as more consumers around the world gain broadband access to the internet, as smartphone, tablets and other mobile computing devices continue to proliferate, and as travel activity increases along with an expanding middle class in certain countries like China and India.</w:t>
      </w:r>
    </w:p>
    <w:p>
      <w:pPr>
        <w:spacing w:after="0" w:line="188"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We believe that the internet will continue to become even more integral to the travel-planning process due to increasing worldwide online penetration, particularly given the capabilities that the internet provides travelers, including the ability to refine searches, compare destinations, read and contribute user-generated content, view real-time pricing and determine availability, complete bookings, and access information while in-destination.</w:t>
      </w:r>
    </w:p>
    <w:p>
      <w:pPr>
        <w:spacing w:after="0" w:line="166" w:lineRule="exact"/>
        <w:rPr>
          <w:sz w:val="20"/>
          <w:szCs w:val="20"/>
          <w:color w:val="auto"/>
        </w:rPr>
      </w:pPr>
    </w:p>
    <w:p>
      <w:pPr>
        <w:ind w:right="380" w:firstLine="598"/>
        <w:spacing w:after="0" w:line="259" w:lineRule="auto"/>
        <w:rPr>
          <w:sz w:val="20"/>
          <w:szCs w:val="20"/>
          <w:color w:val="auto"/>
        </w:rPr>
      </w:pPr>
      <w:r>
        <w:rPr>
          <w:rFonts w:ascii="Arial" w:cs="Arial" w:eastAsia="Arial" w:hAnsi="Arial"/>
          <w:sz w:val="18"/>
          <w:szCs w:val="18"/>
          <w:color w:val="auto"/>
        </w:rPr>
        <w:t>Travel-related advertisers continue to allocate greater percentages of their marketing budgets to online channels, mirroring the trend in consumer media consumption generally. Given the size and growth of the global travel market, as well as a growing percentage of travel transactions taking place online, we believe that travel-related businesses will continue to devote significant marketing dollars to online platforms in order to advertise their travel products and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We compete in rapidly evolving and competitive markets. We face competition for content, users, advertisers, online travel search and price comparison services or what is known in the industry as hotel metasearch, and online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right="320"/>
        <w:spacing w:after="0" w:line="279" w:lineRule="auto"/>
        <w:rPr>
          <w:sz w:val="20"/>
          <w:szCs w:val="20"/>
          <w:color w:val="auto"/>
        </w:rPr>
      </w:pPr>
      <w:r>
        <w:rPr>
          <w:rFonts w:ascii="Arial" w:cs="Arial" w:eastAsia="Arial" w:hAnsi="Arial"/>
          <w:sz w:val="17"/>
          <w:szCs w:val="17"/>
          <w:color w:val="auto"/>
        </w:rPr>
        <w:t>reservations. In the competition to attract users to our platform, we rely on our ability to acquire traffic through offline brand recognition and brand-direct efforts such as online search, email and television. These marketing strategies can be impacted by competitive site content, changes to our website architecture and page designs, changes to search engine ranking algorithms, updates in competitor advertising strategies, or changes to display ordering in search engine results such as preferred placement for internal products offered by search engines.</w:t>
      </w:r>
    </w:p>
    <w:p>
      <w:pPr>
        <w:spacing w:after="0" w:line="63"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We compete with different types of companies in the various markets and geographies we participate in, including large and small companies in the travel space as well as broader service providers. More specifically:</w:t>
      </w:r>
    </w:p>
    <w:p>
      <w:pPr>
        <w:spacing w:after="0" w:line="62" w:lineRule="exact"/>
        <w:rPr>
          <w:sz w:val="20"/>
          <w:szCs w:val="20"/>
          <w:color w:val="auto"/>
        </w:rPr>
      </w:pPr>
    </w:p>
    <w:p>
      <w:pPr>
        <w:ind w:left="1180" w:right="20" w:hanging="429"/>
        <w:spacing w:after="0" w:line="279"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our Hotel segment, we face competition from OTAs (including Expedia, Inc. and The Priceline Group, Inc. and certain of their respective subsidiaries), hotel metasearch providers (including Trivago, Kayak, Ctrip.com International, Ltd., and HotelsCombined), large online search, social media, and marketplace companies (including Google, Microsoft Bing, Yahoo, Baidu, Facebook, Alibaba, and Amazon), traditional offline travel agencies, and global hotel chains seeking to promote direct bookings.</w:t>
      </w:r>
    </w:p>
    <w:p>
      <w:pPr>
        <w:spacing w:after="0" w:line="63" w:lineRule="exact"/>
        <w:rPr>
          <w:rFonts w:ascii="Arial" w:cs="Arial" w:eastAsia="Arial" w:hAnsi="Arial"/>
          <w:sz w:val="17"/>
          <w:szCs w:val="17"/>
          <w:color w:val="auto"/>
        </w:rPr>
      </w:pPr>
    </w:p>
    <w:p>
      <w:pPr>
        <w:ind w:left="1180" w:right="80" w:hanging="429"/>
        <w:spacing w:after="0" w:line="302"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also face competition in our Non-Hotel segment. Our Attractions business competes with traditional travel agencies, online providers, wholesalers, and individual tour operators. Our Restaurants business competes with other online restaurant reservation services, such as Yelp and OpenTable (a subsidiary of Priceline), and local or regional providers. Our Vacation Rentals business competes with companies focused on alternative lodging and shared accommodations, including Airbnb and HomeAway (a subsidiary of Expedia).</w:t>
      </w:r>
    </w:p>
    <w:p>
      <w:pPr>
        <w:spacing w:after="0" w:line="154"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smartphone and tablet computing devices, we anticipate that the existing competitive landscape will continue to change, new competitors may emerge, and industry consolidation may continue.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Relationships</w:t>
      </w:r>
    </w:p>
    <w:p>
      <w:pPr>
        <w:spacing w:after="0" w:line="121"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We have a number of commercial relationships that are important to the success of our business. Although these relationships are memorialized in agreements, many of these agreements are for limited terms or are terminable at will or on short notice. As a result, we work hard to ensure the mutual success of these relationships.</w:t>
      </w:r>
    </w:p>
    <w:p>
      <w:pPr>
        <w:spacing w:after="0" w:line="181"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We have commercial relationships with the majority of the world’s leading OTAs as well as a variety of other travel suppliers pursuant to which these companies purchase traveler leads from us, generally on a click-based advertising basis. For the year ended December 31, 2016, our two most significant click-based and transaction advertising partners were Expedia and Priceline, including certain of their respective brands.</w:t>
      </w:r>
    </w:p>
    <w:p>
      <w:pPr>
        <w:spacing w:after="0" w:line="206"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Our instant booking feature enables hotel shoppers to book directly with a third-party partner, without leaving our website. To facilitate this user experience, we have entered into contracts with the majority of the world’s top hotel chains, including Accor, Best Western International, Carlson Rezidor, Choice Hotels, Hyatt Hotels, Marriott International, Hilton, and Wyndham Worldwide. We have also partnered with Priceline and Expedia whereby certain of their online travel brands participate in our instant booking feature. As a result, users are able to book more than 560,000 hotels worldwide, powered by our partners, without leaving the TripAdvisor site or mobile experience.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Promotions</w:t>
      </w:r>
    </w:p>
    <w:p>
      <w:pPr>
        <w:spacing w:after="0" w:line="121"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Our marketing programs are intended to build and maintain the value of our brands, promote consumer engagement and contributions, drive qualified clicks to our partners and strategically position our brands in the market. Our long-term success depends on our continued ability to maintain and increase the overall number of users flowing through our platform in a cost-effective manner, to engage users throughout the travel planning and booking phases, and to attract consumers who will share their reviews from their trips. We reach consumers across mobile and desktop devices through our online traffic acquisition programs, such as SEM, retargeting and online marketing campaigns, as well as through our offline brand campaigns. We also utilize our CRM channels by sending relevant and engaging communications to our members via email. We have a robust global public relations program that yields placements on a constant basis in major print and online publications. From 2013 to 2015, we invested in television advertising campaigns to promote the TripAdvisor brand as well as to publicize our new price comparison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ind w:right="80"/>
        <w:spacing w:after="0" w:line="286" w:lineRule="auto"/>
        <w:rPr>
          <w:sz w:val="20"/>
          <w:szCs w:val="20"/>
          <w:color w:val="auto"/>
        </w:rPr>
      </w:pPr>
      <w:r>
        <w:rPr>
          <w:rFonts w:ascii="Arial" w:cs="Arial" w:eastAsia="Arial" w:hAnsi="Arial"/>
          <w:sz w:val="17"/>
          <w:szCs w:val="17"/>
          <w:color w:val="auto"/>
        </w:rPr>
        <w:t>and booking product features. During 2016, we began utilizing promotional campaigns, such as sweepstakes and giveaways, to educate and reward consumers for using our instant booking product. We continue to explore new ways to build brand awareness and growth in both new and existing marketing channels, which may include traditional media and social media channels including Facebook and Twitter to deepen user engagement.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 The TripAdvisor-branded websites are powered primarily using Java programming language.</w:t>
      </w:r>
    </w:p>
    <w:p>
      <w:pPr>
        <w:spacing w:after="0" w:line="18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systems infrastructure, web and database servers for TripAdvisor-branded websites are housed at two geographically separate facilities and have multiple communication links as well as continuous monitoring and engineering support. Each facility is fully self-sufficient and operational with its own hardware, networking, software, and content, and is structured in an active/passive, fully redundant configuration. Substantially all of our software components, data, and content are replicated in multiple datacenters and development centers, as well as being backed up at offsite locations. Our systems are monitored and protected though multiple layers of security. Several of our individual subsidiaries and businesses, including Viator, have their own data infrastructure and technology teams.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images, videos, graphics and brands. We have acquired some of our intellectual property rights through licenses and content agreements with third parties. These licenses and agreements may place restrictions on the use of our intellectual property.</w:t>
      </w:r>
    </w:p>
    <w:p>
      <w:pPr>
        <w:spacing w:after="0" w:line="154"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We protect our intellectual property by relying on our terms of use, confidentiality procedures and contractual provisions, as well as on international, national, state and common law rights. In addition, we enter into confidentiality and invention assignment agreements with employees and contractors, and confidentiality agreements with other third parties. We protect our brands by pursuing the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178" w:lineRule="exact"/>
        <w:rPr>
          <w:sz w:val="20"/>
          <w:szCs w:val="20"/>
          <w:color w:val="auto"/>
        </w:rPr>
      </w:pPr>
    </w:p>
    <w:p>
      <w:pPr>
        <w:ind w:right="480" w:firstLine="598"/>
        <w:spacing w:after="0" w:line="264"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We are subject to a number of United States federal and state and foreign laws and regulations that affect companies conducting business on the internet, many of which are still evolving and being tested in courts, and could be interpreted in ways that could harm our business. These may involve user privacy, libel, rights of publicity, data protection, content, intellectual property, distribution, electronic contracts and other communications, competition, protection of minors, consumer protection, taxation and online payment services. In particular, we are subject to United States federal and state and foreign laws regarding privacy and protection of user data. Foreign data protection, privacy, and other laws and regulations are often more restrictive than those in the United States.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 w:name="page10"/>
    <w:bookmarkEnd w:id="9"/>
    <w:p>
      <w:pPr>
        <w:ind w:right="40"/>
        <w:spacing w:after="0" w:line="259" w:lineRule="auto"/>
        <w:rPr>
          <w:sz w:val="20"/>
          <w:szCs w:val="20"/>
          <w:color w:val="auto"/>
        </w:rPr>
      </w:pPr>
      <w:r>
        <w:rPr>
          <w:rFonts w:ascii="Arial" w:cs="Arial" w:eastAsia="Arial" w:hAnsi="Arial"/>
          <w:sz w:val="18"/>
          <w:szCs w:val="18"/>
          <w:color w:val="auto"/>
        </w:rPr>
        <w:t>United States federal and state and foreign laws and regulations are constantly evolving and can be subject to significant change. In addition, the application and interpretation of these laws and regulations is often uncertain, particularly in the new and rapidly-evolving industry in which we operate. There are also a number of legislative proposals pending before the United States Congress, various state legislative bodies, and foreign governments concerning data protection, which could affect us.</w:t>
      </w:r>
    </w:p>
    <w:p>
      <w:pPr>
        <w:spacing w:after="0" w:line="18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 addition, we provide advertising data and information and conduct marketing activities that are subject to United States federal and state consumer protection laws that regulate unfair and deceptive practices, domestically and internationally. The United States and European Union have begun to adopt legislation that regulates certain aspects of the internet, including online editorial and user-generated content, user privacy, behavioral targeting and online advertising, taxation, and liability for third-party activities.</w:t>
      </w:r>
    </w:p>
    <w:p>
      <w:pPr>
        <w:spacing w:after="0" w:line="187"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United States federal, state and foreign governments have considered from time to time alternative legislative and regulatory proposals that would increase regulation on internet advertising. It is impossible to accurately predict whether new taxes or regulations will be imposed on our services, and whether or how we might be affected. Increased regulation of the internet could increase the cost of doing business or otherwise materially adversely affect our business, financial condition or operational results.</w:t>
      </w:r>
    </w:p>
    <w:p>
      <w:pPr>
        <w:spacing w:after="0" w:line="187" w:lineRule="exact"/>
        <w:rPr>
          <w:sz w:val="20"/>
          <w:szCs w:val="20"/>
          <w:color w:val="auto"/>
        </w:rPr>
      </w:pPr>
    </w:p>
    <w:p>
      <w:pPr>
        <w:jc w:val="both"/>
        <w:ind w:right="60" w:firstLine="598"/>
        <w:spacing w:after="0" w:line="257" w:lineRule="auto"/>
        <w:rPr>
          <w:sz w:val="20"/>
          <w:szCs w:val="20"/>
          <w:color w:val="auto"/>
        </w:rPr>
      </w:pPr>
      <w:r>
        <w:rPr>
          <w:rFonts w:ascii="Arial" w:cs="Arial" w:eastAsia="Arial" w:hAnsi="Arial"/>
          <w:sz w:val="18"/>
          <w:szCs w:val="18"/>
          <w:color w:val="auto"/>
        </w:rPr>
        <w:t>We are subject to laws that require protection of user privacy and user data. In our processing of reservations, we receive and store a large volume of personally identifiable data in the United States, Europe and Asia. This data is increasingly subject to laws and regulations in numerous jurisdictions around the world, including the Commission of the European Union through its Data Protection Directive and variations and implementations of that directive in the member states of the European Union. The enactment, interpretation and application of these laws is in a state of flux, and the interpretation and application of such laws may vary from country to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Equity Ownership and Voting Control</w:t>
      </w:r>
    </w:p>
    <w:p>
      <w:pPr>
        <w:spacing w:after="0" w:line="12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TripAdvisor was co-founded in February 2000 by Stephen Kaufer, our current President and Chief Executive Officer. In April 2004, TripAdvisor was acquired by IAC/InterActiveCorp, or IAC. In August 2005, IAC spun-off its portfolio of travel brands, including TripAdvisor, into a separate newly-formed Delaware corporation called Expedia, Inc., or Expedia. On December 20, 2011 Expedia completed a spin-off of TripAdvisor into a separate publicly-traded Delaware corporation. We refer to this second spin-off transaction as the “Spin-Off.” Following the Spin-Off, on December 21, 2011, TripAdvisor began trading on The NASDAQ Global Select Market, or NASDAQ, as an independent public company under the symbol “TRIP.”</w:t>
      </w:r>
    </w:p>
    <w:p>
      <w:pPr>
        <w:spacing w:after="0" w:line="173"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On December 11, 2012, Liberty Interactive Corporation, or Liberty, purchased an aggregate of 4,799,848 shares of common stock of TripAdvisor from Barry Diller, our former Chairman of the Board of Directors and Senior Executive, and certain of his affiliates. Following this transaction, Liberty beneficially owned 18,159,752 shares of our common stock and 12,799,999 shares of our Class B common stock.</w:t>
      </w:r>
    </w:p>
    <w:p>
      <w:pPr>
        <w:spacing w:after="0" w:line="18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 Off. As a result of the Liberty Spin-Off, effective August 27, 2014, LTRIP became a separate, publicly traded company holding 100% of Liberty’s interest in TripAdvisor.</w:t>
      </w:r>
    </w:p>
    <w:p>
      <w:pPr>
        <w:spacing w:after="0" w:line="171"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As a result of these transactions, as of December 31, 2016, LTRIP beneficially owned 18,159,752 shares of our common stock and 12,799,999 shares of our Class B common stock, which shares constitute 13.8% of the outstanding shares of common stock and 100% of the outstanding shares of Class B common stock. Assuming the conversion of all of LTRIP’s shares of Class B common stock into common stock, LTRIP would beneficially own 21.5% of the outstanding common stock. Because each share of Class B common stock is generally entitled to ten votes per share and each share of common stock is entitled to one vote per share, LTRIP may be deemed to beneficially own equity securities representing approximately 56.4% of our voting power.</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Financial Information about Segments and Geographic Information</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Our reporting structure includes two reportable segments: Hotel and Non-Hotel. Our Non-Hotel reportable segment consists of three operating segments, which includes our Attractions, Restaurants and Vacation Rentals businesses. The segments are determined based on how the chief operating decision maker regularly assesses information and evaluates performance for operating decision-making purposes, including allocation of resources. Financial information related to our two reportable segments and geographic information required herein is contained in “Note 17 </w:t>
      </w:r>
      <w:r>
        <w:rPr>
          <w:rFonts w:ascii="Arial" w:cs="Arial" w:eastAsia="Arial" w:hAnsi="Arial"/>
          <w:sz w:val="18"/>
          <w:szCs w:val="18"/>
          <w:i w:val="1"/>
          <w:iCs w:val="1"/>
          <w:color w:val="auto"/>
        </w:rPr>
        <w:t>— Segment and Geographic</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in the notes to our consolidated financial statements in Item 8.</w:t>
      </w:r>
    </w:p>
    <w:p>
      <w:pPr>
        <w:spacing w:after="0" w:line="188"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For the years ended December 31, 2016, 2015 and 2014, Expedia and Priceline, each accounted for more than 10% of our consolidated revenue and together accounted for 46%, 46% and 46% of our consolidated revenue, respectively. Nearly all of this concentration of revenue is recorded in our Hotel segment for these reporting periods. As of December 31, 2016 and 2015, Expedia accounted for 12% and 11%, respectively, of our total accounts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40" w:firstLine="598"/>
        <w:spacing w:after="0" w:line="342" w:lineRule="auto"/>
        <w:rPr>
          <w:sz w:val="20"/>
          <w:szCs w:val="20"/>
          <w:color w:val="auto"/>
        </w:rPr>
      </w:pPr>
      <w:r>
        <w:rPr>
          <w:rFonts w:ascii="Arial" w:cs="Arial" w:eastAsia="Arial" w:hAnsi="Arial"/>
          <w:sz w:val="16"/>
          <w:szCs w:val="16"/>
          <w:color w:val="auto"/>
        </w:rPr>
        <w:t>As of December 31, 2016, we had 3,327 employees. Of these employees, approximately 51%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advertisers to market to potential travelers and, therefore, our financial performance, tend to be seasonal as well. As a result, our financial results tend to be seasonally highest in the third quarter of a year, as it is a key period for travel research and trip-taking, compared to the first and fourth quarters which represent seasonal low points. Further significant shifts in our business mix or adverse economic conditions could result in future seasonal patterns that are different from historical trends.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right="500" w:firstLine="598"/>
        <w:spacing w:after="0" w:line="264" w:lineRule="auto"/>
        <w:rPr>
          <w:sz w:val="20"/>
          <w:szCs w:val="20"/>
          <w:color w:val="auto"/>
        </w:rPr>
      </w:pPr>
      <w:r>
        <w:rPr>
          <w:rFonts w:ascii="Arial" w:cs="Arial" w:eastAsia="Arial" w:hAnsi="Arial"/>
          <w:sz w:val="18"/>
          <w:szCs w:val="18"/>
          <w:color w:val="auto"/>
        </w:rPr>
        <w:t>We maintain a corporate website at ir.tripadvisor.com.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81" w:lineRule="exact"/>
        <w:rPr>
          <w:sz w:val="20"/>
          <w:szCs w:val="20"/>
          <w:color w:val="auto"/>
        </w:rPr>
      </w:pPr>
    </w:p>
    <w:p>
      <w:pPr>
        <w:ind w:right="300" w:firstLine="598"/>
        <w:spacing w:after="0" w:line="286" w:lineRule="auto"/>
        <w:rPr>
          <w:sz w:val="20"/>
          <w:szCs w:val="20"/>
          <w:color w:val="auto"/>
        </w:rPr>
      </w:pPr>
      <w:r>
        <w:rPr>
          <w:rFonts w:ascii="Arial" w:cs="Arial" w:eastAsia="Arial" w:hAnsi="Arial"/>
          <w:sz w:val="17"/>
          <w:szCs w:val="17"/>
          <w:color w:val="auto"/>
        </w:rPr>
        <w:t>We make available, free of charge through the Investor Relations section of our website, our Annual Reports on Form 10-K, Quarterly Reports on Form 10-Q and Current Reports on Form 8-K, and amendments to those reports, filed or furnished pursuant to Sections 13(a) or Section 15(d) of the Exchange Act as soon as reasonably practicable after they have been electronically filed with, or furnished to, the SEC.</w:t>
      </w:r>
    </w:p>
    <w:p>
      <w:pPr>
        <w:spacing w:after="0" w:line="166"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We post our code of business conduct and ethics, which applies to all employees, including all executive officers, senior financial officers and directors, on our corporate website at www.tripadvisor.com. Our code of business conduct and ethics complies with Item 406 of SEC Regulation S-K and the rules of NASDAQ. We intend to disclose any changes to the code that affect the provisions required by Item 406 of Regulation S-K, and any waivers of the code of ethics for our executive officers, senior financial officers or directors, on our corporate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events described in the following risks factors occur, our business, financial condition, operating results and cash flows could be materially adversely affected.</w:t>
      </w:r>
    </w:p>
    <w:p>
      <w:pPr>
        <w:spacing w:after="0" w:line="29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mobile apps and to cost-effectively convert these visitors into revenue-generating users, our revenue, financial results and business could be harmed.</w:t>
      </w:r>
    </w:p>
    <w:p>
      <w:pPr>
        <w:spacing w:after="0" w:line="170"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Our long term success depends on our continued ability to maintain and increase the overall number of visitors flowing through our platforms in a cost effective manner, to engage users throughout the travel planning and booking phases and to attract consumers who will share their reviews from their trips. The primary asset that we use to attract visitors to our websites and convert these visitors into engaged users and bookers is our ability to collect or create, organize and distribute high-quality, commercially valuable content and products that meet users’ specific interests. Our traffic and user engagement could be adversely affected by a number of factors, including but not limited to increased competition, reduced consumer awareness of our brands, declines or inefficiencies in traffic acquisition, and macroeconomic conditions. In the past year, certain of our competitors have launched advertising campaigns expressly designed to drive consumer traffic directly to their websites, and these campaigns may negatively impact traffic to our site. There can be no assurances that we will continue to provide content and products in a cost-effective manner or in a manner that meets rapidly changing consumer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9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engagement over short-term financial results.</w:t>
      </w:r>
    </w:p>
    <w:p>
      <w:pPr>
        <w:spacing w:after="0" w:line="170"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strive to create the best experience for our users, providing them with the information, research and tools to enable them to plan, book, and experience the perfect trip. We believe that in doing so we will increase our rates of conversion, revenue per shopper and, ultimately, our financial performance over the long-term. We have taken actions in the past and may continue to make decisions going forward that have the effect of reducing our short-term revenue or profitability if we believe that the decisions benefit the aggregate user experience. For example, we may introduce changes to existing products or new products that direct users away from formats or use cases where we have a proven means of monetization, e.g. our instant book product. In addition, our approach of putting users first may negatively impact our relationship with existing or prospective advertisers. These actions and practices could result in a loss of advertisers,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2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jc w:val="both"/>
        <w:ind w:right="20" w:firstLine="598"/>
        <w:spacing w:after="0" w:line="288" w:lineRule="auto"/>
        <w:rPr>
          <w:sz w:val="20"/>
          <w:szCs w:val="20"/>
          <w:color w:val="auto"/>
        </w:rPr>
      </w:pPr>
      <w:r>
        <w:rPr>
          <w:rFonts w:ascii="Arial" w:cs="Arial" w:eastAsia="Arial" w:hAnsi="Arial"/>
          <w:sz w:val="16"/>
          <w:szCs w:val="16"/>
          <w:color w:val="auto"/>
        </w:rPr>
        <w:t>We derive a substantial portion of our revenue from the sale of advertising, primarily through click-based advertising and, to a lesser extent, display-based advertising. We enter into master advertising contracts with our advertising partners, however, these agreements are generally limited to matters such as privacy and compliance, payment terms and conditions, termination and indemnities and most can be terminated by our partners at will or on short notice.</w:t>
      </w:r>
    </w:p>
    <w:p>
      <w:pPr>
        <w:ind w:right="300"/>
        <w:spacing w:after="0" w:line="255" w:lineRule="auto"/>
        <w:rPr>
          <w:sz w:val="20"/>
          <w:szCs w:val="20"/>
          <w:color w:val="auto"/>
        </w:rPr>
      </w:pPr>
      <w:r>
        <w:rPr>
          <w:rFonts w:ascii="Arial" w:cs="Arial" w:eastAsia="Arial" w:hAnsi="Arial"/>
          <w:sz w:val="18"/>
          <w:szCs w:val="18"/>
          <w:color w:val="auto"/>
        </w:rPr>
        <w:t>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 w:name="page13"/>
    <w:bookmarkEnd w:id="12"/>
    <w:p>
      <w:pPr>
        <w:ind w:right="140"/>
        <w:spacing w:after="0" w:line="297" w:lineRule="auto"/>
        <w:rPr>
          <w:sz w:val="20"/>
          <w:szCs w:val="20"/>
          <w:color w:val="auto"/>
        </w:rPr>
      </w:pPr>
      <w:r>
        <w:rPr>
          <w:rFonts w:ascii="Arial" w:cs="Arial" w:eastAsia="Arial" w:hAnsi="Arial"/>
          <w:sz w:val="16"/>
          <w:szCs w:val="16"/>
          <w:color w:val="auto"/>
        </w:rPr>
        <w:t>revenue and profit on a cost-effective basis. Our ability to provide value to our advertising partners depends on a number of factors, including acceptance of online advertising versus more traditional forms of advertising or more effective models,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58"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Click-based advertising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We derive a substantial portion of our revenue from a relatively small number of advertising partners and rely significantly on our relationships. For example, for the year ended December 31, 2016, our two most significant advertising partners, Expedia and Priceline (and their subsidiaries), accounted for a combined 46% of total revenue. While we enter into master advertising contracts with our partners, the terms of these agreements generally address matters such as privacy and compliance, payment terms and conditions, termination and indemnities and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internet search engine algorithms and dynamics, or search engine disintermediation, could have a negative impact on traffic for our sites and ultimately, our business and results of operations.</w:t>
      </w:r>
    </w:p>
    <w:p>
      <w:pPr>
        <w:spacing w:after="0" w:line="170"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We rely heavily on internet search engines, such as Google, to generate traffic to our websites, principally through the purchase of travel-related keywords as well as through free, or organic, search. Pricing and operating dynamics for these traffic sources can change rapidly, both technically and competitively. Search engines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organic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Furthermore, our failure to successfully manage our SEO and SEM strategies could result in a substantial decrease in traffic to our websites, as well as increased costs if we were to replace free traffic with paid traffic.</w:t>
      </w:r>
    </w:p>
    <w:p>
      <w:pPr>
        <w:spacing w:after="0" w:line="182"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In addition, to the extent that Google or other leading search or metasearch engines that have a significant presence in our key markets, disintermediate OTAs or travel content providers, whether by offering their own comprehensive travel planning or shopping capabilities, or by referring leads to suppliers, other favored partners or themselves directly, there could be a material adverse impact on our business and financial performance. To the extent these actions have a negative effect on search results and traffic to our site, our business and financial performance could be adversely affected.</w:t>
      </w:r>
    </w:p>
    <w:p>
      <w:pPr>
        <w:spacing w:after="0" w:line="154"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also rely on application marketplaces, such as Apple’s App Store and Google’s Play, to drive downloads of our applications. In the future, Apple, Google or other marketplace operators may make changes to their marketplaces that make access to our products more difficult. For example,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ind w:right="60"/>
        <w:spacing w:after="0" w:line="277" w:lineRule="auto"/>
        <w:rPr>
          <w:sz w:val="20"/>
          <w:szCs w:val="20"/>
          <w:color w:val="auto"/>
        </w:rPr>
      </w:pPr>
      <w:r>
        <w:rPr>
          <w:rFonts w:ascii="Arial" w:cs="Arial" w:eastAsia="Arial" w:hAnsi="Arial"/>
          <w:sz w:val="18"/>
          <w:szCs w:val="18"/>
          <w:b w:val="1"/>
          <w:bCs w:val="1"/>
          <w:i w:val="1"/>
          <w:iCs w:val="1"/>
          <w:color w:val="auto"/>
        </w:rPr>
        <w:t>We continue to focus on our “instant booking” feature despite anticipated and unanticipated challenges and risks which could have a negative impact on our business and financial performance.</w:t>
      </w:r>
    </w:p>
    <w:p>
      <w:pPr>
        <w:spacing w:after="0" w:line="170"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Instant booking is a feature that enables users to book a hotel reservation directly with a hotel or online travel agency partner while remaining on the TripAdvisor website. We believe that allowing users to book directly online without leaving the TripAdvisor site will result in a better user experience, increased user engagement and, ultimately, additional revenue to the Company. We began rolling out this feature out the U.S. in 2014 and completed the roll out in international markets in 2016. We are currently focused on (i) improving the shopping experience to drive increased user engagement, better conversion and more bookings, and (ii) continuing to earn users’ trust as their booking site of choice.</w:t>
      </w:r>
    </w:p>
    <w:p>
      <w:pPr>
        <w:spacing w:after="0" w:line="173"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There are, however, additional risks associated with this feature. Currently our instant booking feature is monetizing at a lower revenue per hotel shopper rate compared to our metasearch feature. While we expect to close this monetization gap, primarily by continuing to streamline our booking path to enhance user experience, persistently promoting the TripAdvisor brand as a booking channel and continuing to seek partners with strong branding and supply channels, there is no guarantee that these initiatives will ultimately be successful and, if not, our revenue may be materially adversely affected. In addition, instant booking revenue recorded under the consumption model is recognized at the time the traveler completes his or her stay. Comparatively, revenue recognized under our metasearch feature is recorded when a traveler makes the click-through to the travel partners’ websites. In future periods, greater contribution of revenue from our instant booking consumption model would result in additional revenue recognized at the time of a consumed stay and thus a shift in the timing of our revenue recognition.</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Consumer adoption and use of mobile devices creates new challenges and, if we are unable to operate effectively on mobile devices, our business may be adversely affected.</w:t>
      </w:r>
    </w:p>
    <w:p>
      <w:pPr>
        <w:spacing w:after="0" w:line="1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number of people who access the internet through mobile devices, such as mobile phones, has increased substantially in the last few years and we anticipate that the rate of use of these devices will continue to grow. The mobile market in general remains a rapidly evolving market. As new devices and platforms are released, users may begin consuming content in a manner that is more difficult to monetize. Advertising opportunities may be more limited on mobile devices. In addition, given the device sizes and technical limitations of these devices, mobile consumers may not be willing to download multiple apps from multiple companies providing similar service and instead prefer to use one or a limited number of apps for their hotel, restaurant and attractions activity.</w:t>
      </w:r>
    </w:p>
    <w:p>
      <w:pPr>
        <w:spacing w:after="0" w:line="193"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To address these growing user demands, we continue to extend our platform to develop and improve upon our mobile applications and monetization strategies. However, currently, we monetize users of mobile phone devices at a significantly lower rate compared to users who access our websites through desktop computers or tablets. If we are unable to continue to rapidly innovate and create new, user-friendly and differentiated mobile offerings and websites optimized for mobile phone devices and efficiently and effectively advertise and distribute on these platforms, or if our mobile offerings are not used by consumers, our future growth and results of operations could be negatively impacted.</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8"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further declines in consumer confidence. Decreased travel expenditures could reduce the demand for our services and have a negative impact on our business, working capital and financial performance.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 w:name="page15"/>
    <w:bookmarkEnd w:id="14"/>
    <w:p>
      <w:pPr>
        <w:ind w:right="60" w:firstLine="598"/>
        <w:spacing w:after="0" w:line="264" w:lineRule="auto"/>
        <w:rPr>
          <w:sz w:val="20"/>
          <w:szCs w:val="20"/>
          <w:color w:val="auto"/>
        </w:rPr>
      </w:pPr>
      <w:r>
        <w:rPr>
          <w:rFonts w:ascii="Arial" w:cs="Arial" w:eastAsia="Arial" w:hAnsi="Arial"/>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On June 23, 2016, the United Kingdom held a referendum in which a majority of voters voted to exit the European Union (“Brexit”). Since the referendum, global markets and foreign currency exchange rates have experienced increased volatility, including a sharp decline in the value of the British Pound Sterling relative to the U.S. dollar. To leave the European Union, the United Kingdom must provide official notice of its decision and negotiate the terms of its exit. This process could take two years or more. The effects of Brexit will depend on, among other things, the terms, nature and timetable of the exit and the parties have not yet established these terms, Brexit could adversely affect European and global economic or market conditions and could contribute to instability in global financial markets. Any of these effects of Brexit, and others we cannot anticipate, may have a negative effect on the travel industry and may adversely affect our business.</w:t>
      </w:r>
    </w:p>
    <w:p>
      <w:pPr>
        <w:spacing w:after="0" w:line="2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the value of our brands and consumer trust in our brands. If we are not able to protect, maintain and enhance our brands, or if events occur that damage our reputation and brands, our business may be harmed.</w:t>
      </w:r>
    </w:p>
    <w:p>
      <w:pPr>
        <w:spacing w:after="0" w:line="170"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We believe that the strength of our brands (particularly the TripAdvisor brand) has contributed significantly to our success and that maintaining and enhancing our brands is critical to expanding our base of users, to creating content and to attracting advertisers. As a result, we invest significantly in brand marketing. We expect these investments to continue, or even increase, as a result of a variety of factors, including relatively high levels of advertising spending from competitors, the increasing costs of supporting multiple brands, expansion into new geographies, products and product positioning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66" w:lineRule="exact"/>
        <w:rPr>
          <w:sz w:val="20"/>
          <w:szCs w:val="20"/>
          <w:color w:val="auto"/>
        </w:rPr>
      </w:pPr>
    </w:p>
    <w:p>
      <w:pPr>
        <w:ind w:right="180" w:firstLine="598"/>
        <w:spacing w:after="0" w:line="293" w:lineRule="auto"/>
        <w:rPr>
          <w:sz w:val="20"/>
          <w:szCs w:val="20"/>
          <w:color w:val="auto"/>
        </w:rPr>
      </w:pPr>
      <w:r>
        <w:rPr>
          <w:rFonts w:ascii="Arial" w:cs="Arial" w:eastAsia="Arial" w:hAnsi="Arial"/>
          <w:sz w:val="16"/>
          <w:szCs w:val="16"/>
          <w:color w:val="auto"/>
        </w:rPr>
        <w:t>Our ability to protect, maintain and enhance our brand also depends largely on our ability to maintain consumer confidence in our products, in the quality and integrity of our content and other information found on our platform. If consumers do not believe our recommended reviews to be useful and reliable, they may seek other services to obtain the information for which they are looking and may not return to our platform as often in the future, or at all. In addition, unfavorable publicity regarding, for example, our practices relating to privacy and data protection, product changes, competitive pressures,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2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We compete in rapidly evolving and competitive markets. We face competition for content, users, advertisers, online travel search and price comparison services, or what is known in the industry as hotel metasearch, and online reservations. In the competition to attract users to our platform, we rely on our ability to acquire traffic through offline brand recognition and brand-direct efforts such as online search, email and television. These marketing strategies can be impacted by competitive site content, changes to our website architecture and page designs, changes to search engine ranking algorithms, updates in competitor advertising strategies, or changes to display ordering in search engine results such as preferred placement for internal products offered by search engines.</w:t>
      </w:r>
    </w:p>
    <w:p>
      <w:pPr>
        <w:spacing w:after="0" w:line="193"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we participate in, including large and small companies in the travel space as well as broader service providers. More specifically: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left="1460" w:hanging="426"/>
        <w:spacing w:after="0" w:line="279" w:lineRule="auto"/>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our Hotel segment, we face competition from OTAs (including Expedia, Inc. and The Priceline Group Inc. and certain of their respective subsidiaries), hotel metasearch providers (including Trivago, Kayak, Ctrip.com International, Ltd., and HotelsCombined), large online search, social media, and marketplace companies (including Google, Microsoft Bing, Yahoo, Baidu, Facebook, Alibaba, and Amazon), traditional offline travel agencies, and global hotel chains seeking to promote direct bookings.</w:t>
      </w:r>
    </w:p>
    <w:p>
      <w:pPr>
        <w:spacing w:after="0" w:line="171" w:lineRule="exact"/>
        <w:rPr>
          <w:rFonts w:ascii="Arial" w:cs="Arial" w:eastAsia="Arial" w:hAnsi="Arial"/>
          <w:sz w:val="17"/>
          <w:szCs w:val="17"/>
          <w:color w:val="auto"/>
        </w:rPr>
      </w:pPr>
    </w:p>
    <w:p>
      <w:pPr>
        <w:ind w:left="1460" w:hanging="426"/>
        <w:spacing w:after="0" w:line="276" w:lineRule="auto"/>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also face competition from different companies in each of the operating segments in our Non-Hotel segment. Our Attractions business competes with traditional travel agencies, wholesalers, and individual tour operators as well as Airbnb and similar websites that have added other travel services such as tours and activities. Our Restaurants business competes with other online restaurant reservation services, such as Yelp and OpenTable (a subsidiary of Priceline). Our Vacation Rentals business competes with companies focused on alternative lodging and shared accommodations, including Airbnb and HomeAway (a subsidiary of Expedia).</w:t>
      </w:r>
    </w:p>
    <w:p>
      <w:pPr>
        <w:spacing w:after="0" w:line="173"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compared to us and have expertise in developing online commerce and facilitating internet traffic as well as large client bases. They also have the ability to leverage other aspects of their business to enable them to compete more effectively against us.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93"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Certain of the companies we do business with, including some of our click-based advertising partners, are also our competitors. The consolidation of our competitors and partners, including Expedia (through its acquisitions of Orbitz, Travelocity, and HomeAway) and Priceline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8"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smartphone and tablet computing devices, competition is likely to intensify. Competition in our industry may result in pricing pressure, loss of market share or decreased member engagement, any of which could adversely affect our business and financial performance.</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We depend on the use of sophisticated information technologies and systems for, among other things,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users.</w:t>
      </w:r>
    </w:p>
    <w:p>
      <w:pPr>
        <w:spacing w:after="0" w:line="165"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In addition, the emergence of alternative platforms such as smartphone and tablet computing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right="62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1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Our success depends in part on continued innovation to provide features and services that make our platform compelling to travelers. Our competitors are continually developing innovations in online travel-related services and features. As a result, we are continually working to improve our business model and user experience in order to drive user traffic and conversion rates. We can give no assurances that the changes we make will yield the benefits we expect and will not have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3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170"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online advertisers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believe that certain metrics are key to our business, including unique visitors, hotel shoppers, revenue per hotel shopper, and number of reviews and opinions. As the industry in which we operate and our business continues to evolve, so too might the metrics by which we evaluate our business. While the calculation of these metrics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more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In addition, historically, certain metrics were calculated by independent third parties. Accordingly readers should not place undue reliance on these numbers.</w:t>
      </w: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26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co-founder,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ind w:right="20" w:firstLine="598"/>
        <w:spacing w:after="0" w:line="273" w:lineRule="auto"/>
        <w:rPr>
          <w:sz w:val="20"/>
          <w:szCs w:val="20"/>
          <w:color w:val="auto"/>
        </w:rPr>
      </w:pPr>
      <w:r>
        <w:rPr>
          <w:rFonts w:ascii="Arial" w:cs="Arial" w:eastAsia="Arial" w:hAnsi="Arial"/>
          <w:sz w:val="17"/>
          <w:szCs w:val="17"/>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such as those put in place in the United States in early 2017,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170"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offer vacation rental services on our TripAdvisor-branded sites as well as through our U.S.-based FlipKey and Vacation Home Rentals and European-based Holiday Lettings and Niumba businesses. The vacation rental market has been and continues to be, subject to regulatory development that affect the vacation rental industry and the ability of companies like us to list those vacation rentals online. For example, some states and local jurisdictions have adopted or are considering statutes or ordinances that prohibit property owners and managers from renting certain properties for fewer than 30 consecutive days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vacation rentals. In addition,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and in new and untested jurisdictions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2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170"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Certain companies in the internet and technology industries that own patents, copyrights, trademarks and trade secrets frequently enter into litigation based on allegations of infringement or other violations of those intellectual property rights in order to extract value from technology companies, such as royalties in connection with grants of licenses. We have received in the past, and expect in the future to receive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340" w:firstLine="598"/>
        <w:spacing w:after="0" w:line="279" w:lineRule="auto"/>
        <w:rPr>
          <w:sz w:val="20"/>
          <w:szCs w:val="20"/>
          <w:color w:val="auto"/>
        </w:rPr>
      </w:pPr>
      <w:r>
        <w:rPr>
          <w:rFonts w:ascii="Arial" w:cs="Arial" w:eastAsia="Arial" w:hAnsi="Arial"/>
          <w:sz w:val="17"/>
          <w:szCs w:val="17"/>
          <w:color w:val="auto"/>
        </w:rPr>
        <w:t>Our success will depend, in part, on our ability to expand our product offerings and expand user engagement in order to grow our business in response to changing technologies, user and advertiser demands and competitive pressures. As a result, we have acquired, invested in and/or entered into significant commercial arrangements with a number of new business in the past and our future growth may depend, in part, on future acquisitions, investments, commercial arrangements/or changes in business strategies, any of which could be material to our financial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conditions and results of operations. Such endeavors may involve significant risks and uncertainties, including, but not limited to, the following:</w:t>
      </w:r>
    </w:p>
    <w:p>
      <w:pPr>
        <w:spacing w:after="0" w:line="117" w:lineRule="exact"/>
        <w:rPr>
          <w:sz w:val="20"/>
          <w:szCs w:val="20"/>
          <w:color w:val="auto"/>
        </w:rPr>
      </w:pPr>
    </w:p>
    <w:p>
      <w:pPr>
        <w:ind w:left="1180" w:right="140" w:hanging="429"/>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180" w:right="160" w:hanging="429"/>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stock repurchases, retirement of outstanding indebtedness and/or dividend payments;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180" w:hanging="429"/>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180" w:right="360" w:hanging="429"/>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and other claims relating to the acquired company;</w:t>
      </w:r>
    </w:p>
    <w:p>
      <w:pPr>
        <w:spacing w:after="0" w:line="62" w:lineRule="exact"/>
        <w:rPr>
          <w:rFonts w:ascii="Arial" w:cs="Arial" w:eastAsia="Arial" w:hAnsi="Arial"/>
          <w:sz w:val="18"/>
          <w:szCs w:val="18"/>
          <w:color w:val="auto"/>
        </w:rPr>
      </w:pPr>
    </w:p>
    <w:p>
      <w:pPr>
        <w:ind w:left="1180" w:right="160" w:hanging="429"/>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180" w:right="560" w:hanging="429"/>
        <w:spacing w:after="0" w:line="308"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have recently invested, and may in the future invest, in privately-held companies and these investments are currently accounted for under the cost method.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78"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We have experienced rapid growth in our headcount and operations, including through acquisitions of other businesses and in new international markets. We continue to make substantial investments in our technology and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9" w:name="page20"/>
    <w:bookmarkEnd w:id="19"/>
    <w:p>
      <w:pPr>
        <w:ind w:right="40"/>
        <w:spacing w:after="0" w:line="259" w:lineRule="auto"/>
        <w:rPr>
          <w:sz w:val="20"/>
          <w:szCs w:val="20"/>
          <w:color w:val="auto"/>
        </w:rPr>
      </w:pPr>
      <w:r>
        <w:rPr>
          <w:rFonts w:ascii="Arial" w:cs="Arial" w:eastAsia="Arial" w:hAnsi="Arial"/>
          <w:sz w:val="18"/>
          <w:szCs w:val="18"/>
          <w:color w:val="auto"/>
        </w:rPr>
        <w:t>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8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suits, government investigations, and other proceedings that may result in adverse outcomes.</w:t>
      </w:r>
    </w:p>
    <w:p>
      <w:pPr>
        <w:spacing w:after="0" w:line="225"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We are regularly subject to claims, suits, government investigations and other proceedings involving competition, intellectual property, privacy and data protection, consumer protection, tax, labor and employment, commercial disputes, content generated by our users, free speech issues, goods and services offered by advertisers or publishers using our platforms, and other matters. In addition, our businesses face intellectual property litigation that exposes us to the risk of exclusion and cease and desist orders, which could limit our ability to sell products and services.</w:t>
      </w:r>
    </w:p>
    <w:p>
      <w:pPr>
        <w:spacing w:after="0" w:line="171"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Such claims, suits, government investigations and proceedings are inherently uncertain and their results cannot be predicted with certainty. Regardless of the outcome, any of these types of legal proceedings can have an adverse impact on us because of legal costs, diversion of management resources, injunctions or damage awards and other factors. Determining reserves for our pending litigation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involve additional risks and our exposure to these risks increases as our business continues to expand globally.</w:t>
      </w:r>
    </w:p>
    <w:p>
      <w:pPr>
        <w:spacing w:after="0" w:line="248"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operate in a number of jurisdictions outside of the United States and continue to expand our international operations. Many of these regions have different economic conditions, languages, currencies, consumer expectations, levels of consumer acceptance and use of the internet for commerce, legislation, regulatory environments (including labors laws and customs), tax laws and levels of political stability. We are subject to associated risks typical of international businesses, including, but not limited to, the following:</w:t>
      </w:r>
    </w:p>
    <w:p>
      <w:pPr>
        <w:spacing w:after="0" w:line="79" w:lineRule="exact"/>
        <w:rPr>
          <w:sz w:val="20"/>
          <w:szCs w:val="20"/>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economic or political instability;</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117" w:lineRule="exact"/>
        <w:rPr>
          <w:rFonts w:ascii="Arial" w:cs="Arial" w:eastAsia="Arial" w:hAnsi="Arial"/>
          <w:sz w:val="18"/>
          <w:szCs w:val="18"/>
          <w:color w:val="auto"/>
        </w:rPr>
      </w:pPr>
    </w:p>
    <w:p>
      <w:pPr>
        <w:ind w:left="1180" w:right="240" w:hanging="429"/>
        <w:spacing w:after="0" w:line="264"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additional laws applicable to companies operating internationally as well as local laws and regulations, including the Foreign Corrupt Practices Act and U.K. Bribery Act, data privacy requirements, labor and employment law, laws regarding advertisements and promotions and anti-competition regulations;</w:t>
      </w:r>
    </w:p>
    <w:p>
      <w:pPr>
        <w:spacing w:after="0" w:line="73"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or adverse consequences related to, the withdrawal of non-U.S. investment and earnings;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7" w:lineRule="exact"/>
        <w:rPr>
          <w:rFonts w:ascii="Arial" w:cs="Arial" w:eastAsia="Arial" w:hAnsi="Arial"/>
          <w:sz w:val="18"/>
          <w:szCs w:val="18"/>
          <w:color w:val="auto"/>
        </w:rPr>
      </w:pPr>
    </w:p>
    <w:p>
      <w:pPr>
        <w:ind w:left="1180" w:right="320" w:hanging="429"/>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adoption of the internet as an advertising, broadcast and commerce medium in certain of those markets as compared to the United States;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 and</w:t>
      </w:r>
    </w:p>
    <w:p>
      <w:pPr>
        <w:spacing w:after="0" w:line="117" w:lineRule="exact"/>
        <w:rPr>
          <w:rFonts w:ascii="Arial" w:cs="Arial" w:eastAsia="Arial" w:hAnsi="Arial"/>
          <w:sz w:val="18"/>
          <w:szCs w:val="18"/>
          <w:color w:val="auto"/>
        </w:rPr>
      </w:pPr>
    </w:p>
    <w:p>
      <w:pPr>
        <w:ind w:left="1180" w:right="80" w:hanging="429"/>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170"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We have a business operating in China, which creates particular risks and uncertainties relating to the laws in China. The laws and regulations of China restrict foreign investment in areas including air-ticketing and travel agency services, internet content provision, mobile communication and related businesses. Although we have established effective control of our Chinese business through a series of agreements, future developments in the interpretation or enforcement of Chinese laws and regulations or a dispute relating to these agreements could restrict our ability to operate or restructure this business or to engage in strategic transactions. The success of this business, and of any future investments in China, is subject to risks and uncertainties regarding the application, development and interpretation of China’s laws and regulations.</w:t>
      </w:r>
    </w:p>
    <w:p>
      <w:pPr>
        <w:spacing w:after="0" w:line="178"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Furthermore, we are also accumulating a greater portion of our cash flows in foreign jurisdictions, which we consider indefinitely reinvested.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right="560" w:firstLine="59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and online commerce, consumer protection, data security and privacy, travel and vacation rental licensing and listing requirements and tax. In some cases, these laws continue to evolve.</w:t>
      </w:r>
    </w:p>
    <w:p>
      <w:pPr>
        <w:spacing w:after="0" w:line="18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78"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Further, our vacation rentals business has been and continues to be subject to regulatory developments that affect the vacation rental industry and the ability of competitors like us to list those vacation rentals online. For example, some states and local jurisdictions have adopted or are considering adopting statutes or ordinances that prohibit property owners and managers from renting certain properties for fewer than 30 consecutive days.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vacation rentals.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ind w:right="140" w:firstLine="598"/>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 competitive disadvantage vis-à-vis competitors who do not comply with such requirements.</w:t>
      </w:r>
    </w:p>
    <w:p>
      <w:pPr>
        <w:spacing w:after="0" w:line="158"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Unfavorable changes could decrease demand for products and services, limit marketing methods and capabilities, increase costs and/or subject us to additional liabilities. Violations of these laws and regulations could result in finds and/or criminal sanctions against us, our officers or our employees and/or prohibitions on the conduct of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1" w:lineRule="exact"/>
        <w:rPr>
          <w:sz w:val="20"/>
          <w:szCs w:val="20"/>
          <w:color w:val="auto"/>
        </w:rPr>
      </w:pPr>
    </w:p>
    <w:p>
      <w:pPr>
        <w:ind w:right="120" w:firstLine="598"/>
        <w:spacing w:after="0" w:line="270"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2"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exposes us to risks of external and internal security breaches and could give rise to liabilities.</w:t>
      </w:r>
    </w:p>
    <w:p>
      <w:pPr>
        <w:spacing w:after="0" w:line="170"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40"/>
        <w:spacing w:after="0" w:line="276" w:lineRule="auto"/>
        <w:rPr>
          <w:sz w:val="20"/>
          <w:szCs w:val="20"/>
          <w:color w:val="auto"/>
        </w:rPr>
      </w:pPr>
      <w:r>
        <w:rPr>
          <w:rFonts w:ascii="Arial" w:cs="Arial" w:eastAsia="Arial" w:hAnsi="Arial"/>
          <w:sz w:val="17"/>
          <w:szCs w:val="17"/>
          <w:color w:val="auto"/>
        </w:rPr>
        <w:t>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In addition, the European Union has adopted a new data protection legal framework, effective in May 2018, which may result in a greater compliance burden for companies, including us, with users in Europe and increased costs of compliance.</w:t>
      </w:r>
    </w:p>
    <w:p>
      <w:pPr>
        <w:spacing w:after="0" w:line="173"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also face risks associated with security breaches affecting third parties conducting business over the internet. Much of our business is conducted with third party marketing affiliates or, more recently, through business partners powering our instant booking feature. In addition, we frequently use third parties to process credit card payments.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182"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 We may need to expend significant resources to protect against security breaches or to investigate and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69"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interruption and the lack of redundancy in some of our internal information systems may harm our business.</w:t>
      </w:r>
    </w:p>
    <w:p>
      <w:pPr>
        <w:spacing w:after="0" w:line="225"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We rely on computer systems to deliver content and services. We have experienced and may in the future experience system interruptions that make some or all of these systems unavailable or prevent us from efficiently providing content and services to users and third parties. Significant interruptions, outages or delays in internal systems, or systems of third parties that we rely upon,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Fire, flood, power loss, telecommunications failure, break-ins, earthquakes, acts of war or terrorism, acts of God, computer viruses, electronic intrusion attempts from both external and internal sources and similar events or disruptions may damage or impact or interrupt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right="280"/>
        <w:spacing w:after="0" w:line="277" w:lineRule="auto"/>
        <w:rPr>
          <w:sz w:val="20"/>
          <w:szCs w:val="20"/>
          <w:color w:val="auto"/>
        </w:rPr>
      </w:pPr>
      <w:r>
        <w:rPr>
          <w:rFonts w:ascii="Arial" w:cs="Arial" w:eastAsia="Arial" w:hAnsi="Arial"/>
          <w:sz w:val="18"/>
          <w:szCs w:val="18"/>
          <w:color w:val="auto"/>
        </w:rPr>
        <w:t>computer or communications systems or business processes at any time. If we experience frequent or persistent system failures, our reputation and brand could be permanently and significantly harmed.</w:t>
      </w:r>
    </w:p>
    <w:p>
      <w:pPr>
        <w:spacing w:after="0" w:line="170"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 period of time.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right="180" w:firstLine="598"/>
        <w:spacing w:after="0" w:line="271" w:lineRule="auto"/>
        <w:rPr>
          <w:sz w:val="20"/>
          <w:szCs w:val="20"/>
          <w:color w:val="auto"/>
        </w:rPr>
      </w:pPr>
      <w:r>
        <w:rPr>
          <w:rFonts w:ascii="Arial" w:cs="Arial" w:eastAsia="Arial" w:hAnsi="Arial"/>
          <w:sz w:val="17"/>
          <w:szCs w:val="17"/>
          <w:color w:val="auto"/>
        </w:rPr>
        <w:t>On June 26, 2015, we entered into a new credit agreement with respect to a $1 billion five-year revolving credit facility, or the “2015 Credit Facility.” This agreement includes restrictive covenants that may impact the way we manage our business and may limit our ability to secure significant additional financing in the future on favorable terms.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currently have outstanding $91 million in long-term debt. Risks relating to our indebtedness include:</w:t>
      </w:r>
    </w:p>
    <w:p>
      <w:pPr>
        <w:spacing w:after="0" w:line="117" w:lineRule="exact"/>
        <w:rPr>
          <w:sz w:val="20"/>
          <w:szCs w:val="20"/>
          <w:color w:val="auto"/>
        </w:rPr>
      </w:pPr>
    </w:p>
    <w:p>
      <w:pPr>
        <w:ind w:left="1180" w:hanging="42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180" w:hanging="429"/>
        <w:spacing w:after="0" w:line="342" w:lineRule="auto"/>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180" w:hanging="42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right="140" w:firstLine="598"/>
        <w:spacing w:after="0" w:line="286" w:lineRule="auto"/>
        <w:rPr>
          <w:sz w:val="20"/>
          <w:szCs w:val="20"/>
          <w:color w:val="auto"/>
        </w:rPr>
      </w:pPr>
      <w:r>
        <w:rPr>
          <w:rFonts w:ascii="Arial" w:cs="Arial" w:eastAsia="Arial" w:hAnsi="Arial"/>
          <w:sz w:val="17"/>
          <w:szCs w:val="17"/>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 w:name="page25"/>
    <w:bookmarkEnd w:id="24"/>
    <w:p>
      <w:pPr>
        <w:ind w:right="580"/>
        <w:spacing w:after="0" w:line="342"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their covenants could have a material adverse effect on us.</w:t>
      </w:r>
    </w:p>
    <w:p>
      <w:pPr>
        <w:spacing w:after="0" w:line="124"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62" w:lineRule="exact"/>
        <w:rPr>
          <w:sz w:val="20"/>
          <w:szCs w:val="20"/>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facilities.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73"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The final determination of audits could be materially different from our income tax provisions and accruals and could have a material effect on our financial position, results of operations, or cash flows in the period or periods for which that determination is made.</w:t>
      </w:r>
    </w:p>
    <w:p>
      <w:pPr>
        <w:spacing w:after="0" w:line="182"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Additionally, we earn an increasing portion of our income, and accumulate a greater portion of cash flow,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position and results of operations.</w:t>
      </w:r>
    </w:p>
    <w:p>
      <w:pPr>
        <w:spacing w:after="0" w:line="248"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derive could be undermined due to changing tax laws. In particular, the current U.S. administration and key members of Congress have made public statements indicating that tax reform is a priority, resulting in uncertainty not only with respect to the future corporate tax rate, but also the U.S. tax consequences of income derived from income related to intellectual property earned overseas in low tax jurisdictions. Certain changes to U.S. tax laws, including limitations on the ability to defer U.S. taxation on earnings outside of the United States until those earnings are repatriated to the United States, as well as changes to U.S. tax laws that may be enacted in the future, could affect the tax treatment of our foreign earnings.</w:t>
      </w:r>
    </w:p>
    <w:p>
      <w:pPr>
        <w:spacing w:after="0" w:line="167"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business, operating results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the Spin-Off, we could be subject to significant tax liabilities.</w:t>
      </w:r>
    </w:p>
    <w:p>
      <w:pPr>
        <w:spacing w:after="0" w:line="225"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65"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an IRS audit for the 2009, 2010, and 2011 tax years. In connection with that audit, we received notices of proposed adjustment from the IRS for the 2009 and 2010 tax years in January 2017, which would result in an increase in our worldwide income tax expense. The proposed adjustments would result in an increase to our worldwide income tax expense in an estimated range of $10 million to $14 million after consideration of competent authority relief, exclusive of interest and penalties. We are also subject to various ongoing state income tax audits. The outcome of these matters or any other audits could subject us to significant tax liabilities.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conduct a significant and growing portion of our business outside the United States but report our results in U.S. dollars. As a result, we face exposure to movements in foreign currency exchange rates, particularly those related to the Euro, British pound sterling,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7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right="100"/>
        <w:spacing w:after="0" w:line="257" w:lineRule="auto"/>
        <w:rPr>
          <w:sz w:val="20"/>
          <w:szCs w:val="20"/>
          <w:color w:val="auto"/>
        </w:rPr>
      </w:pPr>
      <w:r>
        <w:rPr>
          <w:rFonts w:ascii="Arial" w:cs="Arial" w:eastAsia="Arial" w:hAnsi="Arial"/>
          <w:sz w:val="18"/>
          <w:szCs w:val="18"/>
          <w:color w:val="auto"/>
        </w:rPr>
        <w:t>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8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 Maffei and Director Albert Rosenthaler also serve as officers and directors of LTRIP. LTRIP, which has investments in other companies,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Liberty’s control of us, as well as the existing provisions of our organizational documents and Delaware law, may discourage or prevent a change of control that might otherwise be beneficial, which may reduce the market price of our common stock.</w:t>
      </w:r>
    </w:p>
    <w:p>
      <w:pPr>
        <w:spacing w:after="0" w:line="29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4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180" w:hanging="42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180" w:right="660" w:hanging="429"/>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180" w:right="520" w:hanging="429"/>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120"/>
        <w:spacing w:after="0" w:line="291" w:lineRule="auto"/>
        <w:rPr>
          <w:sz w:val="20"/>
          <w:szCs w:val="20"/>
          <w:color w:val="auto"/>
        </w:rPr>
      </w:pPr>
      <w:r>
        <w:rPr>
          <w:rFonts w:ascii="Arial" w:cs="Arial" w:eastAsia="Arial" w:hAnsi="Arial"/>
          <w:sz w:val="16"/>
          <w:szCs w:val="16"/>
          <w:color w:val="auto"/>
        </w:rPr>
        <w:t>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180" w:hanging="42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180" w:right="480" w:hanging="429"/>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180" w:right="460" w:hanging="429"/>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international currency fluctuations, may negatively impact the market price of our common stock regardless of our actual operating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7"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For the period ended December 31, 2016, the average daily trading volume of our common stock on NASDAQ was approximately 2.2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certificate of incorporation and bylaws contain provisions that could delay or prevent a change of control of our company or changes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that our stockholders might consider favorable. These provisions include:</w:t>
      </w:r>
    </w:p>
    <w:p>
      <w:pPr>
        <w:spacing w:after="0" w:line="103" w:lineRule="exact"/>
        <w:rPr>
          <w:sz w:val="20"/>
          <w:szCs w:val="20"/>
          <w:color w:val="auto"/>
        </w:rPr>
      </w:pPr>
    </w:p>
    <w:p>
      <w:pPr>
        <w:ind w:left="1180" w:hanging="42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180" w:right="620" w:hanging="429"/>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 xml:space="preserve">We currently lease approximately 280,000 square feet for our corporate headquarters in Needham, Massachusetts, pursuant to a lease with an expiration date of December 2030, with an option to extend the lease term for two consecutive terms of five years each. Refer to “Note 13—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in the notes to our consolidated financial statements in this Annual Report on Form 10-K for further information on our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headquarters.</w:t>
      </w:r>
    </w:p>
    <w:p>
      <w:pPr>
        <w:spacing w:after="0" w:line="18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also lease an aggregate of approximately 465,000 square feet at approximately 40 other locations across North America, Europe and Asia Pacific, including New York, Boston, London, Sydney, Barcelona, Paris, and Beijing, primarily for our sales offices, subsidiary headquarters, and international management teams, pursuant to leases with various expiration dates, with the latest expiring in June 2027. We believe that our current facilities are adequate for our current operations and that additional leased space can be obtained on reasonable terms if needed. We do not legally own any real estate as of December 31, 2016.</w:t>
      </w:r>
    </w:p>
    <w:p>
      <w:pPr>
        <w:spacing w:after="0" w:line="2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9" w:name="page30"/>
    <w:bookmarkEnd w:id="29"/>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5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jc w:val="both"/>
        <w:ind w:right="160" w:firstLine="598"/>
        <w:spacing w:after="0" w:line="264" w:lineRule="auto"/>
        <w:rPr>
          <w:sz w:val="20"/>
          <w:szCs w:val="20"/>
          <w:color w:val="auto"/>
        </w:rPr>
      </w:pPr>
      <w:r>
        <w:rPr>
          <w:rFonts w:ascii="Arial" w:cs="Arial" w:eastAsia="Arial" w:hAnsi="Arial"/>
          <w:sz w:val="18"/>
          <w:szCs w:val="18"/>
          <w:color w:val="auto"/>
        </w:rPr>
        <w:t>Our common stock is quoted on NASDAQ under the ticker symbol “TRIP.” On February 10, 2017, the closing price of our common stock reported on NASDAQ was $52.00 per share. The following table sets forth, for the periods indicated, the high and low sale prices per share of our common stock as reported on NASDAQ during the period indicated.</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692"/>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6"/>
        </w:trPr>
        <w:tc>
          <w:tcPr>
            <w:tcW w:w="35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Year ended December 31, 2016:</w:t>
            </w:r>
          </w:p>
        </w:tc>
        <w:tc>
          <w:tcPr>
            <w:tcW w:w="16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66.13</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71.69</w:t>
            </w: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71.61</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2015:</w:t>
            </w: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5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w:t>
            </w: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94.00</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91.47</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Our Class B common stock is not listed and there is no established public trading market for that security. As of February 10, 2017, all of our Class B common stock was held by LTRIP.</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Performance Comparison Graph</w:t>
      </w:r>
    </w:p>
    <w:p>
      <w:pPr>
        <w:spacing w:after="0" w:line="12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following graph provides a comparison of the total stockholder return from December 21, 2011 to December 31, 2016 of an investment of $100 in cash on December 21, 2011 for TripAdvisor, Inc. common stock and an investment of $100 in cash on November 30, 2011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 We have never paid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113665</wp:posOffset>
            </wp:positionV>
            <wp:extent cx="5342890" cy="4433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2890"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i w:val="1"/>
          <w:iCs w:val="1"/>
          <w:color w:val="auto"/>
        </w:rPr>
        <w:t>This performance comparison graph is not “soliciting material,” is not deemed filed with the Securities and Exchange Commission and is not deemed to be incorporated by reference by any general statement incorporating by reference this Annual Report on Form 10-K into any filing of TripAdvisor, Inc. under the Securities Act of 1933, as amended (the “Securities Act”), or any filing under the Securities Exchange Act of 1934, as amended (the “Exchange Act”), except to the extent that we specifically request that the information be treated as soliciting material or specifically incorporate this information by reference into any such filing, and will not otherwise be deemed incorporated by reference into any other filing under the Securities Act or the Exchange Act, except to the extent that we specifically incorporate it by reference.</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As of February 10, 2017, there were 131,359,879 outstanding shares of our common stock held by 2,561 stockholders of record, and 12,799,999 outstanding shares of our Class B common stock held by one stockholder of record: LTRIP.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We have never declared or paid dividends and do not expect to pay any dividends for the foreseeable future. Our ability to pay dividends is limited by the terms of our 2015 Credit Facility. See “Management’s Discussion and Analysis of Financial Condition and Results of Operations – 2015 Credit Facility” for additional information regarding this revolving credit facility. Any future determination as to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During the year ended December 31, 2016, we did not issue or sell any shares of our common stock, Class B common stock or other equity securities pursuant to unregistered transactions in reliance upon an exemption from the registration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In February 2013, we announced that our Board of Directors authorized the repurchase of $250 million of our shares of common stock under a share repurchase program. During the three months ended December 31, 2016, we repurchased 1,651,957 shares of outstanding common stock under the share repurchase program at an average price of $50.76 per share. Below is a summary of information about our purchases of equity recently during the fourth quarter of 2016: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5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920" w:type="dxa"/>
            <w:vAlign w:val="bottom"/>
            <w:gridSpan w:val="2"/>
          </w:tcPr>
          <w:p>
            <w:pPr>
              <w:ind w:left="420"/>
              <w:spacing w:after="0"/>
              <w:rPr>
                <w:sz w:val="20"/>
                <w:szCs w:val="20"/>
                <w:color w:val="auto"/>
              </w:rPr>
            </w:pPr>
            <w:r>
              <w:rPr>
                <w:rFonts w:ascii="Arial" w:cs="Arial" w:eastAsia="Arial" w:hAnsi="Arial"/>
                <w:sz w:val="18"/>
                <w:szCs w:val="18"/>
                <w:b w:val="1"/>
                <w:bCs w:val="1"/>
                <w:color w:val="auto"/>
                <w:w w:val="98"/>
              </w:rPr>
              <w:t>Approximate U.S.</w:t>
            </w:r>
          </w:p>
        </w:tc>
      </w:tr>
      <w:tr>
        <w:trPr>
          <w:trHeight w:val="216"/>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5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5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5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500" w:type="dxa"/>
            <w:vAlign w:val="bottom"/>
          </w:tcPr>
          <w:p>
            <w:pPr>
              <w:spacing w:after="0"/>
              <w:rPr>
                <w:sz w:val="18"/>
                <w:szCs w:val="18"/>
                <w:color w:val="auto"/>
              </w:rPr>
            </w:pPr>
          </w:p>
        </w:tc>
        <w:tc>
          <w:tcPr>
            <w:tcW w:w="158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Average 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5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500" w:type="dxa"/>
            <w:vAlign w:val="bottom"/>
          </w:tcPr>
          <w:p>
            <w:pPr>
              <w:spacing w:after="0"/>
              <w:rPr>
                <w:sz w:val="18"/>
                <w:szCs w:val="18"/>
                <w:color w:val="auto"/>
              </w:rPr>
            </w:pPr>
          </w:p>
        </w:tc>
        <w:tc>
          <w:tcPr>
            <w:tcW w:w="158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Paid per Share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500" w:type="dxa"/>
            <w:vAlign w:val="bottom"/>
          </w:tcPr>
          <w:p>
            <w:pPr>
              <w:spacing w:after="0"/>
              <w:rPr>
                <w:sz w:val="20"/>
                <w:szCs w:val="20"/>
                <w:color w:val="auto"/>
              </w:rPr>
            </w:pPr>
          </w:p>
        </w:tc>
        <w:tc>
          <w:tcPr>
            <w:tcW w:w="158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(1)</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50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or Programs</w:t>
            </w: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October 1 to October 31</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83,808,163</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November 1 to November 30</w:t>
            </w:r>
          </w:p>
        </w:tc>
        <w:tc>
          <w:tcPr>
            <w:tcW w:w="980" w:type="dxa"/>
            <w:vAlign w:val="bottom"/>
          </w:tcPr>
          <w:p>
            <w:pPr>
              <w:jc w:val="right"/>
              <w:spacing w:after="0"/>
              <w:rPr>
                <w:sz w:val="20"/>
                <w:szCs w:val="20"/>
                <w:color w:val="auto"/>
              </w:rPr>
            </w:pPr>
            <w:r>
              <w:rPr>
                <w:rFonts w:ascii="Arial" w:cs="Arial" w:eastAsia="Arial" w:hAnsi="Arial"/>
                <w:sz w:val="18"/>
                <w:szCs w:val="18"/>
                <w:color w:val="auto"/>
              </w:rPr>
              <w:t>1,651,957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50.76</w:t>
            </w:r>
          </w:p>
        </w:tc>
        <w:tc>
          <w:tcPr>
            <w:tcW w:w="1280" w:type="dxa"/>
            <w:vAlign w:val="bottom"/>
          </w:tcPr>
          <w:p>
            <w:pPr>
              <w:jc w:val="right"/>
              <w:spacing w:after="0"/>
              <w:rPr>
                <w:sz w:val="20"/>
                <w:szCs w:val="20"/>
                <w:color w:val="auto"/>
              </w:rPr>
            </w:pPr>
            <w:r>
              <w:rPr>
                <w:rFonts w:ascii="Arial" w:cs="Arial" w:eastAsia="Arial" w:hAnsi="Arial"/>
                <w:sz w:val="18"/>
                <w:szCs w:val="18"/>
                <w:color w:val="auto"/>
              </w:rPr>
              <w:t>1,651,957</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1 to December 31</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1,651,957</w:t>
            </w: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1,651,957</w:t>
            </w:r>
          </w:p>
        </w:tc>
        <w:tc>
          <w:tcPr>
            <w:tcW w:w="5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amounts include fees and commissions associated with the share repurchase.</w:t>
      </w:r>
    </w:p>
    <w:p>
      <w:pPr>
        <w:spacing w:after="0" w:line="230"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As of December 31, 2016, we have repurchased a total of 4,123,065 shares of outstanding common stock under the share repurchase program at an average price of $60.63 per share and have completed our share repurchase program authorized by our Board of Directors. See “Note 15 —</w:t>
      </w:r>
      <w:r>
        <w:rPr>
          <w:rFonts w:ascii="Arial" w:cs="Arial" w:eastAsia="Arial" w:hAnsi="Arial"/>
          <w:sz w:val="16"/>
          <w:szCs w:val="16"/>
          <w:i w:val="1"/>
          <w:iCs w:val="1"/>
          <w:color w:val="auto"/>
        </w:rPr>
        <w:t>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r>
        <w:rPr>
          <w:rFonts w:ascii="Arial" w:cs="Arial" w:eastAsia="Arial" w:hAnsi="Arial"/>
          <w:sz w:val="16"/>
          <w:szCs w:val="16"/>
          <w:color w:val="auto"/>
        </w:rPr>
        <w:t>” in the notes to the consolidated financial statements in Item 8 for additional information regarding our treasury shares.</w:t>
      </w:r>
    </w:p>
    <w:p>
      <w:pPr>
        <w:spacing w:after="0" w:line="14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new share repurchase program. The repurchase program has no expiration but may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3" w:name="page34"/>
    <w:bookmarkEnd w:id="33"/>
    <w:p>
      <w:pPr>
        <w:ind w:right="20"/>
        <w:spacing w:after="0" w:line="286" w:lineRule="auto"/>
        <w:rPr>
          <w:sz w:val="20"/>
          <w:szCs w:val="20"/>
          <w:color w:val="auto"/>
        </w:rPr>
      </w:pPr>
      <w:r>
        <w:rPr>
          <w:rFonts w:ascii="Arial" w:cs="Arial" w:eastAsia="Arial" w:hAnsi="Arial"/>
          <w:sz w:val="17"/>
          <w:szCs w:val="17"/>
          <w:color w:val="auto"/>
        </w:rPr>
        <w:t>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Our equity plan information required by this item is incorporated by reference to the information in Part III, Item 12, of this Annual Report on Form 10-K.</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We have derived the following selected financial data presented below from our consolidated financial statements and related notes. The information set forth below is not necessarily indicative of future results and should be read in conjunction with the consolidated financial statements and related notes appearing in Item 8 “Financial Statements and Supplementary Data,” and Item 7 “Management’s Discussion and Analysis of Financial Condition and Results of Operations” of this Annual Report on Form 10-K. Historical results are not necessarily indicative of the results to be expected in any future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12"/>
              <w:spacing w:after="0" w:line="155"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r>
      <w:tr>
        <w:trPr>
          <w:trHeight w:val="156"/>
        </w:trPr>
        <w:tc>
          <w:tcPr>
            <w:tcW w:w="4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80" w:type="dxa"/>
            <w:vAlign w:val="bottom"/>
            <w:gridSpan w:val="5"/>
          </w:tcPr>
          <w:p>
            <w:pPr>
              <w:jc w:val="right"/>
              <w:ind w:right="572"/>
              <w:spacing w:after="0" w:line="155" w:lineRule="exact"/>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1,480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1,492</w:t>
            </w:r>
          </w:p>
        </w:tc>
        <w:tc>
          <w:tcPr>
            <w:tcW w:w="3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945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(1)</w:t>
            </w: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232</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TripAdvisor, Inc.</w:t>
            </w: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Earnings per share attributable to common stockholders:</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(2)</w:t>
            </w: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0.83</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20"/>
                <w:szCs w:val="20"/>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Diluted (2)</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0.82</w:t>
            </w:r>
          </w:p>
        </w:tc>
        <w:tc>
          <w:tcPr>
            <w:tcW w:w="34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5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 per share:</w:t>
            </w:r>
          </w:p>
        </w:tc>
        <w:tc>
          <w:tcPr>
            <w:tcW w:w="8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Basic (2)</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 (2)</w:t>
            </w: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r>
      <w:tr>
        <w:trPr>
          <w:trHeight w:val="378"/>
        </w:trPr>
        <w:tc>
          <w:tcPr>
            <w:tcW w:w="4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52"/>
              <w:spacing w:after="0" w:line="155"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r>
      <w:tr>
        <w:trPr>
          <w:trHeight w:val="156"/>
        </w:trPr>
        <w:tc>
          <w:tcPr>
            <w:tcW w:w="4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Cash and cash equivalents, short and long term</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746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698</w:t>
            </w:r>
          </w:p>
        </w:tc>
        <w:tc>
          <w:tcPr>
            <w:tcW w:w="3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594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670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(3)</w:t>
            </w: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527</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553</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387</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2,238</w:t>
            </w:r>
          </w:p>
        </w:tc>
        <w:tc>
          <w:tcPr>
            <w:tcW w:w="3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2,128</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1,948</w:t>
            </w:r>
          </w:p>
        </w:tc>
        <w:tc>
          <w:tcPr>
            <w:tcW w:w="3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1,473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portion (4)</w:t>
            </w: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Other long-term obligations under financing obligation</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(5)</w:t>
            </w: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1,502</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1,412</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1,125</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865</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600" w:right="80" w:hanging="592"/>
        <w:spacing w:after="0" w:line="285"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Includes a non-cash charitable contribution to The TripAdvisor Charitable Foundation (the “Foundation”) of $67 million for the year ended December 31, 2015. In comparison, charitable contributions to the Foundation, which were paid in cash, were $8 million, $7 million and $7 million for the years ended December 31, 2014, 2013, and 2012, respectively. There were no charitable contributions made to the Foundation for the year ended December 31, 2016, and the Company does not expect to make any future contributions to the Foundation. See “Note 17 </w:t>
      </w:r>
      <w:r>
        <w:rPr>
          <w:rFonts w:ascii="Arial" w:cs="Arial" w:eastAsia="Arial" w:hAnsi="Arial"/>
          <w:sz w:val="16"/>
          <w:szCs w:val="16"/>
          <w:i w:val="1"/>
          <w:iCs w:val="1"/>
          <w:color w:val="auto"/>
        </w:rPr>
        <w:t>—Segments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Geographic Information</w:t>
      </w:r>
      <w:r>
        <w:rPr>
          <w:rFonts w:ascii="Arial" w:cs="Arial" w:eastAsia="Arial" w:hAnsi="Arial"/>
          <w:sz w:val="16"/>
          <w:szCs w:val="16"/>
          <w:color w:val="auto"/>
        </w:rPr>
        <w:t>” in the notes to the consolidated financial statements in Item 8 for further information regarding this charitable contribution.</w:t>
      </w:r>
    </w:p>
    <w:p>
      <w:pPr>
        <w:spacing w:after="0" w:line="2" w:lineRule="exact"/>
        <w:rPr>
          <w:rFonts w:ascii="Arial" w:cs="Arial" w:eastAsia="Arial" w:hAnsi="Arial"/>
          <w:sz w:val="16"/>
          <w:szCs w:val="16"/>
          <w:color w:val="auto"/>
        </w:rPr>
      </w:pPr>
    </w:p>
    <w:p>
      <w:pPr>
        <w:ind w:left="600" w:right="80" w:hanging="592"/>
        <w:spacing w:after="0" w:line="261"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—Earnings per Share</w:t>
      </w:r>
      <w:r>
        <w:rPr>
          <w:rFonts w:ascii="Arial" w:cs="Arial" w:eastAsia="Arial" w:hAnsi="Arial"/>
          <w:sz w:val="18"/>
          <w:szCs w:val="18"/>
          <w:color w:val="auto"/>
        </w:rPr>
        <w:t>” in the notes to the consolidated financial statements in Item 8 for further information regarding our calculation of earnings per share numbers.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592" w:hanging="592"/>
        <w:spacing w:after="0" w:line="258" w:lineRule="auto"/>
        <w:tabs>
          <w:tab w:leader="none" w:pos="5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does not include available for sale long-term marketable securities of $16 million, $37 million, $31 million, $188 million, and $99 million, as of December 31, 2016, 2015, 2014, 2013, and 2012, respectively.</w:t>
      </w:r>
    </w:p>
    <w:p>
      <w:pPr>
        <w:spacing w:after="0" w:line="1" w:lineRule="exact"/>
        <w:rPr>
          <w:rFonts w:ascii="Arial" w:cs="Arial" w:eastAsia="Arial" w:hAnsi="Arial"/>
          <w:sz w:val="18"/>
          <w:szCs w:val="18"/>
          <w:color w:val="auto"/>
        </w:rPr>
      </w:pPr>
    </w:p>
    <w:p>
      <w:pPr>
        <w:ind w:left="592" w:hanging="592"/>
        <w:spacing w:after="0"/>
        <w:tabs>
          <w:tab w:leader="none" w:pos="5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 Item 8 for information regarding our long-term debt.</w:t>
      </w:r>
    </w:p>
    <w:p>
      <w:pPr>
        <w:spacing w:after="0" w:line="9" w:lineRule="exact"/>
        <w:rPr>
          <w:rFonts w:ascii="Arial" w:cs="Arial" w:eastAsia="Arial" w:hAnsi="Arial"/>
          <w:sz w:val="18"/>
          <w:szCs w:val="18"/>
          <w:color w:val="auto"/>
        </w:rPr>
      </w:pPr>
    </w:p>
    <w:p>
      <w:pPr>
        <w:ind w:left="592" w:right="60" w:hanging="592"/>
        <w:spacing w:after="0" w:line="261" w:lineRule="auto"/>
        <w:tabs>
          <w:tab w:leader="none" w:pos="5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See our consolidated statements of changes in stockholders’ equity and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the consolidated financial statements in Item 8 for additional information on changes to our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32"/>
          </w:cols>
          <w:pgMar w:left="248" w:top="125" w:right="419" w:bottom="1440" w:gutter="0" w:footer="0" w:header="0"/>
        </w:sectPr>
      </w:pPr>
    </w:p>
    <w:bookmarkStart w:id="35" w:name="page36"/>
    <w:bookmarkEnd w:id="35"/>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598"/>
        <w:spacing w:after="0" w:line="293" w:lineRule="auto"/>
        <w:rPr>
          <w:sz w:val="20"/>
          <w:szCs w:val="20"/>
          <w:color w:val="auto"/>
        </w:rPr>
      </w:pPr>
      <w:r>
        <w:rPr>
          <w:rFonts w:ascii="Arial" w:cs="Arial" w:eastAsia="Arial" w:hAnsi="Arial"/>
          <w:sz w:val="16"/>
          <w:szCs w:val="16"/>
          <w:color w:val="auto"/>
        </w:rPr>
        <w:t>TripAdvisor, Inc., by and through its subsidiaries, owns and operates a portfolio of leading online travel brands. TripAdvisor, our flagship brand, is the world’s largest travel site, and its mission is to help people around the world plan, book and experience the perfect trip. We accomplish this by, among other things, aggregating millions of travelers’ reviews and opinions about destinations, accommodations, activities and attractions, and restaurants worldwide, thereby creating the foundation for a unique platform that enables users to research and plan their travel experiences. Our platform also enables users to compare real-time pricing and availability for these experiences as well as to book hotels, flights, cruises, vacation rentals, tours, activities and attractions, and restaurants, either on a TripAdvisor site or app, or on the site or app of one of our travel partner sites.</w:t>
      </w:r>
    </w:p>
    <w:p>
      <w:pPr>
        <w:spacing w:after="0" w:line="165" w:lineRule="exact"/>
        <w:rPr>
          <w:sz w:val="20"/>
          <w:szCs w:val="20"/>
          <w:color w:val="auto"/>
        </w:rPr>
      </w:pPr>
    </w:p>
    <w:p>
      <w:pPr>
        <w:jc w:val="both"/>
        <w:ind w:right="20" w:firstLine="598"/>
        <w:spacing w:after="0" w:line="257" w:lineRule="auto"/>
        <w:rPr>
          <w:sz w:val="20"/>
          <w:szCs w:val="20"/>
          <w:color w:val="auto"/>
        </w:rPr>
      </w:pPr>
      <w:r>
        <w:rPr>
          <w:rFonts w:ascii="Arial" w:cs="Arial" w:eastAsia="Arial" w:hAnsi="Arial"/>
          <w:sz w:val="18"/>
          <w:szCs w:val="18"/>
          <w:color w:val="auto"/>
        </w:rPr>
        <w:t>Our TripAdvisor-branded websites include tripadvisor.com in the United States and localized versions of the TripAdvisor website in 48 markets and 28 languages worldwide. Our TripAdvisor-branded websites reached nearly 390 million average monthly unique visitors in our seasonal peak during the year ended December 31, 2016, according to our internal log files. We currently feature 465 million reviews and opinions on 7 million places to stay, places to eat and things to do – including 1,060,000 hotels and accommodations and 835,000 vacation rentals, 4.3 million restaurants and 760,000 activities and attractions worldwide.</w:t>
      </w:r>
    </w:p>
    <w:p>
      <w:pPr>
        <w:spacing w:after="0" w:line="188"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to the flagship TripAdvisor brand, we manage and operate 23 other travel media brands, connected by the common goal of providing users the most comprehensive travel-planning and trip-taking resources in the travel industry. For additional information about our portfolio of brands and our business model, see the disclosure set forth in Part I, Item 1, Business, under the caption “Overview.”</w:t>
      </w:r>
    </w:p>
    <w:p>
      <w:pPr>
        <w:spacing w:after="0" w:line="181" w:lineRule="exact"/>
        <w:rPr>
          <w:sz w:val="20"/>
          <w:szCs w:val="20"/>
          <w:color w:val="auto"/>
        </w:rPr>
      </w:pPr>
    </w:p>
    <w:p>
      <w:pPr>
        <w:jc w:val="both"/>
        <w:ind w:right="440" w:firstLine="598"/>
        <w:spacing w:after="0" w:line="288" w:lineRule="auto"/>
        <w:rPr>
          <w:sz w:val="20"/>
          <w:szCs w:val="20"/>
          <w:color w:val="auto"/>
        </w:rPr>
      </w:pPr>
      <w:r>
        <w:rPr>
          <w:rFonts w:ascii="Arial" w:cs="Arial" w:eastAsia="Arial" w:hAnsi="Arial"/>
          <w:sz w:val="16"/>
          <w:szCs w:val="16"/>
          <w:color w:val="auto"/>
        </w:rPr>
        <w:t>Our reporting structure includes two reportable segments: Hotel and Non-Hotel. Our Non-Hotel reportable segment consists of three operating segments, which includes our Attractions, Restaurants and Vacation Rentals businesses. The segments are determined based on how the chief operating decision maker regularly assesses information and evaluates performance for operating decision-making purposes, including allocation of resources.</w:t>
      </w:r>
    </w:p>
    <w:p>
      <w:pPr>
        <w:ind w:right="280"/>
        <w:spacing w:after="0" w:line="261" w:lineRule="auto"/>
        <w:rPr>
          <w:sz w:val="20"/>
          <w:szCs w:val="20"/>
          <w:color w:val="auto"/>
        </w:rPr>
      </w:pPr>
      <w:r>
        <w:rPr>
          <w:rFonts w:ascii="Arial" w:cs="Arial" w:eastAsia="Arial" w:hAnsi="Arial"/>
          <w:sz w:val="18"/>
          <w:szCs w:val="18"/>
          <w:color w:val="auto"/>
        </w:rPr>
        <w:t xml:space="preserve">Financial information and additional descriptive information related to our segments and geographic information is contained in “Note 17 — </w:t>
      </w:r>
      <w:r>
        <w:rPr>
          <w:rFonts w:ascii="Arial" w:cs="Arial" w:eastAsia="Arial" w:hAnsi="Arial"/>
          <w:sz w:val="18"/>
          <w:szCs w:val="18"/>
          <w:i w:val="1"/>
          <w:iCs w:val="1"/>
          <w:color w:val="auto"/>
        </w:rPr>
        <w:t>Segment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Geographic Information</w:t>
      </w:r>
      <w:r>
        <w:rPr>
          <w:rFonts w:ascii="Arial" w:cs="Arial" w:eastAsia="Arial" w:hAnsi="Arial"/>
          <w:sz w:val="18"/>
          <w:szCs w:val="18"/>
          <w:color w:val="auto"/>
        </w:rPr>
        <w:t>,” in the notes to our consolidated financial statements in Item 8 and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Trends</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As the largest online travel platform, we believe we are an attractive marketing channel for advertisers—including hotel chains, independent hoteliers, OTAs, destination marketing organizations, and other travel-related and non-travel related product and service providers— who seek to sell their products and services to our large user base. We are also a booking platform offering users the ability to book hotels, flights, cruises, vacation rentals, tours, activities and attractions, and restaurants directly on our website. The key drivers of our financial results are described below, including a summary of our key financial results, business metrics, and current trends affecting our business, and our segment information.</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Below are our key financial results and business metrics for the year ended December 31, 2016 (consolidated unless otherwise noted):</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Financial results</w:t>
      </w:r>
    </w:p>
    <w:p>
      <w:pPr>
        <w:spacing w:after="0" w:line="121" w:lineRule="exact"/>
        <w:rPr>
          <w:sz w:val="20"/>
          <w:szCs w:val="20"/>
          <w:color w:val="auto"/>
        </w:rPr>
      </w:pPr>
    </w:p>
    <w:p>
      <w:pPr>
        <w:ind w:left="1180" w:hanging="42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of $1,480 million, a decrease of 1% year over year.</w:t>
      </w:r>
    </w:p>
    <w:p>
      <w:pPr>
        <w:spacing w:after="0" w:line="117" w:lineRule="exact"/>
        <w:rPr>
          <w:rFonts w:ascii="Arial" w:cs="Arial" w:eastAsia="Arial" w:hAnsi="Arial"/>
          <w:sz w:val="18"/>
          <w:szCs w:val="18"/>
          <w:color w:val="auto"/>
        </w:rPr>
      </w:pPr>
    </w:p>
    <w:p>
      <w:pPr>
        <w:ind w:left="1180" w:right="160" w:hanging="429"/>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Hotel segment revenue of $1,190 million, a decrease of 6% year over year and Non-Hotel segment revenues of $290 million, an increase of 27% year over year.</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Revenue from North America, EMEA, APAC and LATAM was $830 million, $454 million, $144 million and $52 million, respectively.</w:t>
      </w:r>
    </w:p>
    <w:p>
      <w:pPr>
        <w:spacing w:after="0" w:line="128" w:lineRule="exact"/>
        <w:rPr>
          <w:rFonts w:ascii="Arial" w:cs="Arial" w:eastAsia="Arial" w:hAnsi="Arial"/>
          <w:sz w:val="17"/>
          <w:szCs w:val="17"/>
          <w:color w:val="auto"/>
        </w:rPr>
      </w:pPr>
    </w:p>
    <w:p>
      <w:pPr>
        <w:ind w:left="1180" w:hanging="42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costs and expenses were $1,314 million.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left="1180" w:hanging="42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income was $166 million.</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tax rate of 20.5%.</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of $120 million, or diluted earnings per share of $0.82.</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cash flow was $321 million.</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were $72 million.</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Cash and cash equivalents, and short and long term available-for-sale marketable securities were $746 million as of December 31, 2016.</w:t>
      </w:r>
    </w:p>
    <w:p>
      <w:pPr>
        <w:spacing w:after="0" w:line="140" w:lineRule="exact"/>
        <w:rPr>
          <w:rFonts w:ascii="Arial" w:cs="Arial" w:eastAsia="Arial" w:hAnsi="Arial"/>
          <w:sz w:val="16"/>
          <w:szCs w:val="16"/>
          <w:color w:val="auto"/>
        </w:rPr>
      </w:pPr>
    </w:p>
    <w:p>
      <w:pPr>
        <w:ind w:left="1180" w:hanging="42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Headcount was 3,327 as of December 31, 2016.</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Business Metrics</w:t>
      </w:r>
    </w:p>
    <w:p>
      <w:pPr>
        <w:spacing w:after="0" w:line="121" w:lineRule="exact"/>
        <w:rPr>
          <w:sz w:val="20"/>
          <w:szCs w:val="20"/>
          <w:color w:val="auto"/>
        </w:rPr>
      </w:pPr>
    </w:p>
    <w:p>
      <w:pPr>
        <w:ind w:left="1180" w:hanging="42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per hotel shopper decreased 15% year over year.</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unique monthly hotel shoppers increased 6% year over year.</w:t>
      </w:r>
    </w:p>
    <w:p>
      <w:pPr>
        <w:spacing w:after="0" w:line="200" w:lineRule="exact"/>
        <w:rPr>
          <w:sz w:val="20"/>
          <w:szCs w:val="20"/>
          <w:color w:val="auto"/>
        </w:rPr>
      </w:pPr>
    </w:p>
    <w:p>
      <w:pPr>
        <w:spacing w:after="0" w:line="24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Current Trends in Our Business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Hotel Segment</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In our hotel segment, we have invested significant time and resources towards enabling users to book hotels on our sites and applications through our instant booking feature. We began with the accelerated rollout in our two largest markets – the United States and the United Kingdom – in the third quarter of 2015, and completed an accelerated and staged global rollout of this feature to all of our markets during the first half of 2016. During the year, the instant booking feature has monetized at a lower revenue per hotel shopper rate than our metasearch feature, and therefore has been dilutive to our TripAdvisor-branded click-based and transaction revenue growth and to our overall revenue per hotel shopper. However, in the second half of 2016, TripAdvisor-branded click-based and transaction revenue growth rates improved as we lapped the instant booking rollout in the United States, our largest market, increased spend in our online paid marketing channels, and made product enhancements throughout the year. In addition, the majority of our instant booking revenue is recorded under the consumption model and is recognized at the time the traveler consumes, or completes, the stay. Comparatively, revenue recognized under our metasearch feature is recorded when a traveler makes the click-through to the travel partners’ websites. In future periods, greater contribution from our instant booking consumption model to TripAdvisor-branded click-based and transaction revenue could result in additional revenue recognized at the time of a consumed stay and therefore a shift in the timing of our revenue recognition.</w:t>
      </w:r>
    </w:p>
    <w:p>
      <w:pPr>
        <w:spacing w:after="0" w:line="65"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During 2016, we continued to improve our hotel shopping experience, which included an improved display of our metasearch and instant booking features to hotel shoppers, as well as improving booking transaction acumen, which includes improving the on-site experience by offering the best price value proposition, improving room-level content, optimizing the room selection and booking path, and on-boarding more partners with strong branding and supply channels in order to achieve increased initial and repeat bookings. We have continued to explore and develop additional opportunities to engage users with our booking capabilities through online and offline marketing. We now offer users an end-to-end hotel shopping experience, which we believe has improved the hotel shopping experience, as well as educated users about our more comprehensive offering, which we believe will enable us to drive more conversions of hotel shoppers to bookings, ultimately resulting in higher bookings for our partners and higher revenue per hotel shopper on our platform.</w:t>
      </w:r>
    </w:p>
    <w:p>
      <w:pPr>
        <w:spacing w:after="0" w:line="59"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In 2016, hotel shopper growth slowed due to a number of factors, including lower revenue per hotel shopper impacting our advertising expenditure, macroeconomic and geopolitical factors, a continued intense competitive environment, and other travel market dynamics. One of our key strategic objectives is to grow our brand awareness and grow the number of hotel shoppers on our platforms. We continue to leverage a number of marketing channels, both paid and unpaid, to achieve this objective, including online efforts such as SEM, social media, and email campaigns, as well as offline efforts such as permanent branding campaigns (TripAdvisor-branded travel awards, certificates, stickers and badges). Over time, the traffic visiting our websites and applications from paid marketing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ind w:right="280"/>
        <w:spacing w:after="0" w:line="277" w:lineRule="auto"/>
        <w:rPr>
          <w:sz w:val="20"/>
          <w:szCs w:val="20"/>
          <w:color w:val="auto"/>
        </w:rPr>
      </w:pPr>
      <w:r>
        <w:rPr>
          <w:rFonts w:ascii="Arial" w:cs="Arial" w:eastAsia="Arial" w:hAnsi="Arial"/>
          <w:sz w:val="18"/>
          <w:szCs w:val="18"/>
          <w:color w:val="auto"/>
        </w:rPr>
        <w:t>channels has generally grown faster than traffic from unpaid sources due to competition from other travel companies and search engines and we may see a continuation of this trend.</w:t>
      </w:r>
    </w:p>
    <w:p>
      <w:pPr>
        <w:spacing w:after="0" w:line="62"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In 2016, hotel shoppers that visited our websites and applications on mobile phone continued to grow significantly faster than traffic from desktop and tablet devices. As a result, this has contributed to a decline in revenue per hotel shopper and our click-based and transaction revenue, as mobile phone devices monetize significantly less than desktop and tablet. This is due to a number of factors, including the fact that mobile phone is still in the early stages of eCommerce adoption, our partners reduced ability to attribute booking behavior on their websites and applications back to TripAdvisor, limited advertising opportunities on smaller screen devices, lower cost-per-click, lower booking intent, and lower average gross booking value based on consumer purchasing patterns. Mobile phone product development continues to be an area of strategic growth and investment, and we will continue to invest and innovate in this growing platform in order to increase our user base, engagement and monetization over the long term.</w:t>
      </w:r>
    </w:p>
    <w:p>
      <w:pPr>
        <w:spacing w:after="0" w:line="70"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As a global travel business specializing in discretionary leisure travel, we believe our 2016 hotel shopper growth, revenue per hotel shopper and Hotel segment financial performance also was negatively impacted by macroeconomic and geopolitical dynamics, including foreign currency and a number of terrorism events, among other factors.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Non-Hotel Segment</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TripAdvisor’s end-to-end user experience extends beyond our hotel business. In 2016, unique monthly users to non-hotel pages on our websites and applications – including attractions, restaurants, and vacation rentals – continued to grow. In efforts to address this growing demand and engagement with these products we have strategically invested in improving the user experience on all devices as well as in building our inventory of global supply of bookable attractions, restaurants, and vacation rentals. In addition to achieving strong supply growth, during 2016 we drove increased mobile engagement and mobile bookings with new mobile ticketing capabilities and mobile push notifications, including in-destination suggestions on the best things to do, helpful tips on the best nearby restaurants, and popular dish recommendations. Continued successful execution of our key growth strategies resulted in 27% revenue growth in this segment in 2016, when compared to the same period in 2015. Increasing traffic to and engagement with our Non-Hotel business, as well as increasing our global supply to offer users more choice are ongoing strategic objectives.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 and percentages)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7"/>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434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w w:val="98"/>
              </w:rPr>
              <w:t>2016 vs. 2015</w:t>
            </w:r>
          </w:p>
        </w:tc>
        <w:tc>
          <w:tcPr>
            <w:tcW w:w="36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w w:val="98"/>
              </w:rPr>
              <w:t>2015 vs. 2014</w:t>
            </w:r>
          </w:p>
        </w:tc>
        <w:tc>
          <w:tcPr>
            <w:tcW w:w="26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r>
      <w:tr>
        <w:trPr>
          <w:trHeight w:val="230"/>
        </w:trPr>
        <w:tc>
          <w:tcPr>
            <w:tcW w:w="4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5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w:t>
            </w: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8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6"/>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Interest income and other, net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9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314%</w:t>
            </w:r>
          </w:p>
        </w:tc>
        <w:tc>
          <w:tcPr>
            <w:tcW w:w="126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(96)</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r>
      <w:tr>
        <w:trPr>
          <w:trHeight w:val="26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(39)%</w:t>
            </w:r>
          </w:p>
        </w:tc>
        <w:tc>
          <w:tcPr>
            <w:tcW w:w="12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196"/>
        </w:trPr>
        <w:tc>
          <w:tcPr>
            <w:tcW w:w="43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Earnings per share attributable to common</w:t>
            </w: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30"/>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6"/>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5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data:</w:t>
            </w: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Adjusted EBITDA (1)</w:t>
            </w:r>
          </w:p>
        </w:tc>
        <w:tc>
          <w:tcPr>
            <w:tcW w:w="1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4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bl>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is a non-GAAP measure. See “Adjusted EBITDA” discussion below for more information.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Revenue and Segments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21"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In the first quarter of 2016 we began providing additional disclosure on our revenue sources within our Hotel segment, which are TripAdvisor-branded click-based and transaction revenue, TripAdvisor-branded display-based advertising and subscription revenue, and other hotel revenue. The purpose of this additional disclosure is to provide further understanding of our hotel revenue sources and allow for additional insight into the calculation of one of our key operating performance metrics, revenue per hotel shopper. In conjunction with providing these additional revenue disclosures, we will no longer provide our historically reported revenue disclosure of click-based advertising, display-based advertising, and subscription, transaction and other revenues. This change had no effect on our consolidated financial statements in any period or with the composition of our operating or reportable segments.</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8"/>
          </w:tcPr>
          <w:p>
            <w:pPr>
              <w:jc w:val="center"/>
              <w:ind w:left="434"/>
              <w:spacing w:after="0"/>
              <w:rPr>
                <w:sz w:val="20"/>
                <w:szCs w:val="20"/>
                <w:color w:val="auto"/>
              </w:rPr>
            </w:pPr>
            <w:r>
              <w:rPr>
                <w:rFonts w:ascii="Arial" w:cs="Arial" w:eastAsia="Arial" w:hAnsi="Arial"/>
                <w:sz w:val="14"/>
                <w:szCs w:val="14"/>
                <w:b w:val="1"/>
                <w:bCs w:val="1"/>
                <w:color w:val="auto"/>
                <w:w w:val="91"/>
              </w:rPr>
              <w:t>Year ended December 31,</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700" w:type="dxa"/>
            <w:vAlign w:val="bottom"/>
            <w:vMerge w:val="restart"/>
          </w:tcPr>
          <w:p>
            <w:pPr>
              <w:spacing w:after="0"/>
              <w:rPr>
                <w:sz w:val="20"/>
                <w:szCs w:val="20"/>
                <w:color w:val="auto"/>
              </w:rPr>
            </w:pPr>
            <w:r>
              <w:rPr>
                <w:rFonts w:ascii="Arial" w:cs="Arial" w:eastAsia="Arial" w:hAnsi="Arial"/>
                <w:sz w:val="18"/>
                <w:szCs w:val="18"/>
                <w:color w:val="auto"/>
              </w:rPr>
              <w:t>Revenue by Segment:</w:t>
            </w:r>
          </w:p>
        </w:tc>
        <w:tc>
          <w:tcPr>
            <w:tcW w:w="6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w w:val="96"/>
              </w:rPr>
              <w:t>2015</w:t>
            </w: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3"/>
              </w:rPr>
              <w:t>2016 vs. 2015</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2015 vs. 2014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7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Non-Hotel</w:t>
            </w:r>
          </w:p>
        </w:tc>
        <w:tc>
          <w:tcPr>
            <w:tcW w:w="6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27%</w:t>
            </w:r>
          </w:p>
        </w:tc>
        <w:tc>
          <w:tcPr>
            <w:tcW w:w="114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3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 xml:space="preserve">Adjusted EBITDA by Segment </w:t>
            </w:r>
            <w:r>
              <w:rPr>
                <w:rFonts w:ascii="Arial" w:cs="Arial" w:eastAsia="Arial" w:hAnsi="Arial"/>
                <w:sz w:val="14"/>
                <w:szCs w:val="14"/>
                <w:color w:val="auto"/>
              </w:rPr>
              <w:t>(1)</w:t>
            </w: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7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Non-Hotel</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Hotel</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880" w:right="40" w:hanging="440"/>
        <w:spacing w:after="0" w:line="227" w:lineRule="auto"/>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Included in Adjusted EBITDA is a general and administrative expense allocation for each segment, which is based on the segment’s percentage of our total personnel costs, excluding stock-based compensation. See “Note 17 </w:t>
      </w:r>
      <w:r>
        <w:rPr>
          <w:rFonts w:ascii="Arial" w:cs="Arial" w:eastAsia="Arial" w:hAnsi="Arial"/>
          <w:sz w:val="14"/>
          <w:szCs w:val="14"/>
          <w:i w:val="1"/>
          <w:iCs w:val="1"/>
          <w:color w:val="auto"/>
        </w:rPr>
        <w:t>— Segment and Geographic Information</w:t>
      </w:r>
      <w:r>
        <w:rPr>
          <w:rFonts w:ascii="Arial" w:cs="Arial" w:eastAsia="Arial" w:hAnsi="Arial"/>
          <w:sz w:val="14"/>
          <w:szCs w:val="14"/>
          <w:color w:val="auto"/>
        </w:rPr>
        <w:t>,” in the notes to our consolidated financial statements in Item 8 for more information and for a reconciliation of Adjusted EBITDA to net income, for the periods presented above.</w:t>
      </w:r>
    </w:p>
    <w:p>
      <w:pPr>
        <w:ind w:left="880" w:hanging="440"/>
        <w:spacing w:after="0"/>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define “Adjusted EBITDA Margin by Segment”, as Adjusted EBITDA by segment divided by revenue by segment.</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Hotel Segment</w:t>
      </w:r>
    </w:p>
    <w:p>
      <w:pPr>
        <w:spacing w:after="0" w:line="117"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Our Hotel segment revenue decreased $73 million during the year ended December 31, 2016 when compared to the same period in 2015, primarily due to a $87 million decrease in TripAdvisor-branded click-based and transaction revenue, which is primarily due to a decline in revenue per hotel shopper of 15%, partially offset by a 6% increase in average unique monthly hotel shoppers, partially offset by growth of $10 million in TripAdvisor-branded display-based advertising and subscription revenue, and $4 million in other hotel revenue. Our Hotel segment revenue increased $128 million during the year ended December 31, 2015 when compared to the same period in 2014, primarily due to a $73 million increase in TripAdvisor-branded click-based and transaction revenue, which is primarily due to an increase in average unique monthly hotel shoppers of 15% partially offset by a 4% decrease in revenue per hotel shopper, a $39 million increase in TripAdvisor-branded display-based advertising and subscription revenue, and $16 million increase in other hotel revenue. See below for discussion of these revenue sources within our Hotel segment.</w:t>
      </w:r>
    </w:p>
    <w:p>
      <w:pPr>
        <w:spacing w:after="0" w:line="179"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Adjusted EBITDA in our Hotel segment decreased $92 million during the year ended December 31, 2016 when compared to the same period in 2015, primarily due to a decrease in Hotel segment revenue and increased operating costs, primarily driven by an increase in online traffic acquisition costs, partially offset by lower television advertising costs due to the cessation of our television advertising campaign in 2016. Our Hotel segment adjusted EBITDA margin also decelerated during the year ended December 31, 2016 when compared to the same period in 2015, primarily due to an overall decrease in Hotel segment revenue, and to a lesser extent an increase in operating costs. Adjusted EBITDA in our Hotel Segment was flat for the year ended December 31, 2015 when compared to the same period in 2014, due to an increase in revenue, offset by increased operating costs, primarily driven by increased personnel and overhead costs, online traffic acquisition costs, and television advertising. Our Hotel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0" w:name="page41"/>
    <w:bookmarkEnd w:id="40"/>
    <w:p>
      <w:pPr>
        <w:ind w:right="240"/>
        <w:spacing w:after="0" w:line="277" w:lineRule="auto"/>
        <w:rPr>
          <w:sz w:val="20"/>
          <w:szCs w:val="20"/>
          <w:color w:val="auto"/>
        </w:rPr>
      </w:pPr>
      <w:r>
        <w:rPr>
          <w:rFonts w:ascii="Arial" w:cs="Arial" w:eastAsia="Arial" w:hAnsi="Arial"/>
          <w:sz w:val="18"/>
          <w:szCs w:val="18"/>
          <w:color w:val="auto"/>
        </w:rPr>
        <w:t>segment adjusted EBITDA margin also decelerated during the year ended December 31, 2015 when compared to the same period in 2014, primarily due to the deceleration in revenue growth year over year.</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detailed discussion of the revenue sources within our Hotel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6"/>
          </w:tcPr>
          <w:p>
            <w:pPr>
              <w:jc w:val="center"/>
              <w:ind w:left="456"/>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Hotel:</w:t>
            </w:r>
          </w:p>
        </w:tc>
        <w:tc>
          <w:tcPr>
            <w:tcW w:w="7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2016 vs 2015</w:t>
            </w:r>
          </w:p>
        </w:tc>
        <w:tc>
          <w:tcPr>
            <w:tcW w:w="100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2015 vs 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click-based and transaction</w:t>
            </w:r>
          </w:p>
        </w:tc>
        <w:tc>
          <w:tcPr>
            <w:tcW w:w="9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TripAdvisor-branded display-based advertising and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hotel revenue</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5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460" w:type="dxa"/>
            <w:vAlign w:val="bottom"/>
          </w:tcPr>
          <w:p>
            <w:pPr>
              <w:ind w:left="260"/>
              <w:spacing w:after="0"/>
              <w:rPr>
                <w:sz w:val="20"/>
                <w:szCs w:val="20"/>
                <w:color w:val="auto"/>
              </w:rPr>
            </w:pPr>
            <w:r>
              <w:rPr>
                <w:rFonts w:ascii="Arial" w:cs="Arial" w:eastAsia="Arial" w:hAnsi="Arial"/>
                <w:sz w:val="18"/>
                <w:szCs w:val="18"/>
                <w:color w:val="auto"/>
              </w:rPr>
              <w:t>Total Hotel revenue</w:t>
            </w:r>
          </w:p>
        </w:tc>
        <w:tc>
          <w:tcPr>
            <w:tcW w:w="7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7"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TripAdvisor-branded click-based and transaction revenue includes click-based advertising revenue (or revenue derived from our metasearch auction) from our TripAdvisor-branded websites and revenue from our transaction-based instant booking feature. For the years ended December 31, 2016, 2015 and 2014, 63%, 66% and 67%, respectively, of our total Hotel segment revenue was derived from our TripAdvisor-branded click-based and transaction revenue. TripAdvisor-branded click-based and transaction revenue decreased $87 million during the year ended December 31, 2016, when compared to the same period in 2015, primarily due to a decline of 15% in revenue per hotel shopper, offset by an increase in average monthly unique hotel shoppers of 6% during the year ended December 31, 2016. TripAdvisor-branded click-based and transaction revenue increased $73 million during the year ended December 31, 2015, when compared to the same period in 2014, primarily due to an increase in average monthly unique hotel shoppers of 15%, offset by a decline of 4% in revenue per hotel shopper during the year ended December 31, 2015.</w:t>
      </w:r>
    </w:p>
    <w:p>
      <w:pPr>
        <w:spacing w:after="0" w:line="179"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Our largest source of Hotel segment revenue is click-based advertising revenue from our TripAdvisor-branded websites, which includes links to our partners’ sites and contextually-relevant branded and related text links. Click-based advertising is generated primarily through our metasearch auction, a description of which follows. Our click-based advertising partners are predominantly OTAs, and direct suppliers in the hotel product category. Click-based advertising is generally priced on a cost-per-click, or “CPC”, basis, with payments from advertisers based on the number of users who click on each type of link, or in other words a conversion of a hotel shopper to a paid click. CPC is the price that partners are willing to pay for a hotel shopper lead, and is determined in a competitive process that enables our partners to use our proprietary, automated bidding system to submit CPC bids to have their rates and availability listed on our site. This process is called our metasearch auction. When a partner submits a CPC bid, they are agreeing to pay the amount of that bid each time a user subsequently clicks on the link to the partner’s website. Bids can be submitted periodically – as often as daily– on a property-by-property basis. The size of the bid relative to other bids received is the primary factor used to determine the placement of partner links on our site, including on hotel comparison search results and on property detail pages. CPCs are generally lower in markets outside the U.S., than in the U.S. market, and, in addition, hotel shoppers visiting via mobile phones currently monetize at a significantly lower rate than hotel shoppers visiting via desktop or tablet.</w:t>
      </w:r>
    </w:p>
    <w:p>
      <w:pPr>
        <w:spacing w:after="0" w:line="173"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Our transaction revenue is comprised of revenue from our instant booking feature, which enables the merchant of record, generally an OTA or hotel partner, to pay a commission to TripAdvisor for a user that completes a hotel reservation on our website. Instant booking revenue is currently recognized under two different models: the transaction model and the consumption model. Our transaction model commission revenue is recorded at the time a traveler books a hotel reservation on our site with one of our transaction partners. Our transaction partners are liable for commission payments to us upon booking and the partner assumes the cancellation risk. When a traveler makes a hotel reservation on our site with one of our consumption partners, which comprises the majority of our instant booking revenue, revenue is not recorded until the traveler completes the stay as our consumption partners are liable for commission payment only upon the completion of stay by the traveler. OTA and hotel partner placement, as well as comparative hotel prices available to the traveler in the booking process under both models, are determined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160"/>
        <w:spacing w:after="0" w:line="312" w:lineRule="auto"/>
        <w:rPr>
          <w:sz w:val="20"/>
          <w:szCs w:val="20"/>
          <w:color w:val="auto"/>
        </w:rPr>
      </w:pPr>
      <w:r>
        <w:rPr>
          <w:rFonts w:ascii="Arial" w:cs="Arial" w:eastAsia="Arial" w:hAnsi="Arial"/>
          <w:sz w:val="16"/>
          <w:szCs w:val="16"/>
          <w:color w:val="auto"/>
        </w:rPr>
        <w:t>by a bidding process within our proprietary automated bidding system, based on a number of variables, primarily hotel room prices, but also including other factors, such as conversion rates and commission rates, depending on the specific hotel selected. Instant booking commissions are primarily a function of average gross booking value generated from hotel reservations, cancellation rates experienced, and commission rates negotiated with each of our partners.</w:t>
      </w:r>
    </w:p>
    <w:p>
      <w:pPr>
        <w:spacing w:after="0" w:line="147"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The key drivers of TripAdvisor-branded click-based and transaction revenue include the growth in average monthly unique hotel shoppers and, in particular, revenue per hotel shopper, which measures how effectively we convert our hotel shoppers into revenue. We measure performance by calculating revenue per hotel shopper on an aggregate basis, dividing total TripAdvisor-branded click-based and transaction revenue by total average monthly unique hotel shoppers on TripAdvisor-branded websites for the periods presented.</w:t>
      </w:r>
    </w:p>
    <w:p>
      <w:pPr>
        <w:spacing w:after="0" w:line="187"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While we believe total traffic growth, or growth in monthly visits from unique visitors, is reflective of our overall brand growth, we also track and analyze sub-segments of our traffic and their correlation to revenue generation and utilize data regarding hotel shoppers as a key indicator of revenue growth. Hotel shoppers are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phones and international expansion, quarterly and annual hotel shopper growth is a difficult metric to forecast.</w:t>
      </w:r>
    </w:p>
    <w:p>
      <w:pPr>
        <w:spacing w:after="0" w:line="158" w:lineRule="exact"/>
        <w:rPr>
          <w:sz w:val="20"/>
          <w:szCs w:val="20"/>
          <w:color w:val="auto"/>
        </w:rPr>
      </w:pPr>
    </w:p>
    <w:p>
      <w:pPr>
        <w:ind w:right="120" w:firstLine="598"/>
        <w:spacing w:after="0" w:line="289" w:lineRule="auto"/>
        <w:rPr>
          <w:sz w:val="20"/>
          <w:szCs w:val="20"/>
          <w:color w:val="auto"/>
        </w:rPr>
      </w:pPr>
      <w:r>
        <w:rPr>
          <w:rFonts w:ascii="Arial" w:cs="Arial" w:eastAsia="Arial" w:hAnsi="Arial"/>
          <w:sz w:val="16"/>
          <w:szCs w:val="16"/>
          <w:color w:val="auto"/>
        </w:rPr>
        <w:t>Our aggregate average monthly unique hotel shoppers on TripAdvisor-branded websites increased by 6% and 15%, respectively, for the years ended December 31, 2016 and 2015, when compared to the same periods in 2015 and 2014, according to our log files. The increase in hotel shoppers for the years ended December 31, 2016 and 2015, was primarily due to growth in our paid online marketing channels as well as the general trend of an increasing number of hotel shoppers visiting our websites and apps on mobile phones, which has grown significantly faster than traffic from desktop and tablet devices during these periods. Our average monthly unique hotel shopper growth rate decelerated during the year ended December 31, 2016, when compared to the same period in 2015, due to the dilutive effects from the global launch of our instant booking product feature, which impacted 2016 to a greater extent than 2015 due to the timing of the staged rollout, increased competition, macroeconomic and geopolitical factors, including foreign currency and a number of terrorism events, among other factors. While increasing the absolute number of hotel shoppers on our sites remains a top strategic priority, our ability to grow through paid traffic channels has been negatively impacted by lower revenue per hotel shopper.</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below table summarizes our revenue per hotel shopper calculation and growth rate, in aggregate,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477"/>
              <w:spacing w:after="0"/>
              <w:rPr>
                <w:sz w:val="20"/>
                <w:szCs w:val="20"/>
                <w:color w:val="auto"/>
              </w:rPr>
            </w:pPr>
            <w:r>
              <w:rPr>
                <w:rFonts w:ascii="Arial" w:cs="Arial" w:eastAsia="Arial" w:hAnsi="Arial"/>
                <w:sz w:val="14"/>
                <w:szCs w:val="14"/>
                <w:b w:val="1"/>
                <w:bCs w:val="1"/>
                <w:color w:val="auto"/>
                <w:w w:val="92"/>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r>
      <w:tr>
        <w:trPr>
          <w:trHeight w:val="223"/>
        </w:trPr>
        <w:tc>
          <w:tcPr>
            <w:tcW w:w="4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2016 vs 2015</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2015 vs 2014</w:t>
            </w:r>
          </w:p>
        </w:tc>
      </w:tr>
      <w:tr>
        <w:trPr>
          <w:trHeight w:val="223"/>
        </w:trPr>
        <w:tc>
          <w:tcPr>
            <w:tcW w:w="4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per hotel shopper:</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5"/>
        </w:trPr>
        <w:tc>
          <w:tcPr>
            <w:tcW w:w="4420" w:type="dxa"/>
            <w:vAlign w:val="bottom"/>
          </w:tcPr>
          <w:p>
            <w:pPr>
              <w:ind w:left="260"/>
              <w:spacing w:after="0"/>
              <w:rPr>
                <w:sz w:val="20"/>
                <w:szCs w:val="20"/>
                <w:color w:val="auto"/>
              </w:rPr>
            </w:pPr>
            <w:r>
              <w:rPr>
                <w:rFonts w:ascii="Arial" w:cs="Arial" w:eastAsia="Arial" w:hAnsi="Arial"/>
                <w:sz w:val="18"/>
                <w:szCs w:val="18"/>
                <w:color w:val="auto"/>
              </w:rPr>
              <w:t>TripAdvisor-branded click-based and</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transaction revenue</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764</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15"/>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Divided by: Total average unique monthly hotel</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shoppers for the year</w:t>
            </w:r>
          </w:p>
        </w:tc>
        <w:tc>
          <w:tcPr>
            <w:tcW w:w="7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5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r>
      <w:tr>
        <w:trPr>
          <w:trHeight w:val="223"/>
        </w:trPr>
        <w:tc>
          <w:tcPr>
            <w:tcW w:w="4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4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Our overall revenue per hotel shopper decreased 15% and 4%, during the years ended December 31, 2016 and 2015, respectively, when compared to the same periods in 2015 and 2014, according to our log files. We believe the primary drivers of this decrease include the dilutive effects from our global launch of our instant booking product feature, which impacted 2016 to a greater extent than 2015 due to the timing of the staged rollout, a greater percentage of hotel shoppers visiting TripAdvisor websites and apps via mobile phones, in addition to, challenging metasearch comparatives in early 2016 relative to the same periods in 2015, increased competition, macroeconomic and geopolitical factors, including foreign currency and a number of terrorism events, among other factors.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left="60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7"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For the years ended December 31, 2016, 2015 and 2014, 24%, 22% and 21%, respectively, of our Hotel segment revenue was derived from our TripAdvisor-branded display based advertising and subscription revenue, which primarily consists of revenue from display-based advertising and subscription-based hotel advertising revenue (or Business Advantage, formerly Business Listings). Our TripAdvisor-branded display-based advertising and subscription revenue increased by $10 million or 4%, and $39 million or 17%, during the years ended December 31, 2016 and 2015, respectively, when compared to the same periods in 2015 and 2014. Display-based advertising revenue and subscription revenue each grew at comparable rates during these periods.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increase in display-based advertising revenue was primarily due to a slight increase in pricing, as well as impressions sold during the year, while the increase in subscription revenue was a result of increased sales productivity in 2015 which also benefitted 2016, as well as increased pricing and improvements in customer retention rates. The display-based advertising and subscription revenue growth rate decelerated during the year ended December 31, 2016, when compared to the same period in 2015, primarily due to the decline in the number of impressions sold for display-based advertising and lower sales productivity in 2016 for subscription revenue.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u w:val="single" w:color="auto"/>
          <w:color w:val="auto"/>
        </w:rPr>
        <w:t>2015 vs. 2014</w:t>
      </w:r>
    </w:p>
    <w:p>
      <w:pPr>
        <w:spacing w:after="0" w:line="11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increase in display-based advertising revenue was a result of an increase in the number of impressions sold, due to increased sales productivity, as well as increased sellable inventory due to traffic growth and introduction of new products and features, partially offset by a slight decrease in pricing, while the increase in subscription revenue was primarily related to increased sales productivity.</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 Hotel Revenue</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For the years ended December 31, 2016, 2015 and 2014, 13%, 12% and 12%, respectively, of our Hotel segment revenue was derived from other hotel revenues. Our other hotel revenue primarily includes revenue from non-TripAdvisor branded websites, such as smartertravel.com, independenttraveler.com, and bookingbuddy.com, including click-based advertising revenue, display-based advertising revenue and room reservations sold through these websites. Our other hotel revenue increased by $4 million and $16 million during the years ended December 31, 2016 and 2015, respectively, when compared to the same periods in 2015 and 2014.</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117"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For the years ended December 31, 2016, 2015 and 2014, our Non-Hotel segment revenue accounted for 20%, 15% and 9%, respectively, of our total consolidated revenue. Our Non-Hotel segment revenue increased by $61 million or 27%, for the year ended December 31, 2016, when compared to the same period in 2015, primarily driven by increased bookings in 2016 and 2015 across all businesses.</w:t>
      </w:r>
    </w:p>
    <w:p>
      <w:pPr>
        <w:spacing w:after="0" w:line="166"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Our Attractions business benefitted in 2016 from an increase in supply of attraction listings and attraction partners, continued growth in our user base globally, and enhanced user experience from the introduction of new features, such as attractions on instant booking for mobile, which enables users to purchase tickets and tours seamlessly without leaving the mobile app. These factors are all contributing to more consumer choice, increased conversion, and continued revenue growth as a result of increased bookings. In our Restaurants business, we have experienced continued revenue growth due to increased bookings in our more established markets and additionally from expansion into new markets. In our Vacation Rentals business we continued to see an increase in property listings, as well as increased revenue during the year ended December 31, 2016, when compared to the same periods in 2015, primarily due to continued growth in our free-to-list model and increased bookings during the year.</w:t>
      </w:r>
    </w:p>
    <w:p>
      <w:pPr>
        <w:spacing w:after="0" w:line="178"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Our Non-Hotel segment revenue increased $118 million during the year ended December 31, 2015 when compared to the same period in 2014. This was driven by growth in our Vacation Rentals business, primarily due to growth in our free-to-list commission-based booking model, and $96 million in incremental revenue during the years ended December 31, 2015, when compared to the same period in 2014, related to our Attractions and Restaurants businesses, which Viator and Lafourchette were acquired in August 2014 and May 2014, respectively.</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3" w:name="page44"/>
    <w:bookmarkEnd w:id="43"/>
    <w:p>
      <w:pPr>
        <w:ind w:firstLine="598"/>
        <w:spacing w:after="0" w:line="272" w:lineRule="auto"/>
        <w:rPr>
          <w:sz w:val="20"/>
          <w:szCs w:val="20"/>
          <w:color w:val="auto"/>
        </w:rPr>
      </w:pPr>
      <w:r>
        <w:rPr>
          <w:rFonts w:ascii="Arial" w:cs="Arial" w:eastAsia="Arial" w:hAnsi="Arial"/>
          <w:sz w:val="17"/>
          <w:szCs w:val="17"/>
          <w:color w:val="auto"/>
        </w:rPr>
        <w:t>Adjusted EBITDA in our Non-Hotel segment decreased $22 million and $2 million during the years ended December 31, 2016 and 2015, respectively, when compared to the same periods in 2015 and 2014. The decrease during the year ended December 31, 2016, when compared to the same period in 2015, was primarily due to increased personnel and overhead costs of $47 million, in addition to increased online traffic acquisition costs and merchant credit card and transaction fees, which more than offset the increase in revenue. Adjusted EBITDA in our Non-Hotel Segment was relatively flat for the year ended December 31, 2015 when compared to the same period in 2014. The Attractions, Restaurants and Vacation Rentals businesses are all at the earlier stages of their growth and business life cycle which require early investment to fund growth initiatives, such as additional personnel, and a contributing factor to this reportable segment operating at a loss for the periods presented.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Geography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our revenue by geographic region. Revenue by geography is based on the geographic location of our websites: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6"/>
          </w:tcPr>
          <w:p>
            <w:pPr>
              <w:jc w:val="center"/>
              <w:ind w:left="455"/>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3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2016 vs 2015</w:t>
            </w:r>
          </w:p>
        </w:tc>
        <w:tc>
          <w:tcPr>
            <w:tcW w:w="100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2015 vs 2014</w:t>
            </w:r>
          </w:p>
        </w:tc>
        <w:tc>
          <w:tcPr>
            <w:tcW w:w="180" w:type="dxa"/>
            <w:vAlign w:val="bottom"/>
          </w:tcPr>
          <w:p>
            <w:pPr>
              <w:spacing w:after="0"/>
              <w:rPr>
                <w:sz w:val="13"/>
                <w:szCs w:val="13"/>
                <w:color w:val="auto"/>
              </w:rPr>
            </w:pPr>
          </w:p>
        </w:tc>
      </w:tr>
      <w:tr>
        <w:trPr>
          <w:trHeight w:val="156"/>
        </w:trPr>
        <w:tc>
          <w:tcPr>
            <w:tcW w:w="3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geographic region:</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North America (1)</w:t>
            </w:r>
          </w:p>
        </w:tc>
        <w:tc>
          <w:tcPr>
            <w:tcW w:w="16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EMEA (2)</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APAC (3)</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LATAM (4)</w:t>
            </w:r>
          </w:p>
        </w:tc>
        <w:tc>
          <w:tcPr>
            <w:tcW w:w="1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r>
      <w:tr>
        <w:trPr>
          <w:trHeight w:val="223"/>
        </w:trPr>
        <w:tc>
          <w:tcPr>
            <w:tcW w:w="3800" w:type="dxa"/>
            <w:vAlign w:val="bottom"/>
          </w:tcPr>
          <w:p>
            <w:pPr>
              <w:ind w:left="38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3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hanging="600"/>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United States and Canada</w:t>
      </w:r>
    </w:p>
    <w:p>
      <w:pPr>
        <w:spacing w:after="0" w:line="23" w:lineRule="exact"/>
        <w:rPr>
          <w:rFonts w:ascii="Arial" w:cs="Arial" w:eastAsia="Arial" w:hAnsi="Arial"/>
          <w:sz w:val="18"/>
          <w:szCs w:val="18"/>
          <w:color w:val="auto"/>
        </w:rPr>
      </w:pPr>
    </w:p>
    <w:p>
      <w:pPr>
        <w:ind w:left="1040" w:hanging="600"/>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Europe, Middle East, and Africa</w:t>
      </w:r>
    </w:p>
    <w:p>
      <w:pPr>
        <w:spacing w:after="0" w:line="9" w:lineRule="exact"/>
        <w:rPr>
          <w:rFonts w:ascii="Arial" w:cs="Arial" w:eastAsia="Arial" w:hAnsi="Arial"/>
          <w:sz w:val="18"/>
          <w:szCs w:val="18"/>
          <w:color w:val="auto"/>
        </w:rPr>
      </w:pPr>
    </w:p>
    <w:p>
      <w:pPr>
        <w:ind w:left="1040" w:hanging="600"/>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Asia-Pacific</w:t>
      </w:r>
    </w:p>
    <w:p>
      <w:pPr>
        <w:spacing w:after="0" w:line="9" w:lineRule="exact"/>
        <w:rPr>
          <w:rFonts w:ascii="Arial" w:cs="Arial" w:eastAsia="Arial" w:hAnsi="Arial"/>
          <w:sz w:val="18"/>
          <w:szCs w:val="18"/>
          <w:color w:val="auto"/>
        </w:rPr>
      </w:pPr>
    </w:p>
    <w:p>
      <w:pPr>
        <w:ind w:left="1040" w:hanging="600"/>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319"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Revenue outside of North America, or international revenue, decreased $67 million or 9% during the year ended December 31, 2016, when compared to the same period in 2015 and increased $100 million or 16% during the year ended December 31, 2015, when compared to the same period in 2014. International revenue represented 44%, 48%, and 50% of total revenue during the years ended December 31, 2016, 2015, and 2014, respectively. Our international revenue growth rate decelerated during the year ended December 31, 2016 when compared to the same period in 2015, primarily due to the overall decrease in revenue per hotel shopper, which is explained above. Our international revenue also declined as a percentage of total revenue during the year ended December 31, 2016 when compared to the same period in 2015. We believe this was largely due to the timing of our instant booking feature rollout in international markets during the first half of this year, and its associated dilutive impact to TripAdvisor-branded click-based and transaction revenue, as compared to the rollout in our U.S market, which was completed in the third quarter of 2015, and to a lesser extent the negative impact to total revenue from the fluctuation of foreign currency exchange rates. Although international revenue increased, our international revenue growth rate slowed and international revenue, as a percentage of total revenue, declined slightly during the year ended December 31, 2015 when compared to the same period in 2014, primarily due to the impact of fluctuations in foreign currency exchange rates, specifically the prolonged weakness of the Euro, in addition to our accelerated rollout of instant booking in the U.K. in the third quarter of 2015, which had a dilutive impact on international revenue in 2015. In addition, our international hotel shoppers have generally monetized at lower revenue per hotel shopper rates than hotel shoppers in the U.S. market for all periods presented.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ad serving fees, flight search fees, credit card fees and other transaction costs,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ind w:left="8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Borders>
              <w:top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2016 vs 2015</w:t>
            </w:r>
          </w:p>
        </w:tc>
        <w:tc>
          <w:tcPr>
            <w:tcW w:w="100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2015 vs 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38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6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ind w:left="800"/>
              <w:spacing w:after="0"/>
              <w:rPr>
                <w:sz w:val="20"/>
                <w:szCs w:val="20"/>
                <w:color w:val="auto"/>
              </w:rPr>
            </w:pPr>
            <w:r>
              <w:rPr>
                <w:rFonts w:ascii="Arial" w:cs="Arial" w:eastAsia="Arial" w:hAnsi="Arial"/>
                <w:sz w:val="18"/>
                <w:szCs w:val="18"/>
                <w:color w:val="auto"/>
              </w:rPr>
              <w:t>33%</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 of revenue</w:t>
            </w:r>
          </w:p>
        </w:tc>
        <w:tc>
          <w:tcPr>
            <w:tcW w:w="16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rPr>
              <w:t>22%</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22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Cost of revenue increased $13 million during the year ended December 31, 2016, when compared to the same periods in 2015, primarily due to increased direct costs from merchant credit card and transaction fees of $5 million, driven by additional transaction costs from growth in our Attractions and Vacation Rentals free-to-list businesses, and to a lesser extent increased personnel costs from increased headcount needed to support business growth and customer support primarily in our Non-Hotel segment.</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u w:val="single" w:color="auto"/>
          <w:color w:val="auto"/>
        </w:rPr>
        <w:t>2015 vs. 2014</w:t>
      </w:r>
    </w:p>
    <w:p>
      <w:pPr>
        <w:spacing w:after="0" w:line="117"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Cost of revenue increased $18 million during the year ended December 31, 2015, when compared to the same periods in 2014, primarily due to increased direct costs from merchant credit card and transaction fees of $9 million, driven by additional transaction costs from our 2014 business acquisition of our Attractions business and growth in our Vacation Rentals free-to-list business; and to a lesser extent increased personnel costs from additional headcount to support business growth and customer support, primarily in our Non-Hotel segment. Our Attractions and Restaurants businesses, which Viator and Lafourchette were acquired in August 2014 and May 2014, respectively, added an incremental $15 million to our cost of revenue for the year ended December 31, 2015, of which an incremental $6 million was related to personnel and overhead.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right="20" w:firstLine="638"/>
        <w:spacing w:after="0" w:line="259" w:lineRule="auto"/>
        <w:rPr>
          <w:sz w:val="20"/>
          <w:szCs w:val="20"/>
          <w:color w:val="auto"/>
        </w:rPr>
      </w:pPr>
      <w:r>
        <w:rPr>
          <w:rFonts w:ascii="Arial" w:cs="Arial" w:eastAsia="Arial" w:hAnsi="Arial"/>
          <w:sz w:val="18"/>
          <w:szCs w:val="18"/>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2016 vs 2015</w:t>
            </w:r>
          </w:p>
        </w:tc>
        <w:tc>
          <w:tcPr>
            <w:tcW w:w="100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2015 vs 2014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10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4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selling and marketing</w:t>
            </w:r>
          </w:p>
        </w:tc>
        <w:tc>
          <w:tcPr>
            <w:tcW w:w="14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1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6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51.1%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4"/>
        </w:trPr>
        <w:tc>
          <w:tcPr>
            <w:tcW w:w="3660" w:type="dxa"/>
            <w:vAlign w:val="bottom"/>
          </w:tcPr>
          <w:p>
            <w:pPr>
              <w:spacing w:after="0"/>
              <w:rPr>
                <w:sz w:val="24"/>
                <w:szCs w:val="24"/>
                <w:color w:val="auto"/>
              </w:rPr>
            </w:pPr>
          </w:p>
        </w:tc>
        <w:tc>
          <w:tcPr>
            <w:tcW w:w="2440" w:type="dxa"/>
            <w:vAlign w:val="bottom"/>
            <w:gridSpan w:val="3"/>
          </w:tcPr>
          <w:p>
            <w:pPr>
              <w:jc w:val="right"/>
              <w:ind w:right="21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225"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Direct selling and marketing costs increased $40 million during the year ended December 31, 2016 when compared to the same period in 2015, primarily due to increased SEM and other online traffic acquisition costs of $79 million, partially offset by a decrease in costs related to the cessation of our television advertising campaign. We spent $51 million on our television advertising campaign during the year ended December 31, 2015 in our Hotel segment, which we did not incur during the year ended December 31, 2016. Personnel and overhead costs increased $24 million during the year ended December 31, 2016 when compared to the same period in 2015, primarily due to an increase in headcount in our Non-Hotel segment, which was needed to support business growth.</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2015 vs. 2014</w:t>
      </w:r>
    </w:p>
    <w:p>
      <w:pPr>
        <w:spacing w:after="0" w:line="225"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Direct selling and marketing costs increased $167 million during the year ended December 31, 2015 when compared to the same period in 2014, primarily due to increased SEM and other online traffic acquisition costs and increased costs related to our television campaign. During the year ended December 31, 2015, we spent $51 million on our television advertising campaign, all within our Hotel segment. Personnel and overhead costs increased $23 million during the year ended December 31, 2015 when compared to the same period in 2014, primarily due to incremental personnel costs related to our 2014 business acquisitions in Attractions (Viator purchased in August 2014) and Restaurants (Lafourchette acquired in May 2014). Our Attraction and Restaurant businesses added an incremental $68 million to our selling and marketing expenses for the year ended December 31, 2015, of which an incremental $20 million was related to personnel and overhead, with the remaining incremental costs primarily related to SEM and other online traffic acquisition costs.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Technology and content expenses consist primarily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2016 vs 2015</w:t>
            </w:r>
          </w:p>
        </w:tc>
        <w:tc>
          <w:tcPr>
            <w:tcW w:w="100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2015 vs 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213</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technology and content</w:t>
            </w:r>
          </w:p>
        </w:tc>
        <w:tc>
          <w:tcPr>
            <w:tcW w:w="660" w:type="dxa"/>
            <w:vAlign w:val="bottom"/>
            <w:tcBorders>
              <w:bottom w:val="single" w:sz="8" w:color="auto"/>
            </w:tcBorders>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243</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16.4%</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Technology and content costs increased $36 million during the year ended December 31, 2016 when compared to the same period in 2015, primarily due to increased personnel costs, including an increase of $12 million in stock-based compensation, from increased headcount needed to support business growth, including international expansion and enhanced site features.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2015 vs. 2014</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Technology and content costs increased $36 million during the year ended December 31, 2015 when compared to the same period in 2014, primarily due to increased personnel costs from increased headcount to support business growth, including international expansion and enhanced site features, as well as incremental personnel costs related to our 2014 business acquisitions in Attractions (Viator purchased in August 2014) and Restaurants (Lafourchette acquired in May 2014). Our Attractions and Restaurants businesses added an incremental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6" w:name="page47"/>
    <w:bookmarkEnd w:id="46"/>
    <w:p>
      <w:pPr>
        <w:ind w:right="180"/>
        <w:spacing w:after="0" w:line="277" w:lineRule="auto"/>
        <w:rPr>
          <w:sz w:val="20"/>
          <w:szCs w:val="20"/>
          <w:color w:val="auto"/>
        </w:rPr>
      </w:pPr>
      <w:r>
        <w:rPr>
          <w:rFonts w:ascii="Arial" w:cs="Arial" w:eastAsia="Arial" w:hAnsi="Arial"/>
          <w:sz w:val="18"/>
          <w:szCs w:val="18"/>
          <w:color w:val="auto"/>
        </w:rPr>
        <w:t>$15 million to our technology and content expenses for the year ended December 31, 2015, of which an incremental $9 million was related to personnel and overhead.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General and administrative expenses consist primarily of personnel and related overhead costs, including personnel engaged in executive leadership, finance, legal, and human resources, including stock-based compensation. General and administrative costs also include professional service fees and other fees including audit, legal, tax and accounting, and other costs including bad debt expense, non-income taxes and charitable contributions.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2016 vs 2015</w:t>
            </w:r>
          </w:p>
        </w:tc>
        <w:tc>
          <w:tcPr>
            <w:tcW w:w="100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2015 vs 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680" w:type="dxa"/>
            <w:vAlign w:val="bottom"/>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101</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(60%)</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general and administrative</w:t>
            </w:r>
          </w:p>
        </w:tc>
        <w:tc>
          <w:tcPr>
            <w:tcW w:w="680" w:type="dxa"/>
            <w:vAlign w:val="bottom"/>
            <w:tcBorders>
              <w:bottom w:val="single" w:sz="8" w:color="auto"/>
            </w:tcBorders>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143</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7" w:lineRule="exact"/>
        <w:rPr>
          <w:sz w:val="20"/>
          <w:szCs w:val="20"/>
          <w:color w:val="auto"/>
        </w:rPr>
      </w:pPr>
    </w:p>
    <w:p>
      <w:pPr>
        <w:ind w:right="980" w:firstLine="598"/>
        <w:spacing w:after="0" w:line="291" w:lineRule="auto"/>
        <w:rPr>
          <w:sz w:val="20"/>
          <w:szCs w:val="20"/>
          <w:color w:val="auto"/>
        </w:rPr>
      </w:pPr>
      <w:r>
        <w:rPr>
          <w:rFonts w:ascii="Arial" w:cs="Arial" w:eastAsia="Arial" w:hAnsi="Arial"/>
          <w:sz w:val="16"/>
          <w:szCs w:val="16"/>
          <w:color w:val="auto"/>
        </w:rPr>
        <w:t>General and administrative costs decreased $67 million during the year ended December 31, 2016, when compared to the same period in 2015. Personnel costs and overhead costs decreased $5 million during the year ended December 31, 2016, when compared to the same period in</w:t>
      </w:r>
    </w:p>
    <w:p>
      <w:pPr>
        <w:jc w:val="both"/>
        <w:ind w:right="80"/>
        <w:spacing w:after="0" w:line="255" w:lineRule="auto"/>
        <w:rPr>
          <w:sz w:val="20"/>
          <w:szCs w:val="20"/>
          <w:color w:val="auto"/>
        </w:rPr>
      </w:pPr>
      <w:r>
        <w:rPr>
          <w:rFonts w:ascii="Arial" w:cs="Arial" w:eastAsia="Arial" w:hAnsi="Arial"/>
          <w:sz w:val="18"/>
          <w:szCs w:val="18"/>
          <w:color w:val="auto"/>
        </w:rPr>
        <w:t>2015. Professional service fees and other also decreased $62 million during the year ended December 31, 2016, when compared to the same period in 2015, primarily due to a non-cash charitable contribution of $67 million during the year ended December 31, 2015, discussed below, which did not reoccur in 2016, partially offset by increased consulting costs, non-income taxes, and bad debt expense.</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u w:val="single" w:color="auto"/>
          <w:color w:val="auto"/>
        </w:rPr>
        <w:t>2015 vs. 2014</w:t>
      </w:r>
    </w:p>
    <w:p>
      <w:pPr>
        <w:spacing w:after="0" w:line="11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 xml:space="preserve">General and administrative costs increased $82 million during the year ended December 31, 2015, when compared to the same period in 2014, primarily due to an increase in charitable contributions of $59 million. During the year ended December 31, 2015, we made a $67 million non-cash charitable contribution to settle our pledge obligation to the TripAdvisor Charitable Foundation, while we recorded a charitable contribution of $8 million in the year ended December 31, 2014, which was settled in cash. See “Note 17— </w:t>
      </w:r>
      <w:r>
        <w:rPr>
          <w:rFonts w:ascii="Arial" w:cs="Arial" w:eastAsia="Arial" w:hAnsi="Arial"/>
          <w:sz w:val="16"/>
          <w:szCs w:val="16"/>
          <w:i w:val="1"/>
          <w:iCs w:val="1"/>
          <w:color w:val="auto"/>
        </w:rPr>
        <w:t>Segments and Geographic Information</w:t>
      </w:r>
      <w:r>
        <w:rPr>
          <w:rFonts w:ascii="Arial" w:cs="Arial" w:eastAsia="Arial" w:hAnsi="Arial"/>
          <w:sz w:val="16"/>
          <w:szCs w:val="16"/>
          <w:color w:val="auto"/>
        </w:rPr>
        <w:t>” in the notes to our consolidated financial statements in Item 8 for additional information. Personnel costs and overhead costs also increased $19 million, which was related to an increase in headcount to support our business operations, as well as incremental personnel costs related to our 2014 business acquisitions in Attractions (Viator purchased in August 2014) and Restaurants (Lafourchette acquired in May 2014). Our Attractions and Restaurants businesses added an incremental $11 million to our general and administrative expenses for the year ended December 31, 2015, of which an incremental $8 million was related to personnel and overhead.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59"/>
              <w:spacing w:after="0" w:line="155" w:lineRule="exact"/>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4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center"/>
              <w:ind w:right="3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416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20" w:type="dxa"/>
            <w:vAlign w:val="bottom"/>
          </w:tcPr>
          <w:p>
            <w:pPr>
              <w:ind w:left="260"/>
              <w:spacing w:after="0"/>
              <w:rPr>
                <w:sz w:val="20"/>
                <w:szCs w:val="20"/>
                <w:color w:val="auto"/>
              </w:rPr>
            </w:pPr>
            <w:r>
              <w:rPr>
                <w:rFonts w:ascii="Arial" w:cs="Arial" w:eastAsia="Arial" w:hAnsi="Arial"/>
                <w:sz w:val="18"/>
                <w:szCs w:val="18"/>
                <w:color w:val="auto"/>
              </w:rPr>
              <w:t>% of revenue</w:t>
            </w:r>
          </w:p>
        </w:tc>
        <w:tc>
          <w:tcPr>
            <w:tcW w:w="3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891"/>
        </w:trPr>
        <w:tc>
          <w:tcPr>
            <w:tcW w:w="3420" w:type="dxa"/>
            <w:vAlign w:val="bottom"/>
          </w:tcPr>
          <w:p>
            <w:pPr>
              <w:spacing w:after="0"/>
              <w:rPr>
                <w:sz w:val="24"/>
                <w:szCs w:val="24"/>
                <w:color w:val="auto"/>
              </w:rPr>
            </w:pPr>
          </w:p>
        </w:tc>
        <w:tc>
          <w:tcPr>
            <w:tcW w:w="3220" w:type="dxa"/>
            <w:vAlign w:val="bottom"/>
          </w:tcPr>
          <w:p>
            <w:pPr>
              <w:jc w:val="right"/>
              <w:ind w:right="750"/>
              <w:spacing w:after="0"/>
              <w:rPr>
                <w:sz w:val="20"/>
                <w:szCs w:val="20"/>
                <w:color w:val="auto"/>
              </w:rPr>
            </w:pPr>
            <w:r>
              <w:rPr>
                <w:rFonts w:ascii="Arial" w:cs="Arial" w:eastAsia="Arial" w:hAnsi="Arial"/>
                <w:sz w:val="18"/>
                <w:szCs w:val="18"/>
                <w:color w:val="auto"/>
              </w:rPr>
              <w:t>45</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7" w:name="page48"/>
    <w:bookmarkEnd w:id="47"/>
    <w:p>
      <w:pPr>
        <w:ind w:right="180" w:firstLine="598"/>
        <w:spacing w:after="0" w:line="273" w:lineRule="auto"/>
        <w:rPr>
          <w:sz w:val="20"/>
          <w:szCs w:val="20"/>
          <w:color w:val="auto"/>
        </w:rPr>
      </w:pPr>
      <w:r>
        <w:rPr>
          <w:rFonts w:ascii="Arial" w:cs="Arial" w:eastAsia="Arial" w:hAnsi="Arial"/>
          <w:sz w:val="17"/>
          <w:szCs w:val="17"/>
          <w:color w:val="auto"/>
        </w:rPr>
        <w:t xml:space="preserve">Depreciation expense increased $12 million during the year ended December 31, 2016 when compared to the same period in 2015, primarily due to increased amortization related to capitalized software and website development costs of $9 million and incremental depreciation on our corporate headquarters building of $1 million. Depreciation expense increased $10 million during the year ended December 31, 2015 when compared to the same period in 2014, primarily due to increased amortization related to capitalized software and website development costs of $7 million and incremental depreciation on our corporate headquarters building of $2 million. Refer to “Note 13—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in the notes to our consolidated financial statements in Item 8 for additional information on our corporate headquarters asset.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94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59"/>
              <w:spacing w:after="0" w:line="155" w:lineRule="exact"/>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6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center"/>
              <w:ind w:right="3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 of revenue</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41"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 xml:space="preserve">Amortization of intangible assets decreased $4 million during the year ended December 31, 2016 when compared to the same period in 2015, primarily due to the completion of amortization related to certain intangible assets from previous business acquisitions. Amortization of intangible assets increased $18 million during the year ended December 31, 2015 when compared to the same period in 2014, primarily due to incremental amortization from purchased definite lived intangibles related to our 2014 business acquisitions. Refer to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in the notes to our consolidated financial statements in Item 8 for additional information on our acquisitions.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Interest expense primarily consists of interest incurred, commitment fees and debt issuance cost amortization related to our 2011 Credit Facility, 2015 Credit Facility, 2016 Credit Facility, and Chinese Credit Facilities, as well as interest on our financing obligation related to our corporate headquarters.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80" w:type="dxa"/>
            <w:vAlign w:val="bottom"/>
          </w:tcPr>
          <w:p>
            <w:pPr>
              <w:spacing w:after="0"/>
              <w:rPr>
                <w:sz w:val="13"/>
                <w:szCs w:val="13"/>
                <w:color w:val="auto"/>
              </w:rPr>
            </w:pPr>
          </w:p>
        </w:tc>
        <w:tc>
          <w:tcPr>
            <w:tcW w:w="94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302"/>
              <w:spacing w:after="0" w:line="155" w:lineRule="exact"/>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56"/>
        </w:trPr>
        <w:tc>
          <w:tcPr>
            <w:tcW w:w="6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center"/>
              <w:ind w:right="30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ind w:right="180" w:firstLine="598"/>
        <w:spacing w:after="0" w:line="291" w:lineRule="auto"/>
        <w:rPr>
          <w:sz w:val="20"/>
          <w:szCs w:val="20"/>
          <w:color w:val="auto"/>
        </w:rPr>
      </w:pPr>
      <w:r>
        <w:rPr>
          <w:rFonts w:ascii="Arial" w:cs="Arial" w:eastAsia="Arial" w:hAnsi="Arial"/>
          <w:sz w:val="16"/>
          <w:szCs w:val="16"/>
          <w:color w:val="auto"/>
        </w:rPr>
        <w:t xml:space="preserve">Interest expense increased $2 million during the year ended December 31, 2016 when compared to the same period in 2015, primarily due to an increase of $3 million in interest imputed on our financing obligation related to our corporate headquarters lease in 2016, partially offset by a decrease in interest incurred due to lower average outstanding borrowings during the year ended December 31, 2016. Interest expense increased $1 million during the year ended December 31, 2015 when compared to the same period in 2014, primarily due to interest imputed on our financing obligation related to our corporate headquarters lease of approximately $4 million in 2015, partially offset by a decrease in interest incurred due to lower average outstanding borrowings during 2015. Refer to “Note 9— </w:t>
      </w:r>
      <w:r>
        <w:rPr>
          <w:rFonts w:ascii="Arial" w:cs="Arial" w:eastAsia="Arial" w:hAnsi="Arial"/>
          <w:sz w:val="16"/>
          <w:szCs w:val="16"/>
          <w:i w:val="1"/>
          <w:iCs w:val="1"/>
          <w:color w:val="auto"/>
        </w:rPr>
        <w:t>Debt</w:t>
      </w:r>
      <w:r>
        <w:rPr>
          <w:rFonts w:ascii="Arial" w:cs="Arial" w:eastAsia="Arial" w:hAnsi="Arial"/>
          <w:sz w:val="16"/>
          <w:szCs w:val="16"/>
          <w:color w:val="auto"/>
        </w:rPr>
        <w:t xml:space="preserve">” and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notes to our consolidated financial statements in Item 8 for additional information on our outstanding borrowing facilities and our financing obligation related to our corporate headquarters,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right="420" w:firstLine="598"/>
        <w:spacing w:after="0" w:line="308" w:lineRule="auto"/>
        <w:rPr>
          <w:sz w:val="20"/>
          <w:szCs w:val="20"/>
          <w:color w:val="auto"/>
        </w:rPr>
      </w:pPr>
      <w:r>
        <w:rPr>
          <w:rFonts w:ascii="Arial" w:cs="Arial" w:eastAsia="Arial" w:hAnsi="Arial"/>
          <w:sz w:val="17"/>
          <w:szCs w:val="17"/>
          <w:color w:val="auto"/>
        </w:rPr>
        <w:t>Interest income and other, net primarily consists of interest earned and amortization of discounts and premiums on our marketable securities, net foreign currency exchange gains and losses, and gains and losses on sales of our marketable securities and sale of businesses.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80" w:type="dxa"/>
            <w:vAlign w:val="bottom"/>
          </w:tcPr>
          <w:p>
            <w:pPr>
              <w:spacing w:after="0"/>
              <w:rPr>
                <w:sz w:val="13"/>
                <w:szCs w:val="13"/>
                <w:color w:val="auto"/>
              </w:rPr>
            </w:pPr>
          </w:p>
        </w:tc>
        <w:tc>
          <w:tcPr>
            <w:tcW w:w="98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302"/>
              <w:spacing w:after="0" w:line="155" w:lineRule="exact"/>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56"/>
        </w:trPr>
        <w:tc>
          <w:tcPr>
            <w:tcW w:w="6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center"/>
              <w:ind w:right="30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7"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Interest income and other, net decreased during the year ended December 31, 2016, when compared to the same period in 2015, primarily due to a $20 million gain from sale of business of one of our Chinese subsidiaries in 2015 that did not reoccur in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2015 vs. 2014</w:t>
      </w:r>
    </w:p>
    <w:p>
      <w:pPr>
        <w:spacing w:after="0" w:line="117"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 xml:space="preserve">Interest income and other, net increased during the year ended December 31, 2015, when compared to the same periods in 2014, primarily due to the fluctuation of foreign currency exchange rates and a $20 million gain from the sale of one of our Chinese subsidiaries during 2015. Refer to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in the notes to our consolidated financial statements in Item 8 for additional information on the sale of this 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2"/>
              </w:rPr>
              <w:t>Year ended December 31,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59"/>
              <w:spacing w:after="0" w:line="155" w:lineRule="exact"/>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155"/>
        </w:trPr>
        <w:tc>
          <w:tcPr>
            <w:tcW w:w="4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center"/>
              <w:ind w:right="3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4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9"/>
              <w:spacing w:after="0"/>
              <w:rPr>
                <w:sz w:val="20"/>
                <w:szCs w:val="20"/>
                <w:color w:val="auto"/>
              </w:rPr>
            </w:pPr>
            <w:r>
              <w:rPr>
                <w:rFonts w:ascii="Arial" w:cs="Arial" w:eastAsia="Arial" w:hAnsi="Arial"/>
                <w:sz w:val="18"/>
                <w:szCs w:val="18"/>
                <w:color w:val="auto"/>
              </w:rPr>
              <w:t>41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0"/>
                <w:szCs w:val="20"/>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Effective tax rate</w:t>
            </w:r>
          </w:p>
        </w:tc>
        <w:tc>
          <w:tcPr>
            <w:tcW w:w="2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17.2%</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w:t>
            </w:r>
          </w:p>
        </w:tc>
      </w:tr>
    </w:tbl>
    <w:p>
      <w:pPr>
        <w:spacing w:after="0" w:line="31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effective tax rate is generally less than the federal statutory rate in the United States primarily due to earnings in jurisdictions outside the United States, where our effective tax rate is lower. This is partly driven by a statutory tax rate in the United Kingdom of 20% and our tax incentive of 5% tax rate on qualifying income in Singapore granted by the Singapore Economic Development Board in 2011. This incentive provides for a reduced tax rate on qualifying income of 5% as compared to Singapore’s statutory tax rate of 17% and is conditional upon our meeting certain employment and investment thresholds, which the Company has met through 2016. Our effective tax rate is partially offset by state income taxes, non-deductible stock compensation and accruals on uncertain tax positions.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7" w:lineRule="exact"/>
        <w:rPr>
          <w:sz w:val="20"/>
          <w:szCs w:val="20"/>
          <w:color w:val="auto"/>
        </w:rPr>
      </w:pPr>
    </w:p>
    <w:p>
      <w:pPr>
        <w:ind w:right="260" w:firstLine="598"/>
        <w:spacing w:after="0" w:line="257" w:lineRule="auto"/>
        <w:rPr>
          <w:sz w:val="20"/>
          <w:szCs w:val="20"/>
          <w:color w:val="auto"/>
        </w:rPr>
      </w:pPr>
      <w:r>
        <w:rPr>
          <w:rFonts w:ascii="Arial" w:cs="Arial" w:eastAsia="Arial" w:hAnsi="Arial"/>
          <w:sz w:val="18"/>
          <w:szCs w:val="18"/>
          <w:color w:val="auto"/>
        </w:rPr>
        <w:t>Our effective tax rate increased to 20.5% during the year ended December 31, 2016 from 17.2% in the same period in 2015. The change in the effective tax rate for 2016 compared to the 2015 rate was primarily due to a change in jurisdictional earnings, which includes a non-cash charitable contribution during the year ended December 31, 2015, which did not reoccur in 2016, and the recognition of prior year tax benefits in response to a recent U.S. Tax Court ruling in regards to Altera Corporation on the treatment of stock-based compensation in cost-sharing arrangements, both of which are discussed below.</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2015 vs. 2014</w:t>
      </w:r>
    </w:p>
    <w:p>
      <w:pPr>
        <w:spacing w:after="0" w:line="117"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Our effective tax rate decreased to 17.2% during the year ended December 31, 2015 from 29.8% in the same period in 2014. The change in the effective tax rate for 2015 compared to the 2014 rate was primarily due to a change in jurisdictional earnings, which includes an incremental $59 million of expense related to charitable contributions in the U.S. during 2015, and the recognition of a tax benefit of $13 million in response to a recent 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right="100"/>
        <w:spacing w:after="0" w:line="286" w:lineRule="auto"/>
        <w:rPr>
          <w:sz w:val="20"/>
          <w:szCs w:val="20"/>
          <w:color w:val="auto"/>
        </w:rPr>
      </w:pPr>
      <w:r>
        <w:rPr>
          <w:rFonts w:ascii="Arial" w:cs="Arial" w:eastAsia="Arial" w:hAnsi="Arial"/>
          <w:sz w:val="17"/>
          <w:szCs w:val="17"/>
          <w:color w:val="auto"/>
        </w:rPr>
        <w:t xml:space="preserve">Tax Court ruling in regards to Altera Corporation on the treatment of stock-based compensation in cost-sharing arrangements. Refer to “Note 10 —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in the notes to our consolidated financial statements in Item 8 for a discussion regarding the Altera Corporation court ruling. The decline in our</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tax rate was also partly driven by a decrease in the statutory tax rate in the United Kingdom from 21% to 20% in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right="20" w:firstLine="59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firstLine="8"/>
        <w:spacing w:after="0" w:line="261"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other non-recurring expenses and income.</w:t>
      </w:r>
    </w:p>
    <w:p>
      <w:pPr>
        <w:spacing w:after="0" w:line="184"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180" w:hanging="429"/>
        <w:spacing w:after="0"/>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180" w:hanging="429"/>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180" w:hanging="429"/>
        <w:spacing w:after="0"/>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28" w:lineRule="exact"/>
        <w:rPr>
          <w:rFonts w:ascii="Arial" w:cs="Arial" w:eastAsia="Arial" w:hAnsi="Arial"/>
          <w:sz w:val="17"/>
          <w:szCs w:val="17"/>
          <w:color w:val="auto"/>
        </w:rPr>
      </w:pPr>
    </w:p>
    <w:p>
      <w:pPr>
        <w:ind w:left="1180" w:right="240" w:hanging="429"/>
        <w:spacing w:after="0" w:line="26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180" w:hanging="429"/>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180" w:right="120" w:hanging="429"/>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 above.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30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198</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Other non-recurring expenses</w:t>
            </w: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Non-cash charitable contribution </w:t>
            </w:r>
            <w:r>
              <w:rPr>
                <w:rFonts w:ascii="Arial" w:cs="Arial" w:eastAsia="Arial" w:hAnsi="Arial"/>
                <w:sz w:val="14"/>
                <w:szCs w:val="14"/>
                <w:color w:val="auto"/>
              </w:rPr>
              <w:t>(1)</w:t>
            </w:r>
          </w:p>
        </w:tc>
        <w:tc>
          <w:tcPr>
            <w:tcW w:w="2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2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w:t>
            </w:r>
          </w:p>
        </w:tc>
        <w:tc>
          <w:tcPr>
            <w:tcW w:w="2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440" w:hanging="432"/>
        <w:spacing w:after="0" w:line="256" w:lineRule="auto"/>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 xml:space="preserve">During the fourth quarter of 2015, we incurred an expense in the amount of $67 million to reflect a non-cash contribution to The TripAdvisor Charitable Foundation (the “Foundation”), which was recorded to general and administrative expense in our consolidated statement of operations. We settled this obligation in treasury shares based on the fair value of our common stock on the date the shares were issued to the Foundation. Given the use of stock to settle the obligation, the amount has been excluded from Adjusted EBITDA. TripAdvisor does not expect to make any future contributions to the Foundation. Refer to “Note 17 – </w:t>
      </w:r>
      <w:r>
        <w:rPr>
          <w:rFonts w:ascii="Arial" w:cs="Arial" w:eastAsia="Arial" w:hAnsi="Arial"/>
          <w:sz w:val="13"/>
          <w:szCs w:val="13"/>
          <w:i w:val="1"/>
          <w:iCs w:val="1"/>
          <w:color w:val="auto"/>
        </w:rPr>
        <w:t>Segments and Geographic Information</w:t>
      </w:r>
      <w:r>
        <w:rPr>
          <w:rFonts w:ascii="Arial" w:cs="Arial" w:eastAsia="Arial" w:hAnsi="Arial"/>
          <w:sz w:val="13"/>
          <w:szCs w:val="13"/>
          <w:color w:val="auto"/>
        </w:rPr>
        <w:t>” for a discussion of this charitable contribution.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following section explains how we have generated and used our cash historically, describes our current capital resources and discusses our future known financial commitments.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statements of cash flows, are summarized in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317"/>
              <w:spacing w:after="0" w:line="155"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45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center"/>
              <w:ind w:right="29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14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418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w:t>
            </w: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20"/>
                <w:szCs w:val="20"/>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bl>
    <w:p>
      <w:pPr>
        <w:spacing w:after="0" w:line="228"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Our principal source of liquidity is cash flows generated from operations, although liquidity needs can also be met through drawdowns under our 2015 Credit Facility, 2016 Credit Facility and Chinese Credit Facilities. As of December 31, 2016 and 2015, we had $746 million and $698 million, respectively, of cash, cash equivalents and short and long-term available-for-sale marketable securities. As of December 31, 2016 approximately $476 million of our cash, cash equivalents and all, or $134 million of short and long-term available-for-sale marketable securities, were held by our international subsidiaries, primarily in the United Kingdom. Cumulative undistributed earnings of foreign subsidiaries that we intend to indefinitely reinvest outside of the United States totaled approximately $828 million as of December 31, 2016. Should we distribute, or be treated under certain U.S. tax rules as having distributed, the earnings of foreign subsidiaries in the form of dividends or otherwise, we may be subject to U.S. income taxes. To date, we have permanently reinvested our foreign earnings outside of the United States and we currently do not intend to repatriate these earnings to fund U.S. operations. Determination of the amount of any unrecognized deferred income tax liability on this temporary difference is not practicable because of the complexities of the hypothetical calculation. The majority of cash on hand is denominated in U.S. dollars.</w:t>
      </w:r>
    </w:p>
    <w:p>
      <w:pPr>
        <w:spacing w:after="0" w:line="178"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As of December 31, 2016, we had outstanding borrowings of $91 million in long-term debt, within our U.S subsidiaries, and approximately $906 million of borrowing capacity available under our 2015 Credit Facility, which we are currently borrowing under a one-month interest period at 2.0% per annum, which will reset periodically. 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51" w:name="page52"/>
    <w:bookmarkEnd w:id="51"/>
    <w:p>
      <w:pPr>
        <w:spacing w:after="0" w:line="276" w:lineRule="auto"/>
        <w:rPr>
          <w:sz w:val="20"/>
          <w:szCs w:val="20"/>
          <w:color w:val="auto"/>
        </w:rPr>
      </w:pPr>
      <w:r>
        <w:rPr>
          <w:rFonts w:ascii="Arial" w:cs="Arial" w:eastAsia="Arial" w:hAnsi="Arial"/>
          <w:sz w:val="17"/>
          <w:szCs w:val="17"/>
          <w:color w:val="auto"/>
        </w:rPr>
        <w:t xml:space="preserve">addition, we had outstanding borrowings of $73 million in short-term debt, within our subsidiaries outside the U.S., and no additional borrowing capacity available under our 2016 Credit Facility, which we are currently borrowing under a one-month interest period at 1.9% per annum, which will also reset periodically. Finally, as of December 31, 2016, we had current borrowings of $7 million and approximately $33 million of available borrowing capacity under our Chinese Credit Facilities, which currently bear interest at a rate based on 100% of the People’s Bank of China’s base rate, or 4.35%. For further discussion on our credit facilities, see below, and also refer to “Note 9—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consolidated financial statements in Item 8.</w:t>
      </w:r>
    </w:p>
    <w:p>
      <w:pPr>
        <w:spacing w:after="0" w:line="173"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available-for-sale marketable securities, combined with expected cash flows generated by operating activities and available cash from our credit facilities, will be sufficient to fund our ongoing working capital requirements, capital expenditures and business growth initiatives; meet our long term debt obligations, lease commitments and other financial commitments; and fund any potential share repurchases or potential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For the year ended December 31, 2016, net cash provided by operating activities decreased by $97 million or 23% when compared to the same period in 2015, primarily due to a decrease in net income of $78 million and a decrease in working capital movements of $11 million, primarily due to the timing of vendor payments, income tax payments, and collection of receivables, as well as a lower income tax provision in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For the year ended December 31, 2016, net cash used in investing activities increased by $105 million when compared to the same period in 2016, primarily due to a net increase in cash used for the purchases, sales and maturities of our marketable securities of $103 million, net proceeds from the sale of one of our Chinese subsidiaries of $25 million in 2015 which did not reoccur in 2016, and a net increase in cash paid for business acquisitions and other investments of $14 million, partially offset by a decrease in capital expenditures of $37 million, primarily related to the completion of our corporate headquarters building in mid-2015.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For the year ended December 31, 2016, net cash used in financing activities decreased by $46 million when compared to the same period in 2015, primarily due to: (i) a repayment of our 2011 credit facility of $300 million in 2015, (ii) a decrease in borrowings of $186 million in 2016 from our 2015 Credit Facility, (iii) incremental borrowings of $3 million and a decrease in repayments of $40 million in 2016 on our Chinese Credit Facilities, (iv) a decrease in tax withholding payments of $58 million and cash received for stock option exercises of $5 million in 2016 primarily related to a decrease in the number of stock options exercised and lower average stock price in 2016, and (v) borrowings on our 2016 Credit Facility of $73 million in 2016; partially offset by (i) an increase in repayments of $120 million in 2016 related to our 2015 Credit Facility, (ii) payments of $105 million for common stock share repurchases under our authorized share repurchase program in 2016, and (iii) $12 million in lease incentive payments received related to our corporate headquarters in 2015 that did not reoccur in 2016.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i w:val="1"/>
          <w:iCs w:val="1"/>
          <w:u w:val="single" w:color="auto"/>
          <w:color w:val="auto"/>
        </w:rPr>
        <w:t>2015 vs.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the year ended December 31, 2015, net cash provided by operating activities increased by $11 million or 3% when compared to the same period in 2014, primarily driven by an increase in non-cash items affecting cash flows of $55 million, which is primarily due to an increase in the following items: stock-based compensation; depreciation; amortization of intangibles; and charitable contributions, partially offset by deferred tax benefits and gain on sale of a business, all of which was partially offset by a decrease in net income of $28 million and working capital movements of $16 million. The decrease in working capital movements of $16 million was primarily related to an overall lower income tax provision for 2015, partially offset by an increase in operating cash flow from deferred merchant payables.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For the year ended December 31, 2015, net cash used in investing activities decreased by $175 million when compared to the same period in 2014, primarily due to a net decrease in cash paid for business acquisitions of $302 million and net proceeds from the sale of one of our Chinese subsidiaries of $25 million in 2015, partially offset by a net increase in cash used for the purchases, sales and maturities of our marketable securities of $125 million, and an increase in capital expenditures of $28 million, primarily driven by expenditures on our corporate headquarters.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the year ended December 31, 2015, net cash used in financing activities increased by $128 million when compared to the same period in 2014, primarily due to the repayment of our Term Loan of $300 million in 2015, or an incremental outflow of $260 million, partial repayment of our outstanding borrowings related to our 2015 Credit Facility of $90 million, incremental repayments of our outstanding borrowings related to our Chinese Credit Facilities of $38 million, and an increase in tax withholding payments of $40 million primarily related to increased exercises of stock options, partially offset by net borrowings on our 2015 Credit Facility of $287 million, and receipts of $12 million in lease incentive payments related to our corporate headquarters building financing obligation.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aggregates our material contractual obligations and minimum commercial commitments as of December 31, 2016:</w:t>
      </w:r>
    </w:p>
    <w:p>
      <w:pPr>
        <w:spacing w:after="0" w:line="298"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By Period</w:t>
      </w:r>
    </w:p>
    <w:p>
      <w:pPr>
        <w:sectPr>
          <w:pgSz w:w="11900" w:h="16838" w:orient="portrait"/>
          <w:cols w:equalWidth="0" w:num="1">
            <w:col w:w="11400"/>
          </w:cols>
          <w:pgMar w:left="240" w:top="665" w:right="2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40" w:right="1240" w:hanging="134"/>
        <w:spacing w:after="0" w:line="258" w:lineRule="auto"/>
        <w:rPr>
          <w:sz w:val="20"/>
          <w:szCs w:val="20"/>
          <w:color w:val="auto"/>
        </w:rPr>
      </w:pPr>
      <w:r>
        <w:rPr>
          <w:rFonts w:ascii="Arial" w:cs="Arial" w:eastAsia="Arial" w:hAnsi="Arial"/>
          <w:sz w:val="18"/>
          <w:szCs w:val="18"/>
          <w:color w:val="auto"/>
        </w:rPr>
        <w:t>2015 Credit Facility, 2016 Credit Facility, and Chinese Credit Facilities (1)</w:t>
      </w:r>
    </w:p>
    <w:p>
      <w:pPr>
        <w:spacing w:after="0" w:line="1" w:lineRule="exact"/>
        <w:rPr>
          <w:sz w:val="20"/>
          <w:szCs w:val="20"/>
          <w:color w:val="auto"/>
        </w:rPr>
      </w:pPr>
    </w:p>
    <w:p>
      <w:pPr>
        <w:ind w:left="140" w:right="1440" w:hanging="134"/>
        <w:spacing w:after="0" w:line="258" w:lineRule="auto"/>
        <w:rPr>
          <w:sz w:val="20"/>
          <w:szCs w:val="20"/>
          <w:color w:val="auto"/>
        </w:rPr>
      </w:pPr>
      <w:r>
        <w:rPr>
          <w:rFonts w:ascii="Arial" w:cs="Arial" w:eastAsia="Arial" w:hAnsi="Arial"/>
          <w:sz w:val="18"/>
          <w:szCs w:val="18"/>
          <w:color w:val="auto"/>
        </w:rPr>
        <w:t>Expected interest payments on 2015 Credit Facility (2)</w:t>
      </w:r>
    </w:p>
    <w:p>
      <w:pPr>
        <w:spacing w:after="0" w:line="1" w:lineRule="exact"/>
        <w:rPr>
          <w:sz w:val="20"/>
          <w:szCs w:val="20"/>
          <w:color w:val="auto"/>
        </w:rPr>
      </w:pPr>
    </w:p>
    <w:p>
      <w:pPr>
        <w:ind w:left="140" w:right="800" w:hanging="134"/>
        <w:spacing w:after="0" w:line="258" w:lineRule="auto"/>
        <w:rPr>
          <w:sz w:val="20"/>
          <w:szCs w:val="20"/>
          <w:color w:val="auto"/>
        </w:rPr>
      </w:pPr>
      <w:r>
        <w:rPr>
          <w:rFonts w:ascii="Arial" w:cs="Arial" w:eastAsia="Arial" w:hAnsi="Arial"/>
          <w:sz w:val="18"/>
          <w:szCs w:val="18"/>
          <w:color w:val="auto"/>
        </w:rPr>
        <w:t>Expected commitment fee payments on 2015 Credit Facility (3)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Property leases, net of sublease income (4)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(5)(6)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22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1 to 3 years</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3 to 5 years</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5"/>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1 year</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6"/>
        </w:trPr>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-1174115</wp:posOffset>
            </wp:positionV>
            <wp:extent cx="7246620" cy="283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-608330</wp:posOffset>
            </wp:positionV>
            <wp:extent cx="7246620" cy="283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-179705</wp:posOffset>
            </wp:positionV>
            <wp:extent cx="72466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120"/>
          </w:cols>
          <w:pgMar w:left="240" w:top="665" w:right="259" w:bottom="1440" w:gutter="0" w:footer="0" w:header="0"/>
          <w:type w:val="continuous"/>
        </w:sectPr>
      </w:pPr>
    </w:p>
    <w:p>
      <w:pPr>
        <w:spacing w:after="0" w:line="29" w:lineRule="exact"/>
        <w:rPr>
          <w:sz w:val="20"/>
          <w:szCs w:val="20"/>
          <w:color w:val="auto"/>
        </w:rPr>
      </w:pPr>
    </w:p>
    <w:p>
      <w:pPr>
        <w:ind w:left="600" w:right="120" w:hanging="592"/>
        <w:spacing w:after="0" w:line="256"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Debt repayment amounts assume that our existing debt under our 2015 Credit Facility is repaid at the end of the credit agreement and do not assume additional borrowings or refinancing of existing debt. See “Note 9—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 Item 8 for additional information on our 2015 Credit Facility, 2016 Credit Facility, and Chinese Credit Facilities.</w:t>
      </w:r>
    </w:p>
    <w:p>
      <w:pPr>
        <w:ind w:left="600" w:right="140" w:hanging="592"/>
        <w:spacing w:after="0" w:line="261"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included as expected interest payments in this table are based on the effective interest rate as of December 31, 2016, but, could change significantly in the future. Amounts assume that our existing debt is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type w:val="continuous"/>
        </w:sectPr>
      </w:pPr>
    </w:p>
    <w:bookmarkStart w:id="53" w:name="page54"/>
    <w:bookmarkEnd w:id="53"/>
    <w:p>
      <w:pPr>
        <w:ind w:left="600"/>
        <w:spacing w:after="0"/>
        <w:rPr>
          <w:sz w:val="20"/>
          <w:szCs w:val="20"/>
          <w:color w:val="auto"/>
        </w:rPr>
      </w:pPr>
      <w:r>
        <w:rPr>
          <w:rFonts w:ascii="Arial" w:cs="Arial" w:eastAsia="Arial" w:hAnsi="Arial"/>
          <w:sz w:val="18"/>
          <w:szCs w:val="18"/>
          <w:color w:val="auto"/>
        </w:rPr>
        <w:t>repaid at the end of the credit agreement and do not assume additional borrowings or refinancing of existing debt.</w:t>
      </w:r>
    </w:p>
    <w:p>
      <w:pPr>
        <w:spacing w:after="0" w:line="23" w:lineRule="exact"/>
        <w:rPr>
          <w:sz w:val="20"/>
          <w:szCs w:val="20"/>
          <w:color w:val="auto"/>
        </w:rPr>
      </w:pPr>
    </w:p>
    <w:p>
      <w:pPr>
        <w:ind w:left="600" w:right="240" w:hanging="592"/>
        <w:spacing w:after="0" w:line="265"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amounts included as expected commitment fee payments in this table are based on the unused portion of credit facility, issued letters of credit, and current effective commitment fee rate as of December 31, 2016, however, these variables could change significantly in the future.</w:t>
      </w:r>
    </w:p>
    <w:p>
      <w:pPr>
        <w:ind w:left="600" w:right="340" w:hanging="592"/>
        <w:spacing w:after="0" w:line="250"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Estimated future minimum rental payments under operating leases with non-cancelable lease terms, including our corporate headquarters lease in Needham, MA. See discussion under “Office Lease Commitments” below.</w:t>
      </w:r>
    </w:p>
    <w:p>
      <w:pPr>
        <w:ind w:left="600" w:right="260" w:hanging="592"/>
        <w:spacing w:after="0" w:line="250"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Excluded from the table was $108 million of unrecognized tax benefits, including interest, that we have recorded in other long-term liabilities for which we cannot make a reasonably reliable estimate of the amount and period of payment. We do not anticipate any material changes in the next year.</w:t>
      </w:r>
    </w:p>
    <w:p>
      <w:pPr>
        <w:spacing w:after="0" w:line="1" w:lineRule="exact"/>
        <w:rPr>
          <w:rFonts w:ascii="Arial" w:cs="Arial" w:eastAsia="Arial" w:hAnsi="Arial"/>
          <w:sz w:val="18"/>
          <w:szCs w:val="18"/>
          <w:color w:val="auto"/>
        </w:rPr>
      </w:pPr>
    </w:p>
    <w:p>
      <w:pPr>
        <w:ind w:left="600" w:hanging="59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Excluded from the table was $3 million of undrawn standby letters of credit, related to our property leases.</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2015 Credit Facility</w:t>
      </w:r>
    </w:p>
    <w:p>
      <w:pPr>
        <w:spacing w:after="0" w:line="117"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 xml:space="preserve">On June 26, 2015, we entered into a five year credit agreement (the “2015 Credit Facility”) with a group of lenders and immediately borrowed $290 million, which was used to repay all outstanding borrowings pursuant to the 2011 Credit Facility (as described in “Note 9 —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consolidated financial statements in Item 8). 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 Any overdue amounts under or in respect of the 2015 Credit Facility not paid when due shall bear interest at (i) in the case of principal, the applicable interest rate plus 2.00% per annum, (ii) in the case of interest denominated in Sterling or Euro, the applicable rate plus 2.00% per annum; and (iii) in the case of interest denominated in US dollars,</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2.00% per annum plus the Alternate Base Rate plus the interest rate spread applicable to ABR loans. The Company may borrow from the 2015 Credit Facility in U.S dollars, Euros and British pound sterling with a term of five years expiring June 26, 2020.</w:t>
      </w:r>
    </w:p>
    <w:p>
      <w:pPr>
        <w:spacing w:after="0" w:line="184"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There is no specific repayment date prior to the end of the five-year agreement for our outstanding borrowings under the 2015 Credit Facility. During the year ended December 31, 2016, the Company borrowed an additional $101 million and repaid $210 million of our outstanding borrowings on the 2015 Credit Facility. Based on the Company’s current leverage ratio, our borrowings bear interest at LIBOR plus 125 basis points, or the Eurocurrency Spread. As of December 31, 2016, the Company had $91 million in outstanding borrowings under this facility and was borrowing under a one-month interest period of 2.0% per annum, which was determined using a one-month interest period Eurocurrency Spread, which will reset periodically. Interest will be payable on a monthly basis while the Company is borrowing under the one-month interest rate period. 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$15 million of borrowing capacity available for letters of credit and $40 million for borrowings on same-day notice. As of December 30, 2016, we had issued $3 million of outstanding letters of credit under the 2015 Credit Facility.</w:t>
      </w:r>
    </w:p>
    <w:p>
      <w:pPr>
        <w:spacing w:after="0" w:line="178"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181" w:lineRule="exact"/>
        <w:rPr>
          <w:sz w:val="20"/>
          <w:szCs w:val="20"/>
          <w:color w:val="auto"/>
        </w:rPr>
      </w:pPr>
    </w:p>
    <w:p>
      <w:pPr>
        <w:ind w:right="60" w:firstLine="598"/>
        <w:spacing w:after="0" w:line="277" w:lineRule="auto"/>
        <w:rPr>
          <w:sz w:val="20"/>
          <w:szCs w:val="20"/>
          <w:color w:val="auto"/>
        </w:rPr>
      </w:pPr>
      <w:r>
        <w:rPr>
          <w:rFonts w:ascii="Arial" w:cs="Arial" w:eastAsia="Arial" w:hAnsi="Arial"/>
          <w:sz w:val="17"/>
          <w:szCs w:val="17"/>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2015 Credit Facility. As of December 31, 2016, we are in compliance with all of our debt covenants.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117"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On September 7, 2016, we entered into an uncommitted facility agreement with Bank of America Merrill Lynch International Limited (the “Lender”), which provides for a $73 million unsecured revolving credit facility (the “2016 Credit Facility”) with no specific expiration date. The 2016 Credit Facility is available at the Lender’s absolute discretion and can be canceled at any time. Repayment terms for borrowings under the 2016 Credit Facility are generally one to six month periods and bear interest at LIBOR plus 112.5 basis points. The Company may borrow from the 2016 Credit Facility in U.S dollars only and we may voluntarily repay any outstanding borrowing at any time without premium or penalty. Any overdue amounts under or in respect of the 2016 Credit Facility not paid when due shall bear interest in the case of principal at the applicable interest rate plus 1.50% per annum. In connection with the 2016 Credit Facility, any lender fees and debt financing costs paid were not material. In addition, TripAdvisor, LLC, a wholly-owned domestic subsidiary of the Company, has agreed to guarantee the Company’s obligations under the 2016 Credit Facility. There are no specific financial or incurrence covenants.</w:t>
      </w:r>
    </w:p>
    <w:p>
      <w:pPr>
        <w:spacing w:after="0" w:line="166"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We borrowed $73 million from this uncommitted credit facility in September 2016. These funds were used for general working capital needs of the Company, primarily for partial repayment of our long term debt, and the liability is recorded in short-term liabilities on our consolidated balance sheet as of December 31, 2016. The Company was borrowing under a one-month interest period of 1.9% per annum at December 31, 2016, which will reset periodically. Interest will be payable on a monthly basis while the Company is borrowing under the one-month interest rate period.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7"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In addition to our borrowings under the 2015 Credit Facility and 2016 Credit Facility, we maintain two credit facilities in China (jointly, the “Chinese Credit Facilities”). As of December 31, 2016 and December 31, 2015, we had short-term borrowings outstanding of $7 million and $1 million, respectively.</w:t>
      </w:r>
    </w:p>
    <w:p>
      <w:pPr>
        <w:spacing w:after="0" w:line="124"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are parties to a $30 million, one-year revolving credit facility with Bank of America (the “Chinese Credit Facility—BOA”) that is currently subject to review on a periodic basis with no specific expiration period. Our Chinese Credit Facility—BOA currently bears interest at a rate based on 100% of the People’s Bank of China’s base rate, which was 4.35% as of December 31, 2016. As of December 31, 2016, there are no outstanding borrowings under the Chinese Credit Facility—BOA.</w:t>
      </w:r>
    </w:p>
    <w:p>
      <w:pPr>
        <w:spacing w:after="0" w:line="187" w:lineRule="exact"/>
        <w:rPr>
          <w:sz w:val="20"/>
          <w:szCs w:val="20"/>
          <w:color w:val="auto"/>
        </w:rPr>
      </w:pPr>
    </w:p>
    <w:p>
      <w:pPr>
        <w:ind w:right="360" w:firstLine="598"/>
        <w:spacing w:after="0" w:line="279" w:lineRule="auto"/>
        <w:rPr>
          <w:sz w:val="20"/>
          <w:szCs w:val="20"/>
          <w:color w:val="auto"/>
        </w:rPr>
      </w:pPr>
      <w:r>
        <w:rPr>
          <w:rFonts w:ascii="Arial" w:cs="Arial" w:eastAsia="Arial" w:hAnsi="Arial"/>
          <w:sz w:val="17"/>
          <w:szCs w:val="17"/>
          <w:color w:val="auto"/>
        </w:rPr>
        <w:t>We are also parties to a RMB 70,000,000 (approximately $10 million), one-year revolving credit facility with J.P. Morgan Chase Bank (“Chinese Credit Facility—JPM”) which was reduced from RMB 125,000,000 (approximately $18 million) during the year ended December 31, 2016. Our Chinese Credit Facility—JPM currently bears interest at a rate based on 100% of the People’s Bank of China’s base rate, which was 4.35% as of December 31, 2016. As of December 31, 2016, we had $7 million of outstanding borrowings from the Chinese Credit Facility – JPM.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117"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In June 2013, TripAdvisor LLC (“TA LLC”), our indirect, wholly owned subsidiary, entered into a lease, for a new corporate headquarters (the “Lease”). Pursuant to the Lease, the landlord built an approximately 280,000 square foot rental building in Needham, Massachusetts (the “Premises”), and leased the Premises to TA LLC as our new corporate headquarters for an initial term of 15 years and 7 months or through December 2030. TA LLC also has an option to extend the term of the Lease for two consecutive terms of five years each.</w:t>
      </w:r>
    </w:p>
    <w:p>
      <w:pPr>
        <w:spacing w:after="0" w:line="187" w:lineRule="exact"/>
        <w:rPr>
          <w:sz w:val="20"/>
          <w:szCs w:val="20"/>
          <w:color w:val="auto"/>
        </w:rPr>
      </w:pPr>
    </w:p>
    <w:p>
      <w:pPr>
        <w:ind w:right="260" w:firstLine="598"/>
        <w:spacing w:after="0" w:line="297" w:lineRule="auto"/>
        <w:rPr>
          <w:sz w:val="20"/>
          <w:szCs w:val="20"/>
          <w:color w:val="auto"/>
        </w:rPr>
      </w:pPr>
      <w:r>
        <w:rPr>
          <w:rFonts w:ascii="Arial" w:cs="Arial" w:eastAsia="Arial" w:hAnsi="Arial"/>
          <w:sz w:val="16"/>
          <w:szCs w:val="16"/>
          <w:color w:val="auto"/>
        </w:rPr>
        <w:t>Because we were involved in the construction project and were responsible for paying a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during the construction period incurred by the landlord as a construction-in-progress asset and a related construction financing obligation on our consolidated balance sheets. The amounts that the Company has paid or incurred for normal tenant improvements and structural improvements had also been recorded to the construction-in-progress asset.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right="100" w:firstLine="598"/>
        <w:spacing w:after="0" w:line="268" w:lineRule="auto"/>
        <w:rPr>
          <w:sz w:val="20"/>
          <w:szCs w:val="20"/>
          <w:color w:val="auto"/>
        </w:rPr>
      </w:pPr>
      <w:r>
        <w:rPr>
          <w:rFonts w:ascii="Arial" w:cs="Arial" w:eastAsia="Arial" w:hAnsi="Arial"/>
          <w:sz w:val="17"/>
          <w:szCs w:val="17"/>
          <w:color w:val="auto"/>
        </w:rPr>
        <w:t>Upon completion of construction at end of the second quarter of 2015, we evaluated the construction-in-progress asset and construction financing obligation for de-recognition under the criteria for “sale-leaseback” treatment under GAAP. We concluded that we have forms of continued economic involvement in the facility, and therefore did not meet the provisions for sale-leaseback accounting. This determination was based on the Company's continuing involvement with the property in the form of non-recourse financing to the lessor. Therefore, the Lease is accounted for as a financing obligation. Accordingly, we began depreciating the building asset over its estimated useful life and incurring interest expense related to the financing obligation imputed using the effective interest rate method. We bifurcate our lease payments pursuant to the Premises into: (i) a portion that is allocated to the building (a reduction to the financing obligation) and; (ii) a portion that is allocated to the land on which the building was constructed. The portion of the lease obligations allocated to the land is treated as an operating lease that commenced in 2013. The financing obligation is considered a long-term finance lease obligation and is recorded to long-term liabilities on our consolidated balance sheet. At the end of the lease term, the carrying value of the building asset and the remaining financing obligation are expected to be equal, at which time we may either surrender the leased asset as settlement of the remaining financing obligation or extend the initial term of the lease for the continued use of the asset. In the years ended December 31 2016, 2015, and 2014, the Company recorded $7 million, $4 million, and $0 million of interest expense, respectively, $3 million, $2 million, and $0 million of depreciation expense, respectively, and $2 million, $1 million, $1 million, of rent expense in general and administrative expense on our consolidated statements of operations, respectively, related to the Premises.</w:t>
      </w:r>
    </w:p>
    <w:p>
      <w:pPr>
        <w:spacing w:after="0" w:line="185"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We also lease an aggregate of approximately 465,000 square feet at approximately 40 other locations across North America, Europe and Asia Pacific, in cities such as, New York, Boston, London, Sydney, Barcelona, Paris, and Beijing, primarily for our sales offices, subsidiary headquarters, and international management teams, pursuant to leases with various expiration dates, with the latest expiring in June 2027.</w:t>
      </w:r>
    </w:p>
    <w:p>
      <w:pPr>
        <w:spacing w:after="0" w:line="181" w:lineRule="exact"/>
        <w:rPr>
          <w:sz w:val="20"/>
          <w:szCs w:val="20"/>
          <w:color w:val="auto"/>
        </w:rPr>
      </w:pPr>
    </w:p>
    <w:p>
      <w:pPr>
        <w:jc w:val="both"/>
        <w:ind w:right="60" w:firstLine="598"/>
        <w:spacing w:after="0" w:line="277" w:lineRule="auto"/>
        <w:rPr>
          <w:sz w:val="20"/>
          <w:szCs w:val="20"/>
          <w:color w:val="auto"/>
        </w:rPr>
      </w:pPr>
      <w:r>
        <w:rPr>
          <w:rFonts w:ascii="Arial" w:cs="Arial" w:eastAsia="Arial" w:hAnsi="Arial"/>
          <w:sz w:val="18"/>
          <w:szCs w:val="18"/>
          <w:color w:val="auto"/>
        </w:rPr>
        <w:t>As of December 31, 2016, future minimum commitments under our corporate headquarters lease and other non-cancelable operating leases for office space with terms of more than one year and contractual sublease income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Total Lease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Operating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Headquarters</w:t>
            </w: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Sublease Income</w:t>
            </w:r>
          </w:p>
        </w:tc>
        <w:tc>
          <w:tcPr>
            <w:tcW w:w="8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(Net of Sublease</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Lease (1)</w:t>
            </w:r>
          </w:p>
        </w:tc>
        <w:tc>
          <w:tcPr>
            <w:tcW w:w="240" w:type="dxa"/>
            <w:vAlign w:val="bottom"/>
          </w:tcPr>
          <w:p>
            <w:pPr>
              <w:spacing w:after="0"/>
              <w:rPr>
                <w:sz w:val="14"/>
                <w:szCs w:val="14"/>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37"/>
        </w:trPr>
        <w:tc>
          <w:tcPr>
            <w:tcW w:w="5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9"/>
              </w:rPr>
              <w:t>Thereafter</w:t>
            </w: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Total minimum lease payments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right="420" w:hanging="592"/>
        <w:spacing w:after="0" w:line="27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includes an $84 million financing obligation, which we have recorded in other long-term liabilities on our consolidated balance sheet at December 31, 2016, related to our corporate headquarters 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As of December 31, 2016, other than the items discussed above,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There may be claims or actions pending or threatened against us of which we are currently not aware and the ultimate disposition of which would have a material adverse effect on us.</w:t>
      </w:r>
    </w:p>
    <w:p>
      <w:pPr>
        <w:spacing w:after="0" w:line="183"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By virtue of previously filed consolidated income tax returns filed with Expedia, we are currently under an IRS audit for the 2009, 2010, and 2011 tax years, and have various ongoing state income tax audits. We are separately under examination by the IRS for the 2012 and 2013 tax years and have commenced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2008. As of December 31, 2016, no material assessments have resulted, except as noted below regarding our 2009 and 2010 IRS audit with Expedia. As of December 31, 2016, no material assessments have resulted, except as noted below regarding our 2009 and 2010 IRS audit with Expedia.</w:t>
      </w:r>
    </w:p>
    <w:p>
      <w:pPr>
        <w:spacing w:after="0" w:line="178"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In January 2017, as part of the Company’s IRS audit of Expedia,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of $10 million to $14 million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would be subject to significant additional tax liabilities.</w:t>
      </w:r>
    </w:p>
    <w:p>
      <w:pPr>
        <w:spacing w:after="0" w:line="179"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188" w:lineRule="exact"/>
        <w:rPr>
          <w:sz w:val="20"/>
          <w:szCs w:val="20"/>
          <w:color w:val="auto"/>
        </w:rPr>
      </w:pPr>
    </w:p>
    <w:p>
      <w:pPr>
        <w:ind w:right="480" w:firstLine="598"/>
        <w:spacing w:after="0" w:line="308" w:lineRule="auto"/>
        <w:rPr>
          <w:sz w:val="20"/>
          <w:szCs w:val="20"/>
          <w:color w:val="auto"/>
        </w:rPr>
      </w:pPr>
      <w:r>
        <w:rPr>
          <w:rFonts w:ascii="Arial" w:cs="Arial" w:eastAsia="Arial" w:hAnsi="Arial"/>
          <w:sz w:val="17"/>
          <w:szCs w:val="17"/>
          <w:color w:val="auto"/>
        </w:rPr>
        <w:t xml:space="preserve">See “Note 10— </w:t>
      </w:r>
      <w:r>
        <w:rPr>
          <w:rFonts w:ascii="Arial" w:cs="Arial" w:eastAsia="Arial" w:hAnsi="Arial"/>
          <w:sz w:val="17"/>
          <w:szCs w:val="17"/>
          <w:i w:val="1"/>
          <w:iCs w:val="1"/>
          <w:color w:val="auto"/>
        </w:rPr>
        <w:t>Income Taxes</w:t>
      </w:r>
      <w:r>
        <w:rPr>
          <w:rFonts w:ascii="Arial" w:cs="Arial" w:eastAsia="Arial" w:hAnsi="Arial"/>
          <w:sz w:val="17"/>
          <w:szCs w:val="17"/>
          <w:color w:val="auto"/>
        </w:rPr>
        <w:t>” in the notes to our consolidated financial statements in Item 8 for further information on potential contingencies surrounding current audits by the IRS and various other domestic and foreign tax authorities, and other income tax matters.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 xml:space="preserve">For information on our relationships with Expedia and Liberty TripAdvisor Holdings, Inc. refer to “Note 16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financial statements in Item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w:t>
      </w:r>
    </w:p>
    <w:p>
      <w:pPr>
        <w:spacing w:after="0" w:line="181"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54"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the consolidated financial statements. We consider an accounting estimate to be critical if:</w:t>
      </w:r>
    </w:p>
    <w:p>
      <w:pPr>
        <w:spacing w:after="0" w:line="62" w:lineRule="exact"/>
        <w:rPr>
          <w:sz w:val="20"/>
          <w:szCs w:val="20"/>
          <w:color w:val="auto"/>
        </w:rPr>
      </w:pPr>
    </w:p>
    <w:p>
      <w:pPr>
        <w:ind w:left="1180" w:right="20" w:hanging="429"/>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management was making the estimate; and/or</w:t>
      </w:r>
    </w:p>
    <w:p>
      <w:pPr>
        <w:spacing w:after="0" w:line="62" w:lineRule="exact"/>
        <w:rPr>
          <w:rFonts w:ascii="Arial" w:cs="Arial" w:eastAsia="Arial" w:hAnsi="Arial"/>
          <w:sz w:val="18"/>
          <w:szCs w:val="18"/>
          <w:color w:val="auto"/>
        </w:rPr>
      </w:pPr>
    </w:p>
    <w:p>
      <w:pPr>
        <w:ind w:left="1180" w:right="680" w:hanging="429"/>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management could have selected may have had a material impact on our financial condition or results of operations.</w:t>
      </w:r>
    </w:p>
    <w:p>
      <w:pPr>
        <w:spacing w:after="0" w:line="170" w:lineRule="exact"/>
        <w:rPr>
          <w:sz w:val="20"/>
          <w:szCs w:val="20"/>
          <w:color w:val="auto"/>
        </w:rPr>
      </w:pPr>
    </w:p>
    <w:p>
      <w:pPr>
        <w:jc w:val="both"/>
        <w:ind w:right="700" w:firstLine="598"/>
        <w:spacing w:after="0" w:line="342" w:lineRule="auto"/>
        <w:rPr>
          <w:sz w:val="20"/>
          <w:szCs w:val="20"/>
          <w:color w:val="auto"/>
        </w:rPr>
      </w:pPr>
      <w:r>
        <w:rPr>
          <w:rFonts w:ascii="Arial" w:cs="Arial" w:eastAsia="Arial" w:hAnsi="Arial"/>
          <w:sz w:val="16"/>
          <w:szCs w:val="16"/>
          <w:color w:val="auto"/>
        </w:rPr>
        <w:t xml:space="preserve">Our significant accounting policies and estimates are more fully described in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consolidated financial statements in Item 8. A discussion of information about the nature and rationale for our critical accounting estimates is below.</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Valuations and Recoverability of Goodwill, Indefinite and Definite-Lived Intangible Assets</w:t>
      </w:r>
    </w:p>
    <w:p>
      <w:pPr>
        <w:spacing w:after="0" w:line="117"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i w:val="1"/>
          <w:iCs w:val="1"/>
          <w:color w:val="auto"/>
        </w:rPr>
        <w:t xml:space="preserve">Business Combination Valuations and Goodwill. </w:t>
      </w:r>
      <w:r>
        <w:rPr>
          <w:rFonts w:ascii="Arial" w:cs="Arial" w:eastAsia="Arial" w:hAnsi="Arial"/>
          <w:sz w:val="16"/>
          <w:szCs w:val="16"/>
          <w:color w:val="auto"/>
        </w:rPr>
        <w:t>We account for acquired businesses using the purchase method of accounting which requires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significant estimates and assumptions, especially with respect to intangible assets. Significant estimates in valuing certain intangible assets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w:t>
      </w:r>
    </w:p>
    <w:p>
      <w:pPr>
        <w:spacing w:after="0" w:line="166"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have determined each of our operating segments with goodwill represents a reporting unit for the purpose of assessing impairment for our 2016 impairment analysis.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8" w:name="page59"/>
    <w:bookmarkEnd w:id="58"/>
    <w:p>
      <w:pPr>
        <w:ind w:right="20" w:firstLine="598"/>
        <w:spacing w:after="0" w:line="268" w:lineRule="auto"/>
        <w:rPr>
          <w:sz w:val="20"/>
          <w:szCs w:val="20"/>
          <w:color w:val="auto"/>
        </w:rPr>
      </w:pPr>
      <w:r>
        <w:rPr>
          <w:rFonts w:ascii="Arial" w:cs="Arial" w:eastAsia="Arial" w:hAnsi="Arial"/>
          <w:sz w:val="17"/>
          <w:szCs w:val="17"/>
          <w:color w:val="auto"/>
        </w:rPr>
        <w:t>In the evaluation of goodwill for impairment, we generally first perform a qualitative assessment to determine whether it is more likely than not (i.e., a likelihood of more than 50%) that the estimated fair value of the reporting unit is less than the carrying amount. However, the Company has the option to qualitatively assess whether it is more likely than not that the fair value of a reporting unit is less than its carrying value.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such as the size of the reporting unit's goodwill, the significance of the excess of the reporting unit's estimated fair value over carrying value at the last quantitative assessment date, and the amount of time in between quantitative fair value assessments and the date of acquisition to establish an updated baseline quantitative analysis.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88"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During the Company's annual goodwill impairment test during the fourth quarter of 2016, a qualitative assessment of the Hotel, Vacation Rentals and Attraction reporting units' goodwill was performed, and a quantitative assessment of the Restaurant reporting unit goodwill was performed. For fiscal 2016, we determined the fair value of all our reporting units were significantly in excess of their carrying values. Accordingly, we did not recognize any impairment charges during the year ending December 31, 2016. During fiscal 2016, there were no significant changes in any of our estimates or assumptions that had a material impact on the outcome of our impairment calculations. However, as we periodically reassess estimated future cash flows and asset fair values, changes in our estimates and assumptions may cause us to realize material impairment charges in the future.</w:t>
      </w:r>
    </w:p>
    <w:p>
      <w:pPr>
        <w:spacing w:after="0" w:line="175"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As part of our qualitative assessment for our 2016 goodwill impairment analysis of our Hotel, Vacation Rentals and Attractions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our current and future forecasted financial results (f) comparison of our current financial performance to historical and budgeted results, (g) changes in excess market capitalization over book value based on our common stock price and other market specific information, (h) changes in estimates and/or assumptions since the last quantitative analysis, (i) changes in the regulatory environment; and (j) changes in strategic outlook or organizational structure and leadership of the reporting units. As part of our quantitative assessment for our Restaurants reporting unit we determined its estimated fair value using a blend of an income approach (discounted cash flow model) and market valuation approach using an equal weighting. We concluded the estimated fair value was significantly in excess of its carrying value. We also performed a sensitivity analysis, calculating estimated fair values using different rates for the weighted-average cost of capital and long-term rates of growth in the income approach and different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revenue/income multiples in our market approach and the estimated fair value remained in excess of its carrying value.</w:t>
      </w:r>
    </w:p>
    <w:p>
      <w:pPr>
        <w:spacing w:after="0" w:line="225"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i w:val="1"/>
          <w:iCs w:val="1"/>
          <w:color w:val="auto"/>
        </w:rPr>
        <w:t xml:space="preserve">Indefinite-Lived Intangible Assets. </w:t>
      </w:r>
      <w:r>
        <w:rPr>
          <w:rFonts w:ascii="Arial" w:cs="Arial" w:eastAsia="Arial" w:hAnsi="Arial"/>
          <w:sz w:val="16"/>
          <w:szCs w:val="16"/>
          <w:color w:val="auto"/>
        </w:rPr>
        <w:t>Intangible assets that have indefinite lives are not amortized and are tested for impairment annually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fourth quarter, or whenever events or changes in circumstances indicate that the carrying value may not be recoverable. The carrying value of indefinite-lived intangible assets that is subject to annual assessment for impairment is $30 million at December 31, 2016 and consists of trademarks and tradenames.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value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measurement of fair value of indefinite-lived intangible assets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The use of different estimates or assumptions in determining the fair value of our indefinite-lived intangible assets may result in different values for these assets, which could result in impairment, or, in the period in which an impairment is recognized, could result in a materially different impairment charge. During the Company's annual indefinite-lived intangible impairment test during the fourth quarter of 2016, a qualitative assessment was performed. As part of our qualitative assessment we considered, amongst other factors, the amount of excess fair value of our trade names and trademarks to the carrying value of those same assets, using the results of our most recent quantitative assessment, while also considering changes in estimates and/or assumptions since the last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2016.</w:t>
      </w:r>
    </w:p>
    <w:p>
      <w:pPr>
        <w:spacing w:after="0" w:line="168"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i w:val="1"/>
          <w:iCs w:val="1"/>
          <w:color w:val="auto"/>
        </w:rPr>
        <w:t xml:space="preserve">Definite-Lived Intangible Assets and Other Long-Lived Assets. </w:t>
      </w:r>
      <w:r>
        <w:rPr>
          <w:rFonts w:ascii="Arial" w:cs="Arial" w:eastAsia="Arial" w:hAnsi="Arial"/>
          <w:sz w:val="17"/>
          <w:szCs w:val="17"/>
          <w:color w:val="auto"/>
        </w:rPr>
        <w:t>Intangible assets with definite lives and other long-lived assets are carried at cost and</w:t>
      </w:r>
      <w:r>
        <w:rPr>
          <w:rFonts w:ascii="Arial" w:cs="Arial" w:eastAsia="Arial" w:hAnsi="Arial"/>
          <w:sz w:val="17"/>
          <w:szCs w:val="17"/>
          <w:i w:val="1"/>
          <w:iCs w:val="1"/>
          <w:color w:val="auto"/>
        </w:rPr>
        <w:t xml:space="preserve"> </w:t>
      </w:r>
      <w:r>
        <w:rPr>
          <w:rFonts w:ascii="Arial" w:cs="Arial" w:eastAsia="Arial" w:hAnsi="Arial"/>
          <w:sz w:val="17"/>
          <w:szCs w:val="17"/>
          <w:color w:val="auto"/>
        </w:rPr>
        <w:t>are amortized on a straight-line basis over their estimated useful lives of one to twelve years. The straight-line method of amortization is currently used for our definite-lived intangible assets as it approximates, to date, or is our best estimate, of the distribution of the economic use of our identifiable intangible assets.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173" w:lineRule="exact"/>
        <w:rPr>
          <w:sz w:val="20"/>
          <w:szCs w:val="20"/>
          <w:color w:val="auto"/>
        </w:rPr>
      </w:pPr>
    </w:p>
    <w:p>
      <w:pPr>
        <w:ind w:right="80" w:firstLine="598"/>
        <w:spacing w:after="0" w:line="289" w:lineRule="auto"/>
        <w:rPr>
          <w:sz w:val="20"/>
          <w:szCs w:val="20"/>
          <w:color w:val="auto"/>
        </w:rPr>
      </w:pPr>
      <w:r>
        <w:rPr>
          <w:rFonts w:ascii="Arial" w:cs="Arial" w:eastAsia="Arial" w:hAnsi="Arial"/>
          <w:sz w:val="16"/>
          <w:szCs w:val="16"/>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Any impairment would be measured by the amount that the carrying values, of such asset groups, exceed their fair value and would be included in operating income on the consolidated statement of operations. We have not identified any circumstances that would warrant an impairment charge for any recorded definite lived or other long term assets, including our cost method investments, on our consolidated balance sheet at December 31, 2016.</w:t>
      </w:r>
    </w:p>
    <w:p>
      <w:pPr>
        <w:spacing w:after="0" w:line="16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use of different estimates or assumptions in determining the fair value of our goodwill, indefinite-lived and definite-lived intangible assets may result in different values for these assets, which could result in different fair</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0" w:name="page61"/>
    <w:bookmarkEnd w:id="60"/>
    <w:p>
      <w:pPr>
        <w:ind w:right="640"/>
        <w:spacing w:after="0" w:line="277" w:lineRule="auto"/>
        <w:rPr>
          <w:sz w:val="20"/>
          <w:szCs w:val="20"/>
          <w:color w:val="auto"/>
        </w:rPr>
      </w:pPr>
      <w:r>
        <w:rPr>
          <w:rFonts w:ascii="Arial" w:cs="Arial" w:eastAsia="Arial" w:hAnsi="Arial"/>
          <w:sz w:val="18"/>
          <w:szCs w:val="18"/>
          <w:color w:val="auto"/>
        </w:rPr>
        <w:t>values at the date of acquisition or in an impairment analysis or, in period in which an impairment is recognized, could result in a materially different impairment charge.</w:t>
      </w:r>
    </w:p>
    <w:p>
      <w:pPr>
        <w:spacing w:after="0" w:line="170"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 xml:space="preserve">For additional information on our goodwill, indefinite-lived intangibles and definite-lived intangibles refer to “Note 8— </w:t>
      </w:r>
      <w:r>
        <w:rPr>
          <w:rFonts w:ascii="Arial" w:cs="Arial" w:eastAsia="Arial" w:hAnsi="Arial"/>
          <w:sz w:val="18"/>
          <w:szCs w:val="18"/>
          <w:i w:val="1"/>
          <w:iCs w:val="1"/>
          <w:color w:val="auto"/>
        </w:rPr>
        <w:t>Goodwill and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 Net</w:t>
      </w:r>
      <w:r>
        <w:rPr>
          <w:rFonts w:ascii="Arial" w:cs="Arial" w:eastAsia="Arial" w:hAnsi="Arial"/>
          <w:sz w:val="18"/>
          <w:szCs w:val="18"/>
          <w:color w:val="auto"/>
        </w:rPr>
        <w:t>” in the notes to our consolidated financial statements in Item 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6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93"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We have not provided for deferred U.S. income taxes on undistributed earnings of our foreign subsidiaries, which we intend to reinvest permanently outside the United States. Should we distribute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for further information on income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year ended December 31, 2016 have a term of ten years from the date of grant and generally vest over a four-year requisite service period.</w:t>
      </w:r>
    </w:p>
    <w:p>
      <w:pPr>
        <w:spacing w:after="0" w:line="18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During the year ended December 31, 2016, we issued 1,063,672 of primarily service based stock non-qualified stock options under our Amended and Restated 2011 Stock and Annual Incentive Plan (the “2011 Incentive tock Plan”) with a weighted average grant-date fair value per option of $22.95. We will amortize the fair value as stock-based compensation expense over the vesting term on a straight-line basis, with the amount of compensation expense recognized at any date at least equaling the portion of the grant-date fair value of the award that is vested at that date. The estimated fair value of the options granted under the 2011 Incentive Plan to date, have been calculated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1" w:name="page62"/>
    <w:bookmarkEnd w:id="61"/>
    <w:p>
      <w:pPr>
        <w:ind w:right="140"/>
        <w:spacing w:after="0" w:line="277" w:lineRule="auto"/>
        <w:rPr>
          <w:sz w:val="20"/>
          <w:szCs w:val="20"/>
          <w:color w:val="auto"/>
        </w:rPr>
      </w:pPr>
      <w:r>
        <w:rPr>
          <w:rFonts w:ascii="Arial" w:cs="Arial" w:eastAsia="Arial" w:hAnsi="Arial"/>
          <w:sz w:val="18"/>
          <w:szCs w:val="18"/>
          <w:color w:val="auto"/>
        </w:rPr>
        <w:t>using a Black-Scholes Merton option-pricing model (“Black-Scholes model”). The Black-Scholes model incorporates assumptions to fair value stock-based awards, which includes the risk-free rate of return, expected volatility, expected term and expected dividend yield.</w:t>
      </w:r>
    </w:p>
    <w:p>
      <w:pPr>
        <w:spacing w:after="0" w:line="170"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Our risk-free interest rate is based on the rates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common stock. Historical volatility is determined using actual daily price observations of our common stock price over a period equivalent to or approximate to the expected term of our stock option grants to date. Implied volatility represents the volatility calculated from the observed prices of our actively traded options on our common stock, with remaining maturities in excess of six months and market prices approximate to the exercise prices of the stock option grant. We estimate our expected term using historical exercise behavior and expected post-vest termination data. Our expected dividend yield is zero, as we have not paid any dividends on our common stock to date and do not expect to pay any cash dividends for the foreseeable future.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RSUs are stock awards that are granted to employees entitling the holder to shares of our common stock as the award vests. During the year ended December 31, 2016, we issued 2,015,898 of primarily service based RSUs under the 2011 Incentive Plan with a weighted average grant date fair value per option of $63.71. RSUs are measured at fair value based on the number of shares granted and the quoted price of our common stock at the date of grant. We amortize the fair value as stock-based compensation expense over the vesting term (generally a four-year requisite service period) on a straight-line basis, with the amount of compensation expense recognized at any date at least equaling the portion of the grant-date fair value of the award that is vested at that date.</w:t>
      </w:r>
    </w:p>
    <w:p>
      <w:pPr>
        <w:spacing w:after="0" w:line="19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 xml:space="preserve">Estimates of fair value are not intended to predict actual future events or the value ultimately realized by employees who receive these awards, and subsequent events are not indicative of the reasonableness of our original estimates of fair value. In the third quarter of 2016 we adopted new accounting guidance from the Financial Accounting Standards Board (“FASB”) on stock compensation, or ASU 2016-09, as described in “Recently Adopted Accounting Pronouncements” below and have elected to account for forfeitures as they occur, rather than continue to estimate expected forfeitures. Refer to “Note 4— </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in the notes to our consolidated financial statements in Item 8 for further information on our equity award</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Websites and Internal Use Software Development Costs</w:t>
      </w:r>
    </w:p>
    <w:p>
      <w:pPr>
        <w:spacing w:after="0" w:line="117"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We capitalize certain costs incurred during the application development stage related to the development of websites and internal use software when it is probable the project will be completed and the software will be used as intended. Such costs are amortized on a straight-line basis over the estimated useful life of the related asset, generally estimated to be three years.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 To the extent that we change the manner in which we develop and test new features and functionalities related to our websites and internal use software, assess the ongoing value of capitalized assets or determine the estimated useful lives over which the costs are amortized, the amount of website and internal use software development costs we capitalize and amortize could change in future periods.</w:t>
      </w:r>
    </w:p>
    <w:p>
      <w:pPr>
        <w:spacing w:after="0" w:line="16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As of December 31, 2016 and 2015, our recorded capitalized software and website development costs, net of accumulated amortization, were $86 million and $71 million, respectively. For the years ended December 31, 2016 and 2015, we capitalized $62 million and $52 million, respectively, related to software and website development costs. For the years ended December 31, 2016, 2015 and 2014, we recorded amortization of capitalized software and website development costs of $46 million, $37 million and $30 million, respectively, which is included in depreciation expense on our consolidated statements of operations for those years.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We recognize revenue from our services rendered when the following four revenue recognition criteria are met: persuasive evidence of an arrangement exists, services have been rendered, the price is fixed or determinable, and collectability is reasonably assured. Deferred revenue, which primarily relates to our subscription-based and commission based arrangements, is recorded when payments are received in advance of our performance as required by the underlying agreements.</w:t>
      </w:r>
    </w:p>
    <w:p>
      <w:pPr>
        <w:spacing w:after="0" w:line="187"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i w:val="1"/>
          <w:iCs w:val="1"/>
          <w:color w:val="auto"/>
        </w:rPr>
        <w:t>Click-based advertising and transaction revenue</w:t>
      </w:r>
      <w:r>
        <w:rPr>
          <w:rFonts w:ascii="Arial" w:cs="Arial" w:eastAsia="Arial" w:hAnsi="Arial"/>
          <w:sz w:val="17"/>
          <w:szCs w:val="17"/>
          <w:color w:val="auto"/>
        </w:rPr>
        <w:t>. Click-based revenue is derived primarily from click-through fees charged to our travel partners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traveler leads sent to the travel partners’ website. We record revenue from click-through fees in the same period as when the traveler makes the click-through to the travel partners’ website. Our instant booking transaction model revenue is comprised of commissions earned on all valid instant booking reservations. In the transaction model, our instant booking commission revenue is recorded at the time a traveler books a hotel transaction on our partner’s site where we, as facilitator for such booking, do not assume associated cancellation risk. Under the other instant booking model, called the consumption model, we assume cancellation risk associated with booking, and we record that revenue in the month in which the traveler’s stay at a hotel occurs. We have no post-booking service obligations for all instant booking transactions, regardless of the model chosen.</w:t>
      </w:r>
    </w:p>
    <w:p>
      <w:pPr>
        <w:spacing w:after="0" w:line="17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i w:val="1"/>
          <w:iCs w:val="1"/>
          <w:color w:val="auto"/>
        </w:rPr>
        <w:t xml:space="preserve">Display-based and subscription-based advertising. </w:t>
      </w:r>
      <w:r>
        <w:rPr>
          <w:rFonts w:ascii="Arial" w:cs="Arial" w:eastAsia="Arial" w:hAnsi="Arial"/>
          <w:sz w:val="18"/>
          <w:szCs w:val="18"/>
          <w:color w:val="auto"/>
        </w:rPr>
        <w:t>We recognize display-based advertising revenue ratably over the advertising period or upon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advertising impressions, depending on the terms of the advertising contract. Subscription-based advertising revenue is recognized ratably over the related contractual period over which service is delivered.</w:t>
      </w:r>
    </w:p>
    <w:p>
      <w:pPr>
        <w:spacing w:after="0" w:line="18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i w:val="1"/>
          <w:iCs w:val="1"/>
          <w:color w:val="auto"/>
        </w:rPr>
        <w:t>Attractions</w:t>
      </w:r>
      <w:r>
        <w:rPr>
          <w:rFonts w:ascii="Arial" w:cs="Arial" w:eastAsia="Arial" w:hAnsi="Arial"/>
          <w:sz w:val="17"/>
          <w:szCs w:val="17"/>
          <w:color w:val="auto"/>
        </w:rPr>
        <w:t>. We work with local operators, or merchant partners, to provide travelers with access to tours and activities in popular destinations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earning a commission for such service. While the merchant of record, we receive cash from the consumer at the time of booking of the destination activity and record these amounts, net of commissions, as deferred merchant payables on our consolidated balance sheet. Commission revenue is recorded as deferred revenue at the time of booking and later recognized when the consumer has completed the destination activity. We pay the destination activity operators after the travelers’ use. In transactions where we are not the merchant of record, we invoice and receive commissions directly from our merchant partners and record commission revenue when the consumer has completed the destination activity.</w:t>
      </w:r>
    </w:p>
    <w:p>
      <w:pPr>
        <w:spacing w:after="0" w:line="178" w:lineRule="exact"/>
        <w:rPr>
          <w:sz w:val="20"/>
          <w:szCs w:val="20"/>
          <w:color w:val="auto"/>
        </w:rPr>
      </w:pPr>
    </w:p>
    <w:p>
      <w:pPr>
        <w:ind w:right="120" w:firstLine="598"/>
        <w:spacing w:after="0" w:line="308" w:lineRule="auto"/>
        <w:rPr>
          <w:sz w:val="20"/>
          <w:szCs w:val="20"/>
          <w:color w:val="auto"/>
        </w:rPr>
      </w:pPr>
      <w:r>
        <w:rPr>
          <w:rFonts w:ascii="Arial" w:cs="Arial" w:eastAsia="Arial" w:hAnsi="Arial"/>
          <w:sz w:val="17"/>
          <w:szCs w:val="17"/>
          <w:i w:val="1"/>
          <w:iCs w:val="1"/>
          <w:color w:val="auto"/>
        </w:rPr>
        <w:t>Restaurants</w:t>
      </w:r>
      <w:r>
        <w:rPr>
          <w:rFonts w:ascii="Arial" w:cs="Arial" w:eastAsia="Arial" w:hAnsi="Arial"/>
          <w:sz w:val="17"/>
          <w:szCs w:val="17"/>
          <w:color w:val="auto"/>
        </w:rPr>
        <w:t>. We recognize reservation revenues (or per seated diner fees) on a transaction-by-transaction basis as diners are seated by our restaurant</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Subscription-based revenue is recognized ratably over the related contractual period over which the service is delivered.</w:t>
      </w:r>
    </w:p>
    <w:p>
      <w:pPr>
        <w:spacing w:after="0" w:line="147" w:lineRule="exact"/>
        <w:rPr>
          <w:sz w:val="20"/>
          <w:szCs w:val="20"/>
          <w:color w:val="auto"/>
        </w:rPr>
      </w:pPr>
    </w:p>
    <w:p>
      <w:pPr>
        <w:ind w:right="120" w:firstLine="598"/>
        <w:spacing w:after="0" w:line="270" w:lineRule="auto"/>
        <w:rPr>
          <w:sz w:val="20"/>
          <w:szCs w:val="20"/>
          <w:color w:val="auto"/>
        </w:rPr>
      </w:pPr>
      <w:r>
        <w:rPr>
          <w:rFonts w:ascii="Arial" w:cs="Arial" w:eastAsia="Arial" w:hAnsi="Arial"/>
          <w:sz w:val="17"/>
          <w:szCs w:val="17"/>
          <w:i w:val="1"/>
          <w:iCs w:val="1"/>
          <w:color w:val="auto"/>
        </w:rPr>
        <w:t>Vacation Rentals</w:t>
      </w:r>
      <w:r>
        <w:rPr>
          <w:rFonts w:ascii="Arial" w:cs="Arial" w:eastAsia="Arial" w:hAnsi="Arial"/>
          <w:sz w:val="17"/>
          <w:szCs w:val="17"/>
          <w:color w:val="auto"/>
        </w:rPr>
        <w:t>. We generate revenue from customers for online advertising services related to the listing of their properties for rent primarily on</w:t>
      </w:r>
      <w:r>
        <w:rPr>
          <w:rFonts w:ascii="Arial" w:cs="Arial" w:eastAsia="Arial" w:hAnsi="Arial"/>
          <w:sz w:val="17"/>
          <w:szCs w:val="17"/>
          <w:i w:val="1"/>
          <w:iCs w:val="1"/>
          <w:color w:val="auto"/>
        </w:rPr>
        <w:t xml:space="preserve"> </w:t>
      </w:r>
      <w:r>
        <w:rPr>
          <w:rFonts w:ascii="Arial" w:cs="Arial" w:eastAsia="Arial" w:hAnsi="Arial"/>
          <w:sz w:val="17"/>
          <w:szCs w:val="17"/>
          <w:color w:val="auto"/>
        </w:rPr>
        <w:t>either a subscription basis over a fixed-term, or on a commission basis for transactions that are booked on our platform. Payments for term-based subscriptions received in advance of services being rendered are recorded as deferred revenue and recognized ratably to revenue on a straight-line basis over the listing period. Our commission revenue is primarily generated on our free-to-list option, in lieu of a pre-paid subscription fee. When a commissionable transaction is booked on our platform, we receive cash from the traveler that includes both our commission, which is recorded as deferred revenue, and the amount due to the property owner, which is recorded to deferred merchant payables on our consolidated balance sheet. We pay the amount due to the property owner and recognize our commission revenue at the time of the traveler’s stay. Additional revenues are also derived on a pay-per-lead basis, as we provide leads for rental properties to property managers. Pay-per-lead revenue is billed and recognized in the period when the leads are delivered to the property managers.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Recently Adopted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ind w:right="340" w:firstLine="598"/>
        <w:spacing w:after="0" w:line="312" w:lineRule="auto"/>
        <w:rPr>
          <w:sz w:val="20"/>
          <w:szCs w:val="20"/>
          <w:color w:val="auto"/>
        </w:rPr>
      </w:pPr>
      <w:r>
        <w:rPr>
          <w:rFonts w:ascii="Arial" w:cs="Arial" w:eastAsia="Arial" w:hAnsi="Arial"/>
          <w:sz w:val="16"/>
          <w:szCs w:val="16"/>
          <w:color w:val="auto"/>
        </w:rPr>
        <w:t>In January 2017, the FASB issued new accounting guidance which assist entities in evaluating when a set of transferred assets and activities is a business. The guidance is effective for fiscal years, and interim periods within those fiscal years, beginning after December 15, 2017, and will be applied prospectively to any transactions occurring within the period of adoption. Early adoption is permitted, including for interim or annual periods in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3" w:name="page64"/>
    <w:bookmarkEnd w:id="63"/>
    <w:p>
      <w:pPr>
        <w:ind w:right="480"/>
        <w:spacing w:after="0" w:line="277" w:lineRule="auto"/>
        <w:rPr>
          <w:sz w:val="20"/>
          <w:szCs w:val="20"/>
          <w:color w:val="auto"/>
        </w:rPr>
      </w:pPr>
      <w:r>
        <w:rPr>
          <w:rFonts w:ascii="Arial" w:cs="Arial" w:eastAsia="Arial" w:hAnsi="Arial"/>
          <w:sz w:val="18"/>
          <w:szCs w:val="18"/>
          <w:color w:val="auto"/>
        </w:rPr>
        <w:t>which the financial statements have not been issued or made available for issuance. We are in the process of evaluating the impact of adopting this new guidance on our consolidated financial statements and related disclosures.</w:t>
      </w:r>
    </w:p>
    <w:p>
      <w:pPr>
        <w:spacing w:after="0" w:line="62"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In January 2017, the FASB issued new accounting guidance to simplify the accounting for goodwill impairment. The guidance removes Step two of the goodwill impairment test, which requires a hypothetical purchase price allocation. Under the new guidance, a goodwill impairment will now be the amount by which a reporting unit’s carrying value exceeds its fair value, not to exceed the carrying amount of goodwill. All other goodwill impairment guidance will remain largely unchanged. Entities will continue to have the option to perform a qualitative assessment to determine if a quantitative impairment test is necessary. The guidance is effective for annual and interim periods in fiscal years beginning after December 15, 2019 with early adoption permitted for any goodwill impairment tests performed after January 1, 2017 and will be applied prospectively. We are in the process of evaluating the impact of adopting this new guidance on our consolidated financial statements and related disclosures.</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November 2016, the FASB issued new accounting guidance which requires entities to show the changes in the total of cash, cash equivalents, restricted cash and restricted cash equivalents in the statement of cash flow. The guidance is effective for fiscal years, and interim periods within those fiscal years, beginning after December 15, 2017, with early adoption permitted, including adoption in an interim period, but any adjustments must be reflected as of the beginning of the fiscal year that includes that interim period. Upon adoption, an entity may apply the new guidance only retrospectively to all prior periods presented in the financial statements. We anticipate adopting this new guidance on January 1, 2018, on a retrospective basis, with no material impact on our consolidated financial statements and related disclosures.</w:t>
      </w:r>
    </w:p>
    <w:p>
      <w:pPr>
        <w:spacing w:after="0" w:line="193"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In October 2016, the FASB issued new accounting guidance which amends the consolidation guidance on how a reporting entity that is the single decision maker of a variable interest entity should treat indirect interests in the entity held through related parties that are under common control within the reporting entity when determining whether it is the primary beneficiary of that variable interest entity. The guidance is effective for fiscal years, and interim periods within those fiscal years, beginning after December 15, 2016, with early adoption permitted. We anticipate adopting this new guidance on January 1, 2017, on a retrospective basis, with no material impact on our consolidated financial statements and related disclosures.</w:t>
      </w:r>
    </w:p>
    <w:p>
      <w:pPr>
        <w:spacing w:after="0" w:line="173"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The guidance is effective for fiscal years, and interim periods within those fiscal years, beginning after December 15, 2017, with early adoption permitted. Upon adoption, an entity may apply the new guidance only on a modified retrospective basis through a cumulative-effect adjustment directly to retained earnings as of the beginning of the period of adoption. We are in the process of evaluating the impact of adopting this new guidance on our consolidated financial statements and related disclosures and our intended adoption date.</w:t>
      </w:r>
    </w:p>
    <w:p>
      <w:pPr>
        <w:spacing w:after="0" w:line="167" w:lineRule="exact"/>
        <w:rPr>
          <w:sz w:val="20"/>
          <w:szCs w:val="20"/>
          <w:color w:val="auto"/>
        </w:rPr>
      </w:pPr>
    </w:p>
    <w:p>
      <w:pPr>
        <w:ind w:right="180" w:firstLine="598"/>
        <w:spacing w:after="0" w:line="291" w:lineRule="auto"/>
        <w:rPr>
          <w:sz w:val="20"/>
          <w:szCs w:val="20"/>
          <w:color w:val="auto"/>
        </w:rPr>
      </w:pPr>
      <w:r>
        <w:rPr>
          <w:rFonts w:ascii="Arial" w:cs="Arial" w:eastAsia="Arial" w:hAnsi="Arial"/>
          <w:sz w:val="16"/>
          <w:szCs w:val="16"/>
          <w:color w:val="auto"/>
        </w:rPr>
        <w:t>In August 2016, the FASB issued new accounting guidance which clarifies how companies present and classify certain cash receipts and cash payments in the statement of cash flows. The new guidance specifically addresses the following cash flow topics in an effort to reduce diversity in practice:</w:t>
      </w:r>
    </w:p>
    <w:p>
      <w:pPr>
        <w:ind w:firstLine="8"/>
        <w:spacing w:after="0" w:line="269"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guidance is effective for fiscal years, and interim periods within those fiscal years, beginning after December 15, 2017, with early adoption permitted. Upon adoption, an entity may apply the new guidance only retrospectively to all prior periods presented in the financial statements. We anticipate adopting this new guidance on January 1, 2018, on a retrospective basis, and it is not expected to have a material impact on our consolidated financial statements and related disclosures.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4" w:name="page65"/>
    <w:bookmarkEnd w:id="64"/>
    <w:p>
      <w:pPr>
        <w:ind w:firstLine="598"/>
        <w:spacing w:after="0" w:line="284" w:lineRule="auto"/>
        <w:rPr>
          <w:sz w:val="20"/>
          <w:szCs w:val="20"/>
          <w:color w:val="auto"/>
        </w:rPr>
      </w:pPr>
      <w:r>
        <w:rPr>
          <w:rFonts w:ascii="Arial" w:cs="Arial" w:eastAsia="Arial" w:hAnsi="Arial"/>
          <w:sz w:val="16"/>
          <w:szCs w:val="16"/>
          <w:color w:val="auto"/>
        </w:rPr>
        <w:t>In June 2016, the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w:t>
      </w:r>
    </w:p>
    <w:p>
      <w:pPr>
        <w:spacing w:after="0" w:line="1" w:lineRule="exact"/>
        <w:rPr>
          <w:sz w:val="20"/>
          <w:szCs w:val="20"/>
          <w:color w:val="auto"/>
        </w:rPr>
      </w:pPr>
    </w:p>
    <w:p>
      <w:pPr>
        <w:jc w:val="both"/>
        <w:ind w:right="260" w:firstLine="8"/>
        <w:spacing w:after="0" w:line="273" w:lineRule="auto"/>
        <w:tabs>
          <w:tab w:leader="none" w:pos="2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in the process of evaluating the impact of adopting this new guidance on our consolidated financial statements and related disclosures and our intended adoption date.</w:t>
      </w:r>
    </w:p>
    <w:p>
      <w:pPr>
        <w:spacing w:after="0" w:line="69"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In February 2016, the FASB issued new accounting guidance on leases that is intended to provide enhanced transparency and comparability by requiring lessees to record right-of-use assets and corresponding lease liabilities on the balance sheet at the present value of the lease payments. The new guidance will classify leases as either finance or operating leases, with classification determining the presentation of expenses and cash flows on our consolidated financial statements. The guidance also requires new disclosures to help financial statement users better understand the amount, timing and uncertainty of cash flows arising from leases. This guidance is effective for fiscal years, and interim periods within those fiscal years, beginning after December 15, 2018, with early adoption permitted, which will require the recognition and measurement of leases at the beginning of the earliest comparative period presented in the financial statements using a modified retrospective approach. We are currently evaluating the effect that the updated standard will have on our consolidated financial statements and related disclosures, as well as still determining our adoption date. We anticipate giving additional updates on our Form-10Q’s during the first and second quarters of 2017.</w:t>
      </w:r>
    </w:p>
    <w:p>
      <w:pPr>
        <w:spacing w:after="0" w:line="182" w:lineRule="exact"/>
        <w:rPr>
          <w:sz w:val="20"/>
          <w:szCs w:val="20"/>
          <w:color w:val="auto"/>
        </w:rPr>
      </w:pPr>
    </w:p>
    <w:p>
      <w:pPr>
        <w:ind w:right="20" w:firstLine="598"/>
        <w:spacing w:after="0" w:line="285" w:lineRule="auto"/>
        <w:rPr>
          <w:sz w:val="20"/>
          <w:szCs w:val="20"/>
          <w:color w:val="auto"/>
        </w:rPr>
      </w:pPr>
      <w:r>
        <w:rPr>
          <w:rFonts w:ascii="Arial" w:cs="Arial" w:eastAsia="Arial" w:hAnsi="Arial"/>
          <w:sz w:val="16"/>
          <w:szCs w:val="16"/>
          <w:color w:val="auto"/>
        </w:rPr>
        <w:t>In January 2016, the FASB issued a new accounting update which amends the guidance on the classification and measurement of financial instruments. Although the accounting update retains many current requirements, it significantly revises accounting related to (1) the classification and measurement of investments in equity securities and (2) the presentation of certain fair value changes for financial liabilities measured at fair value. The accounting update also amends certain fair value disclosures of financial instruments and clarifies that an entity should evaluate the need for a valuation allowance on a deferred tax asset related to available-for-sale debt securities in combination with the entity’s evaluation of their other deferred tax assets. The update requires entities to carry all investments in equity securities, including other ownership interests such as partnerships, unincorporated joint ventures and limited liability companies at fair value, with fair value changes recognized through net income. This requirement does not apply to investments that qualify for equity method accounting, investments that result in consolidation of the investee or investments in which the entity has elected the practicability exception to fair value measurement. Under current U.S. GAAP, the Company's available-for-sale investments in equity securities with readily identifiable market value are remeasured to fair value each reporting period with changes in fair value recognized in accumulated other comprehensive income (loss). However, under the new accounting literature, fair value adjustments will be recognized through net income and could vary significantly quarter to quarter. For the investments currently accounted for under the cost method, an entity can elect to measure its investments, which do not have a readily determinable fair value, at cost less impairment, if any, plus or minus changes resulting from observable price changes in orderly transactions for the identical or a similar investment of the same issuer. Additionally, this accounting update will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In addition, this accounting update eliminates the requirement for public business entities to disclose the methods and significant assumptions used to estimate the fair value that is currently required to be disclosed for financial instruments measured at amortized cost in the balance sheet. We anticipate adopting this new guidance on January 1, 2018 and are in the process of evaluating the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right="40" w:firstLine="598"/>
        <w:spacing w:after="0" w:line="287" w:lineRule="auto"/>
        <w:rPr>
          <w:sz w:val="20"/>
          <w:szCs w:val="20"/>
          <w:color w:val="auto"/>
        </w:rPr>
      </w:pPr>
      <w:r>
        <w:rPr>
          <w:rFonts w:ascii="Arial" w:cs="Arial" w:eastAsia="Arial" w:hAnsi="Arial"/>
          <w:sz w:val="16"/>
          <w:szCs w:val="16"/>
          <w:color w:val="auto"/>
        </w:rPr>
        <w:t>In May 2014, the FASB issued new accounting guidance on revenue from contracts with customers which will replace numerous requirements in GAAP, and provide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two permitted transition methods under this new accounting guidance are the full retrospective method, in which case the guidance would be applied to each prior reporting period presented and the cumulative effect of applying the guidance would be recognized at the earliest period shown, or the modified retrospective method, in which case the cumulative effect of applying the guidance would be recognized at the date of initial application. This guidance is effective for fiscal years, and interim periods within those fiscal years, beginning after December 15, 2017 and early adoption is permitted for fiscal years beginning after December 15, 2016.</w:t>
      </w:r>
    </w:p>
    <w:p>
      <w:pPr>
        <w:spacing w:after="0" w:line="6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During 2016, we have made measurable progress toward completing our evaluation of the potential changes from adopting the new standard on our future financial reporting and disclosures. We have established a cross-functional implementation team from across our organization and have made significant progress in the review of our contracts portfolio and our current accounting policies and practices to identify potential differences that could result from applying the requirements of the new standard to our revenue contracts. We will continue to evaluate the impact that this new guidance will have, if any, on the Company’s consolidated financial statements and related disclosures and are still determining the method of adoption we will elect for this new guidance. We anticipate adopting this new guidance on January 1, 2018, and plan on giving additional updates on our progress and further conclusions on our Form-10Q’s during the first and second quarters of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 xml:space="preserve">In March 2016, the FASB issued new accounting guidance on stock compensation, or ASU 2016-09, </w:t>
      </w:r>
      <w:r>
        <w:rPr>
          <w:rFonts w:ascii="Arial" w:cs="Arial" w:eastAsia="Arial" w:hAnsi="Arial"/>
          <w:sz w:val="16"/>
          <w:szCs w:val="16"/>
          <w:i w:val="1"/>
          <w:iCs w:val="1"/>
          <w:color w:val="auto"/>
        </w:rPr>
        <w:t>Compensation – 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 Improvements to Employee Share-Based Payment Accounting</w:t>
      </w:r>
      <w:r>
        <w:rPr>
          <w:rFonts w:ascii="Arial" w:cs="Arial" w:eastAsia="Arial" w:hAnsi="Arial"/>
          <w:sz w:val="16"/>
          <w:szCs w:val="16"/>
          <w:color w:val="auto"/>
        </w:rPr>
        <w:t>, which changes how companies account for certain aspects of stock-based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to employees, including the accounting for income taxes, forfeitures, and statutory tax withholding requirements, as well as classification in the consolidated statement of cash flows. The new guidance permits recognizing the impact of forfeitures on stock-based compensation as they occur or to recognize stock-based compensation expense net of expected forfeitures, requires companies to record excess tax benefits and tax deficiencies as income tax benefit or expense in the consolidated statement of operations when the awards vest or are settled, and eliminates the requirement to reclassify cash flows related to excess tax benefits from operating activities to financing activities on the consolidated statement of cash flows.</w:t>
      </w:r>
    </w:p>
    <w:p>
      <w:pPr>
        <w:spacing w:after="0" w:line="167"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We elected to early adopt the new guidance in the third quarter of 2016, which requires us to reflect any adjustments as of January 1, 2016, the beginning of the annual period that includes the interim period of adoption. The primary impact of adoption was the recognition of excess tax benefits and tax deficiencies in our provision for income taxes rather than additional paid-in capital for all periods in 2016. There was no impact to our provision for income taxes as previously reported for 2015 or prior periods. Additionally, our consolidated statement of cash flows now present excess tax benefits as an operating activity on a retrospective basis. As a result of the retrospective implementation of this guidance, the impact on the consolidated statement of cash flows for the years ended December 31, 2015 and 2014 was an increase of $36 million and $20 million in cash flows from operating activities with an offsetting reduction in cash flows from financing activities. Finally, we have elected to account for forfeitures as they occur, rather than estimate expected forfeitures. The net cumulative effect of this change was recognized as a $1 million reduction to retained earnings as of January 1, 2016.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ind w:right="380" w:firstLine="598"/>
        <w:spacing w:after="0" w:line="264" w:lineRule="auto"/>
        <w:rPr>
          <w:sz w:val="20"/>
          <w:szCs w:val="20"/>
          <w:color w:val="auto"/>
        </w:rPr>
      </w:pPr>
      <w:r>
        <w:rPr>
          <w:rFonts w:ascii="Arial" w:cs="Arial" w:eastAsia="Arial" w:hAnsi="Arial"/>
          <w:sz w:val="18"/>
          <w:szCs w:val="18"/>
          <w:color w:val="auto"/>
        </w:rPr>
        <w:t>Adoption of the new guidance resulted in the recognition of net excess tax expense and benefit in our provision for income taxes rather than additional paid-in capital. As a result, we recorded $1 million of income tax benefit for the year ended December 31, 2016, and impacted our previously reported quarterly results for the three months ended March 31, 2016 and June 30, 2016, as follows: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2"/>
              </w:rPr>
              <w:t>Three months ended March 31, 2016</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Pr>
          <w:p>
            <w:pPr>
              <w:spacing w:after="0"/>
              <w:rPr>
                <w:sz w:val="19"/>
                <w:szCs w:val="19"/>
                <w:color w:val="auto"/>
              </w:rPr>
            </w:pPr>
          </w:p>
        </w:tc>
        <w:tc>
          <w:tcPr>
            <w:tcW w:w="1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160" w:type="dxa"/>
            <w:vAlign w:val="bottom"/>
            <w:tcBorders>
              <w:top w:val="single" w:sz="8" w:color="auto"/>
            </w:tcBorders>
            <w:gridSpan w:val="3"/>
          </w:tcPr>
          <w:p>
            <w:pPr>
              <w:jc w:val="center"/>
              <w:ind w:left="248"/>
              <w:spacing w:after="0" w:line="155" w:lineRule="exact"/>
              <w:rPr>
                <w:sz w:val="20"/>
                <w:szCs w:val="20"/>
                <w:color w:val="auto"/>
              </w:rPr>
            </w:pPr>
            <w:r>
              <w:rPr>
                <w:rFonts w:ascii="Arial" w:cs="Arial" w:eastAsia="Arial" w:hAnsi="Arial"/>
                <w:sz w:val="14"/>
                <w:szCs w:val="14"/>
                <w:b w:val="1"/>
                <w:bCs w:val="1"/>
                <w:color w:val="auto"/>
                <w:w w:val="92"/>
              </w:rPr>
              <w:t>(in millions, except per share data)</w:t>
            </w: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4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42</w:t>
            </w:r>
          </w:p>
        </w:tc>
        <w:tc>
          <w:tcPr>
            <w:tcW w:w="1380" w:type="dxa"/>
            <w:vAlign w:val="bottom"/>
            <w:shd w:val="clear" w:color="auto" w:fill="CFF0FC"/>
          </w:tcPr>
          <w:p>
            <w:pPr>
              <w:jc w:val="right"/>
              <w:ind w:right="1094"/>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3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27</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Basic EPS</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0.19</w:t>
            </w:r>
          </w:p>
        </w:tc>
        <w:tc>
          <w:tcPr>
            <w:tcW w:w="138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 EPS</w:t>
            </w:r>
          </w:p>
        </w:tc>
        <w:tc>
          <w:tcPr>
            <w:tcW w:w="24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0.18</w:t>
            </w:r>
          </w:p>
        </w:tc>
        <w:tc>
          <w:tcPr>
            <w:tcW w:w="1380" w:type="dxa"/>
            <w:vAlign w:val="bottom"/>
            <w:shd w:val="clear" w:color="auto" w:fill="CFF0FC"/>
          </w:tcPr>
          <w:p>
            <w:pPr>
              <w:jc w:val="right"/>
              <w:ind w:right="1094"/>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0.20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120</w:t>
            </w:r>
          </w:p>
        </w:tc>
        <w:tc>
          <w:tcPr>
            <w:tcW w:w="138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(94)</w:t>
            </w:r>
          </w:p>
        </w:tc>
        <w:tc>
          <w:tcPr>
            <w:tcW w:w="1380" w:type="dxa"/>
            <w:vAlign w:val="bottom"/>
            <w:shd w:val="clear" w:color="auto" w:fill="CFF0FC"/>
          </w:tcPr>
          <w:p>
            <w:pPr>
              <w:jc w:val="right"/>
              <w:ind w:right="109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1"/>
              </w:rPr>
              <w:t>Three months ended June 30, 2016</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(1)</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260" w:type="dxa"/>
            <w:vAlign w:val="bottom"/>
          </w:tcPr>
          <w:p>
            <w:pPr>
              <w:spacing w:after="0"/>
              <w:rPr>
                <w:sz w:val="15"/>
                <w:szCs w:val="15"/>
                <w:color w:val="auto"/>
              </w:rPr>
            </w:pPr>
          </w:p>
        </w:tc>
        <w:tc>
          <w:tcPr>
            <w:tcW w:w="316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2"/>
              </w:rPr>
              <w:t>(in millions, except per share data)</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2480" w:type="dxa"/>
            <w:vAlign w:val="bottom"/>
            <w:gridSpan w:val="2"/>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138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13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EPS</w:t>
            </w:r>
          </w:p>
        </w:tc>
        <w:tc>
          <w:tcPr>
            <w:tcW w:w="24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0.23</w:t>
            </w:r>
          </w:p>
        </w:tc>
        <w:tc>
          <w:tcPr>
            <w:tcW w:w="1380" w:type="dxa"/>
            <w:vAlign w:val="bottom"/>
            <w:shd w:val="clear" w:color="auto" w:fill="CFF0FC"/>
          </w:tcPr>
          <w:p>
            <w:pPr>
              <w:jc w:val="right"/>
              <w:ind w:right="1094"/>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0.23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Diluted EPS</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0.23</w:t>
            </w:r>
          </w:p>
        </w:tc>
        <w:tc>
          <w:tcPr>
            <w:tcW w:w="138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160" w:type="dxa"/>
            <w:vAlign w:val="bottom"/>
            <w:gridSpan w:val="3"/>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31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0"/>
              </w:rPr>
              <w:t>Six months ended June 30, 2016</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(2)</w:t>
            </w:r>
          </w:p>
        </w:tc>
        <w:tc>
          <w:tcPr>
            <w:tcW w:w="3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40" w:type="dxa"/>
            <w:vAlign w:val="bottom"/>
            <w:gridSpan w:val="2"/>
          </w:tcPr>
          <w:p>
            <w:pPr>
              <w:jc w:val="center"/>
              <w:ind w:right="794"/>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357</w:t>
            </w:r>
          </w:p>
        </w:tc>
        <w:tc>
          <w:tcPr>
            <w:tcW w:w="138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9"/>
              </w:rPr>
              <w:t>(123)</w:t>
            </w:r>
          </w:p>
        </w:tc>
        <w:tc>
          <w:tcPr>
            <w:tcW w:w="1380" w:type="dxa"/>
            <w:vAlign w:val="bottom"/>
            <w:shd w:val="clear" w:color="auto" w:fill="CFF0FC"/>
          </w:tcPr>
          <w:p>
            <w:pPr>
              <w:jc w:val="right"/>
              <w:ind w:right="109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0"/>
              </w:rPr>
              <w:t>(129)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00" w:right="340" w:hanging="592"/>
        <w:spacing w:after="0" w:line="274"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election to account for forfeitures as they occur did not have a material impact for the three months ended March 31, 2016 and resulted in an increase to stock-based compensation expense of approximately $1 million for the three months ended June 30, 2016.</w:t>
      </w:r>
    </w:p>
    <w:p>
      <w:pPr>
        <w:ind w:left="600" w:right="160" w:hanging="592"/>
        <w:spacing w:after="0" w:line="261"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the reclassification of cash flows related to excess tax benefits from financing activities to operating activities of $4 million and $2 million for the three months ending March 31, 2016 and June 30, 2016, respectively.</w:t>
      </w:r>
    </w:p>
    <w:p>
      <w:pPr>
        <w:spacing w:after="0" w:line="18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September 2015, the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 been recorded in previous periods if the accounting had been completed at the acquisition date. The Company adopted this guidance in the first quarter of 2016. The adoption of this guidance did not have a material impact on our consolidated financial statements and related disclosures.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7" w:name="page68"/>
    <w:bookmarkEnd w:id="67"/>
    <w:p>
      <w:pPr>
        <w:ind w:firstLine="598"/>
        <w:spacing w:after="0" w:line="272" w:lineRule="auto"/>
        <w:rPr>
          <w:sz w:val="20"/>
          <w:szCs w:val="20"/>
          <w:color w:val="auto"/>
        </w:rPr>
      </w:pPr>
      <w:r>
        <w:rPr>
          <w:rFonts w:ascii="Arial" w:cs="Arial" w:eastAsia="Arial" w:hAnsi="Arial"/>
          <w:sz w:val="17"/>
          <w:szCs w:val="17"/>
          <w:color w:val="auto"/>
        </w:rPr>
        <w:t>In April 2015, the FASB issued new accounting guidance which clarifies the accounting for fees paid by a customer in a cloud computing arrangement. This standard clarified whether a customer should account for a cloud computing arrangement as an acquisition of a software license or as a service arrangement by providing characteristics that a cloud computing arrangement must have in order to be accounted for as a software license acquisition. If a cloud computing arrangement includes a software license, the customer should account for the software license element of the arrangement consistent with the acquisition of other software licenses. If the arrangement does not include a software license, the customer should account for a cloud computing arrangement as a service contract. The company prospectively adopted this guidance in the first quarter of 2016. The adoption of this guidance did not have a material impact on our consolidated financial statements and related disclosures.</w:t>
      </w:r>
    </w:p>
    <w:p>
      <w:pPr>
        <w:spacing w:after="0" w:line="28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121"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We are exposed to certain market risks, including changes in interest rates and foreign currency exchange rates that could adversely affect our results of operations or financial condition. Our exposure to market risk includes our revolving credit facilities, derivative instruments and cash and cash equivalents, short term and long term marketable securities, accounts receivable, intercompany receivables, accounts payable and deferred merchant payables denominated in foreign currencies.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foreign currency exchange rates and interest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21"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Our current exposure to changes in interest rates relate primarily to our investment portfolio and the outstanding debt on our 2015 and 2016 Credit Facilities. Our interest income and expense is most sensitive to fluctuations in U.S. interest rates and Libor. Changes in interest rates affect the interest earned on our cash, cash equivalents and marketable securities and the fair value of those securities, as well as the amount of interest we pay on our outstanding debt.</w:t>
      </w:r>
    </w:p>
    <w:p>
      <w:pPr>
        <w:spacing w:after="0" w:line="14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We currently invest our excess cash in cash deposits at major global banks, money market mutual funds and marketable securities. Our investment policy and strategy are focused on preservation of capital and supporting our liquidity requirements. We invest in highly-rated securities, and our investment policy limits the amount of credit exposure to any one issuer. The policy requires investments to be investment grade, with the primary objective of minimizing the potential risk of principal loss.</w:t>
      </w:r>
    </w:p>
    <w:p>
      <w:pPr>
        <w:spacing w:after="0" w:line="187"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In order to provide a meaningful assessment of the interest rate risk associated with our investment portfolio, we performed a sensitivity analysis to determine the impact a change in interest rates would have on the value of our current investment portfolio assuming a 100 basis point parallel shift in the yield curve. Based on our investment positions as of December 31, 2016, a hypothetical 100 basis point increase in interest rates across all maturities would result in an approximate $1 million decline in the fair market value of the portfolio. Such losses would only be realized if we sold the investments prior to maturity.</w:t>
      </w:r>
    </w:p>
    <w:p>
      <w:pPr>
        <w:spacing w:after="0" w:line="188"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As of December 31, 2016, we had $164 million of debt under our 2015 Credit Facility and 2016 Credit Facility, which both have a variable rate. The variable interest rate on the 2015 Credit Facility is based on current assumptions, leverage and LIBOR rates. The variable interest rate on the 2016 Credit Facility bears interest at LIBOR plus 112.5 basis points. Based on our current outstanding debt balance as of December 31, 2016, a 25 basis point change in our interest rates on our 2015 Credit Facility and 2016 Credit Facility would result in an increase or decrease to interest expense that would be less than $1 million per annum. 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did not experience any material financial impact from changes in interest rates for the years ended December 31, 2016, 2015 or 2014.</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21" w:lineRule="exact"/>
        <w:rPr>
          <w:sz w:val="20"/>
          <w:szCs w:val="20"/>
          <w:color w:val="auto"/>
        </w:rPr>
      </w:pPr>
    </w:p>
    <w:p>
      <w:pPr>
        <w:jc w:val="both"/>
        <w:ind w:right="380" w:firstLine="598"/>
        <w:spacing w:after="0" w:line="264" w:lineRule="auto"/>
        <w:rPr>
          <w:sz w:val="20"/>
          <w:szCs w:val="20"/>
          <w:color w:val="auto"/>
        </w:rPr>
      </w:pPr>
      <w:r>
        <w:rPr>
          <w:rFonts w:ascii="Arial" w:cs="Arial" w:eastAsia="Arial" w:hAnsi="Arial"/>
          <w:sz w:val="18"/>
          <w:szCs w:val="18"/>
          <w:color w:val="auto"/>
        </w:rPr>
        <w:t>We conduct business in certain international markets, primarily the European Union, the United Kingdom, Singapore and Australia. Because we operate in international markets, we have exposure to different economic climates, political arenas, tax systems and regulations that could affect foreign currency exchange rates.</w:t>
      </w:r>
    </w:p>
    <w:p>
      <w:pPr>
        <w:spacing w:after="0" w:line="18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Some of our foreign subsidiaries maintain their accounting records in their respective local currencies other than the U.S. dollar. Consequently, changes in foreign currency exchange rates may impact the translation of foreign financial statements into U.S. dollars. As a result, we face exposure to adverse movements in foreign currency exchange rates as the financial results of our international operations are translated from local currency, or functional currency, into U.S. dollars upon consolidation. If the U.S. dollar weakens against the local currency, the translation of these foreign-currency-denominated balances will result in increased net assets, revenue, operating expenses, operating income and net income. Similarly, our net assets, revenue, operating expenses, operating income and net income will decrease if the U.S. dollar strengthens against local currency. The effect of foreign currency exchange on our business historically has varied from quarter to quarter and may continue to do so, potentially materially. In order to provide a meaningful assessment of the foreign currency exchange rate risk associated with our overall financials, we performed a sensitivity analysis. A hypothetical 10% decrease of the foreign currency exchange rates relative to the U.S. dollar, or strengthening of the U.S. dollar, would generate an unrealized loss of approximately $22 million related to a decrease in our net assets held in functional currencies other than the U.S. dollar as of December 31, 2016, which would initially be recorded to accumulated other comprehensive loss on our consolidated balance sheet.</w:t>
      </w:r>
    </w:p>
    <w:p>
      <w:pPr>
        <w:spacing w:after="0" w:line="183"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In addition, foreign currency exchange rate fluctuations on transactions denominated in currencies other than the functional currency result in gains and losses. We recognize these transactional gains and losses (primarily Euro currency transactions) in our consolidated statements of operations and have recorded foreign currency exchange losses of $6 million, $6 million and $11 million for the years ended December 31, 2016, 2015 and 2014, respectively, in interest income and other, net on our consolidated statements of operations. Future net transactional gains and losses are inherently difficult to predict as they are reliant on how the multiple currencies in which we transact fluctuate in relation to the U.S. dollar and other functional currencies, and the relative composition and denomination of current assets and liabilities each period.</w:t>
      </w:r>
    </w:p>
    <w:p>
      <w:pPr>
        <w:spacing w:after="0" w:line="178"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We currently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currency forward exchange contracts to manage certain short-term foreign currency risk to try and reduce the effects of fluctuating foreign currency exchange rates on our cash flows denominated in foreign currencies. We do not use financial instruments for trading purposes and are not a party to any leveraged derivatives.</w:t>
      </w:r>
    </w:p>
    <w:p>
      <w:pPr>
        <w:spacing w:after="0" w:line="173"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 We account for our outstanding derivative instruments as either assets or liabilities and carry them at fair value.</w:t>
      </w:r>
    </w:p>
    <w:p>
      <w:pPr>
        <w:spacing w:after="0" w:line="18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Our current foreign currency forward exchange contracts principally address foreign currency exchange fluctuation risk for the Euro versus the U.S. dollar. As of December 31, 2016 and 2015, we had outstanding forward currency contracts not designated as hedging contracts with a notional value of $6 million and $25 million, respectively. These contracts had maturities of less than 90 days. The fair value of these derivatives at both December 31, 2016 and 2015, were not material. For the years ended December 31, 2016, 2015 and 2014, gains related to our derivatives contracts were recorded to interest income and other, net on our consolidated statements of operations of $2 million, $2 million and $1 million, respectively. A hypothetical 10% change of the foreign currency exchange rates relative to the U.S. dollar, with all other variables held constant, would result in an approximate change of less than $1 million in the fair value of our outstanding foreign currency forward exchange contracts at December 31, 2016, and a resulting equivalent gain or loss on our consolidated statement of operations. Refer to</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i w:val="1"/>
          <w:iCs w:val="1"/>
          <w:color w:val="auto"/>
        </w:rPr>
        <w:t>Financial Instruments</w:t>
      </w:r>
      <w:r>
        <w:rPr>
          <w:rFonts w:ascii="Arial" w:cs="Arial" w:eastAsia="Arial" w:hAnsi="Arial"/>
          <w:sz w:val="18"/>
          <w:szCs w:val="18"/>
          <w:color w:val="auto"/>
        </w:rPr>
        <w:t>” in the notes to the consolidated financial statements in Item 8 for further detail on our derivative instruments.</w:t>
      </w:r>
    </w:p>
    <w:p>
      <w:pPr>
        <w:spacing w:after="0" w:line="225"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As we increase our operations in international markets, our exposure to potentially volatile movements in foreign currency exchange rates increases. The economic impact to us of foreign currency exchange rate movements is linked to variability in real growth, inflation, interest rates, governmental actions and other factors. These changes, if material, could cause us to adjust our foreign currency risk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180" w:type="dxa"/>
            <w:vAlign w:val="bottom"/>
            <w:gridSpan w:val="8"/>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360" w:type="dxa"/>
            <w:vAlign w:val="bottom"/>
          </w:tcPr>
          <w:p>
            <w:pPr>
              <w:spacing w:after="0"/>
              <w:rPr>
                <w:sz w:val="20"/>
                <w:szCs w:val="20"/>
                <w:color w:val="auto"/>
              </w:rPr>
            </w:pPr>
          </w:p>
        </w:tc>
      </w:tr>
      <w:tr>
        <w:trPr>
          <w:trHeight w:val="459"/>
        </w:trPr>
        <w:tc>
          <w:tcPr>
            <w:tcW w:w="10060" w:type="dxa"/>
            <w:vAlign w:val="bottom"/>
            <w:gridSpan w:val="10"/>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1360" w:type="dxa"/>
            <w:vAlign w:val="bottom"/>
          </w:tcPr>
          <w:p>
            <w:pPr>
              <w:spacing w:after="0"/>
              <w:rPr>
                <w:sz w:val="24"/>
                <w:szCs w:val="24"/>
                <w:color w:val="auto"/>
              </w:rPr>
            </w:pPr>
          </w:p>
        </w:tc>
      </w:tr>
      <w:tr>
        <w:trPr>
          <w:trHeight w:val="297"/>
        </w:trPr>
        <w:tc>
          <w:tcPr>
            <w:tcW w:w="10060" w:type="dxa"/>
            <w:vAlign w:val="bottom"/>
            <w:gridSpan w:val="1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Report of Independent Registered Public Accounting Firm</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4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68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Operations for the years ended December 31, 2016, 2015 and 2014</w:t>
              </w:r>
            </w:hyperlink>
          </w:p>
        </w:tc>
        <w:tc>
          <w:tcPr>
            <w:tcW w:w="276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440" w:type="dxa"/>
            <w:vAlign w:val="bottom"/>
          </w:tcPr>
          <w:p>
            <w:pPr>
              <w:spacing w:after="0"/>
              <w:rPr>
                <w:sz w:val="17"/>
                <w:szCs w:val="17"/>
                <w:color w:val="auto"/>
              </w:rPr>
            </w:pPr>
          </w:p>
        </w:tc>
        <w:tc>
          <w:tcPr>
            <w:tcW w:w="77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Comprehensive Income for the years ended December 31, 2016, 2015 and 2014</w:t>
              </w:r>
            </w:hyperlink>
          </w:p>
        </w:tc>
        <w:tc>
          <w:tcPr>
            <w:tcW w:w="184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44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Balance Sheets as of December 31, 2016 and 2015</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4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4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Changes in Stockholders’ Equity for the years ended December 31, 2016, 2015 and 2014</w:t>
              </w:r>
            </w:hyperlink>
          </w:p>
        </w:tc>
        <w:tc>
          <w:tcPr>
            <w:tcW w:w="11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44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Cash Flows for the years ended December 31, 2016, 2015 and 2014</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440" w:type="dxa"/>
            <w:vAlign w:val="bottom"/>
          </w:tcPr>
          <w:p>
            <w:pPr>
              <w:spacing w:after="0"/>
              <w:rPr>
                <w:sz w:val="17"/>
                <w:szCs w:val="17"/>
                <w:color w:val="auto"/>
              </w:rPr>
            </w:pPr>
          </w:p>
        </w:tc>
        <w:tc>
          <w:tcPr>
            <w:tcW w:w="69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Notes to Consolidated Financial Statements</w:t>
              </w:r>
            </w:hyperlink>
          </w:p>
        </w:tc>
        <w:tc>
          <w:tcPr>
            <w:tcW w:w="272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1" w:name="page72"/>
    <w:bookmarkEnd w:id="7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319" w:lineRule="exact"/>
        <w:rPr>
          <w:sz w:val="20"/>
          <w:szCs w:val="20"/>
          <w:color w:val="auto"/>
        </w:rPr>
      </w:pPr>
    </w:p>
    <w:p>
      <w:pPr>
        <w:ind w:right="100" w:firstLine="598"/>
        <w:spacing w:after="0" w:line="220" w:lineRule="exact"/>
        <w:rPr>
          <w:sz w:val="20"/>
          <w:szCs w:val="20"/>
          <w:color w:val="auto"/>
        </w:rPr>
      </w:pPr>
      <w:r>
        <w:rPr>
          <w:rFonts w:ascii="Arial" w:cs="Arial" w:eastAsia="Arial" w:hAnsi="Arial"/>
          <w:sz w:val="17"/>
          <w:szCs w:val="17"/>
          <w:color w:val="auto"/>
        </w:rPr>
        <w:t>We have audited the accompanying consolidated balance sheets of TripAdvisor, Inc. and subsidiaries (the Company) as of December 31, 2016 and 2015, and the related consolidated statements of operations, comprehensive income, changes in stockholders’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2016. These consolidated financial statements are the responsibility of the Company’s management. Our responsibility is to express an opinion on these consolidated financial statements based on our audits.</w:t>
      </w:r>
    </w:p>
    <w:p>
      <w:pPr>
        <w:spacing w:after="0" w:line="204"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80" w:firstLine="598"/>
        <w:spacing w:after="0" w:line="221" w:lineRule="exact"/>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TripAdvisor, Inc. and subsidiaries as of December 31, 2016 and 2015, and the results of their operations and their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2016, in conformity with U.S. generally accepted accounting principles.</w:t>
      </w:r>
    </w:p>
    <w:p>
      <w:pPr>
        <w:spacing w:after="0" w:line="20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TripAdvisor, Inc.’s internal control over financial reporting as of December 31, 2016, based on criteria established in Internal Control – Integrated Framework (2013) issued by the Committee of Sponsoring Organizations of the Treadway Commission (COSO), and our report dated February 17, 2017 expressed an unqualified opinion on the effectiveness of the Company’s internal control over financial reporting.</w:t>
      </w:r>
    </w:p>
    <w:p>
      <w:pPr>
        <w:spacing w:after="0" w:line="187"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Year ended 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Cost of revenue (1)</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1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 (Note 17)</w:t>
            </w:r>
          </w:p>
        </w:tc>
        <w:tc>
          <w:tcPr>
            <w:tcW w:w="1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Interest income and other, net (Note 18)</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0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3"/>
        </w:trPr>
        <w:tc>
          <w:tcPr>
            <w:tcW w:w="5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Earnings per share attributable to common stockholders</w:t>
            </w:r>
          </w:p>
        </w:tc>
        <w:tc>
          <w:tcPr>
            <w:tcW w:w="10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(Note 5):</w:t>
            </w:r>
          </w:p>
        </w:tc>
        <w:tc>
          <w:tcPr>
            <w:tcW w:w="10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Basic</w:t>
            </w:r>
          </w:p>
        </w:tc>
        <w:tc>
          <w:tcPr>
            <w:tcW w:w="200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0.83</w:t>
            </w:r>
          </w:p>
        </w:tc>
        <w:tc>
          <w:tcPr>
            <w:tcW w:w="140" w:type="dxa"/>
            <w:vAlign w:val="bottom"/>
          </w:tcPr>
          <w:p>
            <w:pPr>
              <w:spacing w:after="0"/>
              <w:rPr>
                <w:sz w:val="19"/>
                <w:szCs w:val="19"/>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000" w:type="dxa"/>
            <w:vAlign w:val="bottom"/>
            <w:gridSpan w:val="2"/>
            <w:shd w:val="clear" w:color="auto" w:fill="CFF0FC"/>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Weighted average common shares outstanding (Note 5):</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expense as follows:</w:t>
            </w:r>
          </w:p>
        </w:tc>
        <w:tc>
          <w:tcPr>
            <w:tcW w:w="10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Amortization of acquired technology included in</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0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website development costs included in</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depreciation</w:t>
            </w:r>
          </w:p>
        </w:tc>
        <w:tc>
          <w:tcPr>
            <w:tcW w:w="102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10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Selling and marketing</w:t>
            </w:r>
          </w:p>
        </w:tc>
        <w:tc>
          <w:tcPr>
            <w:tcW w:w="200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 and content</w:t>
            </w:r>
          </w:p>
        </w:tc>
        <w:tc>
          <w:tcPr>
            <w:tcW w:w="2000" w:type="dxa"/>
            <w:vAlign w:val="bottom"/>
            <w:gridSpan w:val="2"/>
            <w:shd w:val="clear" w:color="auto" w:fill="CFF0FC"/>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00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640" w:type="dxa"/>
            <w:vAlign w:val="bottom"/>
          </w:tcPr>
          <w:p>
            <w:pPr>
              <w:spacing w:after="0"/>
              <w:rPr>
                <w:sz w:val="14"/>
                <w:szCs w:val="14"/>
                <w:color w:val="auto"/>
              </w:rPr>
            </w:pPr>
          </w:p>
        </w:tc>
        <w:tc>
          <w:tcPr>
            <w:tcW w:w="20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(1)</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15"/>
        </w:trPr>
        <w:tc>
          <w:tcPr>
            <w:tcW w:w="5640" w:type="dxa"/>
            <w:vAlign w:val="bottom"/>
          </w:tcPr>
          <w:p>
            <w:pPr>
              <w:ind w:left="260"/>
              <w:spacing w:after="0"/>
              <w:rPr>
                <w:sz w:val="20"/>
                <w:szCs w:val="20"/>
                <w:color w:val="auto"/>
              </w:rPr>
            </w:pPr>
            <w:r>
              <w:rPr>
                <w:rFonts w:ascii="Arial" w:cs="Arial" w:eastAsia="Arial" w:hAnsi="Arial"/>
                <w:sz w:val="18"/>
                <w:szCs w:val="18"/>
                <w:color w:val="auto"/>
              </w:rPr>
              <w:t>Reclassification adjustment on sale of business included in</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40" w:type="dxa"/>
            <w:vAlign w:val="bottom"/>
          </w:tcPr>
          <w:p>
            <w:pPr>
              <w:ind w:left="380"/>
              <w:spacing w:after="0"/>
              <w:rPr>
                <w:sz w:val="20"/>
                <w:szCs w:val="20"/>
                <w:color w:val="auto"/>
              </w:rPr>
            </w:pPr>
            <w:r>
              <w:rPr>
                <w:rFonts w:ascii="Arial" w:cs="Arial" w:eastAsia="Arial" w:hAnsi="Arial"/>
                <w:sz w:val="18"/>
                <w:szCs w:val="18"/>
                <w:color w:val="auto"/>
              </w:rPr>
              <w:t>total other income (expense), net (Note 3)</w:t>
            </w: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w:t>
            </w:r>
          </w:p>
        </w:tc>
        <w:tc>
          <w:tcPr>
            <w:tcW w:w="1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600" w:right="340" w:hanging="592"/>
        <w:spacing w:after="0" w:line="293" w:lineRule="auto"/>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Foreign currency translation adjustments exclude income taxes due to our practice and intention to indefinitely reinvest the earnings of our foreign subsidiaries in those operations. See “Note 15 </w:t>
      </w:r>
      <w:r>
        <w:rPr>
          <w:rFonts w:ascii="Arial" w:cs="Arial" w:eastAsia="Arial" w:hAnsi="Arial"/>
          <w:sz w:val="16"/>
          <w:szCs w:val="16"/>
          <w:i w:val="1"/>
          <w:iCs w:val="1"/>
          <w:color w:val="auto"/>
        </w:rPr>
        <w:t>— Stockholders’ Equity”</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(Note 6)</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Short-term marketable securities (Note 6)</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r>
      <w:tr>
        <w:trPr>
          <w:trHeight w:val="20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 for doubtful accounts of $9 and $6,</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7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 (Note 2)</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FF0FC"/>
          </w:tcPr>
          <w:p>
            <w:pPr>
              <w:spacing w:after="0"/>
              <w:rPr>
                <w:sz w:val="18"/>
                <w:szCs w:val="18"/>
                <w:color w:val="auto"/>
              </w:rPr>
            </w:pPr>
          </w:p>
        </w:tc>
      </w:tr>
      <w:tr>
        <w:trPr>
          <w:trHeight w:val="213"/>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FF0FC"/>
            </w:tcBorders>
          </w:tcPr>
          <w:p>
            <w:pPr>
              <w:spacing w:after="0"/>
              <w:rPr>
                <w:sz w:val="18"/>
                <w:szCs w:val="18"/>
                <w:color w:val="auto"/>
              </w:rPr>
            </w:pPr>
          </w:p>
        </w:tc>
      </w:tr>
      <w:tr>
        <w:trPr>
          <w:trHeight w:val="213"/>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FF0FC"/>
          </w:tcPr>
          <w:p>
            <w:pPr>
              <w:spacing w:after="0"/>
              <w:rPr>
                <w:sz w:val="18"/>
                <w:szCs w:val="18"/>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Long-term marketable securities (Note 6)</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Property and equipment, net (Note 7)</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Intangible assets, net (Note 8)</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Goodwill (Note 8)</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Deferred income taxes, net (Note 10)</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9"/>
                <w:szCs w:val="19"/>
                <w:color w:val="auto"/>
              </w:rPr>
            </w:pPr>
          </w:p>
        </w:tc>
      </w:tr>
      <w:tr>
        <w:trPr>
          <w:trHeight w:val="247"/>
        </w:trPr>
        <w:tc>
          <w:tcPr>
            <w:tcW w:w="788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2,238</w:t>
            </w:r>
          </w:p>
        </w:tc>
        <w:tc>
          <w:tcPr>
            <w:tcW w:w="18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21"/>
                <w:szCs w:val="21"/>
                <w:color w:val="auto"/>
              </w:rPr>
            </w:pPr>
          </w:p>
        </w:tc>
      </w:tr>
      <w:tr>
        <w:trPr>
          <w:trHeight w:val="200"/>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Deferred merchant payables (Note 2)</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Current portion of debt (Note 9)</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Taxes payable (Note 10)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expenses and other current liabilities (Note 11)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FF0FC"/>
            </w:tcBorders>
          </w:tcPr>
          <w:p>
            <w:pPr>
              <w:spacing w:after="0"/>
              <w:rPr>
                <w:sz w:val="18"/>
                <w:szCs w:val="18"/>
                <w:color w:val="auto"/>
              </w:rPr>
            </w:pPr>
          </w:p>
        </w:tc>
      </w:tr>
      <w:tr>
        <w:trPr>
          <w:trHeight w:val="213"/>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FF0FC"/>
          </w:tcPr>
          <w:p>
            <w:pPr>
              <w:spacing w:after="0"/>
              <w:rPr>
                <w:sz w:val="18"/>
                <w:szCs w:val="18"/>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Long-term debt (Note 9)</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 net (Note 10)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liabilities (Note 12)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FF0FC"/>
            </w:tcBorders>
          </w:tcPr>
          <w:p>
            <w:pPr>
              <w:spacing w:after="0"/>
              <w:rPr>
                <w:sz w:val="18"/>
                <w:szCs w:val="18"/>
                <w:color w:val="auto"/>
              </w:rPr>
            </w:pPr>
          </w:p>
        </w:tc>
      </w:tr>
      <w:tr>
        <w:trPr>
          <w:trHeight w:val="213"/>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FF0FC"/>
          </w:tcPr>
          <w:p>
            <w:pPr>
              <w:spacing w:after="0"/>
              <w:rPr>
                <w:sz w:val="18"/>
                <w:szCs w:val="18"/>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 (Note 15)</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Preferred stock, $0.001 par value</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100,000,000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Shares issued and outstanding: 0 and 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Authorized shares: 1,600,000,000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134,706,467 and 133,836,242</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Shares outstanding: 131,310,980 and 132,443,111</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B common stock, $0.001 par value</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Authorized shares: 400,000,000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12,799,999 and 12,799,999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FF0FC"/>
          </w:tcPr>
          <w:p>
            <w:pPr>
              <w:spacing w:after="0"/>
              <w:rPr>
                <w:sz w:val="19"/>
                <w:szCs w:val="19"/>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stock-common stock, at cost, 3,395,487 and 1,393,131 shares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w:t>
            </w:r>
          </w:p>
        </w:tc>
      </w:tr>
      <w:tr>
        <w:trPr>
          <w:trHeight w:val="207"/>
        </w:trPr>
        <w:tc>
          <w:tcPr>
            <w:tcW w:w="7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FF0FC"/>
            </w:tcBorders>
          </w:tcPr>
          <w:p>
            <w:pPr>
              <w:spacing w:after="0"/>
              <w:rPr>
                <w:sz w:val="17"/>
                <w:szCs w:val="17"/>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2,238</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2,128</w:t>
            </w:r>
          </w:p>
        </w:tc>
        <w:tc>
          <w:tcPr>
            <w:tcW w:w="100" w:type="dxa"/>
            <w:vAlign w:val="bottom"/>
            <w:shd w:val="clear" w:color="auto" w:fill="CFF0FC"/>
          </w:tcPr>
          <w:p>
            <w:pPr>
              <w:spacing w:after="0"/>
              <w:rPr>
                <w:sz w:val="18"/>
                <w:szCs w:val="18"/>
                <w:color w:val="auto"/>
              </w:rPr>
            </w:pPr>
          </w:p>
        </w:tc>
      </w:tr>
      <w:tr>
        <w:trPr>
          <w:trHeight w:val="20"/>
        </w:trPr>
        <w:tc>
          <w:tcPr>
            <w:tcW w:w="7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other</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paid-in</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earnings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71"/>
              </w:rPr>
              <w:t>loss</w:t>
            </w:r>
          </w:p>
        </w:tc>
        <w:tc>
          <w:tcPr>
            <w:tcW w:w="220" w:type="dxa"/>
            <w:vAlign w:val="bottom"/>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December 31, 2013</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7"/>
              </w:rPr>
              <w:t>131,537,798</w:t>
            </w:r>
          </w:p>
        </w:tc>
        <w:tc>
          <w:tcPr>
            <w:tcW w:w="480" w:type="dxa"/>
            <w:vAlign w:val="bottom"/>
            <w:gridSpan w:val="2"/>
            <w:shd w:val="clear" w:color="auto" w:fill="CFF0FC"/>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12,799,999</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2"/>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608</w:t>
            </w:r>
          </w:p>
        </w:tc>
        <w:tc>
          <w:tcPr>
            <w:tcW w:w="140" w:type="dxa"/>
            <w:vAlign w:val="bottom"/>
            <w:shd w:val="clear" w:color="auto" w:fill="CFF0FC"/>
          </w:tcPr>
          <w:p>
            <w:pPr>
              <w:spacing w:after="0"/>
              <w:rPr>
                <w:sz w:val="13"/>
                <w:szCs w:val="13"/>
                <w:color w:val="auto"/>
              </w:rPr>
            </w:pPr>
          </w:p>
        </w:tc>
        <w:tc>
          <w:tcPr>
            <w:tcW w:w="28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402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(2,120,709)</w:t>
            </w:r>
          </w:p>
        </w:tc>
        <w:tc>
          <w:tcPr>
            <w:tcW w:w="320" w:type="dxa"/>
            <w:vAlign w:val="bottom"/>
            <w:gridSpan w:val="2"/>
            <w:shd w:val="clear" w:color="auto" w:fill="CFF0FC"/>
          </w:tcPr>
          <w:p>
            <w:pPr>
              <w:jc w:val="right"/>
              <w:ind w:right="11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w w:val="91"/>
              </w:rPr>
              <w:t>(145)</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865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226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1"/>
        </w:trPr>
        <w:tc>
          <w:tcPr>
            <w:tcW w:w="3180" w:type="dxa"/>
            <w:vAlign w:val="bottom"/>
          </w:tcPr>
          <w:p>
            <w:pPr>
              <w:spacing w:after="0" w:line="151" w:lineRule="exact"/>
              <w:rPr>
                <w:sz w:val="20"/>
                <w:szCs w:val="20"/>
                <w:color w:val="auto"/>
              </w:rPr>
            </w:pPr>
            <w:r>
              <w:rPr>
                <w:rFonts w:ascii="Arial" w:cs="Arial" w:eastAsia="Arial" w:hAnsi="Arial"/>
                <w:sz w:val="14"/>
                <w:szCs w:val="14"/>
                <w:color w:val="auto"/>
                <w:w w:val="90"/>
              </w:rPr>
              <w:t>Issuance of common stock related to exercise of options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and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tcPr>
          <w:p>
            <w:pPr>
              <w:ind w:left="100"/>
              <w:spacing w:after="0" w:line="159" w:lineRule="exact"/>
              <w:rPr>
                <w:sz w:val="20"/>
                <w:szCs w:val="20"/>
                <w:color w:val="auto"/>
              </w:rPr>
            </w:pPr>
            <w:r>
              <w:rPr>
                <w:rFonts w:ascii="Arial" w:cs="Arial" w:eastAsia="Arial" w:hAnsi="Arial"/>
                <w:sz w:val="14"/>
                <w:szCs w:val="14"/>
                <w:color w:val="auto"/>
              </w:rPr>
              <w:t>vesting of RSUs</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777,667</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Tax benefits on equity awards, net</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line="151" w:lineRule="exact"/>
              <w:rPr>
                <w:sz w:val="20"/>
                <w:szCs w:val="20"/>
                <w:color w:val="auto"/>
              </w:rPr>
            </w:pPr>
            <w:r>
              <w:rPr>
                <w:rFonts w:ascii="Arial" w:cs="Arial" w:eastAsia="Arial" w:hAnsi="Arial"/>
                <w:sz w:val="14"/>
                <w:szCs w:val="14"/>
                <w:color w:val="auto"/>
                <w:w w:val="97"/>
              </w:rPr>
              <w:t>Withholding taxes on net share settlements of equity</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80" w:type="dxa"/>
            <w:vAlign w:val="bottom"/>
          </w:tcPr>
          <w:p>
            <w:pPr>
              <w:spacing w:after="0" w:line="159" w:lineRule="exact"/>
              <w:rPr>
                <w:sz w:val="20"/>
                <w:szCs w:val="20"/>
                <w:color w:val="auto"/>
              </w:rPr>
            </w:pPr>
            <w:r>
              <w:rPr>
                <w:rFonts w:ascii="Arial" w:cs="Arial" w:eastAsia="Arial" w:hAnsi="Arial"/>
                <w:sz w:val="14"/>
                <w:szCs w:val="14"/>
                <w:color w:val="auto"/>
              </w:rPr>
              <w:t>awards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1"/>
        </w:trPr>
        <w:tc>
          <w:tcPr>
            <w:tcW w:w="318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93"/>
              </w:rPr>
              <w:t>Fair value of stock options assumed in connection with</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8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acquisition (Note 3)</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(73,464)</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2014</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80" w:type="dxa"/>
            <w:vAlign w:val="bottom"/>
            <w:vMerge w:val="continue"/>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7"/>
              </w:rPr>
              <w:t>132,315,465</w:t>
            </w:r>
          </w:p>
        </w:tc>
        <w:tc>
          <w:tcPr>
            <w:tcW w:w="180" w:type="dxa"/>
            <w:vAlign w:val="bottom"/>
          </w:tcPr>
          <w:p>
            <w:pPr>
              <w:spacing w:after="0"/>
              <w:rPr>
                <w:sz w:val="13"/>
                <w:szCs w:val="13"/>
                <w:color w:val="auto"/>
              </w:rPr>
            </w:pPr>
          </w:p>
        </w:tc>
        <w:tc>
          <w:tcPr>
            <w:tcW w:w="30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ind w:left="80"/>
              <w:spacing w:after="0" w:line="155" w:lineRule="exact"/>
              <w:rPr>
                <w:sz w:val="20"/>
                <w:szCs w:val="20"/>
                <w:color w:val="auto"/>
              </w:rPr>
            </w:pPr>
            <w:r>
              <w:rPr>
                <w:rFonts w:ascii="Arial" w:cs="Arial" w:eastAsia="Arial" w:hAnsi="Arial"/>
                <w:sz w:val="14"/>
                <w:szCs w:val="14"/>
                <w:b w:val="1"/>
                <w:bCs w:val="1"/>
                <w:color w:val="auto"/>
                <w:w w:val="99"/>
              </w:rPr>
              <w:t>—</w:t>
            </w:r>
          </w:p>
        </w:tc>
        <w:tc>
          <w:tcPr>
            <w:tcW w:w="2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12,799,999</w:t>
            </w:r>
          </w:p>
        </w:tc>
        <w:tc>
          <w:tcPr>
            <w:tcW w:w="180" w:type="dxa"/>
            <w:vAlign w:val="bottom"/>
          </w:tcPr>
          <w:p>
            <w:pPr>
              <w:spacing w:after="0"/>
              <w:rPr>
                <w:sz w:val="13"/>
                <w:szCs w:val="13"/>
                <w:color w:val="auto"/>
              </w:rPr>
            </w:pPr>
          </w:p>
        </w:tc>
        <w:tc>
          <w:tcPr>
            <w:tcW w:w="30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ind w:left="80"/>
              <w:spacing w:after="0" w:line="155" w:lineRule="exact"/>
              <w:rPr>
                <w:sz w:val="20"/>
                <w:szCs w:val="20"/>
                <w:color w:val="auto"/>
              </w:rPr>
            </w:pPr>
            <w:r>
              <w:rPr>
                <w:rFonts w:ascii="Arial" w:cs="Arial" w:eastAsia="Arial" w:hAnsi="Arial"/>
                <w:sz w:val="14"/>
                <w:szCs w:val="14"/>
                <w:b w:val="1"/>
                <w:bCs w:val="1"/>
                <w:color w:val="auto"/>
                <w:w w:val="99"/>
              </w:rPr>
              <w:t>—</w:t>
            </w:r>
          </w:p>
        </w:tc>
        <w:tc>
          <w:tcPr>
            <w:tcW w:w="2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673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628</w:t>
            </w: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(31)</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(2,194,173)</w:t>
            </w:r>
          </w:p>
        </w:tc>
        <w:tc>
          <w:tcPr>
            <w:tcW w:w="320" w:type="dxa"/>
            <w:vAlign w:val="bottom"/>
            <w:gridSpan w:val="2"/>
          </w:tcPr>
          <w:p>
            <w:pPr>
              <w:jc w:val="right"/>
              <w:ind w:right="11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w w:val="91"/>
              </w:rPr>
              <w:t>(145)</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1"/>
        </w:trPr>
        <w:tc>
          <w:tcPr>
            <w:tcW w:w="318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90"/>
              </w:rPr>
              <w:t>Issuance of common stock related to exercise of options</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and vesting</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of RSUs</w:t>
            </w: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1,520,777</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8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line="151" w:lineRule="exact"/>
              <w:rPr>
                <w:sz w:val="20"/>
                <w:szCs w:val="20"/>
                <w:color w:val="auto"/>
              </w:rPr>
            </w:pPr>
            <w:r>
              <w:rPr>
                <w:rFonts w:ascii="Arial" w:cs="Arial" w:eastAsia="Arial" w:hAnsi="Arial"/>
                <w:sz w:val="14"/>
                <w:szCs w:val="14"/>
                <w:color w:val="auto"/>
                <w:w w:val="98"/>
              </w:rPr>
              <w:t>Issuance of treasury stock as charitable contribution</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80" w:type="dxa"/>
            <w:vAlign w:val="bottom"/>
          </w:tcPr>
          <w:p>
            <w:pPr>
              <w:spacing w:after="0" w:line="159" w:lineRule="exact"/>
              <w:rPr>
                <w:sz w:val="20"/>
                <w:szCs w:val="20"/>
                <w:color w:val="auto"/>
              </w:rPr>
            </w:pPr>
            <w:r>
              <w:rPr>
                <w:rFonts w:ascii="Arial" w:cs="Arial" w:eastAsia="Arial" w:hAnsi="Arial"/>
                <w:sz w:val="14"/>
                <w:szCs w:val="14"/>
                <w:color w:val="auto"/>
              </w:rPr>
              <w:t>(Note 15)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801,042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53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Tax benefits on equity awards, net</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line="151" w:lineRule="exact"/>
              <w:rPr>
                <w:sz w:val="20"/>
                <w:szCs w:val="20"/>
                <w:color w:val="auto"/>
              </w:rPr>
            </w:pPr>
            <w:r>
              <w:rPr>
                <w:rFonts w:ascii="Arial" w:cs="Arial" w:eastAsia="Arial" w:hAnsi="Arial"/>
                <w:sz w:val="14"/>
                <w:szCs w:val="14"/>
                <w:color w:val="auto"/>
                <w:w w:val="97"/>
              </w:rPr>
              <w:t>Withholding taxes on net share settlements of equity</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80" w:type="dxa"/>
            <w:vAlign w:val="bottom"/>
          </w:tcPr>
          <w:p>
            <w:pPr>
              <w:spacing w:after="0" w:line="159" w:lineRule="exact"/>
              <w:rPr>
                <w:sz w:val="20"/>
                <w:szCs w:val="20"/>
                <w:color w:val="auto"/>
              </w:rPr>
            </w:pPr>
            <w:r>
              <w:rPr>
                <w:rFonts w:ascii="Arial" w:cs="Arial" w:eastAsia="Arial" w:hAnsi="Arial"/>
                <w:sz w:val="14"/>
                <w:szCs w:val="14"/>
                <w:color w:val="auto"/>
              </w:rPr>
              <w:t>awards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2015</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7"/>
              </w:rPr>
              <w:t>133,836,242</w:t>
            </w:r>
          </w:p>
        </w:tc>
        <w:tc>
          <w:tcPr>
            <w:tcW w:w="480" w:type="dxa"/>
            <w:vAlign w:val="bottom"/>
            <w:gridSpan w:val="2"/>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12,799,999</w:t>
            </w:r>
          </w:p>
        </w:tc>
        <w:tc>
          <w:tcPr>
            <w:tcW w:w="180" w:type="dxa"/>
            <w:vAlign w:val="bottom"/>
          </w:tcPr>
          <w:p>
            <w:pPr>
              <w:spacing w:after="0"/>
              <w:rPr>
                <w:sz w:val="13"/>
                <w:szCs w:val="13"/>
                <w:color w:val="auto"/>
              </w:rPr>
            </w:pPr>
          </w:p>
        </w:tc>
        <w:tc>
          <w:tcPr>
            <w:tcW w:w="30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741</w:t>
            </w:r>
          </w:p>
        </w:tc>
        <w:tc>
          <w:tcPr>
            <w:tcW w:w="140" w:type="dxa"/>
            <w:vAlign w:val="bottom"/>
          </w:tcPr>
          <w:p>
            <w:pPr>
              <w:spacing w:after="0"/>
              <w:rPr>
                <w:sz w:val="13"/>
                <w:szCs w:val="13"/>
                <w:color w:val="auto"/>
              </w:rPr>
            </w:pPr>
          </w:p>
        </w:tc>
        <w:tc>
          <w:tcPr>
            <w:tcW w:w="2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826</w:t>
            </w: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(63)</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(1,393,131)</w:t>
            </w:r>
          </w:p>
        </w:tc>
        <w:tc>
          <w:tcPr>
            <w:tcW w:w="320" w:type="dxa"/>
            <w:vAlign w:val="bottom"/>
            <w:gridSpan w:val="2"/>
          </w:tcPr>
          <w:p>
            <w:pPr>
              <w:jc w:val="right"/>
              <w:ind w:right="11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(92)</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line="151" w:lineRule="exact"/>
              <w:rPr>
                <w:sz w:val="20"/>
                <w:szCs w:val="20"/>
                <w:color w:val="auto"/>
              </w:rPr>
            </w:pPr>
            <w:r>
              <w:rPr>
                <w:rFonts w:ascii="Arial" w:cs="Arial" w:eastAsia="Arial" w:hAnsi="Arial"/>
                <w:sz w:val="14"/>
                <w:szCs w:val="14"/>
                <w:color w:val="auto"/>
                <w:w w:val="99"/>
              </w:rPr>
              <w:t>Cumulative effect adjustment from adoption of ASU</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2016-09</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tcPr>
          <w:p>
            <w:pPr>
              <w:ind w:left="100"/>
              <w:spacing w:after="0" w:line="159" w:lineRule="exact"/>
              <w:rPr>
                <w:sz w:val="20"/>
                <w:szCs w:val="20"/>
                <w:color w:val="auto"/>
              </w:rPr>
            </w:pPr>
            <w:r>
              <w:rPr>
                <w:rFonts w:ascii="Arial" w:cs="Arial" w:eastAsia="Arial" w:hAnsi="Arial"/>
                <w:sz w:val="14"/>
                <w:szCs w:val="14"/>
                <w:color w:val="auto"/>
              </w:rPr>
              <w:t>(Note 2)</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1"/>
        </w:trPr>
        <w:tc>
          <w:tcPr>
            <w:tcW w:w="3180" w:type="dxa"/>
            <w:vAlign w:val="bottom"/>
          </w:tcPr>
          <w:p>
            <w:pPr>
              <w:spacing w:after="0" w:line="151" w:lineRule="exact"/>
              <w:rPr>
                <w:sz w:val="20"/>
                <w:szCs w:val="20"/>
                <w:color w:val="auto"/>
              </w:rPr>
            </w:pPr>
            <w:r>
              <w:rPr>
                <w:rFonts w:ascii="Arial" w:cs="Arial" w:eastAsia="Arial" w:hAnsi="Arial"/>
                <w:sz w:val="14"/>
                <w:szCs w:val="14"/>
                <w:color w:val="auto"/>
                <w:w w:val="90"/>
              </w:rPr>
              <w:t>Issuance of common stock related to exercise of options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and vesting</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tcPr>
          <w:p>
            <w:pPr>
              <w:ind w:left="100"/>
              <w:spacing w:after="0" w:line="159" w:lineRule="exact"/>
              <w:rPr>
                <w:sz w:val="20"/>
                <w:szCs w:val="20"/>
                <w:color w:val="auto"/>
              </w:rPr>
            </w:pPr>
            <w:r>
              <w:rPr>
                <w:rFonts w:ascii="Arial" w:cs="Arial" w:eastAsia="Arial" w:hAnsi="Arial"/>
                <w:sz w:val="14"/>
                <w:szCs w:val="14"/>
                <w:color w:val="auto"/>
              </w:rPr>
              <w:t>of RSUs</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870,225</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(2,002,356)</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1"/>
              </w:rPr>
              <w:t>(105)</w:t>
            </w:r>
          </w:p>
        </w:tc>
        <w:tc>
          <w:tcPr>
            <w:tcW w:w="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51"/>
        </w:trPr>
        <w:tc>
          <w:tcPr>
            <w:tcW w:w="3180" w:type="dxa"/>
            <w:vAlign w:val="bottom"/>
          </w:tcPr>
          <w:p>
            <w:pPr>
              <w:spacing w:after="0" w:line="151" w:lineRule="exact"/>
              <w:rPr>
                <w:sz w:val="20"/>
                <w:szCs w:val="20"/>
                <w:color w:val="auto"/>
              </w:rPr>
            </w:pPr>
            <w:r>
              <w:rPr>
                <w:rFonts w:ascii="Arial" w:cs="Arial" w:eastAsia="Arial" w:hAnsi="Arial"/>
                <w:sz w:val="14"/>
                <w:szCs w:val="14"/>
                <w:color w:val="auto"/>
                <w:w w:val="97"/>
              </w:rPr>
              <w:t>Withholding taxes on net share settlements of equity</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80" w:type="dxa"/>
            <w:vAlign w:val="bottom"/>
          </w:tcPr>
          <w:p>
            <w:pPr>
              <w:spacing w:after="0" w:line="159" w:lineRule="exact"/>
              <w:rPr>
                <w:sz w:val="20"/>
                <w:szCs w:val="20"/>
                <w:color w:val="auto"/>
              </w:rPr>
            </w:pPr>
            <w:r>
              <w:rPr>
                <w:rFonts w:ascii="Arial" w:cs="Arial" w:eastAsia="Arial" w:hAnsi="Arial"/>
                <w:sz w:val="14"/>
                <w:szCs w:val="14"/>
                <w:color w:val="auto"/>
              </w:rPr>
              <w:t>awards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2016</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7"/>
              </w:rPr>
              <w:t>134,706,467</w:t>
            </w:r>
          </w:p>
        </w:tc>
        <w:tc>
          <w:tcPr>
            <w:tcW w:w="480" w:type="dxa"/>
            <w:vAlign w:val="bottom"/>
            <w:gridSpan w:val="2"/>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12,799,999</w:t>
            </w:r>
          </w:p>
        </w:tc>
        <w:tc>
          <w:tcPr>
            <w:tcW w:w="180" w:type="dxa"/>
            <w:vAlign w:val="bottom"/>
          </w:tcPr>
          <w:p>
            <w:pPr>
              <w:spacing w:after="0"/>
              <w:rPr>
                <w:sz w:val="13"/>
                <w:szCs w:val="13"/>
                <w:color w:val="auto"/>
              </w:rPr>
            </w:pPr>
          </w:p>
        </w:tc>
        <w:tc>
          <w:tcPr>
            <w:tcW w:w="30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831</w:t>
            </w:r>
          </w:p>
        </w:tc>
        <w:tc>
          <w:tcPr>
            <w:tcW w:w="140" w:type="dxa"/>
            <w:vAlign w:val="bottom"/>
          </w:tcPr>
          <w:p>
            <w:pPr>
              <w:spacing w:after="0"/>
              <w:rPr>
                <w:sz w:val="13"/>
                <w:szCs w:val="13"/>
                <w:color w:val="auto"/>
              </w:rPr>
            </w:pPr>
          </w:p>
        </w:tc>
        <w:tc>
          <w:tcPr>
            <w:tcW w:w="2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945</w:t>
            </w: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(77)</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(3,395,487)</w:t>
            </w:r>
          </w:p>
        </w:tc>
        <w:tc>
          <w:tcPr>
            <w:tcW w:w="320" w:type="dxa"/>
            <w:vAlign w:val="bottom"/>
            <w:gridSpan w:val="2"/>
          </w:tcPr>
          <w:p>
            <w:pPr>
              <w:jc w:val="right"/>
              <w:ind w:right="11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w w:val="91"/>
              </w:rPr>
              <w:t>(197)</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1,502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Net income</w:t>
            </w:r>
          </w:p>
        </w:tc>
        <w:tc>
          <w:tcPr>
            <w:tcW w:w="1880" w:type="dxa"/>
            <w:vAlign w:val="bottom"/>
            <w:gridSpan w:val="2"/>
          </w:tcPr>
          <w:p>
            <w:pPr>
              <w:jc w:val="right"/>
              <w:ind w:right="488"/>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120</w:t>
            </w:r>
          </w:p>
        </w:tc>
        <w:tc>
          <w:tcPr>
            <w:tcW w:w="26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198</w:t>
            </w:r>
          </w:p>
        </w:tc>
        <w:tc>
          <w:tcPr>
            <w:tcW w:w="1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60" w:type="dxa"/>
            <w:vAlign w:val="bottom"/>
          </w:tcPr>
          <w:p>
            <w:pPr>
              <w:ind w:left="260"/>
              <w:spacing w:after="0" w:line="162" w:lineRule="exact"/>
              <w:rPr>
                <w:sz w:val="20"/>
                <w:szCs w:val="20"/>
                <w:color w:val="auto"/>
              </w:rPr>
            </w:pPr>
            <w:r>
              <w:rPr>
                <w:rFonts w:ascii="Arial" w:cs="Arial" w:eastAsia="Arial" w:hAnsi="Arial"/>
                <w:sz w:val="15"/>
                <w:szCs w:val="15"/>
                <w:color w:val="auto"/>
              </w:rPr>
              <w:t>Depreciation of property and equipment, including amortization of internal-use</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360"/>
              <w:spacing w:after="0"/>
              <w:rPr>
                <w:sz w:val="20"/>
                <w:szCs w:val="20"/>
                <w:color w:val="auto"/>
              </w:rPr>
            </w:pPr>
            <w:r>
              <w:rPr>
                <w:rFonts w:ascii="Arial" w:cs="Arial" w:eastAsia="Arial" w:hAnsi="Arial"/>
                <w:sz w:val="15"/>
                <w:szCs w:val="15"/>
                <w:color w:val="auto"/>
              </w:rPr>
              <w:t>software and website development</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69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intangible assets</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Stock-based compensation expense (Note 4)</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85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Non-cash contribution to charitable foundation (Note 17)</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Gain on sale of business (Note 3)</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tax benefit</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(20)</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Other, net</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Changes in operating assets and liabilities, net of effects from acquisitions and other</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investments, and dispositions:</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500"/>
              <w:spacing w:after="0"/>
              <w:rPr>
                <w:sz w:val="20"/>
                <w:szCs w:val="20"/>
                <w:color w:val="auto"/>
              </w:rPr>
            </w:pPr>
            <w:r>
              <w:rPr>
                <w:rFonts w:ascii="Arial" w:cs="Arial" w:eastAsia="Arial" w:hAnsi="Arial"/>
                <w:sz w:val="15"/>
                <w:szCs w:val="15"/>
                <w:color w:val="auto"/>
              </w:rPr>
              <w:t>Accounts receivable, prepaid expenses and other assets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(24)</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 accrued expenses and other liabilities</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500"/>
              <w:spacing w:after="0"/>
              <w:rPr>
                <w:sz w:val="20"/>
                <w:szCs w:val="20"/>
                <w:color w:val="auto"/>
              </w:rPr>
            </w:pPr>
            <w:r>
              <w:rPr>
                <w:rFonts w:ascii="Arial" w:cs="Arial" w:eastAsia="Arial" w:hAnsi="Arial"/>
                <w:sz w:val="15"/>
                <w:szCs w:val="15"/>
                <w:color w:val="auto"/>
              </w:rPr>
              <w:t>Deferred merchant payables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Income tax receivables/payables, net</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Borders>
              <w:bottom w:val="single" w:sz="8" w:color="CFF0FC"/>
            </w:tcBorders>
          </w:tcPr>
          <w:p>
            <w:pPr>
              <w:ind w:left="500"/>
              <w:spacing w:after="0"/>
              <w:rPr>
                <w:sz w:val="20"/>
                <w:szCs w:val="20"/>
                <w:color w:val="auto"/>
              </w:rPr>
            </w:pPr>
            <w:r>
              <w:rPr>
                <w:rFonts w:ascii="Arial" w:cs="Arial" w:eastAsia="Arial" w:hAnsi="Arial"/>
                <w:sz w:val="15"/>
                <w:szCs w:val="15"/>
                <w:color w:val="auto"/>
              </w:rPr>
              <w:t>Deferred revenue</w:t>
            </w:r>
          </w:p>
        </w:tc>
        <w:tc>
          <w:tcPr>
            <w:tcW w:w="124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321</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expenditures, including internal-use software and website development</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(72)</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Acquisitions and other investments, net of cash acquired (Note 3)</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(43)</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 of business, net of cash sold (Note 3)</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Purchases of marketable securities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w w:val="96"/>
              </w:rPr>
              <w:t>(166)</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Sales of marketable securities</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Maturities of marketable securities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investing activities, net</w:t>
            </w:r>
          </w:p>
        </w:tc>
        <w:tc>
          <w:tcPr>
            <w:tcW w:w="1240" w:type="dxa"/>
            <w:vAlign w:val="bottom"/>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6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used in investing activities</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w w:val="96"/>
              </w:rPr>
              <w:t>(163)</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Financing activities:</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Repurchase of common stock (Note 15)</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w w:val="96"/>
              </w:rPr>
              <w:t>(105)</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Chinese credit facilities</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Payments to Chinese credit facilities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Principal payments on 2011 credit facility</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Proceeds from 2015 credit facility, net of financing costs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101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to 2015 credit facility</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96"/>
              </w:rPr>
              <w:t>(210)</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Proceeds from 2016 credit facility, net of financing costs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73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Payment of withholding taxes on net share settlements of equity awards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financing activities, net</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5"/>
                <w:szCs w:val="15"/>
                <w:b w:val="1"/>
                <w:bCs w:val="1"/>
                <w:color w:val="auto"/>
              </w:rPr>
              <w:t>Net cash used in financing activities</w:t>
            </w:r>
          </w:p>
        </w:tc>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w w:val="96"/>
              </w:rPr>
              <w:t>(143)</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Effect of exchange rate changes on cash and cash equivalents</w:t>
            </w: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(17)</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5"/>
                <w:szCs w:val="15"/>
                <w:b w:val="1"/>
                <w:bCs w:val="1"/>
                <w:color w:val="auto"/>
              </w:rPr>
              <w:t>Net (decrease) increase in cash and cash equivalents</w:t>
            </w:r>
          </w:p>
        </w:tc>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(2)</w:t>
            </w:r>
          </w:p>
        </w:tc>
        <w:tc>
          <w:tcPr>
            <w:tcW w:w="20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159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at beginning of period</w:t>
            </w:r>
          </w:p>
        </w:tc>
        <w:tc>
          <w:tcPr>
            <w:tcW w:w="1240" w:type="dxa"/>
            <w:vAlign w:val="bottom"/>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614</w:t>
            </w:r>
          </w:p>
        </w:tc>
        <w:tc>
          <w:tcPr>
            <w:tcW w:w="26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line="169" w:lineRule="exact"/>
              <w:rPr>
                <w:sz w:val="20"/>
                <w:szCs w:val="20"/>
                <w:color w:val="auto"/>
              </w:rPr>
            </w:pPr>
            <w:r>
              <w:rPr>
                <w:rFonts w:ascii="Arial" w:cs="Arial" w:eastAsia="Arial" w:hAnsi="Arial"/>
                <w:sz w:val="15"/>
                <w:szCs w:val="15"/>
                <w:b w:val="1"/>
                <w:bCs w:val="1"/>
                <w:color w:val="auto"/>
              </w:rPr>
              <w:t>Cash and cash equivalents at end of period</w:t>
            </w:r>
          </w:p>
        </w:tc>
        <w:tc>
          <w:tcPr>
            <w:tcW w:w="1880" w:type="dxa"/>
            <w:vAlign w:val="bottom"/>
            <w:gridSpan w:val="2"/>
          </w:tcPr>
          <w:p>
            <w:pPr>
              <w:jc w:val="right"/>
              <w:ind w:right="488"/>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69" w:lineRule="exact"/>
              <w:rPr>
                <w:sz w:val="20"/>
                <w:szCs w:val="20"/>
                <w:color w:val="auto"/>
              </w:rPr>
            </w:pPr>
            <w:r>
              <w:rPr>
                <w:rFonts w:ascii="Arial" w:cs="Arial" w:eastAsia="Arial" w:hAnsi="Arial"/>
                <w:sz w:val="15"/>
                <w:szCs w:val="15"/>
                <w:color w:val="auto"/>
              </w:rPr>
              <w:t>612</w:t>
            </w:r>
          </w:p>
        </w:tc>
        <w:tc>
          <w:tcPr>
            <w:tcW w:w="260" w:type="dxa"/>
            <w:vAlign w:val="bottom"/>
          </w:tcPr>
          <w:p>
            <w:pPr>
              <w:spacing w:after="0"/>
              <w:rPr>
                <w:sz w:val="18"/>
                <w:szCs w:val="18"/>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614</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124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Cash paid during the period for income taxes, net of refunds</w:t>
            </w:r>
          </w:p>
        </w:tc>
        <w:tc>
          <w:tcPr>
            <w:tcW w:w="1880" w:type="dxa"/>
            <w:vAlign w:val="bottom"/>
            <w:gridSpan w:val="2"/>
          </w:tcPr>
          <w:p>
            <w:pPr>
              <w:jc w:val="right"/>
              <w:ind w:right="488"/>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29</w:t>
            </w:r>
          </w:p>
        </w:tc>
        <w:tc>
          <w:tcPr>
            <w:tcW w:w="26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paid during the period for interest</w:t>
            </w:r>
          </w:p>
        </w:tc>
        <w:tc>
          <w:tcPr>
            <w:tcW w:w="1880" w:type="dxa"/>
            <w:vAlign w:val="bottom"/>
            <w:gridSpan w:val="2"/>
            <w:shd w:val="clear" w:color="auto" w:fill="CFF0FC"/>
          </w:tcPr>
          <w:p>
            <w:pPr>
              <w:jc w:val="right"/>
              <w:ind w:right="488"/>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Stock-based compensation capitalized with internal-use software and website</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development costs</w:t>
            </w:r>
          </w:p>
        </w:tc>
        <w:tc>
          <w:tcPr>
            <w:tcW w:w="1880" w:type="dxa"/>
            <w:vAlign w:val="bottom"/>
            <w:gridSpan w:val="2"/>
            <w:shd w:val="clear" w:color="auto" w:fill="CFF0FC"/>
          </w:tcPr>
          <w:p>
            <w:pPr>
              <w:jc w:val="right"/>
              <w:ind w:right="488"/>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60"/>
              <w:spacing w:after="0"/>
              <w:rPr>
                <w:sz w:val="20"/>
                <w:szCs w:val="20"/>
                <w:color w:val="auto"/>
              </w:rPr>
            </w:pPr>
            <w:r>
              <w:rPr>
                <w:rFonts w:ascii="Arial" w:cs="Arial" w:eastAsia="Arial" w:hAnsi="Arial"/>
                <w:sz w:val="15"/>
                <w:szCs w:val="15"/>
                <w:color w:val="auto"/>
              </w:rPr>
              <w:t>Capitalization of construction in-process related to build to suit lease</w:t>
            </w:r>
          </w:p>
        </w:tc>
        <w:tc>
          <w:tcPr>
            <w:tcW w:w="1880" w:type="dxa"/>
            <w:vAlign w:val="bottom"/>
            <w:gridSpan w:val="2"/>
          </w:tcPr>
          <w:p>
            <w:pPr>
              <w:jc w:val="right"/>
              <w:ind w:right="488"/>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w:t>
            </w:r>
          </w:p>
        </w:tc>
        <w:tc>
          <w:tcPr>
            <w:tcW w:w="1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expenditures incurred but not yet paid related to build to suit lease</w:t>
            </w:r>
          </w:p>
        </w:tc>
        <w:tc>
          <w:tcPr>
            <w:tcW w:w="1880" w:type="dxa"/>
            <w:vAlign w:val="bottom"/>
            <w:gridSpan w:val="2"/>
            <w:shd w:val="clear" w:color="auto" w:fill="CFF0FC"/>
          </w:tcPr>
          <w:p>
            <w:pPr>
              <w:jc w:val="right"/>
              <w:ind w:right="488"/>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DESCRIPTION</w:t>
      </w:r>
    </w:p>
    <w:p>
      <w:pPr>
        <w:spacing w:after="0" w:line="121"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consolidated financial statements.</w:t>
      </w:r>
    </w:p>
    <w:p>
      <w:pPr>
        <w:spacing w:after="0" w:line="170"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On December 20, 2011 Expedia, Inc. completed a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81" w:lineRule="exact"/>
        <w:rPr>
          <w:sz w:val="20"/>
          <w:szCs w:val="20"/>
          <w:color w:val="auto"/>
        </w:rPr>
      </w:pPr>
    </w:p>
    <w:p>
      <w:pPr>
        <w:ind w:right="340" w:firstLine="598"/>
        <w:spacing w:after="0" w:line="286" w:lineRule="auto"/>
        <w:rPr>
          <w:sz w:val="20"/>
          <w:szCs w:val="20"/>
          <w:color w:val="auto"/>
        </w:rPr>
      </w:pPr>
      <w:r>
        <w:rPr>
          <w:rFonts w:ascii="Arial" w:cs="Arial" w:eastAsia="Arial" w:hAnsi="Arial"/>
          <w:sz w:val="17"/>
          <w:szCs w:val="17"/>
          <w:color w:val="auto"/>
        </w:rPr>
        <w:t>On December 11, 2012, Liberty Interactive Corporation, or Liberty, purchased an aggregate of 4,799,848 shares of common stock of TripAdvisor from Barry Diller, our former Chairman of the Board of Directors and Senior Executive, and certain of his affiliates (the “Stock Purchase”). As a result, Liberty beneficially owned 18,159,752 shares of our common stock and 12,799,999 shares of our Class B common stock.</w:t>
      </w:r>
    </w:p>
    <w:p>
      <w:pPr>
        <w:spacing w:after="0" w:line="166"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 Off. As a result of the Liberty Spin-Off, effective August 27, 2014, LTRIP became a separate, publicly traded company holding 100% of Liberty’s interest in TripAdvisor.</w:t>
      </w:r>
    </w:p>
    <w:p>
      <w:pPr>
        <w:spacing w:after="0" w:line="171"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As a result of these transactions, as of December 31, 2016, LTRIP beneficially owned 18,159,752 shares of our common stock and 12,799,999 shares of our Class B common stock, which shares constitute 13.8% of the outstanding shares of common stock and 100% of the outstanding shares of Class B common stock. Assuming the conversion of all of LTRIP’s shares of Class B common stock into common stock, LTRIP would beneficially own 21.5% of the outstanding common stock. Because each share of Class B common stock is generally entitled to ten votes per share and each share of common stock is entitled to one vote per share, LTRIP may be deemed to beneficially own equity securities representing approximately 56.4% of our voting power.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0" w:firstLine="598"/>
        <w:spacing w:after="0" w:line="302" w:lineRule="auto"/>
        <w:rPr>
          <w:sz w:val="20"/>
          <w:szCs w:val="20"/>
          <w:color w:val="auto"/>
        </w:rPr>
      </w:pPr>
      <w:r>
        <w:rPr>
          <w:rFonts w:ascii="Arial" w:cs="Arial" w:eastAsia="Arial" w:hAnsi="Arial"/>
          <w:sz w:val="16"/>
          <w:szCs w:val="16"/>
          <w:color w:val="auto"/>
        </w:rPr>
        <w:t>TripAdvisor is an online travel company, empowering users to plan and book the perfect trip. TripAdvisor’s travel platform aggregates reviews and opinions of members about destinations, accommodations, activities and attractions, and restaurants throughout the world so that our users have access to trusted advice wherever their trips take them. Our platform helps users plan their trips with our unique user-generated content and enables users to compare real-time pricing and availability so that they can book hotels, flights, cruises, vacation rentals, activities and attractions, and restaurant reservations.</w:t>
      </w:r>
    </w:p>
    <w:p>
      <w:pPr>
        <w:spacing w:after="0" w:line="154"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Our flagship brand is TripAdvisor. TripAdvisor-branded websites include tripadvisor.com in the United States and localized versions of the website in 48 markets worldwide. In addition to the flagship TripAdvisor brand, we manage and operate 23 other media brands, connected by the common goal of providing comprehensive travel planning resources across the travel sector, which include; www.airfarewatchdog.com, www.bookingbuddy.com, www.citymaps.com, www.cruisecritic.com, www.familyvacationcritic.com, www.flipkey.com, www.gateguru.com, www.holidaylettings.co.uk, www.holidaywatchdog.com, www.housetrip.com, www.independenttraveler.com, www.jetsetter.com, www.thefork.com (including www.lafourchette.com, www.eltenedor.com, www.iens.nl, www.besttables.com, www.dimmi.com.au, and www.en.couverts.nl), www.niumba.com, www.onetime.com, www.oyster.com, www.seatguru.com, www.smartertravel.com, www.tingo.com, www.travelpod.com, www.tripbod.com, www.vacationhomerentals.com, and www.viator.com.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Traveler expenditures in the global travel market tend to follow a seasonal pattern. As such, expenditures by travel advertisers to market to potential travelers, and, therefore, our financial performance, tend to be seasonal as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ind w:right="160"/>
        <w:spacing w:after="0" w:line="264" w:lineRule="auto"/>
        <w:rPr>
          <w:sz w:val="20"/>
          <w:szCs w:val="20"/>
          <w:color w:val="auto"/>
        </w:rPr>
      </w:pPr>
      <w:r>
        <w:rPr>
          <w:rFonts w:ascii="Arial" w:cs="Arial" w:eastAsia="Arial" w:hAnsi="Arial"/>
          <w:sz w:val="18"/>
          <w:szCs w:val="18"/>
          <w:color w:val="auto"/>
        </w:rPr>
        <w:t>well. As a result, our financial results tend to be seasonally highest in the third quarter of a year, as it is a key period for travel research and trip-taking, compared to the first and fourth quarters which represent seasonal low points. Further significant shifts in our business mix or adverse economic conditions could result in future seasonal patterns that are different from historical trends.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the results of our future operations and cash flows.</w:t>
      </w:r>
    </w:p>
    <w:p>
      <w:pPr>
        <w:spacing w:after="0" w:line="173"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have an operating subsidiary in China that has variable interests in an affiliated entity in China in order to comply with Chinese laws and regulations, which restrict foreign investment in internet content provision businesses. Although we do not own the capital stock of this Chinese affiliate, we consolidate its results as we are the primary beneficiary of the cash losses or profits of this variable interest affiliate and have the power to direct the activities of this affiliate. Our variable interest entity is not material for all periods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(i) recognition and recoverability of goodwill, intangible and other long-lived assets; (ii) accounting for income taxes; (iii) purchase accounting for business combinations; and (iv) stock-based compensation.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Refer to our discussion in “Recently Adopted Accounting Pronouncements” below for required prior period reclassifications resulting from the early adoption of new accounting guidance. All other reclassifications, made to conform the prior period to the current presentation, were not material and had no net effect on our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We recognize revenue from our services rendered when the following four revenue recognition criteria are met: persuasive evidence of an arrangement exists, services have been rendered, the price is fixed or determinable, and collectability is reasonably assured. Deferred revenue, which primarily relates to our subscription-based and commission based arrangements, is recorded when payments are received in advance of our performance as required by the underlying agreements.</w:t>
      </w:r>
    </w:p>
    <w:p>
      <w:pPr>
        <w:spacing w:after="0" w:line="18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i w:val="1"/>
          <w:iCs w:val="1"/>
          <w:color w:val="auto"/>
        </w:rPr>
        <w:t>Click-based advertising and transaction revenue</w:t>
      </w:r>
      <w:r>
        <w:rPr>
          <w:rFonts w:ascii="Arial" w:cs="Arial" w:eastAsia="Arial" w:hAnsi="Arial"/>
          <w:sz w:val="18"/>
          <w:szCs w:val="18"/>
          <w:color w:val="auto"/>
        </w:rPr>
        <w:t>. Click-based revenue is derived primarily from click-through fees charged to our travel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traveler leads sent to the travel partners’ website. We record revenue from click-through fees in the same period as when the traveler makes the click-through to the travel partners’ website. Our instant booking transaction model revenue is comprised of commissions earned on all valid instant booking reservations. In a transaction model, our instant booking commission revenue is recorded at the time a traveler books a hotel transaction on our partner’s site where we, as facilitator for such booking, do not assume associated cancellation risk. Under the other instant booking model, called the consumption model, we assume cancellation risk</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79" w:name="page80"/>
    <w:bookmarkEnd w:id="79"/>
    <w:p>
      <w:pPr>
        <w:ind w:right="60"/>
        <w:spacing w:after="0" w:line="277" w:lineRule="auto"/>
        <w:rPr>
          <w:sz w:val="20"/>
          <w:szCs w:val="20"/>
          <w:color w:val="auto"/>
        </w:rPr>
      </w:pPr>
      <w:r>
        <w:rPr>
          <w:rFonts w:ascii="Arial" w:cs="Arial" w:eastAsia="Arial" w:hAnsi="Arial"/>
          <w:sz w:val="18"/>
          <w:szCs w:val="18"/>
          <w:color w:val="auto"/>
        </w:rPr>
        <w:t>associated with booking, and we record that revenue in the month in which the traveler’s stay at a hotel occurs. We have no post-booking service obligations for all instant booking transactions, regardless of the model chosen.</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i w:val="1"/>
          <w:iCs w:val="1"/>
          <w:color w:val="auto"/>
        </w:rPr>
        <w:t>Display-based and subscription-based advertising</w:t>
      </w:r>
      <w:r>
        <w:rPr>
          <w:rFonts w:ascii="Arial" w:cs="Arial" w:eastAsia="Arial" w:hAnsi="Arial"/>
          <w:sz w:val="18"/>
          <w:szCs w:val="18"/>
          <w:color w:val="auto"/>
        </w:rPr>
        <w:t>. We recognize display-based advertising revenue ratably over the advertising period or upon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advertising impressions, depending on the terms of the advertising contract. Subscription-based advertising revenue is recognized ratably over the related contractual period over which service is delivered.</w:t>
      </w:r>
    </w:p>
    <w:p>
      <w:pPr>
        <w:spacing w:after="0" w:line="181"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i w:val="1"/>
          <w:iCs w:val="1"/>
          <w:color w:val="auto"/>
        </w:rPr>
        <w:t>Attractions</w:t>
      </w:r>
      <w:r>
        <w:rPr>
          <w:rFonts w:ascii="Arial" w:cs="Arial" w:eastAsia="Arial" w:hAnsi="Arial"/>
          <w:sz w:val="17"/>
          <w:szCs w:val="17"/>
          <w:color w:val="auto"/>
        </w:rPr>
        <w:t>. We work with local operators, or merchant partners, to provide travelers with access to tours and activities in popular destinations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earning a commission for such service. While the merchant of record, we receive cash from the consumer at the time of booking of the destination activity and record these amounts, net of commissions, as deferred merchant payables on our consolidated balance sheet. Commission revenue is recorded as deferred revenue at the time of booking and later recognized when the consumer has completed the destination activity. We pay the destination activity operators after the travelers’ use. In transactions where we are not the merchant of record, we invoice and receive commissions directly from our merchant partners and record commission revenue when the consumer has completed the destination activity.</w:t>
      </w:r>
    </w:p>
    <w:p>
      <w:pPr>
        <w:spacing w:after="0" w:line="178" w:lineRule="exact"/>
        <w:rPr>
          <w:sz w:val="20"/>
          <w:szCs w:val="20"/>
          <w:color w:val="auto"/>
        </w:rPr>
      </w:pPr>
    </w:p>
    <w:p>
      <w:pPr>
        <w:ind w:right="140" w:firstLine="598"/>
        <w:spacing w:after="0" w:line="308" w:lineRule="auto"/>
        <w:rPr>
          <w:sz w:val="20"/>
          <w:szCs w:val="20"/>
          <w:color w:val="auto"/>
        </w:rPr>
      </w:pPr>
      <w:r>
        <w:rPr>
          <w:rFonts w:ascii="Arial" w:cs="Arial" w:eastAsia="Arial" w:hAnsi="Arial"/>
          <w:sz w:val="17"/>
          <w:szCs w:val="17"/>
          <w:i w:val="1"/>
          <w:iCs w:val="1"/>
          <w:color w:val="auto"/>
        </w:rPr>
        <w:t xml:space="preserve">Restaurants. </w:t>
      </w:r>
      <w:r>
        <w:rPr>
          <w:rFonts w:ascii="Arial" w:cs="Arial" w:eastAsia="Arial" w:hAnsi="Arial"/>
          <w:sz w:val="17"/>
          <w:szCs w:val="17"/>
          <w:color w:val="auto"/>
        </w:rPr>
        <w:t>We recognize reservation revenues (or per seated diner fees) on a transaction-by-transaction basis as diners are seated by our restaurant</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Subscription-based revenue is recognized ratably over the related contractual period over which the service is delivered.</w:t>
      </w:r>
    </w:p>
    <w:p>
      <w:pPr>
        <w:spacing w:after="0" w:line="147" w:lineRule="exact"/>
        <w:rPr>
          <w:sz w:val="20"/>
          <w:szCs w:val="20"/>
          <w:color w:val="auto"/>
        </w:rPr>
      </w:pPr>
    </w:p>
    <w:p>
      <w:pPr>
        <w:ind w:right="140" w:firstLine="598"/>
        <w:spacing w:after="0" w:line="270" w:lineRule="auto"/>
        <w:rPr>
          <w:sz w:val="20"/>
          <w:szCs w:val="20"/>
          <w:color w:val="auto"/>
        </w:rPr>
      </w:pPr>
      <w:r>
        <w:rPr>
          <w:rFonts w:ascii="Arial" w:cs="Arial" w:eastAsia="Arial" w:hAnsi="Arial"/>
          <w:sz w:val="17"/>
          <w:szCs w:val="17"/>
          <w:i w:val="1"/>
          <w:iCs w:val="1"/>
          <w:color w:val="auto"/>
        </w:rPr>
        <w:t xml:space="preserve">Vacation Rentals. </w:t>
      </w:r>
      <w:r>
        <w:rPr>
          <w:rFonts w:ascii="Arial" w:cs="Arial" w:eastAsia="Arial" w:hAnsi="Arial"/>
          <w:sz w:val="17"/>
          <w:szCs w:val="17"/>
          <w:color w:val="auto"/>
        </w:rPr>
        <w:t>We generate revenue from customers for online advertising services related to the listing of their properties for rent primarily on</w:t>
      </w:r>
      <w:r>
        <w:rPr>
          <w:rFonts w:ascii="Arial" w:cs="Arial" w:eastAsia="Arial" w:hAnsi="Arial"/>
          <w:sz w:val="17"/>
          <w:szCs w:val="17"/>
          <w:i w:val="1"/>
          <w:iCs w:val="1"/>
          <w:color w:val="auto"/>
        </w:rPr>
        <w:t xml:space="preserve"> </w:t>
      </w:r>
      <w:r>
        <w:rPr>
          <w:rFonts w:ascii="Arial" w:cs="Arial" w:eastAsia="Arial" w:hAnsi="Arial"/>
          <w:sz w:val="17"/>
          <w:szCs w:val="17"/>
          <w:color w:val="auto"/>
        </w:rPr>
        <w:t>either a subscription basis over a fixed-term, or on a commission basis for transactions that are booked on our platform. Payments for term-based subscriptions received in advance of services being rendered are recorded as deferred revenue and recognized ratably to revenue on a straight-line basis over the listing period. Our commission revenue is primarily generated on our free-to-list option, in lieu of a pre-paid subscription fee. When a commissionable transaction is booked on our platform, we receive cash from the traveler that includes both our commission, which is recorded as deferred revenue, and the amount due to the property owner, which is recorded to deferred merchant payables on our consolidated balance sheet. We pay the amount due to the property owner and recognize our commission revenue at the time of the traveler’s stay. Additional revenues are also derived on a pay-per-lead basis, as we provide leads for rental properties to property managers. Pay-per-lead revenue is billed and recognized in the period when the leads are delivered to the property managers.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ad serving fees, flight search fees, credit card fees and other transaction costs,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Technology and content expenses consist primarily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General and administrative expenses consist primarily of personnel and related overhead costs, including personnel engaged in executive leadership, finance, legal, and human resources, including stock-based compensation. General and administrative costs also include professional service fees and other fees including audit, legal, tax and accounting, and other costs including bad debt expense, non-income taxes and charitable contributions.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Our marketable debt and equity securities have been classified and accounted for as available-for-sale. We determine the appropriate classification of our investments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w:t>
      </w:r>
    </w:p>
    <w:p>
      <w:pPr>
        <w:spacing w:after="0" w:line="188"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Our cash equivalents consist of highly liquid investments with maturities of 90 days or less at the date of purchase. In addition, we reevaluate at each reporting period the classification of our money market fund investments as cash equivalents, including the enactment of liquidity fees or redemption gates, if any, which may result in such money market fund investments being reclassified to short-term marketable securities. We classify our marketable debt securities as either short-term or long-term based on each instrument’s underlying contractual maturity date and as to whether and when we intend to sell a particular security prior to its maturity date. Marketable debt securities with maturities greater than 90 days at the date of purchase and 12 months or less remaining at the balance sheet date will be classified as short-term and marketable debt securities with maturities greater than 12 months from the balance sheet date will generally be classified as long-term. We classify our marketable equity securities, limited to money market funds and mutual funds, as either short-term or long-term based on the nature of each security and its availability for use in current operations. Our marketable debt and equity securities are carried at fair value, with the unrealized gains and losses, net of taxes, reported in accumulated other comprehensive income (loss) as a component of stockholders’ equity. Fair values are determined for each individual security in the investment portfolio.</w:t>
      </w:r>
    </w:p>
    <w:p>
      <w:pPr>
        <w:spacing w:after="0" w:line="169"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Realized gains and losses on the sale of securities are determined by specific identification of each security’s cost basis. We may sell certain of our marketable securities prior to their stated maturities for strategic reasons including, but not limited to, anticipation of credit deterioration, liquidity, and duration management. The weighted average maturity of our total invested cash shall not exceed 18 months, and no security shall have a final maturity date greater than three years, according to our investment policy.</w:t>
      </w:r>
    </w:p>
    <w:p>
      <w:pPr>
        <w:spacing w:after="0" w:line="18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continually review our available for sale securities to determine whether a decline in fair value below the carrying value is other than temporary.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it will be required to sell the investment before recovery of the investment’s cost basis. Once a decline in fair value is determined to be other than temporary, an impairment charge is recorded and a new cost basis in the investment is established. If we do not intend to sell the debt security, but it is probable that we will not collect all amounts due, then only the impairment due to the credit risk would be recognized in earnings and the remaining amount of the impairment would be recognized in accumulated other comprehensive loss within stockholders’ equity.</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consists of cash deposits held in global financial institutions.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17" w:lineRule="exact"/>
        <w:rPr>
          <w:sz w:val="20"/>
          <w:szCs w:val="20"/>
          <w:color w:val="auto"/>
        </w:rPr>
      </w:pPr>
    </w:p>
    <w:p>
      <w:pPr>
        <w:ind w:right="300" w:firstLine="598"/>
        <w:spacing w:after="0" w:line="312" w:lineRule="auto"/>
        <w:rPr>
          <w:sz w:val="20"/>
          <w:szCs w:val="20"/>
          <w:color w:val="auto"/>
        </w:rPr>
      </w:pPr>
      <w:r>
        <w:rPr>
          <w:rFonts w:ascii="Arial" w:cs="Arial" w:eastAsia="Arial" w:hAnsi="Arial"/>
          <w:sz w:val="16"/>
          <w:szCs w:val="16"/>
          <w:color w:val="auto"/>
        </w:rPr>
        <w:t>We record investments using the equity method generally when we have the ability to exercise significant influence over the investee. Equity investments without readily determinable fair values for which we do not have the ability to exercise significant influence are accounted for using the cost method of accounting and classified within long-term investments and other assets. Under the cost method, investments are carried at cost and are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1" w:name="page82"/>
    <w:bookmarkEnd w:id="81"/>
    <w:p>
      <w:pPr>
        <w:ind w:right="220"/>
        <w:spacing w:after="0" w:line="308" w:lineRule="auto"/>
        <w:rPr>
          <w:sz w:val="20"/>
          <w:szCs w:val="20"/>
          <w:color w:val="auto"/>
        </w:rPr>
      </w:pPr>
      <w:r>
        <w:rPr>
          <w:rFonts w:ascii="Arial" w:cs="Arial" w:eastAsia="Arial" w:hAnsi="Arial"/>
          <w:sz w:val="17"/>
          <w:szCs w:val="17"/>
          <w:color w:val="auto"/>
        </w:rPr>
        <w:t>adjusted only for other-than-temporary declines in fair value, certain distributions, and additional investments. As of December 31, 2016 and 2015, we had $14 million and $0 million of cost method investments, respectively, recorded in other long-term assets on our consolidated balance sheets.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Level 1—Valuations are based on quoted prices for identical assets and liabilities in active markets.</w:t>
      </w:r>
    </w:p>
    <w:p>
      <w:pPr>
        <w:spacing w:after="0" w:line="117" w:lineRule="exact"/>
        <w:rPr>
          <w:sz w:val="20"/>
          <w:szCs w:val="20"/>
          <w:color w:val="auto"/>
        </w:rPr>
      </w:pPr>
    </w:p>
    <w:p>
      <w:pPr>
        <w:ind w:left="600" w:right="60" w:firstLine="567"/>
        <w:spacing w:after="0" w:line="264" w:lineRule="auto"/>
        <w:rPr>
          <w:sz w:val="20"/>
          <w:szCs w:val="20"/>
          <w:color w:val="auto"/>
        </w:rPr>
      </w:pPr>
      <w:r>
        <w:rPr>
          <w:rFonts w:ascii="Arial" w:cs="Arial" w:eastAsia="Arial" w:hAnsi="Arial"/>
          <w:sz w:val="18"/>
          <w:szCs w:val="18"/>
          <w:color w:val="auto"/>
        </w:rPr>
        <w:t>Level 2—Valuations are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sz w:val="20"/>
          <w:szCs w:val="20"/>
          <w:color w:val="auto"/>
        </w:rPr>
      </w:pPr>
    </w:p>
    <w:p>
      <w:pPr>
        <w:ind w:left="600" w:right="340" w:firstLine="567"/>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Our goal in managing our foreign currency exchange risk is to reduce, to the extent practicable, our potential exposure to the changes that exchange rates might have on our earnings, cash flows and financial position. We do not use derivatives for trading or speculative purposes. We account for our derivative instruments as either assets or liabilities and carry them at fair value.</w:t>
      </w:r>
    </w:p>
    <w:p>
      <w:pPr>
        <w:spacing w:after="0" w:line="181"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 xml:space="preserve">In certain circumstances, we enter into foreign currency forward exchange contracts (“forward contracts”) to reduce the effects of fluctuating foreign currency exchange rates on our cash flows denominated in foreign currencies. Our derivative instruments or forward contracts entered into which are not designated as hedges as of December 31, 2016 are disclosed below in “Note 6— </w:t>
      </w:r>
      <w:r>
        <w:rPr>
          <w:rFonts w:ascii="Arial" w:cs="Arial" w:eastAsia="Arial" w:hAnsi="Arial"/>
          <w:sz w:val="17"/>
          <w:szCs w:val="17"/>
          <w:i w:val="1"/>
          <w:iCs w:val="1"/>
          <w:color w:val="auto"/>
        </w:rPr>
        <w:t>Financial Instruments</w:t>
      </w:r>
      <w:r>
        <w:rPr>
          <w:rFonts w:ascii="Arial" w:cs="Arial" w:eastAsia="Arial" w:hAnsi="Arial"/>
          <w:sz w:val="17"/>
          <w:szCs w:val="17"/>
          <w:color w:val="auto"/>
        </w:rPr>
        <w:t>” in the notes to the consolidated financial statements. Derivatives that do not qualify for hedge accounting must be adjusted to fair value through current income. Monetary assets and liabilities denominated in a currency other than the functional currency of a given subsidiary are remeasured at spot rates in effect on the balance sheet date with the effects of changes in spot rates reported in other, net on our consolidated statements of operations.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had maturities at inception of 90 days or less. The net cash received or paid related to our derivative instruments are classified in other investing activities in our consolidated statements of cash flow.</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not entered into any cash flow, fair value or net investment hedges as of December 31,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jc w:val="both"/>
        <w:ind w:right="160" w:firstLine="598"/>
        <w:spacing w:after="0" w:line="312" w:lineRule="auto"/>
        <w:rPr>
          <w:sz w:val="20"/>
          <w:szCs w:val="20"/>
          <w:color w:val="auto"/>
        </w:rPr>
      </w:pPr>
      <w:r>
        <w:rPr>
          <w:rFonts w:ascii="Arial" w:cs="Arial" w:eastAsia="Arial" w:hAnsi="Arial"/>
          <w:sz w:val="16"/>
          <w:szCs w:val="16"/>
          <w:color w:val="auto"/>
        </w:rPr>
        <w:t>Accounts receivable are generally due within 30 days and are recorded net of an allowance for doubtful accounts. We record accounts receivable at the invoiced amount. Collateral is not required for accounts receivable. We consider accounts outstanding longer than the contractual payment terms as past due. We determine our allowance by considering a number of factors, including the length of time trade accounts receivable are past due,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previous loss history, a specific customer’s ability to pay its obligations to us, and the condition of the general economy and industry as a whole.</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changes in our allowance for doubtful accounts for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Balance, beginning of period</w:t>
            </w:r>
          </w:p>
        </w:tc>
        <w:tc>
          <w:tcPr>
            <w:tcW w:w="188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Charges (recoveries) to earnings</w:t>
            </w: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Write-offs, net of recoveries and other</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adjustments</w:t>
            </w: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Including Website and Software Development Costs</w:t>
      </w:r>
    </w:p>
    <w:p>
      <w:pPr>
        <w:spacing w:after="0" w:line="11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78"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We compute depreciation using the straight-line method over the estimated useful lives of the assets, which is three to five years for computer equipment, capitalized software and website development, office furniture and other equipment. We depreciate leasehold improvements using the straight-line method, over the shorter of the estimated useful life of the improvement or the remaining term of the lease.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We lease office space in many countries around the world under non-cancelable lease agreements. We generally lease our office facilities under operating lease agreements. Office facilities subject to an operating lease and the related lease payments are not recorded on our balance sheet. The terms of certain lease agreements provide for rental payments on a graduated basis, however, we recognize rent expense on a straight-line basis over the lease period in accordance with GAAP. Any lease incentives are recognized as reductions of rental expense on a straight-line basis over the term of the lease. The lease term begins on the date we become legally obligated for the rent payments or when we take possession of the office space, whichever is earlier.</w:t>
      </w:r>
    </w:p>
    <w:p>
      <w:pPr>
        <w:spacing w:after="0" w:line="15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financing obligations.</w:t>
      </w:r>
    </w:p>
    <w:p>
      <w:pPr>
        <w:spacing w:after="0" w:line="188"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establish assets and liabilities for the present value of estimated future costs to return certain of our leased facilities to their original condition for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December 31, 2016 and December 31, 2015,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We account for acquired businesses using the purchase method of accounting which requires that the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significant estimates and assumptions, especially with respect to intangible assets. Significant estimates in valuing certain intangible assets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w:t>
      </w:r>
    </w:p>
    <w:p>
      <w:pPr>
        <w:spacing w:after="0" w:line="179"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In September 2015, the FASB issued new accounting guidance for measurement-period adjustments in a business combination. Under the new guidance, an acquirer must recognize adjustments to provisional amounts that are identified during the measurement period in the reporting period in which the adjustment amounts are determined and eliminates the requirement to account for measurement-period adjustments retrospectively. The effect on earnings as a result of the change to the provisional amounts, calculated as if the accounting had been completed as of the acquisition date, must be recorded in the reporting period in which the adjustment amounts are determined rather than retrospectively. The guidance was effective for fiscal years beginning after December 15, 2015, including interim periods within those fiscal years with early adoption permitted for financial statements that have not been issued. The Company adopted this guidance in the first quarter of 2016 and had no material impact on our consolidated financial statements and related disclosures.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Goodwill and Indefinite-Lived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178"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 the evaluation of goodwill for impairment, we generally first perform a qualitative assessment to determine whether it is more likely than not (i.e., a likelihood of more than 50%) that the estimated fair value of the reporting unit is less than the carrying amount. However, the Company has the option to qualitatively assess whether it is more likely than not that the fair value of a reporting unit is less than its carrying value.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such as the size of the reporting unit's goodwill, the significance of the excess of the reporting unit's estimated fair value over carrying value at the last quantitative assessment date, and the amount of time in between quantitative fair value assessments and the date of acquisition to establish an updated baseline quantitative analysis.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84" w:name="page85"/>
    <w:bookmarkEnd w:id="84"/>
    <w:p>
      <w:pPr>
        <w:ind w:right="40" w:firstLine="598"/>
        <w:spacing w:after="0" w:line="287"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value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measurement of fair value of indefinite-lived intangible assets, which consist of trademarks and tradenames as of December 31, 2016,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Intangible Assets with Definite Lives and Other Long-Lived Assets</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Intangible assets with definite lives and other long-lived assets are carried at cost and are amortized on a straight-line basis over their estimated useful lives of one to twelve years. The straight-line method of amortization is currently used for our definite-lived intangible assets as, to date, it approximates, or is our best estimate, of the distribution of the economic use of our identifiable intangible assets.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18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5" w:name="page86"/>
    <w:bookmarkEnd w:id="85"/>
    <w:p>
      <w:pPr>
        <w:jc w:val="both"/>
        <w:ind w:right="180"/>
        <w:spacing w:after="0" w:line="302" w:lineRule="auto"/>
        <w:rPr>
          <w:sz w:val="20"/>
          <w:szCs w:val="20"/>
          <w:color w:val="auto"/>
        </w:rPr>
      </w:pPr>
      <w:r>
        <w:rPr>
          <w:rFonts w:ascii="Arial" w:cs="Arial" w:eastAsia="Arial" w:hAnsi="Arial"/>
          <w:sz w:val="16"/>
          <w:szCs w:val="16"/>
          <w:color w:val="auto"/>
        </w:rPr>
        <w:t>value of the asset group using appropriate valuation methodologies which would typically include an estimate of discounted cash flows. Any impairment would be measured by the amount that the carrying values, of such asset groups, exceed their fair value and would be included in operating income on the consolidated statement of operations. We have not identified any circumstances that would warrant an impairment charge for any recorded definite lived or other long term assets, including our cost method investments, on our consolidated balance sheet at December 31,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6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117"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Our consolidated financial statements are reported in U.S. dollars. Certain of our subsidiaries outside of the United States use the related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period. The resulting unrealized cumulative translation adjustment is recorded as a component of accumulated other comprehensive income (loss) in stockholders’ equity on our consolidated balance sheet.</w:t>
      </w:r>
    </w:p>
    <w:p>
      <w:pPr>
        <w:spacing w:after="0" w:line="188"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also have subsidiaries that have transactions in foreign currencies other than their functional currency. Transactions denominated in currencies other than the functional currency are recorded based on exchange rates at the time such transactions arise. Subsequent changes in exchange rates result in transaction gains and losses which are reflected in our consolidated statements of operations as unrealized (based on the applicable period-end exchange rate) or realized upon settlement of the transactions.</w:t>
      </w:r>
    </w:p>
    <w:p>
      <w:pPr>
        <w:spacing w:after="0" w:line="18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Accordingly, we have recorded foreign currency exchange losses of $4 million, $4 million and $10 million for the years ended December 31, 2016, 2015 and 2014, respectively, in interest income and other, net on our consolidated statement of operations. These amounts also include gains and losses, realized and unrealized, on foreign currency forward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incur advertising expense, which includes traffic generation costs from search engines, affiliate program commissions, display advertising, and other online, and offline (including television) advertising expense, promotions and public relations to promote our business. We expense the costs associated with communicating the advertisements in the period in which the advertisement takes place. We initially capitalize and then expense the production costs associated with television advertisements in the period in which the advertisement first takes place.</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86" w:name="page87"/>
    <w:bookmarkEnd w:id="86"/>
    <w:p>
      <w:pPr>
        <w:ind w:right="220"/>
        <w:spacing w:after="0" w:line="302" w:lineRule="auto"/>
        <w:rPr>
          <w:sz w:val="20"/>
          <w:szCs w:val="20"/>
          <w:color w:val="auto"/>
        </w:rPr>
      </w:pPr>
      <w:r>
        <w:rPr>
          <w:rFonts w:ascii="Arial" w:cs="Arial" w:eastAsia="Arial" w:hAnsi="Arial"/>
          <w:sz w:val="16"/>
          <w:szCs w:val="16"/>
          <w:color w:val="auto"/>
        </w:rPr>
        <w:t>For the years ended December 31, 2016, 2015 and 2014, we recorded advertising expense of $543 million, $507 million, and $341 million, respectively, in selling and marketing expense on our consolidated statements of operations. As of December 31, 2016 and 2015, we had $5 million and $2 million, respectively, of prepaid marketing expenses included in prepaid expenses and other current assets on our consolidated balance sheets. We expect to fully expense our prepaid marketing asset of $5 million as of December 31, 2016 to the consolidated statement of operations during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exercise price for all stock options granted by us to date has been equal to the market price of the underlying shares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the date of grant. In this regard, when making stock option awards, our practice is to determine the applicable grant date and to specify that the exercise price shall be the closing price of our common stock on the date of grant. 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w:t>
      </w:r>
    </w:p>
    <w:p>
      <w:pPr>
        <w:spacing w:after="0" w:line="173"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risk-free interest rate is based on the rates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common stock. Historical volatility is determined using actual daily price observations of our common stock price over a period equivalent to or approximate to the expected term of our stock option grants to date. Implied volatility represents the volatility calculated from the observed prices of our actively traded options on our common stock, with remaining maturities in excess of six months and market prices approximate to the exercise prices of the stock option grant. We have estimated our expected term using historical exercise behavior and expected post-vest termination data for all 2016 and 2015 stock option grants. We estimated our expected term for all 2014 stock option grants using the simplified method, as we did not have sufficient historical exercise data on our common stock at that date from Spin-Off. Our expected dividend yield is zero, as we have not paid any dividends on our common stock to date and do not expect to pay any cash dividends for the foreseeable.</w:t>
      </w:r>
    </w:p>
    <w:p>
      <w:pPr>
        <w:spacing w:after="0" w:line="167"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Our stock options generally have a term of ten years from the date of grant and generally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47" w:lineRule="exact"/>
        <w:rPr>
          <w:sz w:val="20"/>
          <w:szCs w:val="20"/>
          <w:color w:val="auto"/>
        </w:rPr>
      </w:pPr>
    </w:p>
    <w:p>
      <w:pPr>
        <w:jc w:val="both"/>
        <w:ind w:right="140" w:firstLine="598"/>
        <w:spacing w:after="0" w:line="302"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RSUs are stock awards that are granted to employees entitling the holder to shares of our common stock as the award vests.</w:t>
      </w:r>
      <w:r>
        <w:rPr>
          <w:rFonts w:ascii="Arial" w:cs="Arial" w:eastAsia="Arial" w:hAnsi="Arial"/>
          <w:sz w:val="16"/>
          <w:szCs w:val="16"/>
          <w:i w:val="1"/>
          <w:iCs w:val="1"/>
          <w:color w:val="auto"/>
        </w:rPr>
        <w:t xml:space="preserve"> </w:t>
      </w:r>
      <w:r>
        <w:rPr>
          <w:rFonts w:ascii="Arial" w:cs="Arial" w:eastAsia="Arial" w:hAnsi="Arial"/>
          <w:sz w:val="16"/>
          <w:szCs w:val="16"/>
          <w:color w:val="auto"/>
        </w:rPr>
        <w:t>RSUs are measured at fair value based on the number of shares granted and the quoted price of our common stock at the date of grant. We amortize the fair value of RSUs as stock-based compensation expense over the vesting term of generally four years on a straight-line basis, with the amount of compensation expense recognized at any date at least equaling the portion of the grant-date fair value of the award that is vested at that date.</w:t>
      </w:r>
    </w:p>
    <w:p>
      <w:pPr>
        <w:spacing w:after="0" w:line="154"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Performance-based stock options and RSUs vest upon achievement of certain company-based performance conditions and a requisite service period. On the date of grant, the fair value of a performance-based award is calculated using the same method as our service based stock options and RSUs described above. We then assess whether it is probable that the individual performance targets would be achieved. If assessed as probable, compensation expense will be recorded for these awards over the estimated performance period.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7" w:name="page88"/>
    <w:bookmarkEnd w:id="87"/>
    <w:p>
      <w:pPr>
        <w:ind w:right="60" w:firstLine="598"/>
        <w:spacing w:after="0" w:line="259" w:lineRule="auto"/>
        <w:rPr>
          <w:sz w:val="20"/>
          <w:szCs w:val="20"/>
          <w:color w:val="auto"/>
        </w:rPr>
      </w:pPr>
      <w:r>
        <w:rPr>
          <w:rFonts w:ascii="Arial" w:cs="Arial" w:eastAsia="Arial" w:hAnsi="Arial"/>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In the third quarter of 2016 we adopted new accounting guidance from the FASB on stock compensation, or ASU 2016-09, as described in “Recently Adopted Accounting Pronouncements” below and have elected to account for forfeitures as they occur, rather than continue to estimate expected forfeitures.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Shares of our common stock repurchased are recorded at cost as treasury stock and result in the reduction of stockholders' equity in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the remaining balance is charged to retained earnings.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11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We receive cash from travelers at the time of booking related to our vacation rental, attractions and transaction-based businesses and we record these amounts, net of commissions, on our consolidated balance sheets as deferred merchant payables. We pay the hotel, attraction provider or vacation rental owner after the travelers’ use and subsequent billing from the hotel, attraction provider or vacation rental owner. Therefore, we receive cash from the traveler prior to paying the hotel, attraction provider or vacation rental owner, and this operating cycle represents a working capital source or use of cash to us. As long as these businesses grow, we expect that changes in working capital related to these transactions, depending on timing of payments and seasonality, will continue to impact operating cash flows. Our deferred merchant payables balance was $128 million and $105 million for the years ended December 31, 2016 and 2015, respectively, on our consolidated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and Concentrations</w:t>
      </w:r>
    </w:p>
    <w:p>
      <w:pPr>
        <w:spacing w:after="0" w:line="117"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Financial instruments, which potentially subject us to concentration of credit risk, consist primarily of cash and cash equivalents, corporate debt securities, foreign currency exchange contracts, accounts receivable and customer concentrations. We maintain some cash and cash equivalents balances with financial institutions that are in excess of Federal Deposit Insurance Corporation insurance limits. Our cash and cash equivalents are primarily composed of bank account balances with financial institutions primarily denominated in U.S. dollars, Euros, British pound sterling, and Australian dollars, as well as, money market funds .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Foreign currency exchange contracts are transacted with various international financial institutions with high credit standings, which generally have maturities of less than 90 days.</w:t>
      </w:r>
    </w:p>
    <w:p>
      <w:pPr>
        <w:spacing w:after="0" w:line="192"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Our business is also subject to certain risks due to concentrations related to dependence on our relationships with our customers. For the years ended December 31, 2016, 2015 and 2014 our two most significant advertising partners, Expedia and Priceline, each accounted for more than 10% of our consolidated revenue and combined accounted for 46%, 46% and 46%, respectively, of our consolidated revenue. Nearly all of this concentration of revenue is recorded in our Hotel segment for these reporting periods. As of December 31, 2016 and 2015, Expedia accounted for 12% and 11%, respectively, of our total accounts receivable. Our overall credit risk related to accounts receivable is mitigated by the relatively short collection period.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financial statements for loss contingencies that do not meet both these conditions if there is a reasonable possibility that a loss may have been incurred that would be material to the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Comprehensive income (loss) currently consists of net income, cumulative foreign currency translation adjustments, and unrealized gains and losses on available-for-sale securities, net of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We compute basic earnings per share by taking net income divided by the weighted average number of common and Class B common shares outstanding during the period. Diluted earnings per share include the potential dilution of common equivalent shares outstanding that could occur from stock-based awards and other stock-based commitments using the treasury stock method. We compute diluted earnings per share by dividing net income by the sum of the weighted average number of common and common equivalent shares outstanding during the period. For additional information on how we compute earnings per share, see Note 5 —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In January 2017, the Financial Accounting Standards Board (“FASB”) issued new accounting guidance which assist entities in evaluating when a set of transferred assets and activities is a business. The guidance is effective for fiscal years, and interim periods within those fiscal years, beginning after December 15, 2017, and will be applied prospectively to any transactions occurring within the period of adoption. Early adoption is permitted, including for interim or annual periods in which the financial statements have not been issued or made available for issuance. We are in the process of evaluating the impact of adopting this new guidance on our consolidated financial statements and related disclosures.</w:t>
      </w:r>
    </w:p>
    <w:p>
      <w:pPr>
        <w:spacing w:after="0" w:line="64"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In January 2017, the FASB issued new accounting guidance to simplify the accounting for goodwill impairment. The guidance removes Step two of the goodwill impairment test, which requires a hypothetical purchase price allocation. Under the new guidance, a goodwill impairment will now be the amount by which a reporting unit’s carrying value exceeds its fair value, not to exceed the carrying amount of goodwill. All other goodwill impairment guidance will remain largely unchanged. Entities will continue to have the option to perform a qualitative assessment to determine if a quantitative impairment test is necessary. The guidance is effective for annual and interim periods in fiscal years beginning after December 15, 2019 with early adoption permitted for any goodwill impairment tests performed after January 1, 2017 and will be applied prospectively. We are in the process of evaluating the impact of adopting this new guidance on our consolidated financial statements and related disclosures.</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November 2016, the FASB issued new accounting guidance which requires entities to show the changes in the total of cash, cash equivalents, restricted cash and restricted cash equivalents in the statement of cash flow. The guidance is effective for fiscal years, and interim periods within those fiscal years, beginning after December 15, 2017, with early adoption permitted, including adoption in an interim period, but any adjustments must be reflected as of the beginning of the fiscal year that includes that interim period. Upon adoption, an entity may apply the new guidance only retrospectively to all prior periods presented in the financial statements. We anticipate adopting this new guidance on January 1, 2018, on a retrospective basis, with no material impact on our consolidated financial statements and related disclosures.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89" w:name="page90"/>
    <w:bookmarkEnd w:id="89"/>
    <w:p>
      <w:pPr>
        <w:ind w:right="80" w:firstLine="598"/>
        <w:spacing w:after="0" w:line="276" w:lineRule="auto"/>
        <w:rPr>
          <w:sz w:val="20"/>
          <w:szCs w:val="20"/>
          <w:color w:val="auto"/>
        </w:rPr>
      </w:pPr>
      <w:r>
        <w:rPr>
          <w:rFonts w:ascii="Arial" w:cs="Arial" w:eastAsia="Arial" w:hAnsi="Arial"/>
          <w:sz w:val="17"/>
          <w:szCs w:val="17"/>
          <w:color w:val="auto"/>
        </w:rPr>
        <w:t>In October 2016, the FASB issued new accounting guidance which amends the consolidation guidance on how a reporting entity that is the single decision maker of a variable interest entity should treat indirect interests in the entity held through related parties that are under common control within the reporting entity when determining whether it is the primary beneficiary of that variable interest entity. The guidance is effective for fiscal years, and interim periods within those fiscal years, beginning after December 15, 2016, with early adoption permitted. We anticipate adopting this new guidance on January 1, 2017, on a retrospective basis, with no material impact on our consolidated financial statements and related disclosures.</w:t>
      </w:r>
    </w:p>
    <w:p>
      <w:pPr>
        <w:spacing w:after="0" w:line="173"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The guidance is effective for fiscal years, and interim periods within those fiscal years, beginning after December 15, 2017, with early adoption permitted. Upon adoption, an entity may apply the new guidance only on a modified retrospective basis through a cumulative-effect adjustment directly to retained earnings as of the beginning of the period of adoption. We are in the process of evaluating the impact of adopting this new guidance on our consolidated financial statements and related disclosures and our intended adoption date.</w:t>
      </w:r>
    </w:p>
    <w:p>
      <w:pPr>
        <w:spacing w:after="0" w:line="167" w:lineRule="exact"/>
        <w:rPr>
          <w:sz w:val="20"/>
          <w:szCs w:val="20"/>
          <w:color w:val="auto"/>
        </w:rPr>
      </w:pPr>
    </w:p>
    <w:p>
      <w:pPr>
        <w:ind w:right="220" w:firstLine="598"/>
        <w:spacing w:after="0" w:line="291" w:lineRule="auto"/>
        <w:rPr>
          <w:sz w:val="20"/>
          <w:szCs w:val="20"/>
          <w:color w:val="auto"/>
        </w:rPr>
      </w:pPr>
      <w:r>
        <w:rPr>
          <w:rFonts w:ascii="Arial" w:cs="Arial" w:eastAsia="Arial" w:hAnsi="Arial"/>
          <w:sz w:val="16"/>
          <w:szCs w:val="16"/>
          <w:color w:val="auto"/>
        </w:rPr>
        <w:t>In August 2016, the FASB issued new accounting guidance which clarifies how companies present and classify certain cash receipts and cash payments in the statement of cash flows. The new guidance specifically addresses the following cash flow topics in an effort to reduce diversity in practice:</w:t>
      </w:r>
    </w:p>
    <w:p>
      <w:pPr>
        <w:ind w:right="40" w:firstLine="8"/>
        <w:spacing w:after="0" w:line="269"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guidance is effective for fiscal years, and interim periods within those fiscal years, beginning after December 15, 2017, with early adoption permitted. Upon adoption, an entity may apply the new guidance only retrospectively to all prior periods presented in the financial statements. We anticipate adopting this new guidance on January 1, 2018, on a retrospective basis, and it is not expected to have a material impact on our consolidated financial statements and related disclosures.</w:t>
      </w:r>
    </w:p>
    <w:p>
      <w:pPr>
        <w:spacing w:after="0" w:line="181"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In June 2016, the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w:t>
      </w:r>
    </w:p>
    <w:p>
      <w:pPr>
        <w:spacing w:after="0" w:line="1" w:lineRule="exact"/>
        <w:rPr>
          <w:sz w:val="20"/>
          <w:szCs w:val="20"/>
          <w:color w:val="auto"/>
        </w:rPr>
      </w:pPr>
    </w:p>
    <w:p>
      <w:pPr>
        <w:jc w:val="both"/>
        <w:ind w:right="260" w:firstLine="8"/>
        <w:spacing w:after="0" w:line="273"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in the process of evaluating the impact of adopting this new guidance on our consolidated financial statements and related disclosures and our intended adoption date.</w:t>
      </w:r>
    </w:p>
    <w:p>
      <w:pPr>
        <w:spacing w:after="0" w:line="177" w:lineRule="exact"/>
        <w:rPr>
          <w:sz w:val="20"/>
          <w:szCs w:val="20"/>
          <w:color w:val="auto"/>
        </w:rPr>
      </w:pPr>
    </w:p>
    <w:p>
      <w:pPr>
        <w:ind w:right="400" w:firstLine="598"/>
        <w:spacing w:after="0" w:line="255" w:lineRule="auto"/>
        <w:rPr>
          <w:sz w:val="20"/>
          <w:szCs w:val="20"/>
          <w:color w:val="auto"/>
        </w:rPr>
      </w:pPr>
      <w:r>
        <w:rPr>
          <w:rFonts w:ascii="Arial" w:cs="Arial" w:eastAsia="Arial" w:hAnsi="Arial"/>
          <w:sz w:val="18"/>
          <w:szCs w:val="18"/>
          <w:color w:val="auto"/>
        </w:rPr>
        <w:t>In February 2016, the FASB issued new accounting guidance on leases that is intended to provide enhanced transparency and comparability by requiring lessees to record right-of-use assets and corresponding lease liabilities on the balance sheet at the present value of the lease payments. The new guidance will classify leases as either finance or operating leases, with classification determining the presentation of expenses and cash flows on our consolidated financial statements. The guidance also requires new disclosures to help financial statement users better understand the amount, timing and uncertainty of cash flows arising from leases. This guidance is effective for fiscal years, and interim periods within those fiscal years, beginning after December 15,</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ind w:right="240"/>
        <w:spacing w:after="0" w:line="259" w:lineRule="auto"/>
        <w:rPr>
          <w:sz w:val="20"/>
          <w:szCs w:val="20"/>
          <w:color w:val="auto"/>
        </w:rPr>
      </w:pPr>
      <w:r>
        <w:rPr>
          <w:rFonts w:ascii="Arial" w:cs="Arial" w:eastAsia="Arial" w:hAnsi="Arial"/>
          <w:sz w:val="18"/>
          <w:szCs w:val="18"/>
          <w:color w:val="auto"/>
        </w:rPr>
        <w:t>2018, with early adoption permitted, which will require the recognition and measurement of leases at the beginning of the earliest comparative period presented in the financial statements using a modified retrospective approach. We are currently evaluating the effect that the updated standard will have on our consolidated financial statements and related disclosures, as well as still determining our adoption date. We anticipate giving additional updates on our Form-10Q’s during the first and second quarters of 2017.</w:t>
      </w:r>
    </w:p>
    <w:p>
      <w:pPr>
        <w:spacing w:after="0" w:line="187" w:lineRule="exact"/>
        <w:rPr>
          <w:sz w:val="20"/>
          <w:szCs w:val="20"/>
          <w:color w:val="auto"/>
        </w:rPr>
      </w:pPr>
    </w:p>
    <w:p>
      <w:pPr>
        <w:ind w:right="20" w:firstLine="598"/>
        <w:spacing w:after="0" w:line="285" w:lineRule="auto"/>
        <w:rPr>
          <w:sz w:val="20"/>
          <w:szCs w:val="20"/>
          <w:color w:val="auto"/>
        </w:rPr>
      </w:pPr>
      <w:r>
        <w:rPr>
          <w:rFonts w:ascii="Arial" w:cs="Arial" w:eastAsia="Arial" w:hAnsi="Arial"/>
          <w:sz w:val="16"/>
          <w:szCs w:val="16"/>
          <w:color w:val="auto"/>
        </w:rPr>
        <w:t>In January 2016, the FASB issued a new accounting update which amends the guidance on the classification and measurement of financial instruments. Although the accounting update retains many current requirements, it significantly revises accounting related to (1) the classification and measurement of investments in equity securities and (2) the presentation of certain fair value changes for financial liabilities measured at fair value. The accounting update also amends certain fair value disclosures of financial instruments and clarifies that an entity should evaluate the need for a valuation allowance on a deferred tax asset related to available-for-sale debt securities in combination with the entity’s evaluation of their other deferred tax assets. The update requires entities to carry all investments in equity securities, including other ownership interests such as partnerships, unincorporated joint ventures and limited liability companies at fair value, with fair value changes recognized through net income. This requirement does not apply to investments that qualify for equity method accounting, investments that result in consolidation of the investee or investments in which the entity has elected the practicability exception to fair value measurement. Under current U.S. GAAP, the Company's available-for-sale investments in equity securities with readily identifiable market value are remeasured to fair value each reporting period with changes in fair value recognized in accumulated other comprehensive income (loss). However, under the new accounting literature, fair value adjustments will be recognized through net income and could vary significantly quarter to quarter. For the investments currently accounted for under the cost method, an entity can elect to measure its investments, which do not have a readily determinable fair value, at cost less impairment, if any, plus or minus changes resulting from observable price changes in orderly transactions for the identical or a similar investment of the same issuer. Additionally, this accounting update will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In addition, this accounting update eliminates the requirement for public business entities to disclose the methods and significant assumptions used to estimate the fair value that is currently required to be disclosed for financial instruments measured at amortized cost in the balance sheet. We anticipate adopting this new guidance on January 1, 2018 and are in the process of evaluating the impact of adopting this new guidance on our consolidated financial statements and related disclosures.</w:t>
      </w:r>
    </w:p>
    <w:p>
      <w:pPr>
        <w:spacing w:after="0" w:line="294"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In May 2014, the FASB issued new accounting guidance on revenue from contracts with customers which will replace numerous requirements in GAAP, and provide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two permitted transition methods under this new accounting guidance are the full retrospective method, in which case the guidance would be applied to each prior reporting period presented and the cumulative effect of applying the guidance would be recognized at the earliest period shown, or the modified retrospective method, in which case the cumulative effect of applying the guidance would be recognized at the date of initial application. This guidance is effective for fiscal years, and interim periods within those fiscal years, beginning after December 15, 2017 and early adoption is permitted for fiscal years beginning after December 15, 2016.</w:t>
      </w:r>
    </w:p>
    <w:p>
      <w:pPr>
        <w:spacing w:after="0" w:line="169"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During 2016, we have made measurable progress toward completing our evaluation of the potential changes from adopting the new standard on our future financial reporting and disclosures. We have established a cross-functional implementation team from across our organization and have made significant progress in the review of our contracts portfolio and our current accounting policies and practices to identify potential differences that could result from applying the requirements of the new standard to our revenue contracts. We will continue to evaluate the impact that this new guidance will have, if any, on the Company’s consolidated financial statements and related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ind w:right="440"/>
        <w:spacing w:after="0" w:line="342" w:lineRule="auto"/>
        <w:rPr>
          <w:sz w:val="20"/>
          <w:szCs w:val="20"/>
          <w:color w:val="auto"/>
        </w:rPr>
      </w:pPr>
      <w:r>
        <w:rPr>
          <w:rFonts w:ascii="Arial" w:cs="Arial" w:eastAsia="Arial" w:hAnsi="Arial"/>
          <w:sz w:val="16"/>
          <w:szCs w:val="16"/>
          <w:color w:val="auto"/>
        </w:rPr>
        <w:t>disclosures and are still determining the method of adoption we will elect for this new guidance. We anticipate adopting this new guidance on January 1, 2018, and plan on giving additional updates on our progress and further conclusions on our Form-10Q’s during the first and second quarters of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60" w:firstLine="598"/>
        <w:spacing w:after="0" w:line="291" w:lineRule="auto"/>
        <w:rPr>
          <w:sz w:val="20"/>
          <w:szCs w:val="20"/>
          <w:color w:val="auto"/>
        </w:rPr>
      </w:pPr>
      <w:r>
        <w:rPr>
          <w:rFonts w:ascii="Arial" w:cs="Arial" w:eastAsia="Arial" w:hAnsi="Arial"/>
          <w:sz w:val="16"/>
          <w:szCs w:val="16"/>
          <w:color w:val="auto"/>
        </w:rPr>
        <w:t xml:space="preserve">In March 2016, the FASB issued new accounting guidance on stock compensation, or ASU 2016-09, </w:t>
      </w:r>
      <w:r>
        <w:rPr>
          <w:rFonts w:ascii="Arial" w:cs="Arial" w:eastAsia="Arial" w:hAnsi="Arial"/>
          <w:sz w:val="16"/>
          <w:szCs w:val="16"/>
          <w:i w:val="1"/>
          <w:iCs w:val="1"/>
          <w:color w:val="auto"/>
        </w:rPr>
        <w:t>Compensation – 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 Improvements to Employee Share-Based Payment Accounting</w:t>
      </w:r>
      <w:r>
        <w:rPr>
          <w:rFonts w:ascii="Arial" w:cs="Arial" w:eastAsia="Arial" w:hAnsi="Arial"/>
          <w:sz w:val="16"/>
          <w:szCs w:val="16"/>
          <w:color w:val="auto"/>
        </w:rPr>
        <w:t>, which changes how companies account for certain aspects of stock-based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to employees, including the accounting for income taxes, forfeitures, and statutory tax withholding requirements, as well as classification in the consolidated statement of cash flows. The new guidance permits recognizing the impact of forfeitures on stock-based compensation as they occur or to recognize stock-based compensation expense net of expected forfeitures, requires companies to record excess tax benefits and tax deficiencies as income tax benefit or expense in the consolidated statement of operations when the awards vest or are settled, and eliminates the requirement to reclassify cash flows related to excess tax benefits from operating activities to financing activities on the consolidated statement of cash flows.</w:t>
      </w:r>
    </w:p>
    <w:p>
      <w:pPr>
        <w:spacing w:after="0" w:line="167"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We elected to early adopt the new guidance in the third quarter of 2016, which requires us to reflect any adjustments as of January 1, 2016, the beginning of the annual period that includes the interim period of adoption. The primary impact of adoption was the recognition of excess tax benefits and tax deficiencies in our provision for income taxes rather than additional paid-in capital for all periods in 2016. There was no impact to our provision for income taxes as previously reported for 2015 or prior periods. Additionally, our consolidated statement of cash flows now present excess tax benefits as an operating activity on a retrospective basis. As a result of the retrospective implementation of this guidance, the impact on the consolidated statement of cash flows for the years ended December 31, 2015 and 2014 was an increase of $36 million and $20 million in cash flows from operating activities with an offsetting reduction in cash flows from financing activities. Finally, we have elected to account for forfeitures as they occur, rather than estimate expected forfeitures. The net cumulative effect of this change was recognized as a $1 million reduction to retained earnings as of January 1, 2016.</w:t>
      </w:r>
    </w:p>
    <w:p>
      <w:pPr>
        <w:spacing w:after="0" w:line="166" w:lineRule="exact"/>
        <w:rPr>
          <w:sz w:val="20"/>
          <w:szCs w:val="20"/>
          <w:color w:val="auto"/>
        </w:rPr>
      </w:pPr>
    </w:p>
    <w:p>
      <w:pPr>
        <w:ind w:right="440" w:firstLine="598"/>
        <w:spacing w:after="0" w:line="264" w:lineRule="auto"/>
        <w:rPr>
          <w:sz w:val="20"/>
          <w:szCs w:val="20"/>
          <w:color w:val="auto"/>
        </w:rPr>
      </w:pPr>
      <w:r>
        <w:rPr>
          <w:rFonts w:ascii="Arial" w:cs="Arial" w:eastAsia="Arial" w:hAnsi="Arial"/>
          <w:sz w:val="18"/>
          <w:szCs w:val="18"/>
          <w:color w:val="auto"/>
        </w:rPr>
        <w:t>Adoption of the new guidance resulted in the recognition of net excess tax expense and benefit in our provision for income taxes rather than additional paid-in capital. As a result, we recorded $1 million of income tax benefit for the year ended December 31, 2016, and impacted our previously reported quarterly results for the three months ended March 31, 2016 and June 30, 2016,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Three months ended March 31, 2016</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Pr>
          <w:p>
            <w:pPr>
              <w:spacing w:after="0"/>
              <w:rPr>
                <w:sz w:val="19"/>
                <w:szCs w:val="19"/>
                <w:color w:val="auto"/>
              </w:rPr>
            </w:pPr>
          </w:p>
        </w:tc>
        <w:tc>
          <w:tcPr>
            <w:tcW w:w="18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80" w:type="dxa"/>
            <w:vAlign w:val="bottom"/>
            <w:tcBorders>
              <w:top w:val="single" w:sz="8" w:color="auto"/>
            </w:tcBorders>
            <w:gridSpan w:val="3"/>
          </w:tcPr>
          <w:p>
            <w:pPr>
              <w:jc w:val="right"/>
              <w:ind w:right="153"/>
              <w:spacing w:after="0" w:line="155" w:lineRule="exact"/>
              <w:rPr>
                <w:sz w:val="20"/>
                <w:szCs w:val="20"/>
                <w:color w:val="auto"/>
              </w:rPr>
            </w:pPr>
            <w:r>
              <w:rPr>
                <w:rFonts w:ascii="Arial" w:cs="Arial" w:eastAsia="Arial" w:hAnsi="Arial"/>
                <w:sz w:val="14"/>
                <w:szCs w:val="14"/>
                <w:b w:val="1"/>
                <w:bCs w:val="1"/>
                <w:color w:val="auto"/>
              </w:rPr>
              <w:t>(in millions, except per share data)</w:t>
            </w: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7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98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42</w:t>
            </w:r>
          </w:p>
        </w:tc>
        <w:tc>
          <w:tcPr>
            <w:tcW w:w="1260" w:type="dxa"/>
            <w:vAlign w:val="bottom"/>
            <w:shd w:val="clear" w:color="auto" w:fill="CFF0FC"/>
          </w:tcPr>
          <w:p>
            <w:pPr>
              <w:jc w:val="right"/>
              <w:ind w:right="973"/>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w:t>
            </w: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Basic EPS</w:t>
            </w:r>
          </w:p>
        </w:tc>
        <w:tc>
          <w:tcPr>
            <w:tcW w:w="298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0.19</w:t>
            </w:r>
          </w:p>
        </w:tc>
        <w:tc>
          <w:tcPr>
            <w:tcW w:w="126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 EPS</w:t>
            </w:r>
          </w:p>
        </w:tc>
        <w:tc>
          <w:tcPr>
            <w:tcW w:w="298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0.18</w:t>
            </w:r>
          </w:p>
        </w:tc>
        <w:tc>
          <w:tcPr>
            <w:tcW w:w="1260" w:type="dxa"/>
            <w:vAlign w:val="bottom"/>
            <w:shd w:val="clear" w:color="auto" w:fill="CFF0FC"/>
          </w:tcPr>
          <w:p>
            <w:pPr>
              <w:jc w:val="right"/>
              <w:ind w:right="973"/>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7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98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120</w:t>
            </w:r>
          </w:p>
        </w:tc>
        <w:tc>
          <w:tcPr>
            <w:tcW w:w="126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98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c>
          <w:tcPr>
            <w:tcW w:w="1260" w:type="dxa"/>
            <w:vAlign w:val="bottom"/>
            <w:shd w:val="clear" w:color="auto" w:fill="CFF0FC"/>
          </w:tcPr>
          <w:p>
            <w:pPr>
              <w:jc w:val="right"/>
              <w:ind w:right="973"/>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20" w:type="dxa"/>
            <w:vAlign w:val="bottom"/>
          </w:tcPr>
          <w:p>
            <w:pPr>
              <w:jc w:val="right"/>
              <w:ind w:right="730"/>
              <w:spacing w:after="0"/>
              <w:rPr>
                <w:sz w:val="20"/>
                <w:szCs w:val="20"/>
                <w:color w:val="auto"/>
              </w:rPr>
            </w:pPr>
            <w:r>
              <w:rPr>
                <w:rFonts w:ascii="Arial" w:cs="Arial" w:eastAsia="Arial" w:hAnsi="Arial"/>
                <w:sz w:val="18"/>
                <w:szCs w:val="18"/>
                <w:color w:val="auto"/>
              </w:rPr>
              <w:t>90</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2" w:name="page93"/>
    <w:bookmarkEnd w:id="92"/>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91"/>
              </w:rPr>
              <w:t>Three months ended June 30, 2016</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(1)</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20" w:type="dxa"/>
            <w:vAlign w:val="bottom"/>
            <w:gridSpan w:val="3"/>
          </w:tcPr>
          <w:p>
            <w:pPr>
              <w:jc w:val="center"/>
              <w:ind w:left="268"/>
              <w:spacing w:after="0" w:line="155" w:lineRule="exact"/>
              <w:rPr>
                <w:sz w:val="20"/>
                <w:szCs w:val="20"/>
                <w:color w:val="auto"/>
              </w:rPr>
            </w:pPr>
            <w:r>
              <w:rPr>
                <w:rFonts w:ascii="Arial" w:cs="Arial" w:eastAsia="Arial" w:hAnsi="Arial"/>
                <w:sz w:val="14"/>
                <w:szCs w:val="14"/>
                <w:b w:val="1"/>
                <w:bCs w:val="1"/>
                <w:color w:val="auto"/>
                <w:w w:val="92"/>
              </w:rPr>
              <w:t>(in millions, except per share data)</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48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48</w:t>
            </w:r>
          </w:p>
        </w:tc>
        <w:tc>
          <w:tcPr>
            <w:tcW w:w="1400" w:type="dxa"/>
            <w:vAlign w:val="bottom"/>
            <w:shd w:val="clear" w:color="auto" w:fill="CFF0FC"/>
          </w:tcPr>
          <w:p>
            <w:pPr>
              <w:jc w:val="right"/>
              <w:ind w:right="1115"/>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4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34</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Basic EPS</w:t>
            </w:r>
          </w:p>
        </w:tc>
        <w:tc>
          <w:tcPr>
            <w:tcW w:w="248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0.23</w:t>
            </w:r>
          </w:p>
        </w:tc>
        <w:tc>
          <w:tcPr>
            <w:tcW w:w="1400" w:type="dxa"/>
            <w:vAlign w:val="bottom"/>
          </w:tcPr>
          <w:p>
            <w:pPr>
              <w:jc w:val="right"/>
              <w:ind w:right="111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0.23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 EPS</w:t>
            </w:r>
          </w:p>
        </w:tc>
        <w:tc>
          <w:tcPr>
            <w:tcW w:w="248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0.23</w:t>
            </w:r>
          </w:p>
        </w:tc>
        <w:tc>
          <w:tcPr>
            <w:tcW w:w="1400" w:type="dxa"/>
            <w:vAlign w:val="bottom"/>
            <w:shd w:val="clear" w:color="auto" w:fill="CFF0FC"/>
          </w:tcPr>
          <w:p>
            <w:pPr>
              <w:jc w:val="right"/>
              <w:ind w:right="1115"/>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0.23</w:t>
            </w:r>
          </w:p>
        </w:tc>
        <w:tc>
          <w:tcPr>
            <w:tcW w:w="80" w:type="dxa"/>
            <w:vAlign w:val="bottom"/>
            <w:shd w:val="clear" w:color="auto" w:fill="CFF0FC"/>
          </w:tcPr>
          <w:p>
            <w:pPr>
              <w:spacing w:after="0"/>
              <w:rPr>
                <w:sz w:val="19"/>
                <w:szCs w:val="19"/>
                <w:color w:val="auto"/>
              </w:rPr>
            </w:pPr>
          </w:p>
        </w:tc>
      </w:tr>
      <w:tr>
        <w:trPr>
          <w:trHeight w:val="392"/>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2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90"/>
              </w:rPr>
              <w:t>Six months ended June 30, 2016</w:t>
            </w: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(2)</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60" w:type="dxa"/>
            <w:vAlign w:val="bottom"/>
            <w:gridSpan w:val="2"/>
          </w:tcPr>
          <w:p>
            <w:pPr>
              <w:jc w:val="center"/>
              <w:ind w:right="81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357</w:t>
            </w:r>
          </w:p>
        </w:tc>
        <w:tc>
          <w:tcPr>
            <w:tcW w:w="1400" w:type="dxa"/>
            <w:vAlign w:val="bottom"/>
          </w:tcPr>
          <w:p>
            <w:pPr>
              <w:jc w:val="right"/>
              <w:ind w:right="111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8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9"/>
              </w:rPr>
              <w:t>(123)</w:t>
            </w:r>
          </w:p>
        </w:tc>
        <w:tc>
          <w:tcPr>
            <w:tcW w:w="1400" w:type="dxa"/>
            <w:vAlign w:val="bottom"/>
            <w:shd w:val="clear" w:color="auto" w:fill="CFF0FC"/>
          </w:tcPr>
          <w:p>
            <w:pPr>
              <w:jc w:val="right"/>
              <w:ind w:right="111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(129)</w:t>
            </w:r>
          </w:p>
        </w:tc>
      </w:tr>
    </w:tbl>
    <w:p>
      <w:pPr>
        <w:spacing w:after="0" w:line="202" w:lineRule="exact"/>
        <w:rPr>
          <w:sz w:val="20"/>
          <w:szCs w:val="20"/>
          <w:color w:val="auto"/>
        </w:rPr>
      </w:pPr>
    </w:p>
    <w:p>
      <w:pPr>
        <w:ind w:left="1840" w:right="100" w:hanging="572"/>
        <w:spacing w:after="0" w:line="291" w:lineRule="auto"/>
        <w:tabs>
          <w:tab w:leader="none" w:pos="18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election to account for forfeitures as they occur did not have a material impact for the three months ended March 31, 2016 and resulted in an increase to stock-based compensation expense of approximately $1 million for the three months ended June 30, 2016.</w:t>
      </w:r>
    </w:p>
    <w:p>
      <w:pPr>
        <w:ind w:left="1840" w:right="60" w:hanging="572"/>
        <w:spacing w:after="0" w:line="261" w:lineRule="auto"/>
        <w:tabs>
          <w:tab w:leader="none" w:pos="1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the reclassification of cash flows related to excess tax benefits from financing activities to operating activities of $4 million and $2 million for the three months ending March 31, 2016 and June 30, 2016, respectively.</w:t>
      </w:r>
    </w:p>
    <w:p>
      <w:pPr>
        <w:spacing w:after="0" w:line="184"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 April 2015, the FASB issued new accounting guidance which clarifies the accounting for fees paid by a customer in a cloud computing arrangement. This standard clarified whether a customer should account for a cloud computing arrangement as an acquisition of a software license or as a service arrangement by providing characteristics that a cloud computing arrangement must have in order to be accounted for as a software license acquisition. If a cloud computing arrangement includes a software license, the customer should account for the software license element of the arrangement consistent with the acquisition of other software licenses. If the arrangement does not include a software license, the customer should account for a cloud computing arrangement as a service contract. The company prospectively adopted this guidance in the first quarter of 2016. The adoption of this guidance did not have a material impact on our consolidated financial statements and related disclosures.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DISPOSITIONS</w:t>
      </w:r>
    </w:p>
    <w:p>
      <w:pPr>
        <w:spacing w:after="0" w:line="121"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We acquired a number of businesses during the years ended December 31, 2016, 2015 and 2014. These business combinations were accounted for as purchases of businesses under the acquisition method. The fair value of purchase consideration has been allocated to tangible and identifiable intangible assets acquired and liabilities assumed, based on their respective fair values on the acquisition date, with the remaining amount recorded to</w:t>
      </w:r>
    </w:p>
    <w:p>
      <w:pPr>
        <w:spacing w:after="0" w:line="269" w:lineRule="auto"/>
        <w:rPr>
          <w:sz w:val="20"/>
          <w:szCs w:val="20"/>
          <w:color w:val="auto"/>
        </w:rPr>
      </w:pPr>
      <w:r>
        <w:rPr>
          <w:rFonts w:ascii="Arial" w:cs="Arial" w:eastAsia="Arial" w:hAnsi="Arial"/>
          <w:sz w:val="17"/>
          <w:szCs w:val="17"/>
          <w:color w:val="auto"/>
        </w:rPr>
        <w:t>goodwill. Acquired goodwill represents the premium we paid over the fair value of the net tangible and intangible assets acquired. We paid a premium in each of these transactions for a number of reasons, including expected operational synergies, the assembled workforces, and the future development initiatives of the assembled workforces. The results of each of these acquired businesses have been included in the consolidated financial statements beginning on the respective acquisition dates. Pro-forma results of operations for these acquisitions have not been presented as the financial impact to our consolidated financial statements, both individually and in aggregate, would not be materially different from historical results. For the years ended December 31, 2016, 2015 and 2014, acquisition-related costs were expensed as incurred and were $1 million, $1 million and $4 million, respectively, and are included in general and administrative expenses on our consolidated statements of operations.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2016 Acquisition of Businesses</w:t>
      </w:r>
    </w:p>
    <w:p>
      <w:pPr>
        <w:spacing w:after="0" w:line="117" w:lineRule="exact"/>
        <w:rPr>
          <w:sz w:val="20"/>
          <w:szCs w:val="20"/>
          <w:color w:val="auto"/>
        </w:rPr>
      </w:pPr>
    </w:p>
    <w:p>
      <w:pPr>
        <w:jc w:val="both"/>
        <w:ind w:right="260" w:firstLine="598"/>
        <w:spacing w:after="0" w:line="264" w:lineRule="auto"/>
        <w:rPr>
          <w:sz w:val="20"/>
          <w:szCs w:val="20"/>
          <w:color w:val="auto"/>
        </w:rPr>
      </w:pPr>
      <w:r>
        <w:rPr>
          <w:rFonts w:ascii="Arial" w:cs="Arial" w:eastAsia="Arial" w:hAnsi="Arial"/>
          <w:sz w:val="18"/>
          <w:szCs w:val="18"/>
          <w:color w:val="auto"/>
        </w:rPr>
        <w:t>During the year ended December 31, 2016, we completed five acquisitions with a total purchase price of $34 million. The Company paid net cash consideration of $28 million, which is net of $4 million of cash acquired, and includes $2 million in future holdback payments, which we currently plan to settle in Company common stock.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93" w:name="page94"/>
    <w:bookmarkEnd w:id="93"/>
    <w:p>
      <w:pPr>
        <w:ind w:right="160"/>
        <w:spacing w:after="0" w:line="257" w:lineRule="auto"/>
        <w:rPr>
          <w:sz w:val="20"/>
          <w:szCs w:val="20"/>
          <w:color w:val="auto"/>
        </w:rPr>
      </w:pPr>
      <w:r>
        <w:rPr>
          <w:rFonts w:ascii="Arial" w:cs="Arial" w:eastAsia="Arial" w:hAnsi="Arial"/>
          <w:sz w:val="18"/>
          <w:szCs w:val="18"/>
          <w:color w:val="auto"/>
        </w:rPr>
        <w:t>cash consideration was paid primarily from our U.S. cash. We acquired 100% of the outstanding capital stock of the following companies: Tous Au Restaurant, a leading restaurant event week brand in France, purchased in January 2016; HouseTrip, a European-based vacation rental website, purchased in April 2016; Citymaps, a social mapping platform, purchased in August 2016; Sneat, a provider of a mobile reservation platform for restaurants in France, purchased in October 2016; and Couverts, a provider of an online and mobile reservations platform for restaurants in the Netherlands, purchased in October 2016.</w:t>
      </w:r>
    </w:p>
    <w:p>
      <w:pPr>
        <w:spacing w:after="0" w:line="18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purchase price allocation of our 2016 acquisitions is preliminary and subject to revision as more information becomes available, but in any case will not be revised beyond twelve months after the acquisition date and any change to the fair value of assets acquired or liabilities assumed will lead to a corresponding change to the purchase price allocable to goodwill in the period the adjustment is determined. The purchase price allocation is not yet finalized for income tax-related balances for Citymaps.</w:t>
      </w:r>
    </w:p>
    <w:p>
      <w:pPr>
        <w:spacing w:after="0" w:line="187"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aggregate purchase price consideration of $34 million was allocated to the fair value of assets acquired and liabilities assumed as follows, in millions: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Intangible assets (2)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tangible assets (liabilities) (3)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6600" w:type="dxa"/>
            <w:vAlign w:val="bottom"/>
          </w:tcPr>
          <w:p>
            <w:pPr>
              <w:ind w:left="240"/>
              <w:spacing w:after="0"/>
              <w:rPr>
                <w:sz w:val="20"/>
                <w:szCs w:val="20"/>
                <w:color w:val="auto"/>
              </w:rPr>
            </w:pPr>
            <w:r>
              <w:rPr>
                <w:rFonts w:ascii="Arial" w:cs="Arial" w:eastAsia="Arial" w:hAnsi="Arial"/>
                <w:sz w:val="18"/>
                <w:szCs w:val="18"/>
                <w:color w:val="auto"/>
              </w:rPr>
              <w:t>Total purchase price consideration (4)</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Goodwill is not deductible for tax purposes.</w:t>
      </w:r>
    </w:p>
    <w:p>
      <w:pPr>
        <w:spacing w:after="0" w:line="23" w:lineRule="exact"/>
        <w:rPr>
          <w:rFonts w:ascii="Arial" w:cs="Arial" w:eastAsia="Arial" w:hAnsi="Arial"/>
          <w:sz w:val="18"/>
          <w:szCs w:val="18"/>
          <w:color w:val="auto"/>
        </w:rPr>
      </w:pPr>
    </w:p>
    <w:p>
      <w:pPr>
        <w:jc w:val="both"/>
        <w:ind w:left="580" w:right="380" w:hanging="572"/>
        <w:spacing w:after="0" w:line="281"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Identifiable definite-lived intangible assets acquired during 2016 were comprised of trade names of $4 million with a weighted average life of 10 years, customer lists and supplier relationships of $4 million with a weighted average life of 6 years, subscriber relationships of $5 million with a weighted average life of approximately 7 years, and technology and other of $12 million with a weighted average life of approximately 5 years.</w:t>
      </w:r>
    </w:p>
    <w:p>
      <w:pPr>
        <w:spacing w:after="0" w:line="2" w:lineRule="exact"/>
        <w:rPr>
          <w:rFonts w:ascii="Arial" w:cs="Arial" w:eastAsia="Arial" w:hAnsi="Arial"/>
          <w:sz w:val="16"/>
          <w:szCs w:val="16"/>
          <w:color w:val="auto"/>
        </w:rPr>
      </w:pPr>
    </w:p>
    <w:p>
      <w:pPr>
        <w:ind w:left="580" w:right="240"/>
        <w:spacing w:after="0" w:line="250" w:lineRule="auto"/>
        <w:rPr>
          <w:rFonts w:ascii="Arial" w:cs="Arial" w:eastAsia="Arial" w:hAnsi="Arial"/>
          <w:sz w:val="16"/>
          <w:szCs w:val="16"/>
          <w:color w:val="auto"/>
        </w:rPr>
      </w:pPr>
      <w:r>
        <w:rPr>
          <w:rFonts w:ascii="Arial" w:cs="Arial" w:eastAsia="Arial" w:hAnsi="Arial"/>
          <w:sz w:val="18"/>
          <w:szCs w:val="18"/>
          <w:color w:val="auto"/>
        </w:rPr>
        <w:t>The overall weighted-average life of the identifiable definite-lived intangible assets acquired in the purchase of these businesses during 2016 was 6 years, and will be amortized on a straight-line basis over their estimated useful lives from acquisition date.</w:t>
      </w:r>
    </w:p>
    <w:p>
      <w:pPr>
        <w:ind w:left="580" w:right="260" w:hanging="572"/>
        <w:spacing w:after="0" w:line="250"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Primarily includes cash acquired of $4 million, accounts receivable of $2 million, and liabilities assumed, including accrued expenses and deferred merchant payables of $3 million and $10 million, respectively, which reflect their respective fair values at acquisition.</w:t>
      </w:r>
    </w:p>
    <w:p>
      <w:pPr>
        <w:ind w:left="580" w:right="340" w:hanging="572"/>
        <w:spacing w:after="0" w:line="261"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adjustment based on (i) final working capital adjustment calculations to be determined for Sneat and Couverts, and (ii) indemnification obligations for general representations and warranties of the acquired company stockholders.</w:t>
      </w:r>
    </w:p>
    <w:p>
      <w:pPr>
        <w:spacing w:after="0" w:line="291"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2016 Other Investments</w:t>
      </w:r>
    </w:p>
    <w:p>
      <w:pPr>
        <w:spacing w:after="0" w:line="117"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During the fourth quarter of 2016, we purchased a total of $14 million of cost method investments in the equity securities of the following privately-held companies: Eatigo International PTE Ltd, a leading restaurant reservation business in southeast Asia; EatWith Media Ltd, an Israeli-based business which helps match travelers with local chefs for a unique dining experience; and Traxo, Inc., a U.S. based company providing software-driven itinerary aggregation and loyalty program management solutions. These investments were recorded to other long-term assets on our consolidated balance sheet on the acquisition date. The cash consideration was paid primarily from our international subsidiaries.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2015 Acquisition of Businesses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During the year ended December 31, 2015, we completed three acquisitions for a total purchase price consideration of $28 million and paid in cash. The cash consideration was paid primarily from our international subsidiaries. We acquired 100% of the outstanding capital stock of the following companies: ZeTrip, a personal journal app that helps users log activities, including places they have visited and photos they have taken, purchased in January 2015; BestTables, a provider of an online and mobile reservations platform for restaurants in Portugal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4" w:name="page95"/>
    <w:bookmarkEnd w:id="94"/>
    <w:p>
      <w:pPr>
        <w:ind w:right="300"/>
        <w:spacing w:after="0" w:line="277" w:lineRule="auto"/>
        <w:rPr>
          <w:sz w:val="20"/>
          <w:szCs w:val="20"/>
          <w:color w:val="auto"/>
        </w:rPr>
      </w:pPr>
      <w:r>
        <w:rPr>
          <w:rFonts w:ascii="Arial" w:cs="Arial" w:eastAsia="Arial" w:hAnsi="Arial"/>
          <w:sz w:val="18"/>
          <w:szCs w:val="18"/>
          <w:color w:val="auto"/>
        </w:rPr>
        <w:t>and Brazil, purchased in March 2015; and Dimmi, a provider of an online and mobile reservations platform for restaurants in Australia, purchased in May 2015.</w:t>
      </w:r>
    </w:p>
    <w:p>
      <w:pPr>
        <w:spacing w:after="0" w:line="170"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aggregate purchase price consideration of $28 million was allocated to the fair value of assets acquired and liabilities assumed as follows, in millions: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Intangible assets (2)</w:t>
            </w:r>
          </w:p>
        </w:tc>
        <w:tc>
          <w:tcPr>
            <w:tcW w:w="5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tangible assets (liabilities)</w:t>
            </w:r>
          </w:p>
        </w:tc>
        <w:tc>
          <w:tcPr>
            <w:tcW w:w="5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56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purchase price consideration (3)</w:t>
            </w: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Goodwill is not deductible for tax purposes.</w:t>
      </w:r>
    </w:p>
    <w:p>
      <w:pPr>
        <w:spacing w:after="0" w:line="23" w:lineRule="exact"/>
        <w:rPr>
          <w:rFonts w:ascii="Arial" w:cs="Arial" w:eastAsia="Arial" w:hAnsi="Arial"/>
          <w:sz w:val="18"/>
          <w:szCs w:val="18"/>
          <w:color w:val="auto"/>
        </w:rPr>
      </w:pPr>
    </w:p>
    <w:p>
      <w:pPr>
        <w:ind w:left="620" w:right="60" w:hanging="612"/>
        <w:spacing w:after="0" w:line="250" w:lineRule="auto"/>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Identifiable definite-lived intangible assets acquired during 2015 were comprised of trade names of $2 million with a weighted average life of approximately 10 years, customer lists and supplier relationships of $7 million with a weighted average life of approximately 6 years and technology and other of $3 million with a weighted average life of approximately 2 years. The overall weighted-average life of the identifiable definite-lived intangible assets acquired in the purchase of these businesses during 2015 was 6 years, and will be amortized on a straight-line basis over their estimated useful lives from acquisition date.</w:t>
      </w:r>
    </w:p>
    <w:p>
      <w:pPr>
        <w:spacing w:after="0" w:line="2" w:lineRule="exact"/>
        <w:rPr>
          <w:rFonts w:ascii="Arial" w:cs="Arial" w:eastAsia="Arial" w:hAnsi="Arial"/>
          <w:sz w:val="18"/>
          <w:szCs w:val="18"/>
          <w:color w:val="auto"/>
        </w:rPr>
      </w:pPr>
    </w:p>
    <w:p>
      <w:pPr>
        <w:ind w:left="620" w:hanging="612"/>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adjustment based on indemnification obligations for general representations and warranties of certain acquired company stockholders.</w:t>
      </w:r>
    </w:p>
    <w:p>
      <w:pPr>
        <w:spacing w:after="0" w:line="341"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2015 Sale of Business</w:t>
      </w:r>
    </w:p>
    <w:p>
      <w:pPr>
        <w:spacing w:after="0" w:line="11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 August 2015, we sold 100% interest in one of our Chinese subsidiaries to an unrelated third party for $28 million in cash consideration. Accordingly, we deconsolidated $11 million of assets (which included $3 million of cash sold) and $4 million of liabilities from our consolidated balance sheet and recognized a $20 million gain on sale of subsidiary in our consolidated statements of operations in “Interest income and other, net” during the year ended December 31, 2015.</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2014 Acquisition of Businesses</w:t>
      </w:r>
    </w:p>
    <w:p>
      <w:pPr>
        <w:spacing w:after="0" w:line="144"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In August 2014, we completed our acquisition of Viator, Inc., a leading resource for researching and booking destination activities around the world. Our total purchase price was $192 million, for all the outstanding shares of capital stock of Viator, consisting of approximately $187 million in cash consideration (or $132 million, net of cash acquired from Viator of $55 million) and the value of certain Viator stock options that were assumed. We issued 100,595 TripAdvisor stock options related to the assumed Viator stock options. The fair value of the earned portion of assumed stock options was $5 million and is included in the purchase price, with the remaining fair value of $3 million resulting in post-acquisition compensation expense recognized ratably over three years from the date of acquisition. The total cash consideration was paid from one of our U.S. based subsidiaries.</w:t>
      </w:r>
    </w:p>
    <w:p>
      <w:pPr>
        <w:spacing w:after="0" w:line="165"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During the year ended December 31, 2014, we completed six other acquisitions for a total purchase price consideration of $208 million, for which the Company paid total cash consideration of $199 million, which is net of cash acquired of $7 million and approximately $2 million in holdbacks for general representations and warranties of the respective sellers, which has been subsequently paid by the Company. The cash consideration was paid primarily from our international subsidiaries. We acquired 100% of the outstanding shares of capital stock for the following companies; Vacation Home Rentals, a U.S.-based vacation rental website featuring properties around the world purchased in May 2014; London-based Tripbod, a travel community that helps connect travelers to local experts purchased in May 2014; Lafourchette, a provider of an online and mobile reservations platform for restaurants in Europe purchased in May 2014; MyTable and Restopolis, both providers of an online and mobile reservations platform for restaurants in Italy purchased in October 2014; and Iens, a provider of an online and mobile reservations platform for restaurants in the Netherlands purchased in December 2014. During the year ended December 31, 2014, all 2014 acquisitions accounted for approximately 3% of consolidated revenue for the year.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5" w:name="page96"/>
    <w:bookmarkEnd w:id="95"/>
    <w:p>
      <w:pPr>
        <w:ind w:right="300" w:firstLine="598"/>
        <w:spacing w:after="0" w:line="277" w:lineRule="auto"/>
        <w:rPr>
          <w:sz w:val="20"/>
          <w:szCs w:val="20"/>
          <w:color w:val="auto"/>
        </w:rPr>
      </w:pPr>
      <w:r>
        <w:rPr>
          <w:rFonts w:ascii="Arial" w:cs="Arial" w:eastAsia="Arial" w:hAnsi="Arial"/>
          <w:sz w:val="18"/>
          <w:szCs w:val="18"/>
          <w:color w:val="auto"/>
        </w:rPr>
        <w:t>The aggregate purchase price consideration of $400 million was allocated to the fair value of assets acquired and liabilities assumed as follows, in millions: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Intangible assets (2)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Net tangible assets (liabilities) (3)</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r>
      <w:tr>
        <w:trPr>
          <w:trHeight w:val="223"/>
        </w:trPr>
        <w:tc>
          <w:tcPr>
            <w:tcW w:w="20" w:type="dxa"/>
            <w:vAlign w:val="bottom"/>
          </w:tcPr>
          <w:p>
            <w:pPr>
              <w:spacing w:after="0"/>
              <w:rPr>
                <w:sz w:val="19"/>
                <w:szCs w:val="19"/>
                <w:color w:val="auto"/>
              </w:rPr>
            </w:pPr>
          </w:p>
        </w:tc>
        <w:tc>
          <w:tcPr>
            <w:tcW w:w="6600" w:type="dxa"/>
            <w:vAlign w:val="bottom"/>
          </w:tcPr>
          <w:p>
            <w:pPr>
              <w:ind w:left="240"/>
              <w:spacing w:after="0"/>
              <w:rPr>
                <w:sz w:val="20"/>
                <w:szCs w:val="20"/>
                <w:color w:val="auto"/>
              </w:rPr>
            </w:pPr>
            <w:r>
              <w:rPr>
                <w:rFonts w:ascii="Arial" w:cs="Arial" w:eastAsia="Arial" w:hAnsi="Arial"/>
                <w:sz w:val="18"/>
                <w:szCs w:val="18"/>
                <w:color w:val="auto"/>
              </w:rPr>
              <w:t>Total purchase price consideration</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hanging="59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Goodwill in the amount of $5 million is expected to be deductible for tax purposes.</w:t>
      </w:r>
    </w:p>
    <w:p>
      <w:pPr>
        <w:spacing w:after="0" w:line="23" w:lineRule="exact"/>
        <w:rPr>
          <w:rFonts w:ascii="Arial" w:cs="Arial" w:eastAsia="Arial" w:hAnsi="Arial"/>
          <w:sz w:val="18"/>
          <w:szCs w:val="18"/>
          <w:color w:val="auto"/>
        </w:rPr>
      </w:pPr>
    </w:p>
    <w:p>
      <w:pPr>
        <w:ind w:left="600" w:right="20" w:hanging="592"/>
        <w:spacing w:after="0" w:line="265" w:lineRule="auto"/>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Identifiable definite-lived intangible assets acquired during 2014 were comprised of trade names of $44 million with a weighted average life of 10 years, customer lists and supplier relationships of $82 million with an approximate weighted average life of 7 years, subscriber relationships of $25 million with a weighted average life of 6 years and developed technology and other of $43 million with an approximate weighted average life of 5 years. The overall weighted-average life of the identifiable definite-lived intangible assets acquired in the purchase of the companies during 2014 was approximately 7 years, and will be amortized on a straight-line basis over their estimated useful lives from acquisition date.</w:t>
      </w:r>
    </w:p>
    <w:p>
      <w:pPr>
        <w:spacing w:after="0" w:line="1" w:lineRule="exact"/>
        <w:rPr>
          <w:rFonts w:ascii="Arial" w:cs="Arial" w:eastAsia="Arial" w:hAnsi="Arial"/>
          <w:sz w:val="17"/>
          <w:szCs w:val="17"/>
          <w:color w:val="auto"/>
        </w:rPr>
      </w:pPr>
    </w:p>
    <w:p>
      <w:pPr>
        <w:ind w:left="600" w:right="20" w:hanging="592"/>
        <w:spacing w:after="0" w:line="255"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assets acquired, including cash of $62 million and accounts receivable of $25 million and liabilities assumed, including deferred merchant payables of $76 million, accrued expenses and other current liabilities of $15 million and deferred revenue of $5 million which reflect their respective fair values at acquisition date.</w:t>
      </w:r>
    </w:p>
    <w:p>
      <w:pPr>
        <w:spacing w:after="0" w:line="294" w:lineRule="exact"/>
        <w:rPr>
          <w:sz w:val="20"/>
          <w:szCs w:val="20"/>
          <w:color w:val="auto"/>
        </w:rPr>
      </w:pPr>
    </w:p>
    <w:p>
      <w:pPr>
        <w:ind w:right="5340"/>
        <w:spacing w:after="0" w:line="378" w:lineRule="auto"/>
        <w:rPr>
          <w:sz w:val="20"/>
          <w:szCs w:val="20"/>
          <w:color w:val="auto"/>
        </w:rPr>
      </w:pPr>
      <w:r>
        <w:rPr>
          <w:rFonts w:ascii="Arial" w:cs="Arial" w:eastAsia="Arial" w:hAnsi="Arial"/>
          <w:sz w:val="18"/>
          <w:szCs w:val="18"/>
          <w:b w:val="1"/>
          <w:bCs w:val="1"/>
          <w:color w:val="auto"/>
        </w:rPr>
        <w:t xml:space="preserve">NOTE 4: STOCK BASED AWARDS AND OTHER EQUITY INSTRUMENTS </w:t>
      </w:r>
      <w:r>
        <w:rPr>
          <w:rFonts w:ascii="Arial" w:cs="Arial" w:eastAsia="Arial" w:hAnsi="Arial"/>
          <w:sz w:val="18"/>
          <w:szCs w:val="18"/>
          <w:b w:val="1"/>
          <w:bCs w:val="1"/>
          <w:i w:val="1"/>
          <w:iCs w:val="1"/>
          <w:color w:val="auto"/>
        </w:rPr>
        <w:t>Stock-based Compensation Expense</w:t>
      </w:r>
    </w:p>
    <w:p>
      <w:pPr>
        <w:ind w:right="180" w:firstLine="59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consolidated statements of operations during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6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Technology and content</w:t>
            </w: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w:t>
            </w:r>
          </w:p>
        </w:tc>
        <w:tc>
          <w:tcPr>
            <w:tcW w:w="8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r>
        <w:trPr>
          <w:trHeight w:val="209"/>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Total stock-based compensation expense, net of</w:t>
            </w:r>
          </w:p>
        </w:tc>
        <w:tc>
          <w:tcPr>
            <w:tcW w:w="8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380"/>
              <w:spacing w:after="0"/>
              <w:rPr>
                <w:sz w:val="20"/>
                <w:szCs w:val="20"/>
                <w:color w:val="auto"/>
              </w:rPr>
            </w:pPr>
            <w:r>
              <w:rPr>
                <w:rFonts w:ascii="Arial" w:cs="Arial" w:eastAsia="Arial" w:hAnsi="Arial"/>
                <w:sz w:val="18"/>
                <w:szCs w:val="18"/>
                <w:color w:val="auto"/>
              </w:rPr>
              <w:t>tax effect</w:t>
            </w:r>
          </w:p>
        </w:tc>
        <w:tc>
          <w:tcPr>
            <w:tcW w:w="16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00" w:firstLine="598"/>
        <w:spacing w:after="0" w:line="277" w:lineRule="auto"/>
        <w:rPr>
          <w:sz w:val="20"/>
          <w:szCs w:val="20"/>
          <w:color w:val="auto"/>
        </w:rPr>
      </w:pPr>
      <w:r>
        <w:rPr>
          <w:rFonts w:ascii="Arial" w:cs="Arial" w:eastAsia="Arial" w:hAnsi="Arial"/>
          <w:sz w:val="18"/>
          <w:szCs w:val="18"/>
          <w:color w:val="auto"/>
        </w:rPr>
        <w:t>During the years ended December 31, 2016, 2015 and 2014, we capitalized $12 million, $8 million and $8 million, respectively, of stock-based compensation expense as internal-use software and website development costs.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and Incentive Plans</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 xml:space="preserve">On December 20, 2011, our 2011 Stock and Annual Incentive Plan became effective and we filed Post-Effective Amendment No. 1 on Form S-8 to Registration Statement on Form S-4 (File No. 333-178637) (the “Prior Registration Statement”) with the Securities and Exchange Commission, registering a total of 17,500,000 shares of our common stock, of which 17,400,000 shares were issuable in connection with grants of equity-based awards under our 2011 Incentive Plan (7,400,000 of which shares were originally registered on the Form S-4 and 10,000,000 of which shares were first registered on the Prior Registration Statement) and 100,000 shares were issuable under our Deferred Compensation Plan for Non-Employee Directors (refer to “Note 14— </w:t>
      </w:r>
      <w:r>
        <w:rPr>
          <w:rFonts w:ascii="Arial" w:cs="Arial" w:eastAsia="Arial" w:hAnsi="Arial"/>
          <w:sz w:val="17"/>
          <w:szCs w:val="17"/>
          <w:i w:val="1"/>
          <w:iCs w:val="1"/>
          <w:color w:val="auto"/>
        </w:rPr>
        <w:t>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Benefit Plans” </w:t>
      </w:r>
      <w:r>
        <w:rPr>
          <w:rFonts w:ascii="Arial" w:cs="Arial" w:eastAsia="Arial" w:hAnsi="Arial"/>
          <w:sz w:val="17"/>
          <w:szCs w:val="17"/>
          <w:color w:val="auto"/>
        </w:rPr>
        <w:t>below for information on our Deferred Compensation Plan for Non-Employee Directors).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6" w:name="page97"/>
    <w:bookmarkEnd w:id="96"/>
    <w:p>
      <w:pPr>
        <w:ind w:right="200" w:firstLine="598"/>
        <w:spacing w:after="0" w:line="312" w:lineRule="auto"/>
        <w:rPr>
          <w:sz w:val="20"/>
          <w:szCs w:val="20"/>
          <w:color w:val="auto"/>
        </w:rPr>
      </w:pPr>
      <w:r>
        <w:rPr>
          <w:rFonts w:ascii="Arial" w:cs="Arial" w:eastAsia="Arial" w:hAnsi="Arial"/>
          <w:sz w:val="16"/>
          <w:szCs w:val="16"/>
          <w:color w:val="auto"/>
        </w:rPr>
        <w:t>At our annual meeting of stockholders held on June 28, 2013 (the “Annual Meeting”), our stockholders approved an amendment to our 2011 Stock and Annual Incentive Plan to, among other things, increase the aggregate number of shares of common stock authorized for issuance thereunder by 15,000,000 shares. We refer to our 2011 Stock and Annual Incentive Plan, as amended by the amendment as the “2011 Incentive Plan.”</w:t>
      </w:r>
    </w:p>
    <w:p>
      <w:pPr>
        <w:spacing w:after="0" w:line="14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September 12, 2014, we filed a Registration Statement on Form S-8 with respect to up to 100,595 shares of our common stock for issuance under the Viator, Inc. 2010 Stock Incentive Plan, as amended (the “Viator Plan”). Pursuant to the Amended and Restated Agreement and Plan of Merger among TripAdvisor LLC; Vineyard Acquisition Corporation and Viator, Inc., dated as of July 24, 2014 (the “Merger Agreement”), Vineyard Acquisition Corporation merged with and into Viator, Inc. with Viator, Inc. surviving as a wholly-owned subsidiary of the Company. In accordance with the Merger Agreement, we assumed certain outstanding options to purchase shares of common stock of Viator granted under the Viator Plan (the “Assumed Options”). As a result of this assumption, the Assumed Options were converted into options to purchase shares of our common stock. We do not intend to grant new equity or equity-based awards under the Viator Plan.</w:t>
      </w:r>
    </w:p>
    <w:p>
      <w:pPr>
        <w:spacing w:after="0" w:line="189"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Pursuant to the 2011 Incentive Plan, we may, among other things, grant RSUs, restricted stock, stock options and other stock-based awards to our directors, officers, employees and consultants. The summary of the material terms of the 2011 Incentive Plan is qualified in its entirety by the full text of the 2011 Incentive Plan previously filed.</w:t>
      </w:r>
    </w:p>
    <w:p>
      <w:pPr>
        <w:spacing w:after="0" w:line="181"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As of December 31, 2016, the total number of shares available for issuance under the 2011 Incentive Plan is 15,051,221 shares. All shares of common stock issued in respect of the exercise of options or other equity awards since Spin-Off have been issued from authorized, but unissued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Award Activity and Valuation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Stock Option Activity</w:t>
      </w:r>
    </w:p>
    <w:p>
      <w:pPr>
        <w:spacing w:after="0" w:line="117"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During the year ended December 31, 2016, we have issued 1,063,672 of primarily service based non-qualified stock options from the 2011 Incentive Plan. These stock options generally have a term of ten years from the date of grant and generally vest equally over a four-year requisite service period.</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Price Per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2015</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as of December 31, 2016</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as of December 31, 2016</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42.95</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right="40" w:hanging="592"/>
        <w:spacing w:after="0" w:line="257"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Inclusive of 318,773 options, which were not converted into shares due to net share settlement in order to cover the aggregate exercise price and the minimum amount of required employee withholding taxes. Potential shares which had been convertible under stock options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consolidated statements of cash flows.</w:t>
      </w:r>
    </w:p>
    <w:p>
      <w:pPr>
        <w:spacing w:after="0" w:line="18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7" w:name="page98"/>
    <w:bookmarkEnd w:id="97"/>
    <w:p>
      <w:pPr>
        <w:ind w:right="40"/>
        <w:spacing w:after="0" w:line="277" w:lineRule="auto"/>
        <w:rPr>
          <w:sz w:val="20"/>
          <w:szCs w:val="20"/>
          <w:color w:val="auto"/>
        </w:rPr>
      </w:pPr>
      <w:r>
        <w:rPr>
          <w:rFonts w:ascii="Arial" w:cs="Arial" w:eastAsia="Arial" w:hAnsi="Arial"/>
          <w:sz w:val="18"/>
          <w:szCs w:val="18"/>
          <w:color w:val="auto"/>
        </w:rPr>
        <w:t>December 31, 2016 was $46.37. The total intrinsic value of stock options exercised for the years ended December 31, 2016, 2015 and 2014 were $24 million, $149 million, and $75 million, respectively.</w:t>
      </w:r>
    </w:p>
    <w:p>
      <w:pPr>
        <w:spacing w:after="0" w:line="170"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5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41.81%</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41.79%</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44.04%</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r>
    </w:tbl>
    <w:p>
      <w:pPr>
        <w:spacing w:after="0" w:line="20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weighted-average grant date fair value of options granted, excluding Assumed Options, was $22.95, $33.02, and $46.65 for the years ended December 31, 2016, 2015 and 2014, respectively. The weighted-average grant date fair value of Assumed Options was $80.31 for the year ended December 31, 2014. The total fair value of stock options vested for the years ended December 31, 2016, 2015 and 2014 were $28 million, $36 million, and $34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RSU Activity</w:t>
      </w:r>
    </w:p>
    <w:p>
      <w:pPr>
        <w:spacing w:after="0" w:line="117" w:lineRule="exact"/>
        <w:rPr>
          <w:sz w:val="20"/>
          <w:szCs w:val="20"/>
          <w:color w:val="auto"/>
        </w:rPr>
      </w:pPr>
    </w:p>
    <w:p>
      <w:pPr>
        <w:ind w:right="60" w:firstLine="598"/>
        <w:spacing w:after="0" w:line="308" w:lineRule="auto"/>
        <w:rPr>
          <w:sz w:val="20"/>
          <w:szCs w:val="20"/>
          <w:color w:val="auto"/>
        </w:rPr>
      </w:pPr>
      <w:r>
        <w:rPr>
          <w:rFonts w:ascii="Arial" w:cs="Arial" w:eastAsia="Arial" w:hAnsi="Arial"/>
          <w:sz w:val="17"/>
          <w:szCs w:val="17"/>
          <w:color w:val="auto"/>
        </w:rPr>
        <w:t>During the year ended December 31, 2016, we issued 2,015,898 RSUs under the 2011 Incentive Plan for which the fair value was measured based on the quoted price of our common stock on the date of grant. These RSUs generally vest over a four-year requisite service period.</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our RSU activity: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Grant-</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67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RSUs</w:t>
            </w: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Date Fair</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67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Value Per Share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678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2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2015</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Cancelled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2016</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0" w:right="80" w:hanging="592"/>
        <w:spacing w:after="0" w:line="259"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Inclusive of 173,429 RSUs withheld to satisfy employee minimum tax withholding requirements due to net share settlement.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consolidated statements of cash flows.</w:t>
      </w:r>
    </w:p>
    <w:p>
      <w:pPr>
        <w:spacing w:after="0" w:line="295"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Cash received from stock option exercises for the years ended December 31, 2016, 2015 and 2014, respectively, were $7 million, $12 million and $3 million. Total current income tax benefits during the years ended December 31, 2016, 2015, and 2014 associated with the exercise or settlement of TripAdvisor stock-based awards held by our employees were $21 million, $63 million and $32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 summary of our remaining unrecognized compensation expense and the weighted average remaining amortization period at December 31, 2016 related to our non-vested stock options and RSU awards is presented below (in millions, except per year information):</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840" w:type="dxa"/>
            <w:vAlign w:val="bottom"/>
          </w:tcPr>
          <w:p>
            <w:pPr>
              <w:jc w:val="center"/>
              <w:ind w:left="207"/>
              <w:spacing w:after="0"/>
              <w:rPr>
                <w:sz w:val="20"/>
                <w:szCs w:val="20"/>
                <w:color w:val="auto"/>
              </w:rPr>
            </w:pPr>
            <w:r>
              <w:rPr>
                <w:rFonts w:ascii="Arial" w:cs="Arial" w:eastAsia="Arial" w:hAnsi="Arial"/>
                <w:sz w:val="14"/>
                <w:szCs w:val="14"/>
                <w:b w:val="1"/>
                <w:bCs w:val="1"/>
                <w:color w:val="auto"/>
                <w:w w:val="94"/>
              </w:rPr>
              <w:t>Stock</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840" w:type="dxa"/>
            <w:vAlign w:val="bottom"/>
          </w:tcPr>
          <w:p>
            <w:pPr>
              <w:jc w:val="center"/>
              <w:ind w:left="207"/>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RSUs</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17"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Diluted earnings per share include the potential dilution of common equivalent shares outstanding that could occur from stock-based awards and other stock-based commitments using the treasury stock method. We compute diluted earnings per share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79" w:lineRule="exact"/>
        <w:rPr>
          <w:sz w:val="20"/>
          <w:szCs w:val="20"/>
          <w:color w:val="auto"/>
        </w:rPr>
      </w:pPr>
    </w:p>
    <w:p>
      <w:pPr>
        <w:jc w:val="both"/>
        <w:ind w:right="180" w:firstLine="598"/>
        <w:spacing w:after="0" w:line="286" w:lineRule="auto"/>
        <w:rPr>
          <w:sz w:val="20"/>
          <w:szCs w:val="20"/>
          <w:color w:val="auto"/>
        </w:rPr>
      </w:pPr>
      <w:r>
        <w:rPr>
          <w:rFonts w:ascii="Arial" w:cs="Arial" w:eastAsia="Arial" w:hAnsi="Arial"/>
          <w:sz w:val="17"/>
          <w:szCs w:val="17"/>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9" w:name="page100"/>
    <w:bookmarkEnd w:id="99"/>
    <w:p>
      <w:pPr>
        <w:ind w:right="20" w:firstLine="59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6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183"/>
        </w:trPr>
        <w:tc>
          <w:tcPr>
            <w:tcW w:w="674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6740" w:type="dxa"/>
            <w:vAlign w:val="bottom"/>
            <w:gridSpan w:val="3"/>
          </w:tcPr>
          <w:p>
            <w:pPr>
              <w:ind w:left="2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r>
      <w:tr>
        <w:trPr>
          <w:trHeight w:val="189"/>
        </w:trPr>
        <w:tc>
          <w:tcPr>
            <w:tcW w:w="67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5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6740" w:type="dxa"/>
            <w:vAlign w:val="bottom"/>
            <w:gridSpan w:val="3"/>
          </w:tcPr>
          <w:p>
            <w:pPr>
              <w:ind w:left="260"/>
              <w:spacing w:after="0"/>
              <w:rPr>
                <w:sz w:val="20"/>
                <w:szCs w:val="20"/>
                <w:color w:val="auto"/>
              </w:rPr>
            </w:pPr>
            <w:r>
              <w:rPr>
                <w:rFonts w:ascii="Arial" w:cs="Arial" w:eastAsia="Arial" w:hAnsi="Arial"/>
                <w:sz w:val="18"/>
                <w:szCs w:val="18"/>
                <w:color w:val="auto"/>
              </w:rPr>
              <w:t>Weighted average shares used to compute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40" w:type="dxa"/>
            <w:vAlign w:val="bottom"/>
            <w:gridSpan w:val="3"/>
          </w:tcPr>
          <w:p>
            <w:pPr>
              <w:ind w:left="380"/>
              <w:spacing w:after="0"/>
              <w:rPr>
                <w:sz w:val="20"/>
                <w:szCs w:val="20"/>
                <w:color w:val="auto"/>
              </w:rPr>
            </w:pPr>
            <w:r>
              <w:rPr>
                <w:rFonts w:ascii="Arial" w:cs="Arial" w:eastAsia="Arial" w:hAnsi="Arial"/>
                <w:sz w:val="18"/>
                <w:szCs w:val="18"/>
                <w:color w:val="auto"/>
              </w:rPr>
              <w:t>Basic EPS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145,443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143,836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142,721</w:t>
            </w:r>
          </w:p>
        </w:tc>
        <w:tc>
          <w:tcPr>
            <w:tcW w:w="120" w:type="dxa"/>
            <w:vAlign w:val="bottom"/>
          </w:tcPr>
          <w:p>
            <w:pPr>
              <w:spacing w:after="0"/>
              <w:rPr>
                <w:sz w:val="20"/>
                <w:szCs w:val="20"/>
                <w:color w:val="auto"/>
              </w:rPr>
            </w:pPr>
          </w:p>
        </w:tc>
      </w:tr>
      <w:tr>
        <w:trPr>
          <w:trHeight w:val="215"/>
        </w:trPr>
        <w:tc>
          <w:tcPr>
            <w:tcW w:w="6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Weighted average effect of dilutive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4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19"/>
                <w:szCs w:val="19"/>
                <w:color w:val="auto"/>
              </w:rPr>
            </w:pPr>
          </w:p>
        </w:tc>
      </w:tr>
      <w:tr>
        <w:trPr>
          <w:trHeight w:val="230"/>
        </w:trPr>
        <w:tc>
          <w:tcPr>
            <w:tcW w:w="67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 and other dilutive securities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9"/>
                <w:szCs w:val="19"/>
                <w:color w:val="auto"/>
              </w:rPr>
            </w:pPr>
          </w:p>
        </w:tc>
      </w:tr>
      <w:tr>
        <w:trPr>
          <w:trHeight w:val="209"/>
        </w:trPr>
        <w:tc>
          <w:tcPr>
            <w:tcW w:w="6740" w:type="dxa"/>
            <w:vAlign w:val="bottom"/>
            <w:gridSpan w:val="3"/>
          </w:tcPr>
          <w:p>
            <w:pPr>
              <w:ind w:left="260"/>
              <w:spacing w:after="0"/>
              <w:rPr>
                <w:sz w:val="20"/>
                <w:szCs w:val="20"/>
                <w:color w:val="auto"/>
              </w:rPr>
            </w:pPr>
            <w:r>
              <w:rPr>
                <w:rFonts w:ascii="Arial" w:cs="Arial" w:eastAsia="Arial" w:hAnsi="Arial"/>
                <w:sz w:val="18"/>
                <w:szCs w:val="18"/>
                <w:color w:val="auto"/>
              </w:rPr>
              <w:t>Weighted average shares used to compute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0"/>
        </w:trPr>
        <w:tc>
          <w:tcPr>
            <w:tcW w:w="6740" w:type="dxa"/>
            <w:vAlign w:val="bottom"/>
            <w:tcBorders>
              <w:bottom w:val="single" w:sz="8" w:color="CFF0FC"/>
            </w:tcBorders>
            <w:gridSpan w:val="3"/>
          </w:tcPr>
          <w:p>
            <w:pPr>
              <w:ind w:left="380"/>
              <w:spacing w:after="0"/>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146,893</w:t>
            </w:r>
          </w:p>
        </w:tc>
        <w:tc>
          <w:tcPr>
            <w:tcW w:w="2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145,967</w:t>
            </w:r>
          </w:p>
        </w:tc>
        <w:tc>
          <w:tcPr>
            <w:tcW w:w="2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145,800</w:t>
            </w:r>
          </w:p>
        </w:tc>
        <w:tc>
          <w:tcPr>
            <w:tcW w:w="120" w:type="dxa"/>
            <w:vAlign w:val="bottom"/>
            <w:tcBorders>
              <w:bottom w:val="single" w:sz="8" w:color="CFF0FC"/>
            </w:tcBorders>
          </w:tcPr>
          <w:p>
            <w:pPr>
              <w:spacing w:after="0"/>
              <w:rPr>
                <w:sz w:val="23"/>
                <w:szCs w:val="23"/>
                <w:color w:val="auto"/>
              </w:rPr>
            </w:pPr>
          </w:p>
        </w:tc>
      </w:tr>
      <w:tr>
        <w:trPr>
          <w:trHeight w:val="210"/>
        </w:trPr>
        <w:tc>
          <w:tcPr>
            <w:tcW w:w="6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8"/>
                <w:szCs w:val="18"/>
                <w:color w:val="auto"/>
              </w:rPr>
            </w:pPr>
          </w:p>
        </w:tc>
      </w:tr>
      <w:tr>
        <w:trPr>
          <w:trHeight w:val="230"/>
        </w:trPr>
        <w:tc>
          <w:tcPr>
            <w:tcW w:w="67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0.82</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EPS because their effect would have been anti-dilutive for the periods presented (in thousands):</w:t>
      </w:r>
    </w:p>
    <w:p>
      <w:pPr>
        <w:spacing w:after="0" w:line="176"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6350</wp:posOffset>
            </wp:positionV>
            <wp:extent cx="28898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2016(1)</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2015(2)</w:t>
            </w:r>
          </w:p>
        </w:tc>
        <w:tc>
          <w:tcPr>
            <w:tcW w:w="260" w:type="dxa"/>
            <w:vAlign w:val="bottom"/>
          </w:tcPr>
          <w:p>
            <w:pPr>
              <w:spacing w:after="0"/>
              <w:rPr>
                <w:sz w:val="14"/>
                <w:szCs w:val="14"/>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2014(3)</w:t>
            </w:r>
          </w:p>
        </w:tc>
        <w:tc>
          <w:tcPr>
            <w:tcW w:w="120" w:type="dxa"/>
            <w:vAlign w:val="bottom"/>
          </w:tcPr>
          <w:p>
            <w:pPr>
              <w:spacing w:after="0"/>
              <w:rPr>
                <w:sz w:val="14"/>
                <w:szCs w:val="14"/>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3,019</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RSUs</w:t>
            </w:r>
          </w:p>
        </w:tc>
        <w:tc>
          <w:tcPr>
            <w:tcW w:w="420" w:type="dxa"/>
            <w:vAlign w:val="bottom"/>
          </w:tcPr>
          <w:p>
            <w:pPr>
              <w:jc w:val="right"/>
              <w:spacing w:after="0"/>
              <w:rPr>
                <w:sz w:val="20"/>
                <w:szCs w:val="20"/>
                <w:color w:val="auto"/>
              </w:rPr>
            </w:pPr>
            <w:r>
              <w:rPr>
                <w:rFonts w:ascii="Arial" w:cs="Arial" w:eastAsia="Arial" w:hAnsi="Arial"/>
                <w:sz w:val="18"/>
                <w:szCs w:val="18"/>
                <w:color w:val="auto"/>
              </w:rPr>
              <w:t>860</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3,879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00" w:right="20" w:hanging="592"/>
        <w:spacing w:after="0" w:line="256"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totals do not include 125,000 performance based options and 12,799 performance based RSUs representing the right to acquire 137,799 shares of common stock for which all targets required to trigger vesting had not been achieved; therefore, such awards were excluded from the calculation of weighted average shares used to compute Diluted EPS for those reporting periods.</w:t>
      </w:r>
    </w:p>
    <w:p>
      <w:pPr>
        <w:ind w:left="600" w:right="60" w:hanging="592"/>
        <w:spacing w:after="0" w:line="250"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totals do not include 66,666 performance based options and 12,799 performance based RSUs representing the right to acquire 79,465 shares of common stock for which all targets required to trigger vesting had not been achieved; therefore, such awards were excluded from the calculation of weighted average shares used to compute Diluted EPS for those reporting periods.</w:t>
      </w:r>
    </w:p>
    <w:p>
      <w:pPr>
        <w:spacing w:after="0" w:line="1" w:lineRule="exact"/>
        <w:rPr>
          <w:rFonts w:ascii="Arial" w:cs="Arial" w:eastAsia="Arial" w:hAnsi="Arial"/>
          <w:sz w:val="18"/>
          <w:szCs w:val="18"/>
          <w:color w:val="auto"/>
        </w:rPr>
      </w:pPr>
    </w:p>
    <w:p>
      <w:pPr>
        <w:ind w:left="600" w:right="60" w:hanging="592"/>
        <w:spacing w:after="0" w:line="255"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totals do not include 66,666 performance based options and 44,000 performance based RSUs representing the right to acquire 110,666 shares of common stock, respectively, for which all targets required to trigger vesting had not been achieved; therefore, such awards were excluded from the calculation of weighted average shares used to compute Diluted EPS for those reporting periods.</w:t>
      </w:r>
    </w:p>
    <w:p>
      <w:pPr>
        <w:spacing w:after="0" w:line="19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December 31, 2016 and December 31, 2015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1"/>
              </w:rPr>
              <w:t>Cash and</w:t>
            </w:r>
          </w:p>
        </w:tc>
        <w:tc>
          <w:tcPr>
            <w:tcW w:w="108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Short-Term</w:t>
            </w:r>
          </w:p>
        </w:tc>
        <w:tc>
          <w:tcPr>
            <w:tcW w:w="80" w:type="dxa"/>
            <w:vAlign w:val="bottom"/>
          </w:tcPr>
          <w:p>
            <w:pPr>
              <w:spacing w:after="0"/>
              <w:rPr>
                <w:sz w:val="12"/>
                <w:szCs w:val="12"/>
                <w:color w:val="auto"/>
              </w:rPr>
            </w:pPr>
          </w:p>
        </w:tc>
        <w:tc>
          <w:tcPr>
            <w:tcW w:w="820" w:type="dxa"/>
            <w:vAlign w:val="bottom"/>
          </w:tcPr>
          <w:p>
            <w:pPr>
              <w:jc w:val="center"/>
              <w:ind w:right="13"/>
              <w:spacing w:after="0" w:line="147" w:lineRule="exact"/>
              <w:rPr>
                <w:sz w:val="20"/>
                <w:szCs w:val="20"/>
                <w:color w:val="auto"/>
              </w:rPr>
            </w:pPr>
            <w:r>
              <w:rPr>
                <w:rFonts w:ascii="Arial" w:cs="Arial" w:eastAsia="Arial" w:hAnsi="Arial"/>
                <w:sz w:val="14"/>
                <w:szCs w:val="14"/>
                <w:b w:val="1"/>
                <w:bCs w:val="1"/>
                <w:color w:val="auto"/>
                <w:w w:val="92"/>
              </w:rPr>
              <w:t>Long-Term</w:t>
            </w:r>
          </w:p>
        </w:tc>
        <w:tc>
          <w:tcPr>
            <w:tcW w:w="120" w:type="dxa"/>
            <w:vAlign w:val="bottom"/>
          </w:tcPr>
          <w:p>
            <w:pPr>
              <w:spacing w:after="0"/>
              <w:rPr>
                <w:sz w:val="12"/>
                <w:szCs w:val="12"/>
                <w:color w:val="auto"/>
              </w:rPr>
            </w:pPr>
          </w:p>
        </w:tc>
      </w:tr>
      <w:tr>
        <w:trPr>
          <w:trHeight w:val="162"/>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Cash</w:t>
            </w: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Marketable</w:t>
            </w: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Marketable</w:t>
            </w: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3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1"/>
              </w:rPr>
              <w:t>Cash and</w:t>
            </w:r>
          </w:p>
        </w:tc>
        <w:tc>
          <w:tcPr>
            <w:tcW w:w="108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Short-Term</w:t>
            </w:r>
          </w:p>
        </w:tc>
        <w:tc>
          <w:tcPr>
            <w:tcW w:w="80" w:type="dxa"/>
            <w:vAlign w:val="bottom"/>
          </w:tcPr>
          <w:p>
            <w:pPr>
              <w:spacing w:after="0"/>
              <w:rPr>
                <w:sz w:val="12"/>
                <w:szCs w:val="12"/>
                <w:color w:val="auto"/>
              </w:rPr>
            </w:pPr>
          </w:p>
        </w:tc>
        <w:tc>
          <w:tcPr>
            <w:tcW w:w="820" w:type="dxa"/>
            <w:vAlign w:val="bottom"/>
          </w:tcPr>
          <w:p>
            <w:pPr>
              <w:jc w:val="center"/>
              <w:ind w:right="13"/>
              <w:spacing w:after="0" w:line="147" w:lineRule="exact"/>
              <w:rPr>
                <w:sz w:val="20"/>
                <w:szCs w:val="20"/>
                <w:color w:val="auto"/>
              </w:rPr>
            </w:pPr>
            <w:r>
              <w:rPr>
                <w:rFonts w:ascii="Arial" w:cs="Arial" w:eastAsia="Arial" w:hAnsi="Arial"/>
                <w:sz w:val="14"/>
                <w:szCs w:val="14"/>
                <w:b w:val="1"/>
                <w:bCs w:val="1"/>
                <w:color w:val="auto"/>
                <w:w w:val="92"/>
              </w:rPr>
              <w:t>Long-Term</w:t>
            </w:r>
          </w:p>
        </w:tc>
        <w:tc>
          <w:tcPr>
            <w:tcW w:w="120" w:type="dxa"/>
            <w:vAlign w:val="bottom"/>
          </w:tcPr>
          <w:p>
            <w:pPr>
              <w:spacing w:after="0"/>
              <w:rPr>
                <w:sz w:val="12"/>
                <w:szCs w:val="12"/>
                <w:color w:val="auto"/>
              </w:rPr>
            </w:pPr>
          </w:p>
        </w:tc>
      </w:tr>
      <w:tr>
        <w:trPr>
          <w:trHeight w:val="162"/>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Cash</w:t>
            </w: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Marketable</w:t>
            </w: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Marketable</w:t>
            </w: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December 31, 2016 and 2015, respectively.</w:t>
      </w:r>
    </w:p>
    <w:p>
      <w:pPr>
        <w:spacing w:after="0" w:line="187" w:lineRule="exact"/>
        <w:rPr>
          <w:sz w:val="20"/>
          <w:szCs w:val="20"/>
          <w:color w:val="auto"/>
        </w:rPr>
      </w:pPr>
    </w:p>
    <w:p>
      <w:pPr>
        <w:ind w:right="340" w:firstLine="598"/>
        <w:spacing w:after="0" w:line="273" w:lineRule="auto"/>
        <w:rPr>
          <w:sz w:val="20"/>
          <w:szCs w:val="20"/>
          <w:color w:val="auto"/>
        </w:rPr>
      </w:pPr>
      <w:r>
        <w:rPr>
          <w:rFonts w:ascii="Arial" w:cs="Arial" w:eastAsia="Arial" w:hAnsi="Arial"/>
          <w:sz w:val="17"/>
          <w:szCs w:val="17"/>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1" w:name="page102"/>
    <w:bookmarkEnd w:id="101"/>
    <w:p>
      <w:pPr>
        <w:ind w:right="120" w:firstLine="598"/>
        <w:spacing w:after="0" w:line="264"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years ended December 31, 2016, 2015, and 2014. We consider any individual investments in an unrealized loss position to be temporary in nature and do not consider any of our investments other-than-temporarily impaired as of December 31,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current forward contracts are not designated as hedges and have current maturities of less than 90 days. Consequently, any gain or loss resulting from the change in fair value was recognized in our consolidated statement of operations. We recorded a net gain of $2 million, $2 million, and $1 million for the years ended December 31, 2016, 2015 and 2014, respectively, related to our settled and outstanding forward contracts in our consolidated statements of operations in “Interest income and other, net.”</w:t>
      </w:r>
    </w:p>
    <w:p>
      <w:pPr>
        <w:spacing w:after="0" w:line="18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table shows the notional principal amounts of our outstanding derivative instruments that are not designated as hedging instruments for the periods presented:</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w w:val="95"/>
              </w:rPr>
              <w:t>December 31, 2016</w:t>
            </w:r>
          </w:p>
        </w:tc>
        <w:tc>
          <w:tcPr>
            <w:tcW w:w="150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339"/>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(1)(2)</w:t>
            </w:r>
          </w:p>
        </w:tc>
        <w:tc>
          <w:tcPr>
            <w:tcW w:w="186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w:t>
            </w:r>
          </w:p>
        </w:tc>
        <w:tc>
          <w:tcPr>
            <w:tcW w:w="80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600" w:right="740" w:hanging="592"/>
        <w:spacing w:after="0" w:line="258"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Derivative contracts address foreign currency exchange fluctuations for the Euro versus the U.S. dollar. The Company was entered into two outstanding derivative contracts as of December 31, 2016.</w:t>
      </w:r>
    </w:p>
    <w:p>
      <w:pPr>
        <w:spacing w:after="0" w:line="1" w:lineRule="exact"/>
        <w:rPr>
          <w:rFonts w:ascii="Arial" w:cs="Arial" w:eastAsia="Arial" w:hAnsi="Arial"/>
          <w:sz w:val="18"/>
          <w:szCs w:val="18"/>
          <w:color w:val="auto"/>
        </w:rPr>
      </w:pPr>
    </w:p>
    <w:p>
      <w:pPr>
        <w:ind w:left="600" w:right="200" w:hanging="592"/>
        <w:spacing w:after="0" w:line="302" w:lineRule="auto"/>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fair value of our derivatives are not material for all periods presented and are reported as assets in prepaid expenses and other current assets on our consolidated balance sheets. We measure the fair value of our outstanding or unsettled derivatives using Level 2 fair value inputs, as we use a pricing model that takes into account the contract terms as well as current foreign currency exchange rates in active markets.</w:t>
      </w:r>
    </w:p>
    <w:p>
      <w:pPr>
        <w:spacing w:after="0" w:line="15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Counterparties to foreign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Other financial instruments not measured at fair value on a recurring basis include accounts receivable, accounts payable, deferred merchant payables, short-term debt, accrued and other current liabilities and long-term debt. With the exception of long-term debt, the carrying amount approximates fair value because of the short maturity of these instruments as reported on our consolidated balance sheets as of December 31, 2016 and December 31, 2015, respectively. The carrying value of the long-term debt from our 2015 Credit Facility bears interest at a variable rate and therefore is also considered to approximate fair value.</w:t>
      </w:r>
    </w:p>
    <w:p>
      <w:pPr>
        <w:spacing w:after="0" w:line="188" w:lineRule="exact"/>
        <w:rPr>
          <w:sz w:val="20"/>
          <w:szCs w:val="20"/>
          <w:color w:val="auto"/>
        </w:rPr>
      </w:pPr>
    </w:p>
    <w:p>
      <w:pPr>
        <w:ind w:right="220" w:firstLine="598"/>
        <w:spacing w:after="0" w:line="276" w:lineRule="auto"/>
        <w:rPr>
          <w:sz w:val="20"/>
          <w:szCs w:val="20"/>
          <w:color w:val="auto"/>
        </w:rPr>
      </w:pPr>
      <w:r>
        <w:rPr>
          <w:rFonts w:ascii="Arial" w:cs="Arial" w:eastAsia="Arial" w:hAnsi="Arial"/>
          <w:sz w:val="17"/>
          <w:szCs w:val="17"/>
          <w:color w:val="auto"/>
        </w:rPr>
        <w:t xml:space="preserve">We also hold investments in equity securities of privately-held companies of approximately $14 million at December 31, 2016. These investments were purchased during the fourth quarter of 2016, and are accounted for under the cost method and included in "Other long-term assets" in the Company's consolidated balance sheet. As of December 31, 2016, we did not estimate the fair value of these cost-method investments because there were no identified events or changes in circumstances, since acquisition, which may have a significant adverse impact on the carrying values of these investments. Refer to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above for further information on these investments.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have any Level 3 assets or liabilities at December 31, 2016 or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consists of the following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December 31, 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r>
      <w:tr>
        <w:trPr>
          <w:trHeight w:val="156"/>
        </w:trPr>
        <w:tc>
          <w:tcPr>
            <w:tcW w:w="78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300" w:type="dxa"/>
            <w:vAlign w:val="bottom"/>
            <w:tcBorders>
              <w:top w:val="single" w:sz="8" w:color="auto"/>
            </w:tcBorders>
            <w:gridSpan w:val="5"/>
          </w:tcPr>
          <w:p>
            <w:pPr>
              <w:jc w:val="right"/>
              <w:ind w:right="1272"/>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3"/>
                <w:szCs w:val="13"/>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Building (1)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Furniture, office equipment and other</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r>
      <w:tr>
        <w:trPr>
          <w:trHeight w:val="223"/>
        </w:trPr>
        <w:tc>
          <w:tcPr>
            <w:tcW w:w="7880" w:type="dxa"/>
            <w:vAlign w:val="bottom"/>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00" w:right="140" w:hanging="592"/>
        <w:spacing w:after="0" w:line="264"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Company is deemed for accounting purposes to be the owner of its corporate headquarters building under GAAP, and depreciates the asset over its estimated useful life of 40 years on a straight-line basis. Refer to “Note 13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our corporate headquarters lease.</w:t>
      </w:r>
    </w:p>
    <w:p>
      <w:pPr>
        <w:spacing w:after="0" w:line="181"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As of December 31, 2016 and 2015, our recorded capitalized software and website development costs, net of accumulated amortization, were $86 million and $71 million, respectively. For the years ended December 31, 2016 and 2015, we capitalized $62 million and $52 million, respectively, related to software and website development costs. For the years ended December 31, 2016, 2015 and 2014, we recorded amortization of capitalized software and website development costs of $46 million, $37 million and $30 million, respectively, which is included in depreciation expense on our consolidated statements of operations for those years.</w:t>
      </w:r>
    </w:p>
    <w:p>
      <w:pPr>
        <w:spacing w:after="0" w:line="188" w:lineRule="exact"/>
        <w:rPr>
          <w:sz w:val="20"/>
          <w:szCs w:val="20"/>
          <w:color w:val="auto"/>
        </w:rPr>
      </w:pPr>
    </w:p>
    <w:p>
      <w:pPr>
        <w:ind w:right="840" w:firstLine="598"/>
        <w:spacing w:after="0" w:line="308" w:lineRule="auto"/>
        <w:rPr>
          <w:sz w:val="20"/>
          <w:szCs w:val="20"/>
          <w:color w:val="auto"/>
        </w:rPr>
      </w:pPr>
      <w:r>
        <w:rPr>
          <w:rFonts w:ascii="Arial" w:cs="Arial" w:eastAsia="Arial" w:hAnsi="Arial"/>
          <w:sz w:val="17"/>
          <w:szCs w:val="17"/>
          <w:color w:val="auto"/>
        </w:rPr>
        <w:t>During the year ended December 31, 2016, we retired and disposed of property and equipment, primarily capitalized software and website development and computer equipment, which were no longer in use and fully depreciated with a total cost of $45 million.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INTANGIBLE ASSETS,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goodwill activity by segment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940" w:type="dxa"/>
            <w:vAlign w:val="bottom"/>
          </w:tcPr>
          <w:p>
            <w:pPr>
              <w:jc w:val="right"/>
              <w:ind w:right="46"/>
              <w:spacing w:after="0"/>
              <w:rPr>
                <w:sz w:val="20"/>
                <w:szCs w:val="20"/>
                <w:color w:val="auto"/>
              </w:rPr>
            </w:pPr>
            <w:r>
              <w:rPr>
                <w:rFonts w:ascii="Arial" w:cs="Arial" w:eastAsia="Arial" w:hAnsi="Arial"/>
                <w:sz w:val="14"/>
                <w:szCs w:val="14"/>
                <w:b w:val="1"/>
                <w:bCs w:val="1"/>
                <w:color w:val="auto"/>
              </w:rPr>
              <w:t>Hotel</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Non-Hotel</w:t>
            </w:r>
          </w:p>
        </w:tc>
        <w:tc>
          <w:tcPr>
            <w:tcW w:w="18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Consolidated</w:t>
            </w:r>
          </w:p>
        </w:tc>
      </w:tr>
      <w:tr>
        <w:trPr>
          <w:trHeight w:val="223"/>
        </w:trPr>
        <w:tc>
          <w:tcPr>
            <w:tcW w:w="67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2014</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Acquisitions (1)</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Disposition</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Other adjustments (2)</w:t>
            </w:r>
          </w:p>
        </w:tc>
        <w:tc>
          <w:tcPr>
            <w:tcW w:w="94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940" w:type="dxa"/>
            <w:vAlign w:val="bottom"/>
            <w:tcBorders>
              <w:top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Acquisitions (1)</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adjustments (2)</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Ending balance as of December 31, 2016</w:t>
            </w:r>
          </w:p>
        </w:tc>
        <w:tc>
          <w:tcPr>
            <w:tcW w:w="94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0" w:hanging="592"/>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additions to goodwill relate to our business acquisitions. See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for further information.</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Primarily related to impact of changes in foreign currency exchange rates to goodwill.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ind w:right="260" w:firstLine="598"/>
        <w:spacing w:after="0" w:line="277" w:lineRule="auto"/>
        <w:rPr>
          <w:sz w:val="20"/>
          <w:szCs w:val="20"/>
          <w:color w:val="auto"/>
        </w:rPr>
      </w:pPr>
      <w:r>
        <w:rPr>
          <w:rFonts w:ascii="Arial" w:cs="Arial" w:eastAsia="Arial" w:hAnsi="Arial"/>
          <w:sz w:val="18"/>
          <w:szCs w:val="18"/>
          <w:color w:val="auto"/>
        </w:rPr>
        <w:t>Intangible assets, which were acquired in business combinations and recorded at fair value on the date of purchase, consist of the following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480" w:type="dxa"/>
            <w:vAlign w:val="bottom"/>
          </w:tcPr>
          <w:p>
            <w:pPr>
              <w:spacing w:after="0"/>
              <w:rPr>
                <w:sz w:val="19"/>
                <w:szCs w:val="19"/>
                <w:color w:val="auto"/>
              </w:rPr>
            </w:pPr>
          </w:p>
        </w:tc>
        <w:tc>
          <w:tcPr>
            <w:tcW w:w="35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definite lives</w:t>
            </w:r>
          </w:p>
        </w:tc>
        <w:tc>
          <w:tcPr>
            <w:tcW w:w="352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23"/>
        </w:trPr>
        <w:tc>
          <w:tcPr>
            <w:tcW w:w="54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Intangible assets with definite lives, net</w:t>
            </w:r>
          </w:p>
        </w:tc>
        <w:tc>
          <w:tcPr>
            <w:tcW w:w="23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with indefinite lives</w:t>
            </w:r>
          </w:p>
        </w:tc>
        <w:tc>
          <w:tcPr>
            <w:tcW w:w="23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5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Amortization expense was $32 million, $36 million, and $18 million, respectively, for the years ended December 31, 2016, 2015 and 2014. Our indefinite-lived intangible assets relate to trade names and trademarks.</w:t>
      </w:r>
    </w:p>
    <w:p>
      <w:pPr>
        <w:spacing w:after="0" w:line="170"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There were no impairment charges recognized to our consolidated statement of operations during the years ended December 31, 2016, 2015 and 2014 related to our goodwill or indefinite-lived intangible assets.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components of our intangible assets with definite lives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December 31, 2015</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84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5"/>
              </w:rPr>
              <w:t>Remaining Life</w:t>
            </w: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Trade names and trademarks</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Customer lists and supplier relationships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Technology and other</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74"/>
              </w:rPr>
              <w:t>(80)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above for a discussion of definite lived intangible assets acquired in business combinations during the years ended December 31, 2016 and 2015.</w:t>
      </w:r>
    </w:p>
    <w:p>
      <w:pPr>
        <w:spacing w:after="0" w:line="170"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Intangible assets with definite lives are amortized on a straight-line basis. The estimated amortization expense for intangible assets with definite lives for each of the next five years, and the expense thereafter, assuming no subsequent impairment of the underlying assets, is expected to be as follows (in millions):</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 and thereafter</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760" w:type="dxa"/>
            <w:vAlign w:val="bottom"/>
            <w:tcBorders>
              <w:top w:val="single" w:sz="8" w:color="auto"/>
            </w:tcBorders>
            <w:gridSpan w:val="6"/>
          </w:tcPr>
          <w:p>
            <w:pPr>
              <w:jc w:val="right"/>
              <w:ind w:right="935"/>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2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Chinese Credit Facilities</w:t>
            </w:r>
          </w:p>
        </w:tc>
        <w:tc>
          <w:tcPr>
            <w:tcW w:w="320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2016 Credit Facility</w:t>
            </w:r>
          </w:p>
        </w:tc>
        <w:tc>
          <w:tcPr>
            <w:tcW w:w="2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160" w:type="dxa"/>
            <w:vAlign w:val="bottom"/>
            <w:gridSpan w:val="2"/>
          </w:tcPr>
          <w:p>
            <w:pPr>
              <w:spacing w:after="0"/>
              <w:rPr>
                <w:sz w:val="20"/>
                <w:szCs w:val="20"/>
                <w:color w:val="auto"/>
              </w:rPr>
            </w:pPr>
            <w:r>
              <w:rPr>
                <w:rFonts w:ascii="Arial" w:cs="Arial" w:eastAsia="Arial" w:hAnsi="Arial"/>
                <w:sz w:val="18"/>
                <w:szCs w:val="18"/>
                <w:color w:val="auto"/>
              </w:rPr>
              <w:t>Total Short-Term Debt (1)</w:t>
            </w:r>
          </w:p>
        </w:tc>
        <w:tc>
          <w:tcPr>
            <w:tcW w:w="214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Long-Term Debt:</w:t>
            </w:r>
          </w:p>
        </w:tc>
        <w:tc>
          <w:tcPr>
            <w:tcW w:w="2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2015 Credit Facility</w:t>
            </w:r>
          </w:p>
        </w:tc>
        <w:tc>
          <w:tcPr>
            <w:tcW w:w="320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91</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1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800" w:hanging="603"/>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weighted-average interest rate on short-term debt was 2.1% as of December 31,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Credit Facility</w:t>
      </w:r>
    </w:p>
    <w:p>
      <w:pPr>
        <w:spacing w:after="0" w:line="117"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On December 20, 2011, we entered into a credit agreement (the “2011 Credit Facility”) with a group of lenders, which provided $600 million of borrowing including:</w:t>
      </w:r>
    </w:p>
    <w:p>
      <w:pPr>
        <w:spacing w:after="0" w:line="69" w:lineRule="exact"/>
        <w:rPr>
          <w:sz w:val="20"/>
          <w:szCs w:val="20"/>
          <w:color w:val="auto"/>
        </w:rPr>
      </w:pPr>
    </w:p>
    <w:p>
      <w:pPr>
        <w:ind w:left="880" w:right="3440" w:hanging="230"/>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a term loan facility in an aggregate principal amount of $400 million with a term of five years due</w:t>
      </w:r>
      <w:r>
        <w:rPr>
          <w:rFonts w:ascii="Arial" w:cs="Arial" w:eastAsia="Arial" w:hAnsi="Arial"/>
          <w:sz w:val="22"/>
          <w:szCs w:val="22"/>
          <w:color w:val="auto"/>
        </w:rPr>
        <w:t xml:space="preserve"> </w:t>
      </w:r>
      <w:r>
        <w:rPr>
          <w:rFonts w:ascii="Arial" w:cs="Arial" w:eastAsia="Arial" w:hAnsi="Arial"/>
          <w:sz w:val="18"/>
          <w:szCs w:val="18"/>
          <w:color w:val="auto"/>
        </w:rPr>
        <w:t>December 2016 (“Term Loan”); and</w:t>
      </w:r>
    </w:p>
    <w:p>
      <w:pPr>
        <w:ind w:left="880" w:right="3280" w:hanging="230"/>
        <w:spacing w:after="0" w:line="205"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a revolving credit facility in an aggregate principal amount of $200 million available in U.S. dollars,</w:t>
      </w:r>
      <w:r>
        <w:rPr>
          <w:rFonts w:ascii="Arial" w:cs="Arial" w:eastAsia="Arial" w:hAnsi="Arial"/>
          <w:sz w:val="22"/>
          <w:szCs w:val="22"/>
          <w:color w:val="auto"/>
        </w:rPr>
        <w:t xml:space="preserve"> </w:t>
      </w:r>
      <w:r>
        <w:rPr>
          <w:rFonts w:ascii="Arial" w:cs="Arial" w:eastAsia="Arial" w:hAnsi="Arial"/>
          <w:sz w:val="18"/>
          <w:szCs w:val="18"/>
          <w:color w:val="auto"/>
        </w:rPr>
        <w:t>Euros and British pound sterling with a term of five years expiring December 2016.</w:t>
      </w:r>
    </w:p>
    <w:p>
      <w:pPr>
        <w:spacing w:after="0" w:line="24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On June 26, 2015, the entire outstanding principal on our Term Loan in the amount of $290 million was repaid with borrowings from our 2015 Credit Facility (described below) and the 2011 Credit Facility was subsequently terminated. During the years ended December 31, 2015 and 2014, we recorded total interest and commitment fees on our 2011 Credit Facility of $3 million and $6 million, respectively, to interest expense on our consolidated statements of operations. There was no resulting loss on early extinguishment of this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Credit Facility</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On June 26, 2015, we entered into a five year credit agreement (the “2015 Credit Facility”) with a group of lenders and immediately borrowed $290 million. 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 Any overdue amounts under or in respect of the revolving credit facility not paid when due shall bear interest at (i) in the case of principal, the applicable interest rate plus 2.00% per annum, (ii) in the case of interest denominated in Sterling or Euro, the applicable rate plus 2.00% per annum and (iii) in the case of interest denominated in US dollars, 2.00% per annum plus the Alternate Base Rate plus the interest rate spread applicable to ABR loans. The Company may borrow from the revolving credit facility in U.S dollars, Euros and British pound sterling with a term of five years expiring June 26, 2020. We also incurred lender fees and debt financing costs totaling $3 million in connection with entering into the 2015 Credit Facility, which were capitalized as deferred financing costs and recorded to other long-term assets on the consolidated balance sheet. These costs will continue to be amortized over the term of the 2015 Credit Facility using the effective interest rate method and recorded to interest expense on our consolidated statements of operations.</w:t>
      </w:r>
    </w:p>
    <w:p>
      <w:pPr>
        <w:spacing w:after="0" w:line="183" w:lineRule="exact"/>
        <w:rPr>
          <w:sz w:val="20"/>
          <w:szCs w:val="20"/>
          <w:color w:val="auto"/>
        </w:rPr>
      </w:pPr>
    </w:p>
    <w:p>
      <w:pPr>
        <w:ind w:right="360" w:firstLine="598"/>
        <w:spacing w:after="0" w:line="312" w:lineRule="auto"/>
        <w:rPr>
          <w:sz w:val="20"/>
          <w:szCs w:val="20"/>
          <w:color w:val="auto"/>
        </w:rPr>
      </w:pPr>
      <w:r>
        <w:rPr>
          <w:rFonts w:ascii="Arial" w:cs="Arial" w:eastAsia="Arial" w:hAnsi="Arial"/>
          <w:sz w:val="16"/>
          <w:szCs w:val="16"/>
          <w:color w:val="auto"/>
        </w:rPr>
        <w:t>There is no specific repayment date prior to the five-year maturity date for borrowings under this revolving credit facility. During the year ended December 31, 2016, the Company borrowed an additional $101 million and repaid $210 million of our outstanding borrowings on the 2015 Credit Facility. Based on the Company’s current leverage ratio, our borrowings bear interest at LIBOR plus 125 basis points, or the Eurocurrency Spread. The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5" w:name="page106"/>
    <w:bookmarkEnd w:id="105"/>
    <w:p>
      <w:pPr>
        <w:ind w:right="40"/>
        <w:spacing w:after="0" w:line="273" w:lineRule="auto"/>
        <w:rPr>
          <w:sz w:val="20"/>
          <w:szCs w:val="20"/>
          <w:color w:val="auto"/>
        </w:rPr>
      </w:pPr>
      <w:r>
        <w:rPr>
          <w:rFonts w:ascii="Arial" w:cs="Arial" w:eastAsia="Arial" w:hAnsi="Arial"/>
          <w:sz w:val="17"/>
          <w:szCs w:val="17"/>
          <w:color w:val="auto"/>
        </w:rPr>
        <w:t>Company is currently borrowing under a one-month interest period of 2.0% per annum, using a one-month interest period Eurocurrency Spread, which will reset periodically. Interest will be payable on a monthly basis while the Company is borrowing under the one-month interest rate period. 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$15 million of borrowing capacity available for letters of credit and $40 million for borrowings on same-day notice. As of December 31, 2016, we had issued $3 million of outstanding letters of credit under the 2015 Credit Facility.</w:t>
      </w:r>
    </w:p>
    <w:p>
      <w:pPr>
        <w:spacing w:after="0" w:line="178"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During the years ended December 31, 2016 and 2015, we recorded total interest and commitment fees on our 2015 Credit Facility of $4 million and $2 million, respectively, to interest expense on our consolidated statements of operations. All unpaid interest and commitment fee amounts as of December 31, 2016 and 2015, respectively, were not material.</w:t>
      </w:r>
    </w:p>
    <w:p>
      <w:pPr>
        <w:spacing w:after="0" w:line="181"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Additionally, the 2015 Credit Facility includes a subjective acceleration clause, which could be triggered by the lenders, if a representation, warranty or statement made by the Company proves to be incorrect in any material respect, which in turn would permit the lenders to accelerate repayment of any outstanding obligations. The Company believes that the likelihood of the lender exercising this right is remote and, as such, we classify borrowings under this facility as long-term debt. As of December 31, 2016, we are in compliance with all of our debt covenants.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117"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On September 7, 2016, we entered into an uncommitted facility agreement with Bank of America Merrill Lynch International Limited (the “Lender”), which provides for a $73 million unsecured revolving credit facility (the “2016 Credit Facility”) with no specific expiration date. The 2016 Credit Facility is available at the Lender’s absolute discretion and can be canceled at any time. Repayment terms for borrowings under the 2016 Credit Facility are generally one to six month periods and bear interest at LIBOR plus 112.5 basis points. The Company may borrow from the 2016 Credit Facility in U.S dollars only and we may voluntarily repay any outstanding borrowing at any time without premium or penalty. Any overdue amounts under or in respect of the 2016 Credit Facility not paid when due shall bear interest in the case of principal at the applicable interest rate plus 1.50% per annum. In connection with the 2016 Credit Facility, any lender fees and debt financing costs paid were not material. In addition, TripAdvisor, LLC, a wholly-owned domestic subsidiary of the Company, has agreed to guarantee the Company’s obligations under the 2016 Credit Facility. There are no specific financial or incurrence covenants.</w:t>
      </w:r>
    </w:p>
    <w:p>
      <w:pPr>
        <w:spacing w:after="0" w:line="166"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We borrowed $73 million from this uncommitted credit facility in September 2016. These funds were used for general working capital needs of the Company, primarily for partial repayment of our long term debt, and the liability is recorded in short-term liabilities on our consolidated balance sheet as of December 31, 2016. The Company is currently borrowing under a one-month interest period of 1.9% per annum, which will reset periodically. Interest will be payable on a monthly basis while the Company is borrowing under the one-month interest rate period. During the year ended December 31, 2016, total interest recorded with respect to our 2016 Credit Facility to interest expense on our consolidated statement of operations was not material.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7"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In addition to our borrowings under the 2015 Credit Facility and 2016 Credit Facility, we maintain two credit facilities in China (jointly, the “Chinese Credit Facilities”). As of December 31, 2016 and December 31, 2015, we had short-term borrowings outstanding of $7 million and $1 million, respectively.</w:t>
      </w:r>
    </w:p>
    <w:p>
      <w:pPr>
        <w:spacing w:after="0" w:line="124"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We are parties to a $30 million, one-year revolving credit facility with Bank of America (the “Chinese Credit Facility—BOA”) that is currently subject to review on a periodic basis with no specific expiration period. Our Chinese Credit Facility—BOA currently bears interest at a 100% of the People’s Bank of China’s base rate which was 4.35% as of December 31, 2016. As of December 31, 2016, there are no outstanding borrowings under our Chinese Credit Facility—BOA.</w:t>
      </w:r>
    </w:p>
    <w:p>
      <w:pPr>
        <w:spacing w:after="0" w:line="187" w:lineRule="exact"/>
        <w:rPr>
          <w:sz w:val="20"/>
          <w:szCs w:val="20"/>
          <w:color w:val="auto"/>
        </w:rPr>
      </w:pPr>
    </w:p>
    <w:p>
      <w:pPr>
        <w:ind w:right="420" w:firstLine="598"/>
        <w:spacing w:after="0" w:line="279" w:lineRule="auto"/>
        <w:rPr>
          <w:sz w:val="20"/>
          <w:szCs w:val="20"/>
          <w:color w:val="auto"/>
        </w:rPr>
      </w:pPr>
      <w:r>
        <w:rPr>
          <w:rFonts w:ascii="Arial" w:cs="Arial" w:eastAsia="Arial" w:hAnsi="Arial"/>
          <w:sz w:val="17"/>
          <w:szCs w:val="17"/>
          <w:color w:val="auto"/>
        </w:rPr>
        <w:t>We are also parties to a RMB 70,000,000 (approximately $10 million) one-year revolving credit facility with J.P. Morgan Chase Bank (“Chinese Credit Facility-JPM”) which was reduced from RMB 125,000,000 (approximately $18 million) during the year ended December 31, 2016. Our Chinese Credit Facility—JPM currently bears interest at a rate based on 100% of the People’s Bank of China’s base rate, which was 4.35% as of December 31, 2016. As of December 31, 2016, we had $7 million of outstanding borrowings from the Chinese Credit Facility – JPM.</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our domestic and foreign income before income taxes: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298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22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the components of our provision for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14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Federal</w:t>
            </w:r>
          </w:p>
        </w:tc>
        <w:tc>
          <w:tcPr>
            <w:tcW w:w="22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4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Deferred income tax (benefit) expense:</w:t>
            </w:r>
          </w:p>
        </w:tc>
        <w:tc>
          <w:tcPr>
            <w:tcW w:w="1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4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State</w:t>
            </w:r>
          </w:p>
        </w:tc>
        <w:tc>
          <w:tcPr>
            <w:tcW w:w="1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Deferred income tax (benefit) expense:</w:t>
            </w:r>
          </w:p>
        </w:tc>
        <w:tc>
          <w:tcPr>
            <w:tcW w:w="14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vMerge w:val="restart"/>
          </w:tcPr>
          <w:p>
            <w:pPr>
              <w:jc w:val="right"/>
              <w:ind w:right="310"/>
              <w:spacing w:after="0"/>
              <w:rPr>
                <w:sz w:val="20"/>
                <w:szCs w:val="20"/>
                <w:color w:val="auto"/>
              </w:rPr>
            </w:pPr>
            <w:r>
              <w:rPr>
                <w:rFonts w:ascii="Arial" w:cs="Arial" w:eastAsia="Arial" w:hAnsi="Arial"/>
                <w:sz w:val="18"/>
                <w:szCs w:val="18"/>
                <w:color w:val="auto"/>
              </w:rPr>
              <w:t>105</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07" w:name="page108"/>
    <w:bookmarkEnd w:id="107"/>
    <w:p>
      <w:pPr>
        <w:ind w:right="120" w:firstLine="598"/>
        <w:spacing w:after="0" w:line="277" w:lineRule="auto"/>
        <w:rPr>
          <w:sz w:val="20"/>
          <w:szCs w:val="20"/>
          <w:color w:val="auto"/>
        </w:rPr>
      </w:pPr>
      <w:r>
        <w:rPr>
          <w:rFonts w:ascii="Arial" w:cs="Arial" w:eastAsia="Arial" w:hAnsi="Arial"/>
          <w:sz w:val="18"/>
          <w:szCs w:val="18"/>
          <w:color w:val="auto"/>
        </w:rPr>
        <w:t>The Company reduced its current income tax payable by $21 million, $63 million and $32 million for the years ended December 31, 2016, 2015 and 2014, respectively, for tax deductions attributable to stock-based compensation.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our deferred tax assets and deferred tax liabilities as of December 31, 2016 and 2015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8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6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4"/>
          </w:tcPr>
          <w:p>
            <w:pPr>
              <w:jc w:val="right"/>
              <w:ind w:right="85"/>
              <w:spacing w:after="0" w:line="155" w:lineRule="exact"/>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7"/>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14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Lease financing obligation</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Foreign advertising spend</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Deferred expense related to cost-sharing arrangement</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Charitable contribution carryforward</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140" w:type="dxa"/>
            <w:vAlign w:val="bottom"/>
            <w:gridSpan w:val="2"/>
            <w:shd w:val="clear" w:color="auto" w:fill="CFF0FC"/>
          </w:tcPr>
          <w:p>
            <w:pPr>
              <w:jc w:val="right"/>
              <w:ind w:right="72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(83)</w:t>
            </w:r>
          </w:p>
        </w:tc>
        <w:tc>
          <w:tcPr>
            <w:tcW w:w="5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Building – corporate headquarters</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related to cost-sharing arrangement</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226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 (liability)</w:t>
            </w:r>
          </w:p>
        </w:tc>
        <w:tc>
          <w:tcPr>
            <w:tcW w:w="2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 December 31, 2016, we had federal, state and foreign net operating loss carryforwards (“NOLs”) of approximately $23 million, $47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$124 million. If not utilized, the federal and state NOLs will expire at various times between 2020 and 2036 and the foreign NOLs will expire at various times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2017 and 2030.</w:t>
      </w:r>
    </w:p>
    <w:p>
      <w:pPr>
        <w:spacing w:after="0" w:line="21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valuation allowance on deferred tax assets of $27 million at December 31, 2016, includes $17 million related to foreign net operating loss carryforwards and $10 million relating to foreign advertising spend carryforward. This amount represented an overall increase of $10 million over the amount recorded as of December 31, 2015. The increase is primarily related to additional foreign net operating losses. Except for such foreign deferred tax assets, we expect to realize all of our deferred tax assets based on a strong history of earnings in the US and other jurisdictions, as well as future reversals of taxable temporary differences.</w:t>
      </w:r>
    </w:p>
    <w:p>
      <w:pPr>
        <w:spacing w:after="0" w:line="18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We have not provided for deferred U.S. income taxes on undistributed earnings of our foreign subsidiaries that we have or intend to reinvest permanently outside the United States; the total amount of such earnings as of December 31, 2016 was $828 million. Should we distribute or be treated under certain U.S. tax rules as having distributed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8" w:name="page109"/>
    <w:bookmarkEnd w:id="108"/>
    <w:p>
      <w:pPr>
        <w:ind w:right="560" w:firstLine="598"/>
        <w:spacing w:after="0" w:line="277" w:lineRule="auto"/>
        <w:rPr>
          <w:sz w:val="20"/>
          <w:szCs w:val="20"/>
          <w:color w:val="auto"/>
        </w:rPr>
      </w:pPr>
      <w:r>
        <w:rPr>
          <w:rFonts w:ascii="Arial" w:cs="Arial" w:eastAsia="Arial" w:hAnsi="Arial"/>
          <w:sz w:val="18"/>
          <w:szCs w:val="18"/>
          <w:color w:val="auto"/>
        </w:rPr>
        <w:t>A reconciliation of the provision for income taxes to the amounts computed by applying the statutory federal income tax rate to income before income taxes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56"/>
        </w:trPr>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at the federal statutory rate of 35%</w:t>
            </w:r>
          </w:p>
        </w:tc>
        <w:tc>
          <w:tcPr>
            <w:tcW w:w="2180" w:type="dxa"/>
            <w:vAlign w:val="bottom"/>
            <w:gridSpan w:val="2"/>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gridSpan w:val="2"/>
          </w:tcPr>
          <w:p>
            <w:pPr>
              <w:jc w:val="right"/>
              <w:ind w:right="148"/>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Unrecognized tax benefits and related interest</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Change in cost-sharing treatment of stock-based compensation</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Non-deductible transaction costs</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Research tax credit</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Other, net</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During 2011, the Singapore Economic Development Board accepted our application to receive a tax incentive under the International Headquarters Award. This incentive provides for a reduced tax rate on qualifying income of 5% as compared to Singapore’s statutory tax rate of 17% and is conditional upon our meeting certain employment and investment thresholds. This agreement has been extended until June 30, 2021 as we have met certain employment and investment thresholds. This benefit resulted in a decrease to our 2016 provision for income tax expense of $2 million, adding an incremental $0.01 to our Diluted EPS for the year ended December 31, 2016.</w:t>
      </w:r>
    </w:p>
    <w:p>
      <w:pPr>
        <w:spacing w:after="0" w:line="18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By virtue of previously filed consolidated income tax returns filed with Expedia, we are currently under an IRS audit for the 2009, 2010, and 2011 tax years, and have various ongoing state income tax audits. We are separately under examination by the IRS for the 2012 and 2013 tax years and have commenced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2008. As of December 31, 2016, no material assessments have resulted, except as noted below regarding our 2009 and 2010 IRS audit with Expedia.</w:t>
      </w:r>
    </w:p>
    <w:p>
      <w:pPr>
        <w:spacing w:after="0" w:line="178"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In January 2017, as part of the Company’s IRS audit of Expedia,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of $10 million to $14 million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would be subject to significant additional tax liabilities.</w:t>
      </w:r>
    </w:p>
    <w:p>
      <w:pPr>
        <w:spacing w:after="0" w:line="179"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$6 million and $13 million in its consolidated statement of operations for the years ended December 31, 2016 and 2015, respectively. The Company will continue to monitor this matter and related potential impacts to its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9" w:name="page110"/>
    <w:bookmarkEnd w:id="109"/>
    <w:p>
      <w:pPr>
        <w:ind w:left="600"/>
        <w:spacing w:after="0"/>
        <w:rPr>
          <w:sz w:val="20"/>
          <w:szCs w:val="20"/>
          <w:color w:val="auto"/>
        </w:rPr>
      </w:pPr>
      <w:r>
        <w:rPr>
          <w:rFonts w:ascii="Arial" w:cs="Arial" w:eastAsia="Arial" w:hAnsi="Arial"/>
          <w:sz w:val="18"/>
          <w:szCs w:val="18"/>
          <w:color w:val="auto"/>
        </w:rPr>
        <w:t>A reconciliation of the beginning and ending amount of gross unrecognized tax benefits (excluding interest and penalties)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5"/>
              <w:spacing w:after="0" w:line="155"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56"/>
        </w:trPr>
        <w:tc>
          <w:tcPr>
            <w:tcW w:w="55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258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Increases to tax positions related to the current year</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Increases to tax positions related to the prior year</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Reductions due to lapsed statute of limitations</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Decreases to tax positions related to the prior year</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Settlements during current year</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year</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98"/>
        <w:spacing w:after="0" w:line="276" w:lineRule="auto"/>
        <w:rPr>
          <w:sz w:val="20"/>
          <w:szCs w:val="20"/>
          <w:color w:val="auto"/>
        </w:rPr>
      </w:pPr>
      <w:r>
        <w:rPr>
          <w:rFonts w:ascii="Arial" w:cs="Arial" w:eastAsia="Arial" w:hAnsi="Arial"/>
          <w:sz w:val="17"/>
          <w:szCs w:val="17"/>
          <w:color w:val="auto"/>
        </w:rPr>
        <w:t>As of December 31, 2016, we had $105 million of unrecognized tax benefits, net of interest, which is classified as long-term and included in other long-term liabilities on our consolidated balance sheet. The amount of unrecognized tax benefits, if recognized, would reduce income tax expense by $63 million, due to correlative adjustments in other tax jurisdictions. We recognize interest and penalties related to unrecognized tax benefits in income tax expense on our consolidated statement of operations. As of December 31, 2016 and 2015, total gross interest accrued was $9 million and $6 million, respectively. We do not anticipate any material changes in the next fiscal year.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EXPENSES AND OTHER CURRENT LIABILITIES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right"/>
              <w:ind w:right="776"/>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salary, bonus, and related benefits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OTHER LONG-TERM LIABILITIES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ind w:left="600"/>
              <w:spacing w:after="0"/>
              <w:rPr>
                <w:sz w:val="20"/>
                <w:szCs w:val="20"/>
                <w:color w:val="auto"/>
              </w:rPr>
            </w:pPr>
            <w:r>
              <w:rPr>
                <w:rFonts w:ascii="Arial" w:cs="Arial" w:eastAsia="Arial" w:hAnsi="Arial"/>
                <w:sz w:val="18"/>
                <w:szCs w:val="18"/>
                <w:color w:val="auto"/>
              </w:rPr>
              <w:t>Other long-term liabilities consisted of the following for the periods presented: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right"/>
              <w:ind w:right="776"/>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Financing obligation, net of current portion (2)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(3)</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hanging="592"/>
        <w:spacing w:after="0"/>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“Note 10—</w:t>
      </w:r>
      <w:r>
        <w:rPr>
          <w:rFonts w:ascii="Arial" w:cs="Arial" w:eastAsia="Arial" w:hAnsi="Arial"/>
          <w:sz w:val="16"/>
          <w:szCs w:val="16"/>
          <w:i w:val="1"/>
          <w:iCs w:val="1"/>
          <w:color w:val="auto"/>
        </w:rPr>
        <w:t>Income Taxes</w:t>
      </w:r>
      <w:r>
        <w:rPr>
          <w:rFonts w:ascii="Arial" w:cs="Arial" w:eastAsia="Arial" w:hAnsi="Arial"/>
          <w:sz w:val="16"/>
          <w:szCs w:val="16"/>
          <w:color w:val="auto"/>
        </w:rPr>
        <w:t>” for additional information on our unrecognized tax benefits. Amount includes accrued interest related to this liability.</w:t>
      </w:r>
    </w:p>
    <w:p>
      <w:pPr>
        <w:spacing w:after="0" w:line="46" w:lineRule="exact"/>
        <w:rPr>
          <w:rFonts w:ascii="Arial" w:cs="Arial" w:eastAsia="Arial" w:hAnsi="Arial"/>
          <w:sz w:val="16"/>
          <w:szCs w:val="16"/>
          <w:color w:val="auto"/>
        </w:rPr>
      </w:pPr>
    </w:p>
    <w:p>
      <w:pPr>
        <w:ind w:left="600" w:hanging="592"/>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Refer to “Note 13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our corporate headquarters lease.</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primarily consist of long term deferred rent balances related to operating leases for office space.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We have material commitments and obligations that include office space leases, and expected interest and commitment fees on long-term debt, which are not accrued on the consolidated balance sheet at December 31, 2016 but we expect to require future cash outflows.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material commitments and obligations as of December 31,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By Period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 to 3 years</w:t>
            </w:r>
          </w:p>
        </w:tc>
        <w:tc>
          <w:tcPr>
            <w:tcW w:w="10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to 5 years</w:t>
            </w:r>
          </w:p>
        </w:tc>
        <w:tc>
          <w:tcPr>
            <w:tcW w:w="100" w:type="dxa"/>
            <w:vAlign w:val="bottom"/>
          </w:tcPr>
          <w:p>
            <w:pPr>
              <w:spacing w:after="0"/>
              <w:rPr>
                <w:sz w:val="11"/>
                <w:szCs w:val="11"/>
                <w:color w:val="auto"/>
              </w:rPr>
            </w:pPr>
          </w:p>
        </w:tc>
        <w:tc>
          <w:tcPr>
            <w:tcW w:w="82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Property leases, net of sublease income (1)</w:t>
            </w: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Expected interest payments on 2015 Credit Facility (2)</w:t>
            </w: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Expected commitment fee payments on 2015 Credit</w:t>
            </w: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Facility (3)</w:t>
            </w: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Total (4)</w:t>
            </w:r>
          </w:p>
        </w:tc>
        <w:tc>
          <w:tcPr>
            <w:tcW w:w="6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262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0" w:right="360" w:hanging="592"/>
        <w:spacing w:after="0" w:line="258"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Estimated future minimum rental payments under operating leases with non-cancelable lease terms, including our corporate headquarters lease in Needham, MA.</w:t>
      </w:r>
    </w:p>
    <w:p>
      <w:pPr>
        <w:spacing w:after="0" w:line="1" w:lineRule="exact"/>
        <w:rPr>
          <w:rFonts w:ascii="Arial" w:cs="Arial" w:eastAsia="Arial" w:hAnsi="Arial"/>
          <w:sz w:val="18"/>
          <w:szCs w:val="18"/>
          <w:color w:val="auto"/>
        </w:rPr>
      </w:pPr>
    </w:p>
    <w:p>
      <w:pPr>
        <w:ind w:left="600" w:right="20" w:hanging="592"/>
        <w:spacing w:after="0" w:line="250"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amounts included as expected interest payments on the 2015 Credit Facility in this table are based on the effective interest rate and outstanding borrowings as of December 31, 2016, but, could change significantly in the future. Amounts assume that our existing debt is repaid at the end of the credit agreement and do not assume additional borrowings or refinancing of existing debt. Refer to “Note 9— </w:t>
      </w:r>
      <w:r>
        <w:rPr>
          <w:rFonts w:ascii="Arial" w:cs="Arial" w:eastAsia="Arial" w:hAnsi="Arial"/>
          <w:sz w:val="18"/>
          <w:szCs w:val="18"/>
          <w:i w:val="1"/>
          <w:iCs w:val="1"/>
          <w:color w:val="auto"/>
        </w:rPr>
        <w:t>Debt</w:t>
      </w:r>
      <w:r>
        <w:rPr>
          <w:rFonts w:ascii="Arial" w:cs="Arial" w:eastAsia="Arial" w:hAnsi="Arial"/>
          <w:sz w:val="18"/>
          <w:szCs w:val="18"/>
          <w:color w:val="auto"/>
        </w:rPr>
        <w:t>” for additional information on our 2015 Credit Facility.</w:t>
      </w:r>
    </w:p>
    <w:p>
      <w:pPr>
        <w:spacing w:after="0" w:line="1" w:lineRule="exact"/>
        <w:rPr>
          <w:rFonts w:ascii="Arial" w:cs="Arial" w:eastAsia="Arial" w:hAnsi="Arial"/>
          <w:sz w:val="18"/>
          <w:szCs w:val="18"/>
          <w:color w:val="auto"/>
        </w:rPr>
      </w:pPr>
    </w:p>
    <w:p>
      <w:pPr>
        <w:ind w:left="600" w:right="260" w:hanging="592"/>
        <w:spacing w:after="0" w:line="265"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amounts included as expected commitment fee payments in this table are based on the unused portion of credit facility, issued letters of credit, and current effective commitment fee rate as of December 31, 2016; however, these variables could change significantly in the future.</w:t>
      </w:r>
    </w:p>
    <w:p>
      <w:pPr>
        <w:ind w:left="600" w:hanging="592"/>
        <w:spacing w:after="0" w:line="255"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Excluded from the table was $108 million of unrecognized tax benefits, including accrued interest, that we have recorded in other long-term liabilities on our consolidated balance sheet for which we cannot make a reasonably reliable estimate of the amount and period of payment. We do not anticipate any material changes in the next year.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117"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We have contractual obligations in the form of operating leases for office space for which we record the related expense on a monthly basis. Certain leases contain periodic rent escalation adjustments and renewal options. Rent expense related to such leases is recorded on a straight-line basis. Operating lease obligations expire at various dates with the latest maturity in December 2030. For the years ended December 31, 2016, 2015 and 2014, we recorded rental expense of $18 million, $19 million and $17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Headquarters Lease</w:t>
      </w:r>
    </w:p>
    <w:p>
      <w:pPr>
        <w:spacing w:after="0" w:line="117"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In June 2013, TripAdvisor LLC (“TA LLC”), our indirect, wholly owned subsidiary, entered into a lease, for a new corporate headquarters (the “Lease”). Pursuant to the Lease, the landlord built an approximately 280,000 square foot rental building in Needham, Massachusetts (the “Premises”), and leased the Premises to TA LLC as our new corporate headquarters for an initial term of 15 years and 7 months or through December 2030. TA LLC also has an option to extend the term of the Lease for two consecutive terms of five years each.</w:t>
      </w:r>
    </w:p>
    <w:p>
      <w:pPr>
        <w:spacing w:after="0" w:line="187" w:lineRule="exact"/>
        <w:rPr>
          <w:sz w:val="20"/>
          <w:szCs w:val="20"/>
          <w:color w:val="auto"/>
        </w:rPr>
      </w:pPr>
    </w:p>
    <w:p>
      <w:pPr>
        <w:ind w:right="260" w:firstLine="598"/>
        <w:spacing w:after="0" w:line="297" w:lineRule="auto"/>
        <w:rPr>
          <w:sz w:val="20"/>
          <w:szCs w:val="20"/>
          <w:color w:val="auto"/>
        </w:rPr>
      </w:pPr>
      <w:r>
        <w:rPr>
          <w:rFonts w:ascii="Arial" w:cs="Arial" w:eastAsia="Arial" w:hAnsi="Arial"/>
          <w:sz w:val="16"/>
          <w:szCs w:val="16"/>
          <w:color w:val="auto"/>
        </w:rPr>
        <w:t>Because we were involved in the construction project and were responsible for paying a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during the construction period incurred by the landlord as a construction-in-progress asset and a related construction financing obligation on our consolidated balance sheets. The amounts that the Company has paid or incurred for normal tenant improvements and structural improvements had also been recorded to the construction-in-progress asset.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1" w:name="page112"/>
    <w:bookmarkEnd w:id="111"/>
    <w:p>
      <w:pPr>
        <w:ind w:right="100" w:firstLine="598"/>
        <w:spacing w:after="0" w:line="268" w:lineRule="auto"/>
        <w:rPr>
          <w:sz w:val="20"/>
          <w:szCs w:val="20"/>
          <w:color w:val="auto"/>
        </w:rPr>
      </w:pPr>
      <w:r>
        <w:rPr>
          <w:rFonts w:ascii="Arial" w:cs="Arial" w:eastAsia="Arial" w:hAnsi="Arial"/>
          <w:sz w:val="17"/>
          <w:szCs w:val="17"/>
          <w:color w:val="auto"/>
        </w:rPr>
        <w:t>Upon completion of construction at end of the second quarter of 2015, we evaluated the construction-in-progress asset and construction financing obligation for de-recognition under the criteria for “sale-leaseback” treatment under GAAP. We concluded that we have forms of continued economic involvement in the facility, and therefore did not meet the provisions for sale-leaseback accounting. This determination was based on the Company's continuing involvement with the property in the form of non-recourse financing to the lessor. Therefore, the Lease is accounted for as a financing obligation. Accordingly, we began depreciating the building asset over its estimated useful life and incurring interest expense related to the financing obligation imputed using the effective interest rate method. We bifurcate our lease payments pursuant to the Premises into: (i) a portion that is allocated to the building (a reduction to the financing obligation) and; (ii) a portion that is allocated to the land on which the building was constructed. The portion of the lease obligations allocated to the land is treated as an operating lease that commenced in 2013. The financing obligation is considered a long-term finance lease obligation and is recorded to long-term liabilities on our consolidated balance sheet. At the end of the lease term, the carrying value of the building asset and the remaining financing obligation are expected to be equal, at which time we may either surrender the leased asset as settlement of the remaining financing obligation or extend the initial term of the lease for the continued use of the asset. In the years ended December 31 2016, 2015, and 2014, the Company recorded $7 million, $4 million, and $0 million of interest expense, respectively, $3 million, $2 million, and $0 million of depreciation expense, respectively, and $2 million, $1 million, $1 million, of rent expense in general and administrative expense on our consolidated statements of operations, respectively, related to the Premises.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United States and International Locations</w:t>
      </w:r>
    </w:p>
    <w:p>
      <w:pPr>
        <w:spacing w:after="0" w:line="117"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We also lease an aggregate of approximately 465,000 square feet at approximately 40 other locations across North America, Europe and Asia Pacific, in cities such as, New York, Boston, London, Sydney, Barcelona, Paris, and Beijing, primarily for our sales offices, subsidiary headquarters, and international management teams, pursuant to leases with various expiration dates, with the latest expiring in June 2027.</w:t>
      </w:r>
    </w:p>
    <w:p>
      <w:pPr>
        <w:spacing w:after="0" w:line="181" w:lineRule="exact"/>
        <w:rPr>
          <w:sz w:val="20"/>
          <w:szCs w:val="20"/>
          <w:color w:val="auto"/>
        </w:rPr>
      </w:pPr>
    </w:p>
    <w:p>
      <w:pPr>
        <w:jc w:val="both"/>
        <w:ind w:right="60" w:firstLine="598"/>
        <w:spacing w:after="0" w:line="277" w:lineRule="auto"/>
        <w:rPr>
          <w:sz w:val="20"/>
          <w:szCs w:val="20"/>
          <w:color w:val="auto"/>
        </w:rPr>
      </w:pPr>
      <w:r>
        <w:rPr>
          <w:rFonts w:ascii="Arial" w:cs="Arial" w:eastAsia="Arial" w:hAnsi="Arial"/>
          <w:sz w:val="18"/>
          <w:szCs w:val="18"/>
          <w:color w:val="auto"/>
        </w:rPr>
        <w:t>As of December 31, 2016, future minimum commitments under our corporate headquarters lease and other non-cancelable operating leases for office space with terms of more than one year and contractual sublease income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Total Lease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Operating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Headquarters</w:t>
            </w: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Sublease Income</w:t>
            </w:r>
          </w:p>
        </w:tc>
        <w:tc>
          <w:tcPr>
            <w:tcW w:w="8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(Net of Sublease</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Lease (1)</w:t>
            </w:r>
          </w:p>
        </w:tc>
        <w:tc>
          <w:tcPr>
            <w:tcW w:w="240" w:type="dxa"/>
            <w:vAlign w:val="bottom"/>
          </w:tcPr>
          <w:p>
            <w:pPr>
              <w:spacing w:after="0"/>
              <w:rPr>
                <w:sz w:val="14"/>
                <w:szCs w:val="14"/>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37"/>
        </w:trPr>
        <w:tc>
          <w:tcPr>
            <w:tcW w:w="5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9"/>
              </w:rPr>
              <w:t>Thereafter</w:t>
            </w: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Total minimum lease payments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right="420" w:hanging="592"/>
        <w:spacing w:after="0" w:line="277"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 includes an $84 million financing obligation, which we have recorded in other long-term liabilities on our consolidated balance sheet at December 31, 2016, related to our corporate headquarters lease.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560" w:firstLine="598"/>
        <w:spacing w:after="0" w:line="342" w:lineRule="auto"/>
        <w:rPr>
          <w:sz w:val="20"/>
          <w:szCs w:val="20"/>
          <w:color w:val="auto"/>
        </w:rPr>
      </w:pPr>
      <w:r>
        <w:rPr>
          <w:rFonts w:ascii="Arial" w:cs="Arial" w:eastAsia="Arial" w:hAnsi="Arial"/>
          <w:sz w:val="16"/>
          <w:szCs w:val="16"/>
          <w:color w:val="auto"/>
        </w:rPr>
        <w:t>As of December 31, 2016, we have issued unused letters of credit totaling $3 million, related to our property leases, which includes $1 million delivered to the landlord of our corporate headquarters as security deposit, which amount is subject to increase under certain circumstances.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the ordinary course of business, we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 xml:space="preserve">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10— </w:t>
      </w:r>
      <w:r>
        <w:rPr>
          <w:rFonts w:ascii="Arial" w:cs="Arial" w:eastAsia="Arial" w:hAnsi="Arial"/>
          <w:sz w:val="16"/>
          <w:szCs w:val="16"/>
          <w:i w:val="1"/>
          <w:iCs w:val="1"/>
          <w:color w:val="auto"/>
        </w:rPr>
        <w:t>Income Taxes</w:t>
      </w:r>
      <w:r>
        <w:rPr>
          <w:rFonts w:ascii="Arial" w:cs="Arial" w:eastAsia="Arial" w:hAnsi="Arial"/>
          <w:sz w:val="16"/>
          <w:szCs w:val="16"/>
          <w:color w:val="auto"/>
        </w:rPr>
        <w:t>” above for further information on potential contingencies surrounding income taxes.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 TripAdvisor Retirement Savings Plan (the “401(k) Plan”), qualifies under Section 401(k) of the Internal Revenue Code. The 401(k) Plan allows participating employees,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to an annual maximum of 10%. The 401(k) Plan has an automatic enrollment feature at 6% pre-tax. We match 50% of the first 6% of employee contributions to the plan for a maximum employer contribution of 3% of a participant’s eligible earnings. The “catch up contributions”, are not eligible for employer matching contributions. The matching contributions portion of an employee’s account, vests after two years of service. The Plan also permits certain after-tax Roth 401(k) contributions. Additionally, at the end of the 401(k) Plan year, we make a discretionary matching contribution to eligible participants. This additional discretionary matching employer contribution referred to as “true up” is limited to match only contributions up to 3% of eligible compensation.</w:t>
      </w:r>
    </w:p>
    <w:p>
      <w:pPr>
        <w:spacing w:after="0" w:line="178"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We also have various defined contribution plans for our international employees. Our contribution to the 401(k) Plan and our international defined contribution plans was $9 million, $7 million, and $5 million for the years ended December 31, 2016, 2015 and 2014, respectively, and recorded to our consolidated statements of operations, respectively, for those years.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TripAdvisor, Inc. Deferred Compensation Plan for Non-Employee Directors</w:t>
      </w:r>
    </w:p>
    <w:p>
      <w:pPr>
        <w:spacing w:after="0" w:line="117"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The Company also has a Deferred Compensation Plan for Non-Employee Directors (the “Plan”).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78"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Under the 2011 Incentive Plan, 100,000 shares of TripAdvisor common stock are available for issuance to non-employee directors. From the inception of the Plan through December 31, 2016, a total of 1,662 shares have been reserved for such purpose.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In addition to common stock, we are authorized to issue up to 100 million preferred shares, with $ 0.001 par value per share, with terms determined by our Board of Directors, without further action by our stockholders. At December 31, 2016, no preferred shares had been issued.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was two directors as of December 31, 2016.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134,706,467 and 131,310,980 shares of common stock issued and outstanding, respectively, at December 31, 2016 and 12,799,999 shares of Class B common stock issued and outstanding at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Accumulated other comprehensive loss is primarily comprised of accumulated foreign currency translation adjustments, as follows for the periods presented:</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4"/>
          </w:tcPr>
          <w:p>
            <w:pPr>
              <w:ind w:left="76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Cumulative foreign currency translation</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w w:val="93"/>
              </w:rPr>
              <w:t>(63)</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accumulated other comprehensive loss (2)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w w:val="72"/>
              </w:rPr>
              <w:t>(77)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w w:val="72"/>
              </w:rPr>
              <w:t>(63)</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right="360" w:hanging="440"/>
        <w:spacing w:after="0" w:line="277"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consider our foreign subsidiary earnings indefinitely reinvested; therefore; deferred taxes are not provided on foreign currency translation adjustments.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4" w:name="page115"/>
    <w:bookmarkEnd w:id="114"/>
    <w:p>
      <w:pPr>
        <w:ind w:left="880" w:hanging="440"/>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accumulated net unrealized gain (loss) on available for sale securities was not material as of December 31, 2016 and December 31, 2015.</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During the year ended December 31, 2016, we repurchased 2,002,356 shares of outstanding common stock under the share repurchase program at an average cost of $52.35 per share. During the years ended December 31, 2015 and 2014, we did not repurchase any shares of outstanding common stock under the share repurchase program.</w:t>
      </w:r>
    </w:p>
    <w:p>
      <w:pPr>
        <w:spacing w:after="0" w:line="187"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As of December 31, 2016, we have repurchased a total of 4,123,065 shares of outstanding common stock under the share repurchase program at an average cost of $60.63 per share and have completed our share repurchase program authorized by our Board of Directors.</w:t>
      </w:r>
    </w:p>
    <w:p>
      <w:pPr>
        <w:spacing w:after="0" w:line="147"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 xml:space="preserve">In December 2015, we issued 801,042 treasury shares to the Foundation in settlement of all future pledge obligations. Refer to “Note 17 –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and Geographic Information</w:t>
      </w:r>
      <w:r>
        <w:rPr>
          <w:rFonts w:ascii="Arial" w:cs="Arial" w:eastAsia="Arial" w:hAnsi="Arial"/>
          <w:sz w:val="18"/>
          <w:szCs w:val="18"/>
          <w:color w:val="auto"/>
        </w:rPr>
        <w:t>,” for a discussion of this transaction.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3,395,487 treasury shares remaining as of December 31, 2016 with an aggregate cost of $197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During the years ended December 31, 2016, 2015, and 2014, our Board of Directors did not declare any dividends on our outstanding common stock and do not expect to pay any dividends for the foreseeable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Expedia and TripAdvisor</w:t>
      </w:r>
    </w:p>
    <w:p>
      <w:pPr>
        <w:spacing w:after="0" w:line="117"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Upon consummation of the Spin-Off, Expedia was considered a related party under GAAP based on a number of factors, including, among others, common ownership of our shares and those of Expedia. However, we no longer consider Expedia a related party. For purposes of governing certain of the ongoing relationships between us and Expedia at and after the Spin-Off, and to provide for an orderly transition, we and Expedia entered into various agreements at the time of the Spin-Off, which TripAdvisor has satisfied its obligations. However, TripAdvisor continues to be subject to certain post-spin obligations under the Tax Sharing Agreement.</w:t>
      </w:r>
    </w:p>
    <w:p>
      <w:pPr>
        <w:spacing w:after="0" w:line="188"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 xml:space="preserve">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 The full text of the Tax Sharing Agreement is incorporated by reference in this Annual Report on Form 10-K as Exhibit 10.2. Refer to “Note 10— </w:t>
      </w:r>
      <w:r>
        <w:rPr>
          <w:rFonts w:ascii="Arial" w:cs="Arial" w:eastAsia="Arial" w:hAnsi="Arial"/>
          <w:sz w:val="17"/>
          <w:szCs w:val="17"/>
          <w:i w:val="1"/>
          <w:iCs w:val="1"/>
          <w:color w:val="auto"/>
        </w:rPr>
        <w:t>Income Taxes</w:t>
      </w:r>
      <w:r>
        <w:rPr>
          <w:rFonts w:ascii="Arial" w:cs="Arial" w:eastAsia="Arial" w:hAnsi="Arial"/>
          <w:sz w:val="17"/>
          <w:szCs w:val="17"/>
          <w:color w:val="auto"/>
        </w:rPr>
        <w:t>” above for information regarding the status of completed and ongoing IRS audits of our consolidated income tax returns with Expedia to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Liberty TripAdvisor Holdings, Inc. and TripAdvisor</w:t>
      </w:r>
    </w:p>
    <w:p>
      <w:pPr>
        <w:spacing w:after="0" w:line="117" w:lineRule="exact"/>
        <w:rPr>
          <w:sz w:val="20"/>
          <w:szCs w:val="20"/>
          <w:color w:val="auto"/>
        </w:rPr>
      </w:pPr>
    </w:p>
    <w:p>
      <w:pPr>
        <w:jc w:val="both"/>
        <w:ind w:right="120" w:firstLine="598"/>
        <w:spacing w:after="0" w:line="279" w:lineRule="auto"/>
        <w:rPr>
          <w:sz w:val="20"/>
          <w:szCs w:val="20"/>
          <w:color w:val="auto"/>
        </w:rPr>
      </w:pPr>
      <w:r>
        <w:rPr>
          <w:rFonts w:ascii="Arial" w:cs="Arial" w:eastAsia="Arial" w:hAnsi="Arial"/>
          <w:sz w:val="17"/>
          <w:szCs w:val="17"/>
          <w:color w:val="auto"/>
        </w:rPr>
        <w:t>We consider Liberty TripAdvisor Holdings, Inc. (“LTRIP”) a related party. As of December 31, 2016, LTRIP beneficially owned 18,159,752 shares of our common stock and 12,799,999 shares of our Class B common stock, which shares constituted 13.8% of the outstanding shares of Common Stock and 100% of the outstanding shares of Class B Common Stock. Assuming the conversion of all of LTRIP’s shares of Class B common stock into common stock, LTRIP would beneficially own 21.5% of the outstanding common stock. Because each share of Class B</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5" w:name="page116"/>
    <w:bookmarkEnd w:id="115"/>
    <w:p>
      <w:pPr>
        <w:ind w:right="600"/>
        <w:spacing w:after="0" w:line="264" w:lineRule="auto"/>
        <w:rPr>
          <w:sz w:val="20"/>
          <w:szCs w:val="20"/>
          <w:color w:val="auto"/>
        </w:rPr>
      </w:pPr>
      <w:r>
        <w:rPr>
          <w:rFonts w:ascii="Arial" w:cs="Arial" w:eastAsia="Arial" w:hAnsi="Arial"/>
          <w:sz w:val="18"/>
          <w:szCs w:val="18"/>
          <w:color w:val="auto"/>
        </w:rPr>
        <w:t xml:space="preserve">common stock is generally entitled to ten votes per share and each share of common stock is entitled to one vote per share, LTRIP may be deemed to beneficially own equity securities representing 56.4% of our voting power. Refer to “Note 1— </w:t>
      </w:r>
      <w:r>
        <w:rPr>
          <w:rFonts w:ascii="Arial" w:cs="Arial" w:eastAsia="Arial" w:hAnsi="Arial"/>
          <w:sz w:val="18"/>
          <w:szCs w:val="18"/>
          <w:i w:val="1"/>
          <w:iCs w:val="1"/>
          <w:color w:val="auto"/>
        </w:rPr>
        <w:t>Organization and Business Description</w:t>
      </w:r>
      <w:r>
        <w:rPr>
          <w:rFonts w:ascii="Arial" w:cs="Arial" w:eastAsia="Arial" w:hAnsi="Arial"/>
          <w:sz w:val="18"/>
          <w:szCs w:val="18"/>
          <w:color w:val="auto"/>
        </w:rPr>
        <w:t>” above, which describes the evolution of our relationship with LTRIP.</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had no related party transactions with LTRIP during the years ended December 31, 2016, 2015 or 2014.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380" w:firstLine="598"/>
        <w:spacing w:after="0" w:line="264" w:lineRule="auto"/>
        <w:rPr>
          <w:sz w:val="20"/>
          <w:szCs w:val="20"/>
          <w:color w:val="auto"/>
        </w:rPr>
      </w:pPr>
      <w:r>
        <w:rPr>
          <w:rFonts w:ascii="Arial" w:cs="Arial" w:eastAsia="Arial" w:hAnsi="Arial"/>
          <w:sz w:val="18"/>
          <w:szCs w:val="18"/>
          <w:color w:val="auto"/>
        </w:rPr>
        <w:t>Our reporting structure includes two reportable segments: Hotel and Non-Hotel. In the first quarter of 2016, we renamed our “Other” reportable segment “Non-Hotel.” This change had no effect on our consolidated financial statements or to previously reported segment information, as there was no change in the composition of our operating or reportable segments.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Hotel</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Hotel segment includes revenue generated from the following sources:</w:t>
      </w:r>
    </w:p>
    <w:p>
      <w:pPr>
        <w:spacing w:after="0" w:line="117" w:lineRule="exact"/>
        <w:rPr>
          <w:sz w:val="20"/>
          <w:szCs w:val="20"/>
          <w:color w:val="auto"/>
        </w:rPr>
      </w:pPr>
    </w:p>
    <w:p>
      <w:pPr>
        <w:ind w:left="1180" w:right="80" w:hanging="429"/>
        <w:spacing w:after="0" w:line="253"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Click-Based advertising and transaction revenue. </w:t>
      </w:r>
      <w:r>
        <w:rPr>
          <w:rFonts w:ascii="Arial" w:cs="Arial" w:eastAsia="Arial" w:hAnsi="Arial"/>
          <w:sz w:val="18"/>
          <w:szCs w:val="18"/>
          <w:color w:val="auto"/>
        </w:rPr>
        <w:t>Our largest source of Hotel segment revenue is generated from click-based advertising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TripAdvisor-branded websites, which is primarily comprised of contextually-relevant booking links to our partners’ sites. Our click-based advertising partners are predominantly online travel agencies, or OTAs, and direct suppliers in the hotel product category. Click-based advertising is generally priced on a cost-per-click, or “CPC”, basis, with payments from advertisers determined by the number of users who click on a link multiplied by the price that partner is willing to pay for that click, or hotel shopper lead. CPC rates are determined in a dynamic, competitive auction process that enables our partners to use our proprietary, automated bidding system to submit CPC bids to have their hotel rates and availability listed on our site. Transaction revenue is generated from our instant booking feature, which enables the merchant of record, generally an OTA or hotel partner, to pay a commission to TripAdvisor for a user that completes a hotel reservation on our website.</w:t>
      </w:r>
    </w:p>
    <w:p>
      <w:pPr>
        <w:spacing w:after="0" w:line="89" w:lineRule="exact"/>
        <w:rPr>
          <w:rFonts w:ascii="Arial" w:cs="Arial" w:eastAsia="Arial" w:hAnsi="Arial"/>
          <w:sz w:val="18"/>
          <w:szCs w:val="18"/>
          <w:color w:val="auto"/>
        </w:rPr>
      </w:pPr>
    </w:p>
    <w:p>
      <w:pPr>
        <w:ind w:left="1180" w:hanging="429"/>
        <w:spacing w:after="0" w:line="272" w:lineRule="auto"/>
        <w:tabs>
          <w:tab w:leader="none" w:pos="118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Display-Based and subscription-based advertising revenue. </w:t>
      </w:r>
      <w:r>
        <w:rPr>
          <w:rFonts w:ascii="Arial" w:cs="Arial" w:eastAsia="Arial" w:hAnsi="Arial"/>
          <w:sz w:val="17"/>
          <w:szCs w:val="17"/>
          <w:color w:val="auto"/>
        </w:rPr>
        <w:t>Advertising partners can promote their brands in a contextually-relevant manner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 variety of display-based advertising placements on our websites. Our display-based advertising clients are predominately direct suppliers of hotels, airlines and cruises, as well as destination marketing organizations. We also accept display advertising from OTAs and attractions, as well as advertisers from non-travel categories. Display-based advertising is sold predominantly on a cost per thousand impressions, or CPM, basis. Subscription-based advertising is offered to hotels, B&amp;Bs and other specialty lodging properties. This advertising product is sold for a flat fee and enables subscribers to list, for a contracted period of time, a website URL, email address and phone number on our TripAdvisor-branded websites, as well as to post special offers for travelers.</w:t>
      </w:r>
    </w:p>
    <w:p>
      <w:pPr>
        <w:spacing w:after="0" w:line="69" w:lineRule="exact"/>
        <w:rPr>
          <w:rFonts w:ascii="Arial" w:cs="Arial" w:eastAsia="Arial" w:hAnsi="Arial"/>
          <w:sz w:val="17"/>
          <w:szCs w:val="17"/>
          <w:color w:val="auto"/>
        </w:rPr>
      </w:pPr>
    </w:p>
    <w:p>
      <w:pPr>
        <w:ind w:left="1180" w:right="20" w:hanging="429"/>
        <w:spacing w:after="0" w:line="259"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hotel revenue. </w:t>
      </w:r>
      <w:r>
        <w:rPr>
          <w:rFonts w:ascii="Arial" w:cs="Arial" w:eastAsia="Arial" w:hAnsi="Arial"/>
          <w:sz w:val="18"/>
          <w:szCs w:val="18"/>
          <w:color w:val="auto"/>
        </w:rPr>
        <w:t>Our other hotel revenue primarily includes revenue from non-TripAdvisor branded websites, such as smartertravel.com,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independenttraveler.com, and bookingbuddy.com, which includes click-based advertising revenue, display-based advertising revenue, hotel room reservations sold through these websites, and advertising revenue from making cruise reservations available for price comparison and booking.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Non-Hotel</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Non-Hotel segment consists of the aggregation of three operating segments, our Attractions, Restaurants and Vacation Rentals businesses.</w:t>
      </w:r>
    </w:p>
    <w:p>
      <w:pPr>
        <w:spacing w:after="0" w:line="248"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i w:val="1"/>
          <w:iCs w:val="1"/>
          <w:color w:val="auto"/>
        </w:rPr>
        <w:t xml:space="preserve">Attractions. </w:t>
      </w:r>
      <w:r>
        <w:rPr>
          <w:rFonts w:ascii="Arial" w:cs="Arial" w:eastAsia="Arial" w:hAnsi="Arial"/>
          <w:sz w:val="18"/>
          <w:szCs w:val="18"/>
          <w:color w:val="auto"/>
        </w:rPr>
        <w:t>We provide information and services for users to research and book activities and attractions in popular travel destinations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attractions business, Viator. We generate revenue by charging the operators a commission for each transaction we facilitate through our online reservation systems. In addition to 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6" w:name="page117"/>
    <w:bookmarkEnd w:id="116"/>
    <w:p>
      <w:pPr>
        <w:ind w:right="60"/>
        <w:spacing w:after="0" w:line="264" w:lineRule="auto"/>
        <w:rPr>
          <w:sz w:val="20"/>
          <w:szCs w:val="20"/>
          <w:color w:val="auto"/>
        </w:rPr>
      </w:pPr>
      <w:r>
        <w:rPr>
          <w:rFonts w:ascii="Arial" w:cs="Arial" w:eastAsia="Arial" w:hAnsi="Arial"/>
          <w:sz w:val="18"/>
          <w:szCs w:val="18"/>
          <w:color w:val="auto"/>
        </w:rPr>
        <w:t>consumer-direct business, Viator also powers activity and attractions booking capabilities to its affiliate partners, including some of the world’s top airlines, hotel chains and online and offline travel agencies. Viator’s bookable inventory is available on www.viator.com as well as TripAdvisor-branded websites and mobile applications.</w:t>
      </w:r>
    </w:p>
    <w:p>
      <w:pPr>
        <w:spacing w:after="0" w:line="18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i w:val="1"/>
          <w:iCs w:val="1"/>
          <w:color w:val="auto"/>
        </w:rPr>
        <w:t xml:space="preserve">Restaurants. </w:t>
      </w:r>
      <w:r>
        <w:rPr>
          <w:rFonts w:ascii="Arial" w:cs="Arial" w:eastAsia="Arial" w:hAnsi="Arial"/>
          <w:sz w:val="17"/>
          <w:szCs w:val="17"/>
          <w:color w:val="auto"/>
        </w:rPr>
        <w:t>Through our restaurant reservations business The Fork we provide information and services for users to research and book restaurants.</w:t>
      </w:r>
      <w:r>
        <w:rPr>
          <w:rFonts w:ascii="Arial" w:cs="Arial" w:eastAsia="Arial" w:hAnsi="Arial"/>
          <w:sz w:val="17"/>
          <w:szCs w:val="17"/>
          <w:i w:val="1"/>
          <w:iCs w:val="1"/>
          <w:color w:val="auto"/>
        </w:rPr>
        <w:t xml:space="preserve"> </w:t>
      </w:r>
      <w:r>
        <w:rPr>
          <w:rFonts w:ascii="Arial" w:cs="Arial" w:eastAsia="Arial" w:hAnsi="Arial"/>
          <w:sz w:val="17"/>
          <w:szCs w:val="17"/>
          <w:color w:val="auto"/>
        </w:rPr>
        <w:t>The Fork is an online restaurant booking platform operating on a number of sites (including www.lafourchette.com, www.eltenedor.com, www.iens.nl, www.besttables.com, www.dimmi.com.au, and www.en.couverts.nl), with a network of restaurant partners primarily across Europe and Australia. The Fork generates revenue by charging our restaurant partners a fee for each restaurant guest, or seated diner, that we facilitate through our online reservation systems. The Fork also provides flexible online booking and a premium data and analytics tool, for which the restaurant owner pays a subscription fee. The Fork’s bookable inventory is also available on TripAdvisor-branded websites and mobile applications.</w:t>
      </w:r>
    </w:p>
    <w:p>
      <w:pPr>
        <w:spacing w:after="0" w:line="178"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We provide information and services for users to research and book vacation and short-term rental properties, including full home</w:t>
      </w:r>
      <w:r>
        <w:rPr>
          <w:rFonts w:ascii="Arial" w:cs="Arial" w:eastAsia="Arial" w:hAnsi="Arial"/>
          <w:sz w:val="16"/>
          <w:szCs w:val="16"/>
          <w:i w:val="1"/>
          <w:iCs w:val="1"/>
          <w:color w:val="auto"/>
        </w:rPr>
        <w:t xml:space="preserve"> </w:t>
      </w:r>
      <w:r>
        <w:rPr>
          <w:rFonts w:ascii="Arial" w:cs="Arial" w:eastAsia="Arial" w:hAnsi="Arial"/>
          <w:sz w:val="16"/>
          <w:szCs w:val="16"/>
          <w:color w:val="auto"/>
        </w:rPr>
        <w:t>rentals, condominiums, villas, beach rentals, cabins and cottages. The vacation rentals business generates revenue by offering individual property owners and property managers, the ability to list their properties on our websites and mobile applications through a free-to-list, commission-based option, and to a lesser extent, an annual subscription-based fee structure. These properties are listed on a number of platforms, including www.flipkey.com, www.holidaylettings.co.uk, www.housetrip.com, www.niumba.com, and www.vacationhomerentals.com, as well as on our TripAdvisor-branded websites.</w:t>
      </w:r>
    </w:p>
    <w:p>
      <w:pPr>
        <w:spacing w:after="0" w:line="158"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Chief Executive Officer. Our chief operating decision maker is also our Hotel segment manager. Each Non-Hotel operating segment has a segment manager who is directly accountable to and maintains regular contact with our chief operating decision maker to discuss operating activities, financial results, forecasts, and plans for the segment.</w:t>
      </w:r>
    </w:p>
    <w:p>
      <w:pPr>
        <w:spacing w:after="0" w:line="188" w:lineRule="exact"/>
        <w:rPr>
          <w:sz w:val="20"/>
          <w:szCs w:val="20"/>
          <w:color w:val="auto"/>
        </w:rPr>
      </w:pPr>
    </w:p>
    <w:p>
      <w:pPr>
        <w:ind w:right="40" w:firstLine="59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380" w:firstLine="8"/>
        <w:spacing w:after="0" w:line="261"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non-recurring expenses and income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17" w:name="page118"/>
    <w:bookmarkEnd w:id="117"/>
    <w:p>
      <w:pPr>
        <w:ind w:right="40" w:firstLine="598"/>
        <w:spacing w:after="0" w:line="271" w:lineRule="auto"/>
        <w:rPr>
          <w:sz w:val="20"/>
          <w:szCs w:val="20"/>
          <w:color w:val="auto"/>
        </w:rPr>
      </w:pPr>
      <w:r>
        <w:rPr>
          <w:rFonts w:ascii="Arial" w:cs="Arial" w:eastAsia="Arial" w:hAnsi="Arial"/>
          <w:sz w:val="17"/>
          <w:szCs w:val="17"/>
          <w:color w:val="auto"/>
        </w:rPr>
        <w:t>The following tables present our segment information for the years ended December 31, 2016, 2015 and 2014, and includes a reconciliation of Adjusted EBITDA to Net Income. We record depreciation of property and equipment, including amortization of internal-use software and website development, amortization of intangible assets, stock-based compensation and other stock-settled obligations,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evaluate operating segments using this information. We also do not regularly provide such information by segment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center"/>
              <w:ind w:right="274"/>
              <w:spacing w:after="0"/>
              <w:rPr>
                <w:sz w:val="20"/>
                <w:szCs w:val="20"/>
                <w:color w:val="auto"/>
              </w:rPr>
            </w:pPr>
            <w:r>
              <w:rPr>
                <w:rFonts w:ascii="Arial" w:cs="Arial" w:eastAsia="Arial" w:hAnsi="Arial"/>
                <w:sz w:val="14"/>
                <w:szCs w:val="14"/>
                <w:b w:val="1"/>
                <w:bCs w:val="1"/>
                <w:color w:val="auto"/>
                <w:w w:val="92"/>
              </w:rPr>
              <w:t>Year ended December 31, 2016</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Hotel</w:t>
            </w:r>
          </w:p>
        </w:tc>
        <w:tc>
          <w:tcPr>
            <w:tcW w:w="360" w:type="dxa"/>
            <w:vAlign w:val="bottom"/>
          </w:tcPr>
          <w:p>
            <w:pPr>
              <w:spacing w:after="0"/>
              <w:rPr>
                <w:sz w:val="11"/>
                <w:szCs w:val="11"/>
                <w:color w:val="auto"/>
              </w:rPr>
            </w:pPr>
          </w:p>
        </w:tc>
        <w:tc>
          <w:tcPr>
            <w:tcW w:w="12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Non-Hotel</w:t>
            </w:r>
          </w:p>
        </w:tc>
        <w:tc>
          <w:tcPr>
            <w:tcW w:w="240" w:type="dxa"/>
            <w:vAlign w:val="bottom"/>
          </w:tcPr>
          <w:p>
            <w:pPr>
              <w:spacing w:after="0"/>
              <w:rPr>
                <w:sz w:val="11"/>
                <w:szCs w:val="11"/>
                <w:color w:val="auto"/>
              </w:rPr>
            </w:pPr>
          </w:p>
        </w:tc>
        <w:tc>
          <w:tcPr>
            <w:tcW w:w="1300" w:type="dxa"/>
            <w:vAlign w:val="bottom"/>
          </w:tcPr>
          <w:p>
            <w:pPr>
              <w:jc w:val="center"/>
              <w:ind w:right="214"/>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214"/>
              <w:spacing w:after="0"/>
              <w:rPr>
                <w:sz w:val="20"/>
                <w:szCs w:val="20"/>
                <w:color w:val="auto"/>
              </w:rPr>
            </w:pPr>
            <w:r>
              <w:rPr>
                <w:rFonts w:ascii="Arial" w:cs="Arial" w:eastAsia="Arial" w:hAnsi="Arial"/>
                <w:sz w:val="14"/>
                <w:szCs w:val="14"/>
                <w:b w:val="1"/>
                <w:bCs w:val="1"/>
                <w:color w:val="auto"/>
                <w:w w:val="92"/>
              </w:rPr>
              <w:t>unallocated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3"/>
          </w:tcPr>
          <w:p>
            <w:pPr>
              <w:jc w:val="center"/>
              <w:ind w:right="27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1,190</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Adjusted EBITDA (1)</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380</w:t>
            </w:r>
          </w:p>
        </w:tc>
        <w:tc>
          <w:tcPr>
            <w:tcW w:w="36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580"/>
              <w:spacing w:after="0"/>
              <w:rPr>
                <w:sz w:val="20"/>
                <w:szCs w:val="20"/>
                <w:color w:val="auto"/>
              </w:rPr>
            </w:pPr>
            <w:r>
              <w:rPr>
                <w:rFonts w:ascii="Arial" w:cs="Arial" w:eastAsia="Arial" w:hAnsi="Arial"/>
                <w:sz w:val="18"/>
                <w:szCs w:val="18"/>
                <w:color w:val="auto"/>
              </w:rPr>
              <w:t>Operating income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580"/>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3"/>
            <w:vMerge w:val="restart"/>
          </w:tcPr>
          <w:p>
            <w:pPr>
              <w:jc w:val="center"/>
              <w:ind w:right="274"/>
              <w:spacing w:after="0"/>
              <w:rPr>
                <w:sz w:val="20"/>
                <w:szCs w:val="20"/>
                <w:color w:val="auto"/>
              </w:rPr>
            </w:pPr>
            <w:r>
              <w:rPr>
                <w:rFonts w:ascii="Arial" w:cs="Arial" w:eastAsia="Arial" w:hAnsi="Arial"/>
                <w:sz w:val="14"/>
                <w:szCs w:val="14"/>
                <w:b w:val="1"/>
                <w:bCs w:val="1"/>
                <w:color w:val="auto"/>
                <w:w w:val="92"/>
              </w:rPr>
              <w:t>Year ended December 31, 2015</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Hotel</w:t>
            </w:r>
          </w:p>
        </w:tc>
        <w:tc>
          <w:tcPr>
            <w:tcW w:w="360" w:type="dxa"/>
            <w:vAlign w:val="bottom"/>
          </w:tcPr>
          <w:p>
            <w:pPr>
              <w:spacing w:after="0"/>
              <w:rPr>
                <w:sz w:val="11"/>
                <w:szCs w:val="11"/>
                <w:color w:val="auto"/>
              </w:rPr>
            </w:pPr>
          </w:p>
        </w:tc>
        <w:tc>
          <w:tcPr>
            <w:tcW w:w="12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Non-Hotel</w:t>
            </w:r>
          </w:p>
        </w:tc>
        <w:tc>
          <w:tcPr>
            <w:tcW w:w="240" w:type="dxa"/>
            <w:vAlign w:val="bottom"/>
          </w:tcPr>
          <w:p>
            <w:pPr>
              <w:spacing w:after="0"/>
              <w:rPr>
                <w:sz w:val="11"/>
                <w:szCs w:val="11"/>
                <w:color w:val="auto"/>
              </w:rPr>
            </w:pPr>
          </w:p>
        </w:tc>
        <w:tc>
          <w:tcPr>
            <w:tcW w:w="1300" w:type="dxa"/>
            <w:vAlign w:val="bottom"/>
          </w:tcPr>
          <w:p>
            <w:pPr>
              <w:jc w:val="center"/>
              <w:ind w:right="214"/>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214"/>
              <w:spacing w:after="0"/>
              <w:rPr>
                <w:sz w:val="20"/>
                <w:szCs w:val="20"/>
                <w:color w:val="auto"/>
              </w:rPr>
            </w:pPr>
            <w:r>
              <w:rPr>
                <w:rFonts w:ascii="Arial" w:cs="Arial" w:eastAsia="Arial" w:hAnsi="Arial"/>
                <w:sz w:val="14"/>
                <w:szCs w:val="14"/>
                <w:b w:val="1"/>
                <w:bCs w:val="1"/>
                <w:color w:val="auto"/>
                <w:w w:val="92"/>
              </w:rPr>
              <w:t>unallocated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3"/>
          </w:tcPr>
          <w:p>
            <w:pPr>
              <w:jc w:val="center"/>
              <w:ind w:right="27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1,263</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Adjusted EBITDA (1)</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8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Non-cash charitable contribution (2)</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Other non-recurring expenses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580"/>
              <w:spacing w:after="0"/>
              <w:rPr>
                <w:sz w:val="20"/>
                <w:szCs w:val="20"/>
                <w:color w:val="auto"/>
              </w:rPr>
            </w:pPr>
            <w:r>
              <w:rPr>
                <w:rFonts w:ascii="Arial" w:cs="Arial" w:eastAsia="Arial" w:hAnsi="Arial"/>
                <w:sz w:val="18"/>
                <w:szCs w:val="18"/>
                <w:color w:val="auto"/>
              </w:rPr>
              <w:t>Operating income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gridSpan w:val="2"/>
          </w:tcPr>
          <w:p>
            <w:pPr>
              <w:ind w:left="580"/>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58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2"/>
            <w:vMerge w:val="continue"/>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vMerge w:val="restart"/>
          </w:tcPr>
          <w:p>
            <w:pPr>
              <w:jc w:val="right"/>
              <w:ind w:right="275"/>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jc w:val="center"/>
              <w:ind w:right="455"/>
              <w:spacing w:after="0"/>
              <w:rPr>
                <w:sz w:val="20"/>
                <w:szCs w:val="20"/>
                <w:color w:val="auto"/>
              </w:rPr>
            </w:pPr>
            <w:r>
              <w:rPr>
                <w:rFonts w:ascii="Arial" w:cs="Arial" w:eastAsia="Arial" w:hAnsi="Arial"/>
                <w:sz w:val="14"/>
                <w:szCs w:val="14"/>
                <w:b w:val="1"/>
                <w:bCs w:val="1"/>
                <w:color w:val="auto"/>
                <w:w w:val="91"/>
              </w:rPr>
              <w:t>Year ended December 31, 2014</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500" w:type="dxa"/>
            <w:vAlign w:val="bottom"/>
          </w:tcPr>
          <w:p>
            <w:pPr>
              <w:jc w:val="right"/>
              <w:ind w:right="49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32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ind w:right="595"/>
              <w:spacing w:after="0"/>
              <w:rPr>
                <w:sz w:val="20"/>
                <w:szCs w:val="20"/>
                <w:color w:val="auto"/>
              </w:rPr>
            </w:pPr>
            <w:r>
              <w:rPr>
                <w:rFonts w:ascii="Arial" w:cs="Arial" w:eastAsia="Arial" w:hAnsi="Arial"/>
                <w:sz w:val="14"/>
                <w:szCs w:val="14"/>
                <w:b w:val="1"/>
                <w:bCs w:val="1"/>
                <w:color w:val="auto"/>
              </w:rPr>
              <w:t>unallocated</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center"/>
              <w:ind w:left="86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5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7"/>
              </w:rPr>
              <w:t>1,135</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Adjusted EBITDA (1)(3)</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472</w:t>
            </w:r>
          </w:p>
        </w:tc>
        <w:tc>
          <w:tcPr>
            <w:tcW w:w="400" w:type="dxa"/>
            <w:vAlign w:val="bottom"/>
          </w:tcPr>
          <w:p>
            <w:pPr>
              <w:spacing w:after="0"/>
              <w:rPr>
                <w:sz w:val="19"/>
                <w:szCs w:val="19"/>
                <w:color w:val="auto"/>
              </w:rPr>
            </w:pPr>
          </w:p>
        </w:tc>
        <w:tc>
          <w:tcPr>
            <w:tcW w:w="1360" w:type="dxa"/>
            <w:vAlign w:val="bottom"/>
          </w:tcPr>
          <w:p>
            <w:pPr>
              <w:jc w:val="right"/>
              <w:ind w:right="41"/>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15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ind w:right="175"/>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0" w:right="220" w:hanging="592"/>
        <w:spacing w:after="0" w:line="230"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allocated general and administrative expenses in our Hotel segment of $80 million, $85 million and $87 million; and in our Non-Hotel segment of $38 million, $28 million and $18 million for the years ended December 31, 2016, 2015 and 2014, respectively.</w:t>
      </w:r>
    </w:p>
    <w:p>
      <w:pPr>
        <w:ind w:left="600" w:right="60" w:hanging="592"/>
        <w:spacing w:after="0" w:line="238" w:lineRule="auto"/>
        <w:tabs>
          <w:tab w:leader="none" w:pos="6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During the fourth quarter of 2015, we incurred an expense in the amount of $67 million to reflect a non-cash contribution to The TripAdvisor Charitable Foundation (the “Foundation”), which was recorded to general and administrative expense in our consolidated statement of operations. TripAdvisor had historically funded 2% of its annual operating income before amortization and stock-based compensation. TripAdvisor’s pledge agreement provided for an immediate satisfaction of all future annual contributions, by paying an amount equal to eight multiplied by TripAdvisor’s prior year contribution to the Foundation. TripAdvisor exercised this right under its pledge agreement in December 2015. We settled this obligation in treasury shares based on the fair value of our common stock on the date the treasury shares were issued to the Foundation and therefore given the use of stock to settle the obligation, the amount has been excluded from Adjusted EBITDA. TripAdvisor does not expect to make any future contributions to the Foundation.</w:t>
      </w:r>
    </w:p>
    <w:p>
      <w:pPr>
        <w:spacing w:after="0" w:line="1" w:lineRule="exact"/>
        <w:rPr>
          <w:rFonts w:ascii="Arial" w:cs="Arial" w:eastAsia="Arial" w:hAnsi="Arial"/>
          <w:sz w:val="13"/>
          <w:szCs w:val="13"/>
          <w:color w:val="auto"/>
        </w:rPr>
      </w:pPr>
    </w:p>
    <w:p>
      <w:pPr>
        <w:ind w:left="600" w:hanging="592"/>
        <w:spacing w:after="0"/>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Hotel segment Adjusted EBITDA includes charitable contributions to the Foundation which were funded in cash of $8 million for the year ended December 31, 2014.</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Geographic Information</w:t>
      </w:r>
    </w:p>
    <w:p>
      <w:pPr>
        <w:spacing w:after="0" w:line="117"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In the first quarter of 2016 we began providing additional disclosure on our revenue sources within our Hotel segment, which are TripAdvisor-branded click-based and transaction revenue, TripAdvisor-branded display-based advertising and subscription revenue; and other hotel revenue, which along with our Non-Hotel revenue source comprise our products. In conjunction with providing these additional revenue disclosures, we will no longer provide our historically reported revenue disclosure of click-based advertising, display-based advertising, and subscription, transaction and other revenues. This change had no effect on our consolidated financial statements in any period or with the composition of our operating or reportable segments.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revenue by source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click-based and transaction</w:t>
            </w:r>
          </w:p>
        </w:tc>
        <w:tc>
          <w:tcPr>
            <w:tcW w:w="246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TripAdvisor-branded display-based advertising and</w:t>
            </w: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1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hotel revenue</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Non-hotel revenue</w:t>
            </w:r>
          </w:p>
        </w:tc>
        <w:tc>
          <w:tcPr>
            <w:tcW w:w="17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7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1,480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20" w:type="dxa"/>
            <w:vAlign w:val="bottom"/>
            <w:vMerge w:val="restart"/>
          </w:tcPr>
          <w:p>
            <w:pPr>
              <w:jc w:val="right"/>
              <w:ind w:right="730"/>
              <w:spacing w:after="0"/>
              <w:rPr>
                <w:sz w:val="20"/>
                <w:szCs w:val="20"/>
                <w:color w:val="auto"/>
              </w:rPr>
            </w:pPr>
            <w:r>
              <w:rPr>
                <w:rFonts w:ascii="Arial" w:cs="Arial" w:eastAsia="Arial" w:hAnsi="Arial"/>
                <w:sz w:val="18"/>
                <w:szCs w:val="18"/>
                <w:color w:val="auto"/>
              </w:rPr>
              <w:t>117</w:t>
            </w: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119" w:name="page120"/>
    <w:bookmarkEnd w:id="119"/>
    <w:p>
      <w:pPr>
        <w:ind w:right="360" w:firstLine="598"/>
        <w:spacing w:after="0" w:line="277" w:lineRule="auto"/>
        <w:rPr>
          <w:sz w:val="20"/>
          <w:szCs w:val="20"/>
          <w:color w:val="auto"/>
        </w:rPr>
      </w:pPr>
      <w:r>
        <w:rPr>
          <w:rFonts w:ascii="Arial" w:cs="Arial" w:eastAsia="Arial" w:hAnsi="Arial"/>
          <w:sz w:val="18"/>
          <w:szCs w:val="18"/>
          <w:color w:val="auto"/>
        </w:rPr>
        <w:t>The following table presents revenue by geographic area, the United States, the United Kingdom and all other countries, based on the geographic location of our websites for the periods presented: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36"/>
              <w:spacing w:after="0" w:line="155"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 other countries</w:t>
            </w:r>
          </w:p>
        </w:tc>
        <w:tc>
          <w:tcPr>
            <w:tcW w:w="14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80" w:type="dxa"/>
            <w:vAlign w:val="bottom"/>
            <w:tcBorders>
              <w:bottom w:val="single" w:sz="8" w:color="CFF0FC"/>
            </w:tcBorders>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234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1,480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80" w:type="dxa"/>
            <w:vAlign w:val="bottom"/>
            <w:shd w:val="clear" w:color="auto" w:fill="CFF0FC"/>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following table presents property and equipment, net for the United States and all other countries based on the geographic location of the assets for the periods presented: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102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r>
      <w:tr>
        <w:trPr>
          <w:trHeight w:val="156"/>
        </w:trPr>
        <w:tc>
          <w:tcPr>
            <w:tcW w:w="4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gridSpan w:val="3"/>
          </w:tcPr>
          <w:p>
            <w:pPr>
              <w:jc w:val="right"/>
              <w:ind w:right="90"/>
              <w:spacing w:after="0" w:line="155"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57"/>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net</w:t>
            </w:r>
          </w:p>
        </w:tc>
        <w:tc>
          <w:tcPr>
            <w:tcW w:w="10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countries</w:t>
            </w: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r>
      <w:tr>
        <w:trPr>
          <w:trHeight w:val="223"/>
        </w:trPr>
        <w:tc>
          <w:tcPr>
            <w:tcW w:w="4740" w:type="dxa"/>
            <w:vAlign w:val="bottom"/>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INTEREST INCOME AND OTHER,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detail of interest income and other, net,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680" w:type="dxa"/>
            <w:vAlign w:val="bottom"/>
          </w:tcPr>
          <w:p>
            <w:pPr>
              <w:spacing w:after="0"/>
              <w:rPr>
                <w:sz w:val="19"/>
                <w:szCs w:val="19"/>
                <w:color w:val="auto"/>
              </w:rPr>
            </w:pPr>
          </w:p>
        </w:tc>
        <w:tc>
          <w:tcPr>
            <w:tcW w:w="20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r>
      <w:tr>
        <w:trPr>
          <w:trHeight w:val="223"/>
        </w:trPr>
        <w:tc>
          <w:tcPr>
            <w:tcW w:w="5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 realized and unrealized, on foreign currency exchange</w:t>
            </w: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foreign currency derivative contracts and other, net</w:t>
            </w:r>
          </w:p>
        </w:tc>
        <w:tc>
          <w:tcPr>
            <w:tcW w:w="20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business (1)</w:t>
            </w:r>
          </w:p>
        </w:tc>
        <w:tc>
          <w:tcPr>
            <w:tcW w:w="1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680" w:type="dxa"/>
            <w:vAlign w:val="bottom"/>
          </w:tcPr>
          <w:p>
            <w:pPr>
              <w:ind w:left="26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0"/>
        </w:trPr>
        <w:tc>
          <w:tcPr>
            <w:tcW w:w="5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See “Note 3 –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for information regarding our gain on sale of business in 2015.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NOTE 19: QUARTERLY FINANCIAL INFORMATION (UNAUDITED)</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following table presents selected unaudited financial information for the eight quarters in the period ended December 31, 2016. The results for any quarter are not necessarily indicative of future quarterly results and, accordingly, period to period comparisons should not be relied upon as an indication of future performance.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5"/>
              </w:rPr>
              <w:t>March 31 (3)</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w w:val="95"/>
              </w:rPr>
              <w:t>June 30 (3)</w:t>
            </w:r>
          </w:p>
        </w:tc>
        <w:tc>
          <w:tcPr>
            <w:tcW w:w="1260" w:type="dxa"/>
            <w:vAlign w:val="bottom"/>
            <w:tcBorders>
              <w:bottom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89"/>
              </w:rPr>
              <w:t>December 31</w:t>
            </w:r>
          </w:p>
        </w:tc>
        <w:tc>
          <w:tcPr>
            <w:tcW w:w="120" w:type="dxa"/>
            <w:vAlign w:val="bottom"/>
          </w:tcPr>
          <w:p>
            <w:pPr>
              <w:spacing w:after="0"/>
              <w:rPr>
                <w:sz w:val="13"/>
                <w:szCs w:val="13"/>
                <w:color w:val="auto"/>
              </w:rPr>
            </w:pPr>
          </w:p>
        </w:tc>
      </w:tr>
      <w:tr>
        <w:trPr>
          <w:trHeight w:val="156"/>
        </w:trPr>
        <w:tc>
          <w:tcPr>
            <w:tcW w:w="6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00" w:type="dxa"/>
            <w:vAlign w:val="bottom"/>
            <w:gridSpan w:val="4"/>
          </w:tcPr>
          <w:p>
            <w:pPr>
              <w:jc w:val="right"/>
              <w:ind w:right="90"/>
              <w:spacing w:after="0" w:line="155" w:lineRule="exact"/>
              <w:rPr>
                <w:sz w:val="20"/>
                <w:szCs w:val="20"/>
                <w:color w:val="auto"/>
              </w:rPr>
            </w:pPr>
            <w:r>
              <w:rPr>
                <w:rFonts w:ascii="Arial" w:cs="Arial" w:eastAsia="Arial" w:hAnsi="Arial"/>
                <w:sz w:val="14"/>
                <w:szCs w:val="14"/>
                <w:b w:val="1"/>
                <w:bCs w:val="1"/>
                <w:color w:val="auto"/>
                <w:w w:val="99"/>
              </w:rPr>
              <w:t>(in millions, except per share data)</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7"/>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2016</w:t>
            </w:r>
          </w:p>
        </w:tc>
        <w:tc>
          <w:tcPr>
            <w:tcW w:w="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391</w:t>
            </w:r>
          </w:p>
        </w:tc>
        <w:tc>
          <w:tcPr>
            <w:tcW w:w="74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 (1)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0.23</w:t>
            </w:r>
          </w:p>
        </w:tc>
        <w:tc>
          <w:tcPr>
            <w:tcW w:w="740" w:type="dxa"/>
            <w:vAlign w:val="bottom"/>
            <w:shd w:val="clear" w:color="auto" w:fill="CFF0FC"/>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Diluted earnings per share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0.23</w:t>
            </w:r>
          </w:p>
        </w:tc>
        <w:tc>
          <w:tcPr>
            <w:tcW w:w="74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r>
      <w:tr>
        <w:trPr>
          <w:trHeight w:val="257"/>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2015</w:t>
            </w:r>
          </w:p>
        </w:tc>
        <w:tc>
          <w:tcPr>
            <w:tcW w:w="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405</w:t>
            </w:r>
          </w:p>
        </w:tc>
        <w:tc>
          <w:tcPr>
            <w:tcW w:w="74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 (2)</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7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 (1)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0.40</w:t>
            </w:r>
          </w:p>
        </w:tc>
        <w:tc>
          <w:tcPr>
            <w:tcW w:w="740" w:type="dxa"/>
            <w:vAlign w:val="bottom"/>
            <w:shd w:val="clear" w:color="auto" w:fill="CFF0FC"/>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Diluted earnings per share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0.40</w:t>
            </w:r>
          </w:p>
        </w:tc>
        <w:tc>
          <w:tcPr>
            <w:tcW w:w="74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380" w:right="3360" w:hanging="372"/>
        <w:spacing w:after="0" w:line="258"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Therefore, the sum of the quarterly earnings per share may not equal the total computed for the year.</w:t>
      </w:r>
    </w:p>
    <w:p>
      <w:pPr>
        <w:spacing w:after="0" w:line="1" w:lineRule="exact"/>
        <w:rPr>
          <w:rFonts w:ascii="Arial" w:cs="Arial" w:eastAsia="Arial" w:hAnsi="Arial"/>
          <w:sz w:val="18"/>
          <w:szCs w:val="18"/>
          <w:color w:val="auto"/>
        </w:rPr>
      </w:pPr>
    </w:p>
    <w:p>
      <w:pPr>
        <w:ind w:left="380" w:right="3220" w:hanging="372"/>
        <w:spacing w:after="0" w:line="250"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During the fourth quarter of 2015, we recognized an incremental $59 million charge over the third quarter of 2015, related to a non-cash charitable contribution recorded to general and administrative expense on our consolidated statement of operations. Refer to “Note 17 – </w:t>
      </w:r>
      <w:r>
        <w:rPr>
          <w:rFonts w:ascii="Arial" w:cs="Arial" w:eastAsia="Arial" w:hAnsi="Arial"/>
          <w:sz w:val="18"/>
          <w:szCs w:val="18"/>
          <w:i w:val="1"/>
          <w:iCs w:val="1"/>
          <w:color w:val="auto"/>
        </w:rPr>
        <w:t>Segments and Geographic Information</w:t>
      </w:r>
      <w:r>
        <w:rPr>
          <w:rFonts w:ascii="Arial" w:cs="Arial" w:eastAsia="Arial" w:hAnsi="Arial"/>
          <w:sz w:val="18"/>
          <w:szCs w:val="18"/>
          <w:color w:val="auto"/>
        </w:rPr>
        <w:t>” for a discussion of this charitable contribution.</w:t>
      </w:r>
    </w:p>
    <w:p>
      <w:pPr>
        <w:spacing w:after="0" w:line="1" w:lineRule="exact"/>
        <w:rPr>
          <w:rFonts w:ascii="Arial" w:cs="Arial" w:eastAsia="Arial" w:hAnsi="Arial"/>
          <w:sz w:val="18"/>
          <w:szCs w:val="18"/>
          <w:color w:val="auto"/>
        </w:rPr>
      </w:pPr>
    </w:p>
    <w:p>
      <w:pPr>
        <w:ind w:left="380" w:right="3160" w:hanging="372"/>
        <w:spacing w:after="0" w:line="302" w:lineRule="auto"/>
        <w:tabs>
          <w:tab w:leader="none" w:pos="3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In the third quarter of 2016, the Company early adopted ASU 2016-09, Compensation – Stock Compensation (Topic 718): Improvements to Employee Share-Based Payment Accounting. Refer to “Note 2 – </w:t>
      </w:r>
      <w:r>
        <w:rPr>
          <w:rFonts w:ascii="Arial" w:cs="Arial" w:eastAsia="Arial" w:hAnsi="Arial"/>
          <w:sz w:val="16"/>
          <w:szCs w:val="16"/>
          <w:i w:val="1"/>
          <w:iCs w:val="1"/>
          <w:color w:val="auto"/>
        </w:rPr>
        <w:t>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w:t>
      </w:r>
      <w:r>
        <w:rPr>
          <w:rFonts w:ascii="Arial" w:cs="Arial" w:eastAsia="Arial" w:hAnsi="Arial"/>
          <w:sz w:val="16"/>
          <w:szCs w:val="16"/>
          <w:color w:val="auto"/>
        </w:rPr>
        <w:t>for the impact of the adoption of this guidance on the first and second quarters of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2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new share repurchase program. The repurchase program has no expiration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296"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 xml:space="preserve">In January 2017, as part of the Company’s IRS audit with Expedia, we received Notices of Proposed Adjustment from the IRS for the 2009 and 2010 tax years. Refer to “Note 10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a discussion of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1" w:name="page122"/>
    <w:bookmarkEnd w:id="121"/>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As of December 31, 2016,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December 31, 2016,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2016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accounting principles generally accepted in the United States of America.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165"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The Company’s management evaluated the effectiveness of the Company’s internal control over financial reporting as of December 31, 2016. Pursuant to Exchange Act Rule 13a-15(d) or 15d-15(d), management has concluded that, as of December 31, 2016, our internal control over financial reporting was effective. Management has reviewed its assessment with the Audit Committee. KPMG LLP, an independent registered public accounting firm, has audited the effectiveness of our internal control over financial reporting as of December 31, 2016, as stated in their report which is included below.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2" w:name="page123"/>
    <w:bookmarkEnd w:id="12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319"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We have audited TripAdvisor, Inc.’s (the Company) internal control over financial reporting as of December 31, 2016, based on criteria established in Internal Control – Integrated Framework (2013) issued by the Committee of Sponsoring Organizations of the Treadway Commission (COSO). TripAdvisor,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60" w:firstLine="598"/>
        <w:spacing w:after="0" w:line="264" w:lineRule="auto"/>
        <w:rPr>
          <w:sz w:val="20"/>
          <w:szCs w:val="20"/>
          <w:color w:val="auto"/>
        </w:rPr>
      </w:pPr>
      <w:r>
        <w:rPr>
          <w:rFonts w:ascii="Arial" w:cs="Arial" w:eastAsia="Arial" w:hAnsi="Arial"/>
          <w:sz w:val="18"/>
          <w:szCs w:val="18"/>
          <w:color w:val="auto"/>
        </w:rPr>
        <w:t>In our opinion, TripAdvisor, Inc. maintained, in all material respects, effective internal control over financial reporting as of December 31, 2016, based on criteria established in Internal Control – Integrated Framework (2013) issued by the Committee of Sponsoring Organizations of the Treadway Commission (COSO).</w:t>
      </w:r>
    </w:p>
    <w:p>
      <w:pPr>
        <w:spacing w:after="0" w:line="18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TripAdvisor, Inc. and subsidiaries as of December 31, 2016 and 2015, and the related consolidated statements of operations, comprehensive income, changes in stockholders’ equity, and cash flows for each of the years in the three-year period ended December 31, 2016, and our report dated February 17, 2017 expressed an unqualified opinion on those consolidated financial statements.</w:t>
      </w:r>
    </w:p>
    <w:p>
      <w:pPr>
        <w:spacing w:after="0" w:line="187"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3" w:name="page124"/>
    <w:bookmarkEnd w:id="123"/>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2017 Proxy Statement, which proxy statement will be filed with the Securities and Exchange Commission not later than 120 days after the close of our fiscal year ended December 31, 2016.</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2017 Proxy Statement, which proxy statement will be filed with the Securities and Exchange Commission not later than 120 days after the close of our fiscal year ended December 31, 2016.</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3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2017 Proxy Statement, which proxy statement will be filed with the Securities and Exchange Commission not later than 120 days after the close of our fiscal year ended December 31, 2016.</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2017 Proxy Statement, which proxy statement will be filed with the Securities and Exchange Commission not later than 120 days after the close of our fiscal year ended December 31, 2016.</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2017 Proxy Statement, which proxy statement will be filed with the Securities and Exchange Commission not later than 120 days after the close of our fiscal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124" w:name="page125"/>
    <w:bookmarkEnd w:id="124"/>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The following is filed as part of this Annual Report on Form 10-K:</w:t>
      </w:r>
    </w:p>
    <w:p>
      <w:pPr>
        <w:spacing w:after="0" w:line="117" w:lineRule="exact"/>
        <w:rPr>
          <w:sz w:val="20"/>
          <w:szCs w:val="20"/>
          <w:color w:val="auto"/>
        </w:rPr>
      </w:pPr>
    </w:p>
    <w:p>
      <w:pPr>
        <w:ind w:left="1800" w:hanging="603"/>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consolidated financial statements and report of independent registered public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firms required by this item are included in Part II, Item 8.</w:t>
      </w:r>
    </w:p>
    <w:p>
      <w:pPr>
        <w:spacing w:after="0" w:line="62" w:lineRule="exact"/>
        <w:rPr>
          <w:sz w:val="20"/>
          <w:szCs w:val="20"/>
          <w:color w:val="auto"/>
        </w:rPr>
      </w:pPr>
    </w:p>
    <w:p>
      <w:pPr>
        <w:ind w:left="1200" w:right="20"/>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170" w:lineRule="exact"/>
        <w:rPr>
          <w:sz w:val="20"/>
          <w:szCs w:val="20"/>
          <w:color w:val="auto"/>
        </w:rPr>
      </w:pPr>
    </w:p>
    <w:p>
      <w:pPr>
        <w:ind w:right="20" w:firstLine="606"/>
        <w:spacing w:after="0" w:line="277" w:lineRule="auto"/>
        <w:tabs>
          <w:tab w:leader="none" w:pos="8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Exhibits: The attached list of exhibits in the “Exhibit Index” immediately preceding the exhibits to this annual report is incorporated herein by reference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337" w:right="5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TRIPADVISOR, INC.</w:t>
      </w:r>
    </w:p>
    <w:p>
      <w:pPr>
        <w:spacing w:after="0" w:line="252" w:lineRule="exact"/>
        <w:rPr>
          <w:sz w:val="20"/>
          <w:szCs w:val="20"/>
          <w:color w:val="auto"/>
        </w:rPr>
      </w:pPr>
    </w:p>
    <w:p>
      <w:pPr>
        <w:ind w:left="7320"/>
        <w:spacing w:after="0"/>
        <w:tabs>
          <w:tab w:leader="none" w:pos="7800" w:val="left"/>
        </w:tabs>
        <w:rPr>
          <w:sz w:val="20"/>
          <w:szCs w:val="20"/>
          <w:color w:val="auto"/>
        </w:rPr>
      </w:pPr>
      <w:r>
        <w:rPr>
          <w:rFonts w:ascii="Arial" w:cs="Arial" w:eastAsia="Arial" w:hAnsi="Arial"/>
          <w:sz w:val="18"/>
          <w:szCs w:val="18"/>
          <w:color w:val="auto"/>
        </w:rPr>
        <w:t>By:</w:t>
        <w:tab/>
        <w:t>/s/ STEPHEN KAUFER</w:t>
      </w:r>
    </w:p>
    <w:p>
      <w:pPr>
        <w:spacing w:after="0" w:line="23"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February 17, 2017</w:t>
      </w:r>
      <w:r>
        <w:rPr>
          <w:sz w:val="20"/>
          <w:szCs w:val="20"/>
          <w:color w:val="auto"/>
        </w:rPr>
        <w:tab/>
      </w:r>
      <w:r>
        <w:rPr>
          <w:rFonts w:ascii="Arial" w:cs="Arial" w:eastAsia="Arial" w:hAnsi="Arial"/>
          <w:sz w:val="16"/>
          <w:szCs w:val="16"/>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-130810</wp:posOffset>
            </wp:positionV>
            <wp:extent cx="22898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Executive Officer and President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color w:val="auto"/>
        </w:rPr>
        <w:t>We, the undersigned officers and directors of TripAdvisor, Inc., hereby severally constitute and appoint Stephen Kaufer and Ernst Teunissen,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as amended, and all requirements of the Securities and Exchange Commission.</w:t>
      </w:r>
    </w:p>
    <w:p>
      <w:pPr>
        <w:spacing w:after="0" w:line="154"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17,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Chief Executive Officer, President and Director</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Stephen Kaufer</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3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Ernst Teunissen</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33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NOEL WATSON</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Noel Watson</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33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B. MAFFEI</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Gregory B. Maffei</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DIPCHAND V. NISHAR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Dipchand V. Nishar</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PHILIPS</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Jeremy Philips</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M. RASCOFF</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Spencer M. Rascoff</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 ROSENTHALER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50"/>
        </w:trPr>
        <w:tc>
          <w:tcPr>
            <w:tcW w:w="5620" w:type="dxa"/>
            <w:vAlign w:val="bottom"/>
          </w:tcPr>
          <w:p>
            <w:pPr>
              <w:spacing w:after="0"/>
              <w:rPr>
                <w:sz w:val="20"/>
                <w:szCs w:val="20"/>
                <w:color w:val="auto"/>
              </w:rPr>
            </w:pPr>
            <w:r>
              <w:rPr>
                <w:rFonts w:ascii="Arial" w:cs="Arial" w:eastAsia="Arial" w:hAnsi="Arial"/>
                <w:sz w:val="18"/>
                <w:szCs w:val="18"/>
                <w:color w:val="auto"/>
              </w:rPr>
              <w:t>Albert E. Rosenthaler</w:t>
            </w:r>
          </w:p>
        </w:tc>
        <w:tc>
          <w:tcPr>
            <w:tcW w:w="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35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SUKINDER SINGH CASSIDY</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50"/>
        </w:trPr>
        <w:tc>
          <w:tcPr>
            <w:tcW w:w="5620" w:type="dxa"/>
            <w:vAlign w:val="bottom"/>
          </w:tcPr>
          <w:p>
            <w:pPr>
              <w:spacing w:after="0"/>
              <w:rPr>
                <w:sz w:val="20"/>
                <w:szCs w:val="20"/>
                <w:color w:val="auto"/>
              </w:rPr>
            </w:pPr>
            <w:r>
              <w:rPr>
                <w:rFonts w:ascii="Arial" w:cs="Arial" w:eastAsia="Arial" w:hAnsi="Arial"/>
                <w:sz w:val="18"/>
                <w:szCs w:val="18"/>
                <w:color w:val="auto"/>
              </w:rPr>
              <w:t>Sukinder Singh Cassidy</w:t>
            </w:r>
          </w:p>
        </w:tc>
        <w:tc>
          <w:tcPr>
            <w:tcW w:w="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35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WIESENTHAL</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Robert S. Wiesenthal</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Exhibit</w:t>
            </w:r>
          </w:p>
        </w:tc>
        <w:tc>
          <w:tcPr>
            <w:tcW w:w="4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8"/>
              </w:rPr>
              <w:t>Filed</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w w:val="95"/>
              </w:rPr>
              <w:t>Incorporated by Reference</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72"/>
              <w:spacing w:after="0" w:line="123" w:lineRule="exact"/>
              <w:rPr>
                <w:sz w:val="20"/>
                <w:szCs w:val="20"/>
                <w:color w:val="auto"/>
              </w:rPr>
            </w:pPr>
            <w:r>
              <w:rPr>
                <w:rFonts w:ascii="Arial" w:cs="Arial" w:eastAsia="Arial" w:hAnsi="Arial"/>
                <w:sz w:val="14"/>
                <w:szCs w:val="14"/>
                <w:color w:val="auto"/>
                <w:w w:val="99"/>
              </w:rPr>
              <w:t>Exhibit</w:t>
            </w:r>
          </w:p>
        </w:tc>
        <w:tc>
          <w:tcPr>
            <w:tcW w:w="1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No.</w:t>
            </w:r>
          </w:p>
        </w:tc>
        <w:tc>
          <w:tcPr>
            <w:tcW w:w="4760" w:type="dxa"/>
            <w:vAlign w:val="bottom"/>
          </w:tcPr>
          <w:p>
            <w:pPr>
              <w:ind w:left="1800"/>
              <w:spacing w:after="0"/>
              <w:rPr>
                <w:sz w:val="20"/>
                <w:szCs w:val="20"/>
                <w:color w:val="auto"/>
              </w:rPr>
            </w:pPr>
            <w:r>
              <w:rPr>
                <w:rFonts w:ascii="Arial" w:cs="Arial" w:eastAsia="Arial" w:hAnsi="Arial"/>
                <w:sz w:val="14"/>
                <w:szCs w:val="14"/>
                <w:color w:val="auto"/>
              </w:rPr>
              <w:t>Exhibit Description</w:t>
            </w:r>
          </w:p>
        </w:tc>
        <w:tc>
          <w:tcPr>
            <w:tcW w:w="6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Herewith</w:t>
            </w:r>
          </w:p>
        </w:tc>
        <w:tc>
          <w:tcPr>
            <w:tcW w:w="1000" w:type="dxa"/>
            <w:vAlign w:val="bottom"/>
            <w:gridSpan w:val="3"/>
          </w:tcPr>
          <w:p>
            <w:pPr>
              <w:ind w:left="200"/>
              <w:spacing w:after="0"/>
              <w:rPr>
                <w:sz w:val="20"/>
                <w:szCs w:val="20"/>
                <w:color w:val="auto"/>
              </w:rPr>
            </w:pPr>
            <w:r>
              <w:rPr>
                <w:rFonts w:ascii="Arial" w:cs="Arial" w:eastAsia="Arial" w:hAnsi="Arial"/>
                <w:sz w:val="14"/>
                <w:szCs w:val="14"/>
                <w:color w:val="auto"/>
              </w:rPr>
              <w:t>Form</w:t>
            </w:r>
          </w:p>
        </w:tc>
        <w:tc>
          <w:tcPr>
            <w:tcW w:w="2020" w:type="dxa"/>
            <w:vAlign w:val="bottom"/>
            <w:gridSpan w:val="3"/>
          </w:tcPr>
          <w:p>
            <w:pPr>
              <w:ind w:left="360"/>
              <w:spacing w:after="0"/>
              <w:rPr>
                <w:sz w:val="20"/>
                <w:szCs w:val="20"/>
                <w:color w:val="auto"/>
              </w:rPr>
            </w:pPr>
            <w:r>
              <w:rPr>
                <w:rFonts w:ascii="Arial" w:cs="Arial" w:eastAsia="Arial" w:hAnsi="Arial"/>
                <w:sz w:val="14"/>
                <w:szCs w:val="14"/>
                <w:color w:val="auto"/>
              </w:rPr>
              <w:t>SEC File No.</w:t>
            </w:r>
          </w:p>
        </w:tc>
        <w:tc>
          <w:tcPr>
            <w:tcW w:w="880" w:type="dxa"/>
            <w:vAlign w:val="bottom"/>
            <w:gridSpan w:val="2"/>
          </w:tcPr>
          <w:p>
            <w:pPr>
              <w:jc w:val="center"/>
              <w:ind w:right="340"/>
              <w:spacing w:after="0"/>
              <w:rPr>
                <w:sz w:val="20"/>
                <w:szCs w:val="20"/>
                <w:color w:val="auto"/>
              </w:rPr>
            </w:pPr>
            <w:r>
              <w:rPr>
                <w:rFonts w:ascii="Arial" w:cs="Arial" w:eastAsia="Arial" w:hAnsi="Arial"/>
                <w:sz w:val="14"/>
                <w:szCs w:val="14"/>
                <w:color w:val="auto"/>
              </w:rPr>
              <w:t>No.</w:t>
            </w: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Separation Agreement by and between TripAdvisor, Inc. and</w:t>
            </w: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top w:val="single" w:sz="8" w:color="auto"/>
            </w:tcBorders>
          </w:tcPr>
          <w:p>
            <w:pPr>
              <w:jc w:val="center"/>
              <w:ind w:left="31"/>
              <w:spacing w:after="0" w:line="195"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Borders>
              <w:top w:val="single" w:sz="8" w:color="auto"/>
            </w:tcBorders>
          </w:tcPr>
          <w:p>
            <w:pPr>
              <w:jc w:val="center"/>
              <w:ind w:left="32"/>
              <w:spacing w:after="0" w:line="195" w:lineRule="exact"/>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2.1</w:t>
            </w:r>
          </w:p>
        </w:tc>
        <w:tc>
          <w:tcPr>
            <w:tcW w:w="18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Expedia, Inc., dated as of December 20, 2011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Restated Certificate of Incorporation of TripAdvisor, Inc.</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Amended and Restated Bylaws of TripAdvisor, Inc.</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Amended No. 1 to Amended and Restated Bylaws of</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TripAdvisor, Inc.</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2"/>
              </w:rPr>
              <w:t>Equity Warrant Agreement by and between TripAdvisor, Inc. and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1"/>
              </w:rPr>
              <w:t>Mellon Investor Services LLC, as Equity Warrant Agent, dated as</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 December 20, 2011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Specimen TripAdvisor, Inc. Common Stock Certificate</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7"/>
              </w:rPr>
              <w:t>S-4/A</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333-175828-01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10/24/11</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2"/>
              </w:rPr>
              <w:t>Governance Agreement, by and among TripAdvisor, Inc., Liberty</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Interactive Corporation and Barry Diller, dated as of</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December 20, 2011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6"/>
              </w:rPr>
              <w:t>Tax Sharing Agreement by and between TripAdvisor, Inc. and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Expedia, Inc., dated as of December 20, 2011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3"/>
              </w:rPr>
              <w:t>Employee Matters Agreement by and between TripAdvisor, Inc.</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and Expedia, Inc., dated as of December 20, 2011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2"/>
              </w:rPr>
              <w:t>Transition Services Agreement by and between TripAdvisor, Inc.</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and Expedia, Inc., dated as of December 20, 2011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Sublease between Newton Technology Park LLC and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7"/>
              </w:rPr>
              <w:t>S-4/A</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333-175828-01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TripAdvisor LLC, dated as of October 31, 2007</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1"/>
              </w:rPr>
              <w:t>First Amendment to Sublease between Newton Technology Park</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7"/>
              </w:rPr>
              <w:t>S-4/A</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333-175828-01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LLC and TripAdvisor LLC, dated as of June 15, 2009</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Credit Agreement, by and among TripAdvisor, TripAdvisor</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5"/>
              </w:rPr>
              <w:t>Holdings, LLC, and TripAdvisor LLC, the lenders party thereto,</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4"/>
              </w:rPr>
              <w:t>JPMorgan Chase Bank, N.A., as administrative agent, and J.P.</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1"/>
              </w:rPr>
              <w:t>Morgan Europe Limited, as London agent, dated as of December</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20, 2011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2"/>
              </w:rPr>
              <w:t>Waiver and Amendment Agreement, by and among TripAdvisor,</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8"/>
              </w:rPr>
              <w:t>TripAdvisor Holdings, LLC, and TripAdvisor LLC, the lenders</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7"/>
              </w:rPr>
              <w:t>party thereto, JPMorgan Chase Bank, N.A., as administrative</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2"/>
              </w:rPr>
              <w:t>agent, and J.P. Morgan Europe Limited, as London agent, dated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as of December 27, 2013</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1"/>
              </w:rPr>
              <w:t>Amended and Restated TripAdvisor, Inc. 2011 Stock and Annual</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10-Q</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89"/>
              </w:rPr>
              <w:t>333-190384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Incentive Plan</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TripAdvisor, Inc. Deferred Compensation Plan for Non-</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85"/>
              </w:rPr>
              <w:t>S-8</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89"/>
              </w:rPr>
              <w:t>333-178637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Employee Directors</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Form of Option Agreement (Domestic)</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2/17/15</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Form of Option Agreement (International)</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2/17/15</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Form of Restricted Stock Unit Agreement (Domestic)</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2/17/15</w:t>
            </w:r>
          </w:p>
        </w:tc>
        <w:tc>
          <w:tcPr>
            <w:tcW w:w="0" w:type="dxa"/>
            <w:vAlign w:val="bottom"/>
          </w:tcPr>
          <w:p>
            <w:pPr>
              <w:spacing w:after="0"/>
              <w:rPr>
                <w:sz w:val="1"/>
                <w:szCs w:val="1"/>
                <w:color w:val="auto"/>
              </w:rPr>
            </w:pPr>
          </w:p>
        </w:tc>
      </w:tr>
      <w:tr>
        <w:trPr>
          <w:trHeight w:val="230"/>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Form of Restricted Stock Unit Agreement (PRC)</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center"/>
              <w:ind w:left="32"/>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2/17/15</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940" w:type="dxa"/>
            <w:vAlign w:val="bottom"/>
            <w:gridSpan w:val="2"/>
          </w:tcPr>
          <w:p>
            <w:pPr>
              <w:jc w:val="right"/>
              <w:ind w:right="588"/>
              <w:spacing w:after="0"/>
              <w:rPr>
                <w:sz w:val="20"/>
                <w:szCs w:val="20"/>
                <w:color w:val="auto"/>
              </w:rPr>
            </w:pPr>
            <w:r>
              <w:rPr>
                <w:rFonts w:ascii="Arial" w:cs="Arial" w:eastAsia="Arial" w:hAnsi="Arial"/>
                <w:sz w:val="18"/>
                <w:szCs w:val="18"/>
                <w:color w:val="auto"/>
                <w:w w:val="86"/>
              </w:rPr>
              <w:t>125</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7" w:name="page128"/>
    <w:bookmarkEnd w:id="127"/>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80" w:type="dxa"/>
            <w:vAlign w:val="bottom"/>
          </w:tcPr>
          <w:p>
            <w:pPr>
              <w:spacing w:after="0"/>
              <w:rPr>
                <w:sz w:val="14"/>
                <w:szCs w:val="14"/>
                <w:color w:val="auto"/>
              </w:rPr>
            </w:pPr>
          </w:p>
        </w:tc>
        <w:tc>
          <w:tcPr>
            <w:tcW w:w="5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 w:type="dxa"/>
            <w:vAlign w:val="bottom"/>
          </w:tcPr>
          <w:p>
            <w:pPr>
              <w:spacing w:after="0"/>
              <w:rPr>
                <w:sz w:val="14"/>
                <w:szCs w:val="14"/>
                <w:color w:val="auto"/>
              </w:rPr>
            </w:pPr>
          </w:p>
        </w:tc>
        <w:tc>
          <w:tcPr>
            <w:tcW w:w="5100" w:type="dxa"/>
            <w:vAlign w:val="bottom"/>
            <w:tcBorders>
              <w:bottom w:val="single" w:sz="8" w:color="auto"/>
            </w:tcBorders>
          </w:tcPr>
          <w:p>
            <w:pPr>
              <w:ind w:left="1980"/>
              <w:spacing w:after="0"/>
              <w:rPr>
                <w:sz w:val="20"/>
                <w:szCs w:val="20"/>
                <w:color w:val="auto"/>
              </w:rPr>
            </w:pPr>
            <w:r>
              <w:rPr>
                <w:rFonts w:ascii="Arial" w:cs="Arial" w:eastAsia="Arial" w:hAnsi="Arial"/>
                <w:sz w:val="14"/>
                <w:szCs w:val="14"/>
                <w:color w:val="auto"/>
              </w:rPr>
              <w:t>Exhibit Description</w:t>
            </w:r>
          </w:p>
        </w:tc>
      </w:tr>
      <w:tr>
        <w:trPr>
          <w:trHeight w:val="195"/>
        </w:trPr>
        <w:tc>
          <w:tcPr>
            <w:tcW w:w="2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10.15+</w:t>
            </w:r>
          </w:p>
        </w:tc>
        <w:tc>
          <w:tcPr>
            <w:tcW w:w="8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Form of Restricted Stock Unit Agreement (Other International)</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3"/>
              </w:rPr>
              <w:t>Form of Restricted Stock Unit Agreement (Non-Employee Directors)</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Form of Restricted Stock Unit Agreement (Performance Based)</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8"/>
              </w:rPr>
              <w:t>Corporate Headquarters Lease with Normandy Gap-V Needham</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Building 3, LLC, as landlord, dated as of June 20, 2013</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4"/>
              </w:rPr>
              <w:t>Guaranty dated June 20, 2013 by TripAdvisor, Inc. for the benefit of</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Normandy Gap-V Needham Building 3, LLC, as landlord</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Form of TripAdvisor Media Group Master Advertising Insertion</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Order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3"/>
              </w:rPr>
              <w:t>Employment Agreement between TripAdvisor LLC and Seth Kalvert,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effective as of May 19, 2016</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Employment Agreement between TripAdvisor LLC and Stephen</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Kaufer, effective as of February 11, 2014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Viator, Inc. 2010 Stock Incentive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5"/>
              </w:rPr>
              <w:t>Offer Letter dated February 15, 2016, between TripAdvisor Limited</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and Dermot Halpin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2"/>
              </w:rPr>
              <w:t>Offer Letter dated July 22, 2014 between TripAdvisor LLC and Barrie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Seidenberg</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Credit Agreement dated as of June 26, 2015 by and among</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TripAdvisor, Inc., TripAdvisor Holdings, LLC, TripAdvisor LLC,</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4"/>
              </w:rPr>
              <w:t>JPMorgan Chase Bank, N.A., as Administrative Agent; J.P. Morgan</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3"/>
              </w:rPr>
              <w:t>Europe Limited, as London Agent; Morgan Stanley Bank, N.A.; Bank</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5"/>
              </w:rPr>
              <w:t>of America, N.A.; BNP Paribas; SunTrust Bank; Wells Fargo Bank,</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7"/>
              </w:rPr>
              <w:t>National Association; Royal Bank of Canada; Barclays Bank PLC;</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4"/>
              </w:rPr>
              <w:t>U.S. Bank National Association; Citibank, N.A.; The Bank of Tokyo-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2"/>
              </w:rPr>
              <w:t>Mitsubishi UFJ, Ltd.; Goldman Sachs Bank USA; and Deutsche Bank</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AG New York Branch.</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Employment Agreement, dated as of October 6, 2015, between</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TripAdvisor, LLC and Ernst Teunissen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10.28</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8"/>
              </w:rPr>
              <w:t>Transition Services Agreement, dated as of November 17, 2016,</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between TripAdvisor, LLC and Barrie Seidenberg</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4"/>
              </w:rPr>
              <w:t>Consent of KPMG, LLP, Independent Registered Public Accounting</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Firm</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Power of Attorney (included in signature page)</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5"/>
              </w:rPr>
              <w:t>Certification of the Chief Executive Officer Pursuant to Section 302</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of the Sarbanes-Oxley Act of 2002</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31.2</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7"/>
              </w:rPr>
              <w:t>Certification of the Chief Financial Officer pursuant Section 302 of</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the Sarbanes-Oxley Act of 2002</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32.1</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6"/>
              </w:rPr>
              <w:t>Certification of the Chief Executive Officer pursuant Section 906 of</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the Sarbanes-Oxley Act of 2002</w:t>
            </w:r>
          </w:p>
        </w:tc>
      </w:tr>
      <w:tr>
        <w:trPr>
          <w:trHeight w:val="67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Filed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4"/>
          </w:tcPr>
          <w:p>
            <w:pPr>
              <w:ind w:left="360"/>
              <w:spacing w:after="0"/>
              <w:rPr>
                <w:sz w:val="20"/>
                <w:szCs w:val="20"/>
                <w:color w:val="auto"/>
              </w:rPr>
            </w:pPr>
            <w:r>
              <w:rPr>
                <w:rFonts w:ascii="Arial" w:cs="Arial" w:eastAsia="Arial" w:hAnsi="Arial"/>
                <w:sz w:val="14"/>
                <w:szCs w:val="14"/>
                <w:color w:val="auto"/>
              </w:rPr>
              <w:t>Incorporated by Reference</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3"/>
        </w:trPr>
        <w:tc>
          <w:tcPr>
            <w:tcW w:w="9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Exhibit</w:t>
            </w: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Herewith</w:t>
            </w:r>
          </w:p>
        </w:tc>
        <w:tc>
          <w:tcPr>
            <w:tcW w:w="940" w:type="dxa"/>
            <w:vAlign w:val="bottom"/>
            <w:gridSpan w:val="3"/>
          </w:tcPr>
          <w:p>
            <w:pPr>
              <w:ind w:left="200"/>
              <w:spacing w:after="0"/>
              <w:rPr>
                <w:sz w:val="20"/>
                <w:szCs w:val="20"/>
                <w:color w:val="auto"/>
              </w:rPr>
            </w:pPr>
            <w:r>
              <w:rPr>
                <w:rFonts w:ascii="Arial" w:cs="Arial" w:eastAsia="Arial" w:hAnsi="Arial"/>
                <w:sz w:val="14"/>
                <w:szCs w:val="14"/>
                <w:color w:val="auto"/>
              </w:rPr>
              <w:t>Form</w:t>
            </w:r>
          </w:p>
        </w:tc>
        <w:tc>
          <w:tcPr>
            <w:tcW w:w="1740" w:type="dxa"/>
            <w:vAlign w:val="bottom"/>
            <w:gridSpan w:val="2"/>
          </w:tcPr>
          <w:p>
            <w:pPr>
              <w:ind w:left="400"/>
              <w:spacing w:after="0"/>
              <w:rPr>
                <w:sz w:val="20"/>
                <w:szCs w:val="20"/>
                <w:color w:val="auto"/>
              </w:rPr>
            </w:pPr>
            <w:r>
              <w:rPr>
                <w:rFonts w:ascii="Arial" w:cs="Arial" w:eastAsia="Arial" w:hAnsi="Arial"/>
                <w:sz w:val="14"/>
                <w:szCs w:val="14"/>
                <w:color w:val="auto"/>
              </w:rPr>
              <w:t>SEC File No.</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rPr>
              <w:t>No.</w:t>
            </w:r>
          </w:p>
        </w:tc>
        <w:tc>
          <w:tcPr>
            <w:tcW w:w="10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195"/>
        </w:trPr>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top w:val="single" w:sz="8" w:color="auto"/>
            </w:tcBorders>
          </w:tcPr>
          <w:p>
            <w:pPr>
              <w:jc w:val="center"/>
              <w:ind w:left="31"/>
              <w:spacing w:after="0" w:line="195" w:lineRule="exact"/>
              <w:rPr>
                <w:sz w:val="20"/>
                <w:szCs w:val="20"/>
                <w:color w:val="auto"/>
              </w:rPr>
            </w:pPr>
            <w:r>
              <w:rPr>
                <w:rFonts w:ascii="Arial" w:cs="Arial" w:eastAsia="Arial" w:hAnsi="Arial"/>
                <w:sz w:val="18"/>
                <w:szCs w:val="18"/>
                <w:color w:val="auto"/>
                <w:w w:val="99"/>
              </w:rPr>
              <w:t>10-K</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Borders>
              <w:top w:val="single" w:sz="8" w:color="auto"/>
            </w:tcBorders>
          </w:tcPr>
          <w:p>
            <w:pPr>
              <w:jc w:val="center"/>
              <w:ind w:left="33"/>
              <w:spacing w:after="0" w:line="195" w:lineRule="exact"/>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6"/>
                <w:szCs w:val="16"/>
                <w:color w:val="auto"/>
              </w:rPr>
            </w:pPr>
          </w:p>
        </w:tc>
        <w:tc>
          <w:tcPr>
            <w:tcW w:w="680" w:type="dxa"/>
            <w:vAlign w:val="bottom"/>
            <w:tcBorders>
              <w:top w:val="single" w:sz="8" w:color="auto"/>
            </w:tcBorders>
          </w:tcPr>
          <w:p>
            <w:pPr>
              <w:jc w:val="center"/>
              <w:ind w:left="33"/>
              <w:spacing w:after="0" w:line="195" w:lineRule="exact"/>
              <w:rPr>
                <w:sz w:val="20"/>
                <w:szCs w:val="20"/>
                <w:color w:val="auto"/>
              </w:rPr>
            </w:pPr>
            <w:r>
              <w:rPr>
                <w:rFonts w:ascii="Arial" w:cs="Arial" w:eastAsia="Arial" w:hAnsi="Arial"/>
                <w:sz w:val="18"/>
                <w:szCs w:val="18"/>
                <w:color w:val="auto"/>
                <w:w w:val="88"/>
              </w:rPr>
              <w:t>10.16</w:t>
            </w:r>
          </w:p>
        </w:tc>
        <w:tc>
          <w:tcPr>
            <w:tcW w:w="16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2/17/15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10-K</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8"/>
              </w:rPr>
              <w:t>10.17</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2/17/15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10-K</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18"/>
                <w:szCs w:val="18"/>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8"/>
              </w:rPr>
              <w:t>10.18</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2/17/15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10-Q</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20"/>
                <w:szCs w:val="20"/>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7/24/13</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10-Q</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7/24/13</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10-K</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8"/>
              </w:rPr>
              <w:t>10.21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2/11/14</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10-Q</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5/23/16</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10-Q</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5/6/14</w:t>
            </w:r>
          </w:p>
        </w:tc>
        <w:tc>
          <w:tcPr>
            <w:tcW w:w="0" w:type="dxa"/>
            <w:vAlign w:val="bottom"/>
          </w:tcPr>
          <w:p>
            <w:pPr>
              <w:spacing w:after="0"/>
              <w:rPr>
                <w:sz w:val="1"/>
                <w:szCs w:val="1"/>
                <w:color w:val="auto"/>
              </w:rPr>
            </w:pPr>
          </w:p>
        </w:tc>
      </w:tr>
      <w:tr>
        <w:trPr>
          <w:trHeight w:val="432"/>
        </w:trPr>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X</w:t>
            </w:r>
          </w:p>
        </w:tc>
        <w:tc>
          <w:tcPr>
            <w:tcW w:w="940" w:type="dxa"/>
            <w:vAlign w:val="bottom"/>
            <w:gridSpan w:val="3"/>
          </w:tcPr>
          <w:p>
            <w:pPr>
              <w:jc w:val="center"/>
              <w:ind w:right="60"/>
              <w:spacing w:after="0"/>
              <w:rPr>
                <w:sz w:val="20"/>
                <w:szCs w:val="20"/>
                <w:color w:val="auto"/>
              </w:rPr>
            </w:pPr>
            <w:r>
              <w:rPr>
                <w:rFonts w:ascii="Arial" w:cs="Arial" w:eastAsia="Arial" w:hAnsi="Arial"/>
                <w:sz w:val="18"/>
                <w:szCs w:val="18"/>
                <w:color w:val="auto"/>
                <w:w w:val="85"/>
              </w:rPr>
              <w:t>S-8</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89"/>
              </w:rPr>
              <w:t>333-198726</w:t>
            </w:r>
          </w:p>
        </w:tc>
        <w:tc>
          <w:tcPr>
            <w:tcW w:w="1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1"/>
              </w:rPr>
              <w:t>16.1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9/12/14</w:t>
            </w:r>
          </w:p>
        </w:tc>
        <w:tc>
          <w:tcPr>
            <w:tcW w:w="0" w:type="dxa"/>
            <w:vAlign w:val="bottom"/>
          </w:tcPr>
          <w:p>
            <w:pPr>
              <w:spacing w:after="0"/>
              <w:rPr>
                <w:sz w:val="1"/>
                <w:szCs w:val="1"/>
                <w:color w:val="auto"/>
              </w:rPr>
            </w:pPr>
          </w:p>
        </w:tc>
      </w:tr>
      <w:tr>
        <w:trPr>
          <w:trHeight w:val="164"/>
        </w:trPr>
        <w:tc>
          <w:tcPr>
            <w:tcW w:w="9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5"/>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10-Q</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5/6/15</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8-K</w:t>
            </w: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001-35362</w:t>
            </w:r>
          </w:p>
        </w:tc>
        <w:tc>
          <w:tcPr>
            <w:tcW w:w="1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6/30/15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8-K</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880" w:type="dxa"/>
            <w:vAlign w:val="bottom"/>
          </w:tcPr>
          <w:p>
            <w:pPr>
              <w:jc w:val="right"/>
              <w:spacing w:after="0"/>
              <w:rPr>
                <w:sz w:val="20"/>
                <w:szCs w:val="20"/>
                <w:color w:val="auto"/>
              </w:rPr>
            </w:pPr>
            <w:r>
              <w:rPr>
                <w:rFonts w:ascii="Arial" w:cs="Arial" w:eastAsia="Arial" w:hAnsi="Arial"/>
                <w:sz w:val="18"/>
                <w:szCs w:val="18"/>
                <w:color w:val="auto"/>
              </w:rPr>
              <w:t>10/8/15</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8-K</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880" w:type="dxa"/>
            <w:vAlign w:val="bottom"/>
          </w:tcPr>
          <w:p>
            <w:pPr>
              <w:jc w:val="right"/>
              <w:spacing w:after="0"/>
              <w:rPr>
                <w:sz w:val="20"/>
                <w:szCs w:val="20"/>
                <w:color w:val="auto"/>
              </w:rPr>
            </w:pPr>
            <w:r>
              <w:rPr>
                <w:rFonts w:ascii="Arial" w:cs="Arial" w:eastAsia="Arial" w:hAnsi="Arial"/>
                <w:sz w:val="18"/>
                <w:szCs w:val="18"/>
                <w:color w:val="auto"/>
              </w:rPr>
              <w:t>11/17/16</w:t>
            </w:r>
          </w:p>
        </w:tc>
      </w:tr>
    </w:tbl>
    <w:p>
      <w:pPr>
        <w:spacing w:after="0" w:line="19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X</w:t>
      </w:r>
    </w:p>
    <w:p>
      <w:pPr>
        <w:spacing w:after="0" w:line="27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X</w:t>
      </w:r>
    </w:p>
    <w:p>
      <w:pPr>
        <w:spacing w:after="0" w:line="27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X</w:t>
      </w:r>
    </w:p>
    <w:p>
      <w:pPr>
        <w:spacing w:after="0" w:line="27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5900" w:space="60"/>
            <w:col w:w="5480"/>
          </w:cols>
          <w:pgMar w:left="240" w:top="337" w:right="2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99"/>
              </w:rPr>
              <w:t>Exhibit</w:t>
            </w:r>
          </w:p>
        </w:tc>
        <w:tc>
          <w:tcPr>
            <w:tcW w:w="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8"/>
              </w:rPr>
              <w:t>Filed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gridSpan w:val="4"/>
          </w:tcPr>
          <w:p>
            <w:pPr>
              <w:ind w:left="420"/>
              <w:spacing w:after="0"/>
              <w:rPr>
                <w:sz w:val="20"/>
                <w:szCs w:val="20"/>
                <w:color w:val="auto"/>
              </w:rPr>
            </w:pPr>
            <w:r>
              <w:rPr>
                <w:rFonts w:ascii="Arial" w:cs="Arial" w:eastAsia="Arial" w:hAnsi="Arial"/>
                <w:sz w:val="14"/>
                <w:szCs w:val="14"/>
                <w:color w:val="auto"/>
              </w:rPr>
              <w:t>Incorporated by Reference</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Exhibit</w:t>
            </w: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No.</w:t>
            </w:r>
          </w:p>
        </w:tc>
        <w:tc>
          <w:tcPr>
            <w:tcW w:w="80" w:type="dxa"/>
            <w:vAlign w:val="bottom"/>
          </w:tcPr>
          <w:p>
            <w:pPr>
              <w:spacing w:after="0"/>
              <w:rPr>
                <w:sz w:val="14"/>
                <w:szCs w:val="14"/>
                <w:color w:val="auto"/>
              </w:rPr>
            </w:pPr>
          </w:p>
        </w:tc>
        <w:tc>
          <w:tcPr>
            <w:tcW w:w="5080" w:type="dxa"/>
            <w:vAlign w:val="bottom"/>
            <w:gridSpan w:val="2"/>
          </w:tcPr>
          <w:p>
            <w:pPr>
              <w:ind w:left="1960"/>
              <w:spacing w:after="0"/>
              <w:rPr>
                <w:sz w:val="20"/>
                <w:szCs w:val="20"/>
                <w:color w:val="auto"/>
              </w:rPr>
            </w:pPr>
            <w:r>
              <w:rPr>
                <w:rFonts w:ascii="Arial" w:cs="Arial" w:eastAsia="Arial" w:hAnsi="Arial"/>
                <w:sz w:val="14"/>
                <w:szCs w:val="14"/>
                <w:color w:val="auto"/>
              </w:rPr>
              <w:t>Exhibit Description</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Herewith</w:t>
            </w:r>
          </w:p>
        </w:tc>
        <w:tc>
          <w:tcPr>
            <w:tcW w:w="920" w:type="dxa"/>
            <w:vAlign w:val="bottom"/>
            <w:gridSpan w:val="3"/>
          </w:tcPr>
          <w:p>
            <w:pPr>
              <w:ind w:left="200"/>
              <w:spacing w:after="0"/>
              <w:rPr>
                <w:sz w:val="20"/>
                <w:szCs w:val="20"/>
                <w:color w:val="auto"/>
              </w:rPr>
            </w:pPr>
            <w:r>
              <w:rPr>
                <w:rFonts w:ascii="Arial" w:cs="Arial" w:eastAsia="Arial" w:hAnsi="Arial"/>
                <w:sz w:val="14"/>
                <w:szCs w:val="14"/>
                <w:color w:val="auto"/>
              </w:rPr>
              <w:t>Form</w:t>
            </w: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SEC File No.</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rPr>
              <w:t>No.</w:t>
            </w:r>
          </w:p>
        </w:tc>
        <w:tc>
          <w:tcPr>
            <w:tcW w:w="10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Certification of the Chief Financial Officer pursuant Section 906 of</w:t>
            </w:r>
          </w:p>
        </w:tc>
        <w:tc>
          <w:tcPr>
            <w:tcW w:w="6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60" w:type="dxa"/>
            <w:vAlign w:val="bottom"/>
            <w:gridSpan w:val="3"/>
          </w:tcPr>
          <w:p>
            <w:pPr>
              <w:ind w:left="80"/>
              <w:spacing w:after="0"/>
              <w:rPr>
                <w:sz w:val="20"/>
                <w:szCs w:val="20"/>
                <w:color w:val="auto"/>
              </w:rPr>
            </w:pPr>
            <w:r>
              <w:rPr>
                <w:rFonts w:ascii="Arial" w:cs="Arial" w:eastAsia="Arial" w:hAnsi="Arial"/>
                <w:sz w:val="18"/>
                <w:szCs w:val="18"/>
                <w:color w:val="auto"/>
              </w:rPr>
              <w:t>the Sarbanes-Oxley Act of 2002</w:t>
            </w: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rPr>
              <w:t>X</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5160" w:type="dxa"/>
            <w:vAlign w:val="bottom"/>
            <w:gridSpan w:val="3"/>
          </w:tcPr>
          <w:p>
            <w:pPr>
              <w:ind w:left="80"/>
              <w:spacing w:after="0"/>
              <w:rPr>
                <w:sz w:val="20"/>
                <w:szCs w:val="20"/>
                <w:color w:val="auto"/>
              </w:rPr>
            </w:pPr>
            <w:r>
              <w:rPr>
                <w:rFonts w:ascii="Arial" w:cs="Arial" w:eastAsia="Arial" w:hAnsi="Arial"/>
                <w:sz w:val="18"/>
                <w:szCs w:val="18"/>
                <w:color w:val="auto"/>
              </w:rPr>
              <w:t>The following financial statements from the Company’s Annual</w:t>
            </w:r>
          </w:p>
        </w:tc>
        <w:tc>
          <w:tcPr>
            <w:tcW w:w="9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60" w:type="dxa"/>
            <w:vAlign w:val="bottom"/>
            <w:gridSpan w:val="3"/>
          </w:tcPr>
          <w:p>
            <w:pPr>
              <w:ind w:left="80"/>
              <w:spacing w:after="0"/>
              <w:rPr>
                <w:sz w:val="20"/>
                <w:szCs w:val="20"/>
                <w:color w:val="auto"/>
              </w:rPr>
            </w:pPr>
            <w:r>
              <w:rPr>
                <w:rFonts w:ascii="Arial" w:cs="Arial" w:eastAsia="Arial" w:hAnsi="Arial"/>
                <w:sz w:val="18"/>
                <w:szCs w:val="18"/>
                <w:color w:val="auto"/>
              </w:rPr>
              <w:t>Report on Form 10-K for the year ended December 31, 2016,</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60" w:type="dxa"/>
            <w:vAlign w:val="bottom"/>
            <w:gridSpan w:val="3"/>
          </w:tcPr>
          <w:p>
            <w:pPr>
              <w:ind w:left="80"/>
              <w:spacing w:after="0"/>
              <w:rPr>
                <w:sz w:val="20"/>
                <w:szCs w:val="20"/>
                <w:color w:val="auto"/>
              </w:rPr>
            </w:pPr>
            <w:r>
              <w:rPr>
                <w:rFonts w:ascii="Arial" w:cs="Arial" w:eastAsia="Arial" w:hAnsi="Arial"/>
                <w:sz w:val="18"/>
                <w:szCs w:val="18"/>
                <w:color w:val="auto"/>
                <w:w w:val="96"/>
              </w:rPr>
              <w:t>formatted in XBRL: (i) Consolidated Statements of Operations, (ii)</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0"/>
        <w:spacing w:after="0"/>
        <w:rPr>
          <w:sz w:val="20"/>
          <w:szCs w:val="20"/>
          <w:color w:val="auto"/>
        </w:rPr>
      </w:pPr>
      <w:r>
        <w:rPr>
          <w:rFonts w:ascii="Arial" w:cs="Arial" w:eastAsia="Arial" w:hAnsi="Arial"/>
          <w:sz w:val="18"/>
          <w:szCs w:val="18"/>
          <w:color w:val="auto"/>
        </w:rPr>
        <w:t>Consolidated Statements of Comprehensive Income, (iii)</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Balance Sheets, (iv) Consolidated Statements of</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Changes in Stockholders’ Equity, (v) Consolidated Statements of</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Cash Flows, and (vi) Notes to Consolidated Financial Statements.</w:t>
      </w:r>
    </w:p>
    <w:p>
      <w:pPr>
        <w:spacing w:after="0" w:line="211"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a compensatory plan, contract or arrangement.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86" w:lineRule="exact"/>
        <w:rPr>
          <w:rFonts w:ascii="Arial" w:cs="Arial" w:eastAsia="Arial" w:hAnsi="Arial"/>
          <w:sz w:val="18"/>
          <w:szCs w:val="18"/>
          <w:i w:val="1"/>
          <w:iCs w:val="1"/>
          <w:color w:val="auto"/>
        </w:rPr>
      </w:pPr>
    </w:p>
    <w:p>
      <w:pPr>
        <w:ind w:left="5580"/>
        <w:spacing w:after="0"/>
        <w:rPr>
          <w:rFonts w:ascii="Arial" w:cs="Arial" w:eastAsia="Arial" w:hAnsi="Arial"/>
          <w:sz w:val="18"/>
          <w:szCs w:val="18"/>
          <w:i w:val="1"/>
          <w:iCs w:val="1"/>
          <w:color w:val="auto"/>
        </w:rPr>
      </w:pPr>
      <w:r>
        <w:rPr>
          <w:rFonts w:ascii="Arial" w:cs="Arial" w:eastAsia="Arial" w:hAnsi="Arial"/>
          <w:sz w:val="18"/>
          <w:szCs w:val="18"/>
          <w:color w:val="auto"/>
        </w:rPr>
        <w:t>127</w:t>
      </w:r>
    </w:p>
    <w:p>
      <w:pPr>
        <w:sectPr>
          <w:pgSz w:w="11900" w:h="16838" w:orient="portrait"/>
          <w:cols w:equalWidth="0" w:num="1">
            <w:col w:w="11440"/>
          </w:cols>
          <w:pgMar w:left="240" w:top="337" w:right="21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10.24</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February 15, 2016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Mr. Dermot Halpin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Dear Dermot:</w:t>
      </w:r>
    </w:p>
    <w:p>
      <w:pPr>
        <w:spacing w:after="0" w:line="233" w:lineRule="exact"/>
        <w:rPr>
          <w:sz w:val="20"/>
          <w:szCs w:val="20"/>
          <w:color w:val="auto"/>
        </w:rPr>
      </w:pPr>
    </w:p>
    <w:p>
      <w:pPr>
        <w:jc w:val="both"/>
        <w:ind w:right="20" w:firstLine="877"/>
        <w:spacing w:after="0" w:line="274" w:lineRule="auto"/>
        <w:rPr>
          <w:sz w:val="20"/>
          <w:szCs w:val="20"/>
          <w:color w:val="auto"/>
        </w:rPr>
      </w:pPr>
      <w:r>
        <w:rPr>
          <w:rFonts w:ascii="Arial" w:cs="Arial" w:eastAsia="Arial" w:hAnsi="Arial"/>
          <w:sz w:val="21"/>
          <w:szCs w:val="21"/>
          <w:color w:val="auto"/>
        </w:rPr>
        <w:t>We are pleased to extend you this offer of continued employment as President, Vacation Rentals of TripAdvisor, LLC (the “Company”). This offer may be accepted by countersigning where indicated at the end of this letter.</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Duties and Extent of Service</w:t>
      </w:r>
    </w:p>
    <w:p>
      <w:pPr>
        <w:spacing w:after="0" w:line="212"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As President, Vacation Rentals you will have responsibility for performing those duties as are customary for, and are consistent with, such position, as well as those duties as the Company may from time to time designate (consistent with your role). You shall report directly to the Company’s Chief Executive Officer. You agree to abide by the rules, regulations, instructions, personnel practices and policies of the Company and any changes therein which may be adopted from time to time by the Company. Except for vacations and absences due to temporary illness, you will be expected to devote your full business time and effort to the business and affairs of the Company. Notwithstanding the foregoing, you may serve as a board member or consultant to one other entity with the prior written consent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1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In consideration of your continued employment with the Company, effective as of October 1, 2015, the Company will pay you a base salary of $390,000, payable in accordance with the Company’s standard payroll practices, as applicable. You will, for each calendar year, also be eligible to receive an annual discretionary bonus targeted at 50% of your base salary for the applicable year, subject to meeting individual and Company objectives, as determined by the Board of Directors of TripAdvisor, Inc., a Delaware corporation (“TripAdvisor”). Such annual bonuses will be paid to you at the same time that bonuses are paid to other Company executives and you shall be eligible for a full annual bonus if you are employed as of the last day of the applicable calendar year.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Additional Benefits</w:t>
      </w:r>
    </w:p>
    <w:p>
      <w:pPr>
        <w:spacing w:after="0" w:line="212"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You will be entitled to participate in such employee benefit plans and fringe benefits as may be offered or made available by the Company from time to time to its employees and to persons who are at the VP1 level or below. You will also be entitled to paid vacation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0" w:name="page131"/>
    <w:bookmarkEnd w:id="130"/>
    <w:p>
      <w:pPr>
        <w:jc w:val="both"/>
        <w:spacing w:after="0" w:line="238" w:lineRule="auto"/>
        <w:rPr>
          <w:sz w:val="20"/>
          <w:szCs w:val="20"/>
          <w:color w:val="auto"/>
        </w:rPr>
      </w:pPr>
      <w:r>
        <w:rPr>
          <w:rFonts w:ascii="Arial" w:cs="Arial" w:eastAsia="Arial" w:hAnsi="Arial"/>
          <w:sz w:val="22"/>
          <w:szCs w:val="22"/>
          <w:color w:val="auto"/>
        </w:rPr>
        <w:t xml:space="preserve">annually, based on your seniority (including prior service) in accordance with the Company’s standard policies,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you shall accrue at least 28 days of paid vacation each calendar year. In addition, you will be entitled to a personal travel allowance of $20,000 per year, grossed up for taxes, and the Company agrees to reimburse you for expenses associated with the preparation and filing of tax returns for years 2015 and 2016.</w:t>
      </w:r>
    </w:p>
    <w:p>
      <w:pPr>
        <w:spacing w:after="0" w:line="185"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Your participation in such employee benefit plans and fringe benefits, and the amount and nature of the benefits to which you shall be entitled thereunder or in connection therewith, shall be subject to the terms and conditions of such employee benefit plans and fringe benefits.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Confidentiality, Non-Competition, Non-Solicitation and Assignment</w:t>
      </w:r>
    </w:p>
    <w:p>
      <w:pPr>
        <w:spacing w:after="0" w:line="200" w:lineRule="exact"/>
        <w:rPr>
          <w:sz w:val="20"/>
          <w:szCs w:val="20"/>
          <w:color w:val="auto"/>
        </w:rPr>
      </w:pPr>
    </w:p>
    <w:p>
      <w:pPr>
        <w:spacing w:after="0" w:line="255" w:lineRule="exact"/>
        <w:rPr>
          <w:sz w:val="20"/>
          <w:szCs w:val="20"/>
          <w:color w:val="auto"/>
        </w:rPr>
      </w:pPr>
    </w:p>
    <w:p>
      <w:pPr>
        <w:ind w:right="60" w:firstLine="885"/>
        <w:spacing w:after="0" w:line="242" w:lineRule="auto"/>
        <w:tabs>
          <w:tab w:leader="none" w:pos="1779" w:val="left"/>
        </w:tabs>
        <w:numPr>
          <w:ilvl w:val="0"/>
          <w:numId w:val="69"/>
        </w:numPr>
        <w:rPr>
          <w:rFonts w:ascii="Arial" w:cs="Arial" w:eastAsia="Arial" w:hAnsi="Arial"/>
          <w:sz w:val="21"/>
          <w:szCs w:val="21"/>
          <w:color w:val="auto"/>
        </w:rPr>
      </w:pPr>
      <w:r>
        <w:rPr>
          <w:rFonts w:ascii="Arial" w:cs="Arial" w:eastAsia="Arial" w:hAnsi="Arial"/>
          <w:sz w:val="21"/>
          <w:szCs w:val="21"/>
          <w:color w:val="auto"/>
        </w:rPr>
        <w:t>You acknowledge that while employed by the Company you will occupy a position of trust and confidence. The Company has provided and shall continue to provide you with Confidential Information (as defined below). You shall hold in a fiduciary capacity for benefit of the Company and its subsidiaries and affiliates, and shall not, except as may be required to perform your duties hereunder or as required by applicable law, without limitation in time, communicate, divulge, disseminate, disclose to others or otherwise use, whether directly or indirectly, any Confidential Information. “Confidential Information” shall mean information about the Company or any of its subsidiaries or affiliates, and their respective businesses, employees, consultants, contractors, suppliers, clients and customers that is not disclosed by the Company or any of its subsidiaries or affiliates for financial reporting purposes and that was learned by you in the course of employment by the Company or any of its subsidiaries or affiliates, including (without limitation) any proprietary knowledge, trade secrets, data, formulae, processes, methods, research, secret data, costs, names of users or purchasers of their respective products or services, business methods, operating procedures or programs or methods of promotion and sale, information relating to accounting or tax strategies and data, information and client and customer lists and all papers, resumes, and records (including computer records) of the documents containing such Confidential Information. For purposes of this agreement, information shall not cease to be Confidential Information merely because it is embraced by general disclosures for financial reporting purposes or because individual features or combinations thereof are publicly available. Notwithstanding the foregoing provisions, if you are required to disclose any such confidential or proprietary information pursuant to applicable law or a subpoena or court order, you shall promptly notify the Company in writing of any such requirement so that the Company may seek an appropriate protective order or other appropriate remedy or waive compliance with the provisions hereof. You shall reasonably cooperate with the Company to obtain such a protective order or other remedy. If such order or other remedy is not obtained prior to the time you are required to make the disclosure, or the Company waives compliance with the provisions hereof, you shall disclose only that portion of the confidential or proprietary information which he is advised by counsel that he is legally required to so disclose. You acknowledge that such Confidential Information is specialized, unique in nature and of great value to the Company and its subsidiaries or affiliates, and that such information gives the Company and its subsidiaries or affiliates a competitive advantage. You agree to deliver or return to the Company, at the Company’s request at any time or upon termination or expiration of your employment, all documents, computer tapes and disks, plans, initiatives, strategies, records, lists,</w:t>
      </w:r>
    </w:p>
    <w:p>
      <w:pPr>
        <w:spacing w:after="0" w:line="205" w:lineRule="exact"/>
        <w:rPr>
          <w:rFonts w:ascii="Arial" w:cs="Arial" w:eastAsia="Arial" w:hAnsi="Arial"/>
          <w:sz w:val="21"/>
          <w:szCs w:val="21"/>
          <w:color w:val="auto"/>
        </w:rPr>
      </w:pPr>
    </w:p>
    <w:p>
      <w:pPr>
        <w:ind w:left="5660" w:hanging="137"/>
        <w:spacing w:after="0"/>
        <w:tabs>
          <w:tab w:leader="none" w:pos="56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31" w:name="page132"/>
    <w:bookmarkEnd w:id="131"/>
    <w:p>
      <w:pPr>
        <w:ind w:right="240"/>
        <w:spacing w:after="0" w:line="234" w:lineRule="auto"/>
        <w:rPr>
          <w:sz w:val="20"/>
          <w:szCs w:val="20"/>
          <w:color w:val="auto"/>
        </w:rPr>
      </w:pPr>
      <w:r>
        <w:rPr>
          <w:rFonts w:ascii="Arial" w:cs="Arial" w:eastAsia="Arial" w:hAnsi="Arial"/>
          <w:sz w:val="22"/>
          <w:szCs w:val="22"/>
          <w:color w:val="auto"/>
        </w:rPr>
        <w:t>data, drawings, prints, notes and written information (and all copies thereof) created by or on behalf of the Company or its subsidiaries or affiliates or prepared by you in the course of your employment by the Company and its subsidiaries or affiliates. As used in this Agreement, “subsidiaries” and “affiliates” shall mean any company that directly or indirectly through one or more intermediaries, controls, is controlled by, or is under common control with the Company.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218" w:lineRule="exact"/>
        <w:rPr>
          <w:sz w:val="20"/>
          <w:szCs w:val="20"/>
          <w:color w:val="auto"/>
        </w:rPr>
      </w:pPr>
    </w:p>
    <w:p>
      <w:pPr>
        <w:ind w:right="20" w:firstLine="885"/>
        <w:spacing w:after="0" w:line="270" w:lineRule="auto"/>
        <w:tabs>
          <w:tab w:leader="none" w:pos="1791" w:val="left"/>
        </w:tabs>
        <w:numPr>
          <w:ilvl w:val="1"/>
          <w:numId w:val="70"/>
        </w:numPr>
        <w:rPr>
          <w:rFonts w:ascii="Arial" w:cs="Arial" w:eastAsia="Arial" w:hAnsi="Arial"/>
          <w:sz w:val="19"/>
          <w:szCs w:val="19"/>
          <w:color w:val="auto"/>
        </w:rPr>
      </w:pPr>
      <w:r>
        <w:rPr>
          <w:rFonts w:ascii="Arial" w:cs="Arial" w:eastAsia="Arial" w:hAnsi="Arial"/>
          <w:sz w:val="19"/>
          <w:szCs w:val="19"/>
          <w:color w:val="auto"/>
        </w:rPr>
        <w:t>In consideration of the Company’s promise to disclose, and disclosure of, its Confidential Information and other good and valuable consideration provided hereunder, the receipt and sufficiency of which you hereby acknowledge, you agree and covenant that from the date hereof and until nine months beyond your date of Termination of Employment from the Company or any of its subsidiaries or affiliates for any reason (the “Restricted Period”), you shall not, directly or indirectly, engage in, assist or become associated with a Competitive Activity. For purposes of this agreement,</w:t>
      </w:r>
    </w:p>
    <w:p>
      <w:pPr>
        <w:spacing w:after="0" w:line="4" w:lineRule="exact"/>
        <w:rPr>
          <w:rFonts w:ascii="Arial" w:cs="Arial" w:eastAsia="Arial" w:hAnsi="Arial"/>
          <w:sz w:val="19"/>
          <w:szCs w:val="19"/>
          <w:color w:val="auto"/>
        </w:rPr>
      </w:pPr>
    </w:p>
    <w:p>
      <w:pPr>
        <w:ind w:firstLine="8"/>
        <w:spacing w:after="0" w:line="242" w:lineRule="auto"/>
        <w:tabs>
          <w:tab w:leader="none" w:pos="276"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a “Competitive Activity” means, at the time of your termination, any business or other endeavor in any jurisdiction of a kind being conducted by the Company or any of its subsidiaries or affiliates (or demonstrably anticipated by the Company or its subsidiaries or affiliates and, for avoidance of doubt, such affiliates to exclude Liberty Media Corporation, Liberty Interactive Corporation, Liberty TripAdvisor Holdings, Inc. or any of their respective subsidiaries), in any jurisdiction as of the date hereof or at any time thereafter; and (ii) you shall be considered to have become “associated with a Competitive Activity” if you becomes directly or indirectly involved as an owner, principal, employee, officer, director, independent contractor, representative, stockholder, financial backer, agent, partner, advisor, lender, or in any other individual or representative capacity with any individual, partnership, corporation or other organization that is engaged in a Competitive Activity. Notwithstanding the foregoing, (i) you may make and retain investments during the Restricted Period, for investment purposes only, in less than 5% of the outstanding capital stock of any publicly-traded corporation engaged in a Competitive Activity if stock of such corporation is either listed on a national stock exchange or on the NASDAQ National Market System if you are not otherwise affiliated with such corporation; (ii) you may serve as an employee or partner (or otherwise invest or hold an ownership interest) in an investment firm that has an ownership interest in a partnership, corporation or other organization that is engaged in a Competitive Activity,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ownership interest does not constitute greater than 20% of such investment firm’s total assets under management and you are not directly involved with the provision of direction or management of such entity engaged in the Competitive Activity, including the investment decisions thereof; and (iii) you may serve as an employee of or partner (or otherwise hold an ownership interest) in a consultancy or investment bank engaged in providing advisory services to entities engaged in Competitive Activities,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you are not directly involved in the provision of the advisory services to such entities engaged in the Competitive Activity. Notwithstanding the foregoing, to the extent that, solely due to a change in scope of the business of the Company or any of its subsidiaries or affiliates (e.g., by virtue of an acquisition or strategic change), you have become “associated with a Competitive Activity” (i.e., for purposes of clarity, your activity prior to such change in scope was permissible under this section), then you shall have a reasonable period of time, not to exceed 12 months, to cure such association with a Competitive Activity, including by resignation (if personal services), liquidation or</w:t>
      </w:r>
    </w:p>
    <w:p>
      <w:pPr>
        <w:spacing w:after="0" w:line="188" w:lineRule="exact"/>
        <w:rPr>
          <w:rFonts w:ascii="Arial" w:cs="Arial" w:eastAsia="Arial" w:hAnsi="Arial"/>
          <w:sz w:val="21"/>
          <w:szCs w:val="21"/>
          <w:color w:val="auto"/>
        </w:rPr>
      </w:pPr>
    </w:p>
    <w:p>
      <w:pPr>
        <w:ind w:left="5660" w:hanging="137"/>
        <w:spacing w:after="0"/>
        <w:tabs>
          <w:tab w:leader="none" w:pos="5660" w:val="left"/>
        </w:tabs>
        <w:numPr>
          <w:ilvl w:val="2"/>
          <w:numId w:val="71"/>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132" w:name="page133"/>
    <w:bookmarkEnd w:id="132"/>
    <w:p>
      <w:pPr>
        <w:ind w:right="300"/>
        <w:spacing w:after="0" w:line="251" w:lineRule="auto"/>
        <w:rPr>
          <w:sz w:val="20"/>
          <w:szCs w:val="20"/>
          <w:color w:val="auto"/>
        </w:rPr>
      </w:pPr>
      <w:r>
        <w:rPr>
          <w:rFonts w:ascii="Arial" w:cs="Arial" w:eastAsia="Arial" w:hAnsi="Arial"/>
          <w:sz w:val="22"/>
          <w:szCs w:val="22"/>
          <w:color w:val="auto"/>
        </w:rPr>
        <w:t>unwinding (if investment-related) or eliminating any activity or involvement with such entity engaged in the Competitive Activity, in all cases on such terms as are reasonably acceptable to the Company.</w:t>
      </w:r>
    </w:p>
    <w:p>
      <w:pPr>
        <w:spacing w:after="0" w:line="200" w:lineRule="exact"/>
        <w:rPr>
          <w:sz w:val="20"/>
          <w:szCs w:val="20"/>
          <w:color w:val="auto"/>
        </w:rPr>
      </w:pPr>
    </w:p>
    <w:p>
      <w:pPr>
        <w:ind w:firstLine="885"/>
        <w:spacing w:after="0" w:line="270" w:lineRule="auto"/>
        <w:tabs>
          <w:tab w:leader="none" w:pos="1779"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You recognize that you will possess Confidential Information about other employees, officers, directors, agents, consultants and independent contractors of the Company and its subsidiaries or affiliates relating to their education, experience, skills, abilities, compensation and benefits, and inter-personal relationships with suppliers to and customers of the Company and its subsidiaries or affiliates. You recognize that the information you will possess about these employees, officers, directors, agents, consultants and independent contractors is not generally known, is of substantial value to the Company and its subsidiaries or affiliates in developing their respective businesses and in securing and retaining customers, and will be acquired by you because of your business position with the Company. You agree (i) that, during the Restricted Period, you will not, directly or indirectly, hire or solicit or recruit the employment or services of (i.e., whether as an employee, officer, director, agent, consultant or independent contractor), or encourage to change such person’s relationship with the Company or any of its subsidiaries or affiliates, any employee, officer, director, agent, consultant or independent contractor of the Company or any of its subsidiaries or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general solicitation of the public for employment (and any hiring pursuant thereto) shall not constitute a solicitation hereunder so long as such general solicitation is not designed to target, or does not have the effect of targeting, any employee, officer, director, agent, consultant or independent contractor of the Company or any of its subsidiaries or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hiring, solicitation or engagement (i.e., on a non-exclusive basis) of third-party professional advisors (e.g., law firms, accountancies) shall not constitute recruitment hereunder and (ii) that you will not convey any Confidential Information or trade secrets about any employees, officers, directors, agents, consultants and independent contractors of the Company or any of its subsidiaries or affiliates to any other person except within the scope of your duties ereunder.</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firstLine="885"/>
        <w:spacing w:after="0" w:line="279" w:lineRule="auto"/>
        <w:tabs>
          <w:tab w:leader="none" w:pos="1791" w:val="left"/>
        </w:tabs>
        <w:numPr>
          <w:ilvl w:val="1"/>
          <w:numId w:val="72"/>
        </w:numPr>
        <w:rPr>
          <w:rFonts w:ascii="Arial" w:cs="Arial" w:eastAsia="Arial" w:hAnsi="Arial"/>
          <w:sz w:val="19"/>
          <w:szCs w:val="19"/>
          <w:color w:val="auto"/>
        </w:rPr>
      </w:pPr>
      <w:r>
        <w:rPr>
          <w:rFonts w:ascii="Arial" w:cs="Arial" w:eastAsia="Arial" w:hAnsi="Arial"/>
          <w:sz w:val="19"/>
          <w:szCs w:val="19"/>
          <w:color w:val="auto"/>
        </w:rPr>
        <w:t>During the Restricted Period, you shall not, without the prior written consent of the Company, directly or indirectly, solicit, attempt to do business with, or do business with any customers of, suppliers (including providers of travel inventory) to, business partners of or business affiliates of the Company or any of its subsidiaries or affiliates (collectively, “Trade Relationships”) on behalf of any entity engaged in a Competitive Activity, or encourage (regardless of who initiates the contact) any Trade Relationship to use the services of any competitor of the Company or its subsidiaries or affiliates, or encourage any Trade Relationship to change its relationship with the Company or its subsidiaries or affiliates.</w:t>
      </w:r>
    </w:p>
    <w:p>
      <w:pPr>
        <w:spacing w:after="0" w:line="177" w:lineRule="exact"/>
        <w:rPr>
          <w:rFonts w:ascii="Arial" w:cs="Arial" w:eastAsia="Arial" w:hAnsi="Arial"/>
          <w:sz w:val="19"/>
          <w:szCs w:val="19"/>
          <w:color w:val="auto"/>
        </w:rPr>
      </w:pPr>
    </w:p>
    <w:p>
      <w:pPr>
        <w:ind w:firstLine="885"/>
        <w:spacing w:after="0" w:line="273" w:lineRule="auto"/>
        <w:tabs>
          <w:tab w:leader="none" w:pos="1779" w:val="left"/>
        </w:tabs>
        <w:numPr>
          <w:ilvl w:val="1"/>
          <w:numId w:val="72"/>
        </w:numPr>
        <w:rPr>
          <w:rFonts w:ascii="Arial" w:cs="Arial" w:eastAsia="Arial" w:hAnsi="Arial"/>
          <w:sz w:val="19"/>
          <w:szCs w:val="19"/>
          <w:color w:val="auto"/>
        </w:rPr>
      </w:pPr>
      <w:r>
        <w:rPr>
          <w:rFonts w:ascii="Arial" w:cs="Arial" w:eastAsia="Arial" w:hAnsi="Arial"/>
          <w:sz w:val="19"/>
          <w:szCs w:val="19"/>
          <w:color w:val="auto"/>
        </w:rPr>
        <w:t>All Executive Developments (as defined below) shall be made for hire by you for the Company or any of its subsidiaries or affiliates. “Executive Developments” means any idea, discovery, invention, design, method, technique, improvement, enhancement, development, computer program, machine, algorithm or other work or authorship, in each case,</w:t>
      </w:r>
    </w:p>
    <w:p>
      <w:pPr>
        <w:spacing w:after="0" w:line="1" w:lineRule="exact"/>
        <w:rPr>
          <w:rFonts w:ascii="Arial" w:cs="Arial" w:eastAsia="Arial" w:hAnsi="Arial"/>
          <w:sz w:val="19"/>
          <w:szCs w:val="19"/>
          <w:color w:val="auto"/>
        </w:rPr>
      </w:pPr>
    </w:p>
    <w:p>
      <w:pPr>
        <w:ind w:right="80" w:firstLine="8"/>
        <w:spacing w:after="0" w:line="246" w:lineRule="auto"/>
        <w:tabs>
          <w:tab w:leader="none" w:pos="276"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that (A) relates to the business or operations of the Company or any of its subsidiaries or affiliates, or (B) results from or is suggested by any undertaking assigned to you or work performed by you for or on behalf of the Company or any of its subsidiaries or affiliates, whether created alone or with others, during or after working hours and (ii) that is conceived or developed during the Term. All Confidential Information and all Executive Developments shall remain the sole</w:t>
      </w:r>
    </w:p>
    <w:p>
      <w:pPr>
        <w:spacing w:after="0" w:line="180" w:lineRule="exact"/>
        <w:rPr>
          <w:rFonts w:ascii="Arial" w:cs="Arial" w:eastAsia="Arial" w:hAnsi="Arial"/>
          <w:sz w:val="21"/>
          <w:szCs w:val="21"/>
          <w:color w:val="auto"/>
        </w:rPr>
      </w:pPr>
    </w:p>
    <w:p>
      <w:pPr>
        <w:ind w:left="5660" w:hanging="137"/>
        <w:spacing w:after="0"/>
        <w:tabs>
          <w:tab w:leader="none" w:pos="5660" w:val="left"/>
        </w:tabs>
        <w:numPr>
          <w:ilvl w:val="2"/>
          <w:numId w:val="73"/>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61" w:right="319" w:bottom="1440" w:gutter="0" w:footer="0" w:header="0"/>
        </w:sectPr>
      </w:pPr>
    </w:p>
    <w:bookmarkStart w:id="133" w:name="page134"/>
    <w:bookmarkEnd w:id="133"/>
    <w:p>
      <w:pPr>
        <w:ind w:right="120"/>
        <w:spacing w:after="0" w:line="234" w:lineRule="auto"/>
        <w:rPr>
          <w:sz w:val="20"/>
          <w:szCs w:val="20"/>
          <w:color w:val="auto"/>
        </w:rPr>
      </w:pPr>
      <w:r>
        <w:rPr>
          <w:rFonts w:ascii="Arial" w:cs="Arial" w:eastAsia="Arial" w:hAnsi="Arial"/>
          <w:sz w:val="22"/>
          <w:szCs w:val="22"/>
          <w:color w:val="auto"/>
        </w:rPr>
        <w:t>property of the Company or any of its subsidiaries or affiliates. You shall acquire no proprietary interest in any Confidential Information or Executive Developments developed or acquired during the Term. To the extent you may, by operation of law or otherwise, acquire any right, title or interest in or to any Confidential Information or Executive Development, you hereby assign to the Company all such proprietary rights. You shall, both during and after the Term, upon the Company’s request, promptly execute and deliver to the Company all such assignments, certificates and instruments, and shall promptly perform such other acts, as the Company may from time to time in its reasonable discretion deem necessary or desirable to evidence, establish, maintain, perfect, enforce or defend the Company’s rights in Confidential Information and Executive Developments.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At-Will Employment; Termination Without Cause; Resignation With Good Reason</w:t>
      </w:r>
    </w:p>
    <w:p>
      <w:pPr>
        <w:spacing w:after="0" w:line="21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color w:val="auto"/>
        </w:rPr>
        <w:t>Please note that this offer letter is not a contract of employment for any specific or minimum term and that the employment offered hereby is terminable at will. This means that our employment relationship is voluntary and based on mutual consent. You may resign your employment with or without Good Reason (as defined below), and the Company likewise may terminate your employment, at any time, with or without Cause (as defined in Section 1(h)(ii) of TripAdvisor’s 2011 Stock and Annual Incentive Plan, as amended (the “2011 Plan”)) and with written notice. Any prior oral or written representations to the contrary are void, and any future representations to the contrary are also void and should not be relied upon unless they are contained in a formal written employment contract signed by an officer of the Company and expressly stating the Company’s intent to modify the at-will nature of your employment.</w:t>
      </w:r>
    </w:p>
    <w:p>
      <w:pPr>
        <w:spacing w:after="0" w:line="181"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“Good Reason” shall mean the occurrence of any of the following without your prior written consent: (A) the Company’s material breach of any material provision of this offer letter, (B) the material reduction in your title, duties, reporting responsibilities (provided that a change in reporting structure shall not be considered Good Reason so long as the individual you are directly reporting to has a title and job level that is higher than yours) or level of responsibilities as President, Vacation Rentals and VP1 of the Company, (C) the material reduction in your annual base salary or your total annual compensation opportunity, or (D) the relocation of your principal place of employment more than 20 miles outside the Needham, Massachusettes area, provided that in no event shall your resignation be for “Good Reason” unless (x) an event or circumstance set forth in clauses (A) through (D) shall have occurred and you provide the Company with written notice thereof within 30 days after you have knowledge of the occurrence or existence of such event or circumstance, which notice specifically identifies the event or circumstance that you believe constitutes Good Reason, (y) the Company fails to correct the circumstance or event so identified within 30 days after receipt of such notice, and (z) you resign within 90 days after the date of delivery of the notice referred to in clause (x) above.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 xml:space="preserve">Upon a Termination of Employment (as defined in the 2011 Plan) by the Company for other than Cause, </w:t>
      </w:r>
      <w:r>
        <w:rPr>
          <w:rFonts w:ascii="Arial" w:cs="Arial" w:eastAsia="Arial" w:hAnsi="Arial"/>
          <w:sz w:val="21"/>
          <w:szCs w:val="21"/>
          <w:color w:val="020202"/>
        </w:rPr>
        <w:t>death or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020202"/>
        </w:rPr>
        <w:t>Disability (as defined in the 2011 Plan), or by you for Good Reason (as defined above), then: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4" w:name="page135"/>
    <w:bookmarkEnd w:id="134"/>
    <w:p>
      <w:pPr>
        <w:jc w:val="both"/>
        <w:ind w:left="-5" w:firstLine="5"/>
        <w:spacing w:after="0"/>
        <w:tabs>
          <w:tab w:leader="none" w:pos="766" w:val="left"/>
        </w:tabs>
        <w:numPr>
          <w:ilvl w:val="0"/>
          <w:numId w:val="74"/>
        </w:numPr>
        <w:rPr>
          <w:rFonts w:ascii="Arial" w:cs="Arial" w:eastAsia="Arial" w:hAnsi="Arial"/>
          <w:sz w:val="22"/>
          <w:szCs w:val="22"/>
          <w:color w:val="020202"/>
        </w:rPr>
      </w:pPr>
      <w:r>
        <w:rPr>
          <w:rFonts w:ascii="Arial" w:cs="Arial" w:eastAsia="Arial" w:hAnsi="Arial"/>
          <w:sz w:val="22"/>
          <w:szCs w:val="22"/>
          <w:color w:val="020202"/>
        </w:rPr>
        <w:t>the Company shall continue to pay you your base salary then in effect in accordance with normal payroll practices (but disregarding any reduction in base salary that constituted Good Reason) for six months following the date of termination;</w:t>
      </w:r>
    </w:p>
    <w:p>
      <w:pPr>
        <w:spacing w:after="0" w:line="186" w:lineRule="exact"/>
        <w:rPr>
          <w:rFonts w:ascii="Arial" w:cs="Arial" w:eastAsia="Arial" w:hAnsi="Arial"/>
          <w:sz w:val="22"/>
          <w:szCs w:val="22"/>
          <w:color w:val="020202"/>
        </w:rPr>
      </w:pPr>
    </w:p>
    <w:p>
      <w:pPr>
        <w:jc w:val="both"/>
        <w:ind w:left="-5" w:right="20" w:firstLine="5"/>
        <w:spacing w:after="0" w:line="238" w:lineRule="auto"/>
        <w:tabs>
          <w:tab w:leader="none" w:pos="831" w:val="left"/>
        </w:tabs>
        <w:numPr>
          <w:ilvl w:val="0"/>
          <w:numId w:val="74"/>
        </w:numPr>
        <w:rPr>
          <w:rFonts w:ascii="Arial" w:cs="Arial" w:eastAsia="Arial" w:hAnsi="Arial"/>
          <w:sz w:val="22"/>
          <w:szCs w:val="22"/>
          <w:color w:val="020202"/>
        </w:rPr>
      </w:pPr>
      <w:r>
        <w:rPr>
          <w:rFonts w:ascii="Arial" w:cs="Arial" w:eastAsia="Arial" w:hAnsi="Arial"/>
          <w:sz w:val="22"/>
          <w:szCs w:val="22"/>
          <w:color w:val="020202"/>
        </w:rPr>
        <w:t>the Company shall pay for your (and your dependents) continued participation in all Company group health, medical, dental and vision plans that you were covered by as of immediately before your Termination of Employment with such coverage extending for six months commencing on the first day of the calendar month following the month of the Terminaton of Employment;</w:t>
      </w:r>
    </w:p>
    <w:p>
      <w:pPr>
        <w:spacing w:after="0" w:line="185" w:lineRule="exact"/>
        <w:rPr>
          <w:rFonts w:ascii="Arial" w:cs="Arial" w:eastAsia="Arial" w:hAnsi="Arial"/>
          <w:sz w:val="22"/>
          <w:szCs w:val="22"/>
          <w:color w:val="020202"/>
        </w:rPr>
      </w:pPr>
    </w:p>
    <w:p>
      <w:pPr>
        <w:jc w:val="both"/>
        <w:ind w:left="-5" w:firstLine="5"/>
        <w:spacing w:after="0" w:line="243" w:lineRule="auto"/>
        <w:tabs>
          <w:tab w:leader="none" w:pos="895" w:val="left"/>
        </w:tabs>
        <w:numPr>
          <w:ilvl w:val="0"/>
          <w:numId w:val="74"/>
        </w:numPr>
        <w:rPr>
          <w:rFonts w:ascii="Arial" w:cs="Arial" w:eastAsia="Arial" w:hAnsi="Arial"/>
          <w:sz w:val="21"/>
          <w:szCs w:val="21"/>
          <w:color w:val="020202"/>
        </w:rPr>
      </w:pPr>
      <w:r>
        <w:rPr>
          <w:rFonts w:ascii="Arial" w:cs="Arial" w:eastAsia="Arial" w:hAnsi="Arial"/>
          <w:sz w:val="21"/>
          <w:szCs w:val="21"/>
          <w:color w:val="auto"/>
        </w:rPr>
        <w:t xml:space="preserve">(1) if at such time Stephen Kaufer is the Chief Executive Officer (or similarly situated position) of the Company, the Company will consider in good faith the acceleration of any of your compensation awards based on, or in the form of, TripAdvisor equity (e.g. restricted stock, restricted stock units, stock options or similar instruments) (“Equity Awards”) that are outstanding and unvested at the time of such termination but which would, but for a Termination of Employment, have vested during the six months following such termination (such period, the “Equity Acceleration Period”) or (2) if at such time Stephen Kaufer is not the Chief Executive Officer (or similarly situated position) of the Company, the Company will, subject to the approval of the Compensation Committee, procure an acceleration of any of your Equity Awards that are outstanding and unvested at the time of such termination but which would, but for a Termination of Employment, have vested during the Equity Acceleration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in either case, nothing herein shall be a contractual entitlement to any acceleration of equity nor is the acceleration guaranteed;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any amount that would vest under this provision but for the fact that outstanding performance conditions have not been satisfied shall vest (and, with respect to awards other than stock options and stock appreciation rights, settle) only if, and at such point as, such performance conditions are satisfied;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any Equity Awards made subsequent to the Effective Date of this Agreement specifies a more favorable post-termination vesting schedule for such equity, the terms of the award agreement for such Equity Award shall govern.</w:t>
      </w:r>
    </w:p>
    <w:p>
      <w:pPr>
        <w:spacing w:after="0" w:line="193" w:lineRule="exact"/>
        <w:rPr>
          <w:rFonts w:ascii="Arial" w:cs="Arial" w:eastAsia="Arial" w:hAnsi="Arial"/>
          <w:sz w:val="21"/>
          <w:szCs w:val="21"/>
          <w:color w:val="020202"/>
        </w:rPr>
      </w:pPr>
    </w:p>
    <w:p>
      <w:pPr>
        <w:jc w:val="both"/>
        <w:ind w:left="-5" w:firstLine="5"/>
        <w:spacing w:after="0" w:line="245" w:lineRule="auto"/>
        <w:tabs>
          <w:tab w:leader="none" w:pos="864" w:val="left"/>
        </w:tabs>
        <w:numPr>
          <w:ilvl w:val="0"/>
          <w:numId w:val="74"/>
        </w:numPr>
        <w:rPr>
          <w:rFonts w:ascii="Arial" w:cs="Arial" w:eastAsia="Arial" w:hAnsi="Arial"/>
          <w:sz w:val="21"/>
          <w:szCs w:val="21"/>
          <w:color w:val="020202"/>
        </w:rPr>
      </w:pPr>
      <w:r>
        <w:rPr>
          <w:rFonts w:ascii="Arial" w:cs="Arial" w:eastAsia="Arial" w:hAnsi="Arial"/>
          <w:sz w:val="21"/>
          <w:szCs w:val="21"/>
          <w:color w:val="auto"/>
        </w:rPr>
        <w:t>The payment to you of the severance pay or benefits described in this section is contingent upon you signing and not revoking a separation and release of the Company and its affiliates in a form substantially similar to that used for senior executives of the Company (the “Release”), and your compliance with the restrictive covenants set forth in this section (other than any non-compliance that is immaterial, does not result in harm to the Company or its affiliates, and, if curable, is cured by you promptly after receipt of notice thereof given by the Company). The Release shall be delivered by the Company to you within ten (10) days following your employment termination date and must become effective no later than sixty (60) days following your Termination of Employment or such earlier date required by the Release (such deadline, the “Release Deadline”). If the Release does not become effective by the Release Deadline, you will forfeit any rights to severance. In no event will severance payments or benefits (other than any Accrued Obligations) be</w:t>
      </w:r>
    </w:p>
    <w:p>
      <w:pPr>
        <w:spacing w:after="0" w:line="181" w:lineRule="exact"/>
        <w:rPr>
          <w:rFonts w:ascii="Arial" w:cs="Arial" w:eastAsia="Arial" w:hAnsi="Arial"/>
          <w:sz w:val="21"/>
          <w:szCs w:val="21"/>
          <w:color w:val="020202"/>
        </w:rPr>
      </w:pPr>
    </w:p>
    <w:p>
      <w:pPr>
        <w:ind w:left="4775" w:hanging="137"/>
        <w:spacing w:after="0"/>
        <w:tabs>
          <w:tab w:leader="none" w:pos="4775" w:val="left"/>
        </w:tabs>
        <w:numPr>
          <w:ilvl w:val="1"/>
          <w:numId w:val="74"/>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63500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577" w:right="239" w:bottom="1440" w:gutter="0" w:footer="0" w:header="0"/>
        </w:sectPr>
      </w:pPr>
    </w:p>
    <w:bookmarkStart w:id="135" w:name="page136"/>
    <w:bookmarkEnd w:id="135"/>
    <w:p>
      <w:pPr>
        <w:jc w:val="both"/>
        <w:ind w:left="880"/>
        <w:spacing w:after="0" w:line="244" w:lineRule="auto"/>
        <w:rPr>
          <w:sz w:val="20"/>
          <w:szCs w:val="20"/>
          <w:color w:val="auto"/>
        </w:rPr>
      </w:pPr>
      <w:r>
        <w:rPr>
          <w:rFonts w:ascii="Arial" w:cs="Arial" w:eastAsia="Arial" w:hAnsi="Arial"/>
          <w:sz w:val="21"/>
          <w:szCs w:val="21"/>
          <w:color w:val="auto"/>
        </w:rPr>
        <w:t>paid or provided until the Release becomes effective and irrevocable but in no event shall you forfeit Equity Awards that had vested through the date of Termination of Employment other than the Equity Awards for which the vesting was accelerated pursuant to this offer letter. Upon the Release becoming effective and irrevocable, any payments delayed from the date of Termination of Employment through the effective date of the Release will be payable in a lump sum without interest as soon as administratively practicable after the Release Deadline and all other amounts will be payable in accordance with the payment schedule applicable to each payment or benefit. In the event the termination occurs at a time during the calendar year where the Release could become effective in the calendar year following the calendar year in which termination occurs, then any severance payments or benefits that would be considered Deferred Payments (as defined below) will commence to be paid on the first payroll date to occur during the calendar year following the calendar year in which such termination occurs, or, if later, the Release Deadline. You acknowledge and agree that the Company’s payment of severance pay and benefits (except Accrued Obligations) constitutes good and valuable consideration for such Release.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Governing Law; Waiver of Jury Trial and Punitive Damages</w:t>
      </w:r>
    </w:p>
    <w:p>
      <w:pPr>
        <w:spacing w:after="0" w:line="212"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This offer letter and all matters or issues related hereto shall be governed by and construed under the laws of the Commonwealth of Massachusetts, without reference to principles of conflicts of laws. Any and all disputes between the parties which may arise pursuant to this letter will be heard and determined before an appropriate federal court in Massachusetts, or, if not maintainable therein, then in an appropriate Massachusetts state court. The parties acknowledge that such courts have jurisdiction to interpret and enforce the provisions of this letter, and the parties consent to, and waive any and all objections that they may have as to, personal jurisdiction and/or venue in such courts. EACH PARTY HEREBY WAIVES ANY RIGHT TO A JURY TRIAL AND TO CLAIM OR RECOVER PUNITIVE DAMAGES.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Entire Agreement; Amendment</w:t>
      </w:r>
    </w:p>
    <w:p>
      <w:pPr>
        <w:spacing w:after="0" w:line="212"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color w:val="auto"/>
        </w:rPr>
        <w:t>This offer letter sets forth the sole and entire agreement and understanding between the Company and you with respect to the specific matters contemplated and addressed herein. No prior agreement, whether written or oral (including, without limitation, that letter, effective November 29, 2011, between you and TripAdvisor Ltd.), shall be construed to change or affect the operation of this offer letter in accordance with its terms, and any provision of any such prior agreement which conflicts with or contradicts any provision of this offer letter is hereby revoked and superseded. In the event of any conflict in terms between this offer letter and any other agreement between you and the Company or any Company plan or policy, the terms of this offer letter shall prevail and govern. This offer letter and any payments or benefits provided to you shall be interpreted, construed, and administered to comply with Internal Revenue Code Section 409A (“409A”) and to avoid the imposition of any 409A taxes upon you.</w:t>
      </w:r>
    </w:p>
    <w:p>
      <w:pPr>
        <w:spacing w:after="0" w:line="194"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This offer letter may be amended or terminated only by a written instrument executed both by you and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36" w:name="page137"/>
    <w:bookmarkEnd w:id="136"/>
    <w:p>
      <w:pPr>
        <w:ind w:firstLine="877"/>
        <w:spacing w:after="0" w:line="251" w:lineRule="auto"/>
        <w:rPr>
          <w:sz w:val="20"/>
          <w:szCs w:val="20"/>
          <w:color w:val="auto"/>
        </w:rPr>
      </w:pPr>
      <w:r>
        <w:rPr>
          <w:rFonts w:ascii="Arial" w:cs="Arial" w:eastAsia="Arial" w:hAnsi="Arial"/>
          <w:sz w:val="22"/>
          <w:szCs w:val="22"/>
          <w:color w:val="auto"/>
        </w:rPr>
        <w:t>Please acknowledge your acceptance of this offer and the terms of this offer letter by signing below and returning a copy to me.</w:t>
      </w:r>
    </w:p>
    <w:p>
      <w:pPr>
        <w:spacing w:after="0" w:line="200" w:lineRule="exact"/>
        <w:rPr>
          <w:sz w:val="20"/>
          <w:szCs w:val="20"/>
          <w:color w:val="auto"/>
        </w:rPr>
      </w:pPr>
    </w:p>
    <w:p>
      <w:pPr>
        <w:spacing w:after="0" w:line="230"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Sincerely,</w:t>
      </w:r>
    </w:p>
    <w:p>
      <w:pPr>
        <w:spacing w:after="0" w:line="254"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TRIPADVISOR LLC</w:t>
      </w:r>
    </w:p>
    <w:p>
      <w:pPr>
        <w:sectPr>
          <w:pgSz w:w="11900" w:h="16838" w:orient="portrait"/>
          <w:cols w:equalWidth="0" w:num="1">
            <w:col w:w="11400"/>
          </w:cols>
          <w:pgMar w:left="240" w:top="577" w:right="2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By:</w:t>
      </w:r>
    </w:p>
    <w:p>
      <w:pPr>
        <w:spacing w:after="0" w:line="139"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Name:</w:t>
      </w:r>
    </w:p>
    <w:p>
      <w:pPr>
        <w:spacing w:after="0" w:line="5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20"/>
        <w:spacing w:after="0" w:line="258" w:lineRule="auto"/>
        <w:rPr>
          <w:sz w:val="20"/>
          <w:szCs w:val="20"/>
          <w:color w:val="auto"/>
        </w:rPr>
      </w:pPr>
      <w:r>
        <w:rPr>
          <w:rFonts w:ascii="Arial" w:cs="Arial" w:eastAsia="Arial" w:hAnsi="Arial"/>
          <w:sz w:val="21"/>
          <w:szCs w:val="21"/>
          <w:color w:val="auto"/>
        </w:rPr>
        <w:t>I hereby acknowledge that I have had a full and adequate opportunity to read, understand and discuss the terms and conditions contained in this offer letter prior to signing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/s/ Dermot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731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DERMOT HALPIN</w:t>
      </w:r>
    </w:p>
    <w:p>
      <w:pPr>
        <w:spacing w:after="0" w:line="256"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w:t>
        <w:tab/>
        <w:t>February 15,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/s/ 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9927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9927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9927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4011" w:lineRule="exact"/>
        <w:rPr>
          <w:sz w:val="20"/>
          <w:szCs w:val="20"/>
          <w:color w:val="auto"/>
        </w:rPr>
      </w:pPr>
    </w:p>
    <w:p>
      <w:pPr>
        <w:sectPr>
          <w:pgSz w:w="11900" w:h="16838" w:orient="portrait"/>
          <w:cols w:equalWidth="0" w:num="2">
            <w:col w:w="6280" w:space="420"/>
            <w:col w:w="4700"/>
          </w:cols>
          <w:pgMar w:left="240" w:top="577"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- 8 -</w:t>
      </w:r>
    </w:p>
    <w:p>
      <w:pPr>
        <w:sectPr>
          <w:pgSz w:w="11900" w:h="16838" w:orient="portrait"/>
          <w:cols w:equalWidth="0" w:num="1">
            <w:col w:w="11400"/>
          </w:cols>
          <w:pgMar w:left="240" w:top="577" w:right="25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1320"/>
              <w:spacing w:after="0"/>
              <w:rPr>
                <w:sz w:val="20"/>
                <w:szCs w:val="20"/>
                <w:color w:val="auto"/>
              </w:rPr>
            </w:pPr>
            <w:r>
              <w:rPr>
                <w:rFonts w:ascii="Arial" w:cs="Arial" w:eastAsia="Arial" w:hAnsi="Arial"/>
                <w:sz w:val="18"/>
                <w:szCs w:val="18"/>
                <w:b w:val="1"/>
                <w:bCs w:val="1"/>
                <w:color w:val="auto"/>
                <w:w w:val="93"/>
              </w:rPr>
              <w:t>Exhibit 21.1</w:t>
            </w:r>
          </w:p>
        </w:tc>
      </w:tr>
      <w:tr>
        <w:trPr>
          <w:trHeight w:val="432"/>
        </w:trPr>
        <w:tc>
          <w:tcPr>
            <w:tcW w:w="20" w:type="dxa"/>
            <w:vAlign w:val="bottom"/>
          </w:tcPr>
          <w:p>
            <w:pPr>
              <w:spacing w:after="0"/>
              <w:rPr>
                <w:sz w:val="24"/>
                <w:szCs w:val="24"/>
                <w:color w:val="auto"/>
              </w:rPr>
            </w:pPr>
          </w:p>
        </w:tc>
        <w:tc>
          <w:tcPr>
            <w:tcW w:w="9020" w:type="dxa"/>
            <w:vAlign w:val="bottom"/>
            <w:gridSpan w:val="2"/>
          </w:tcPr>
          <w:p>
            <w:pPr>
              <w:ind w:left="4560"/>
              <w:spacing w:after="0"/>
              <w:rPr>
                <w:sz w:val="20"/>
                <w:szCs w:val="20"/>
                <w:color w:val="auto"/>
              </w:rPr>
            </w:pPr>
            <w:r>
              <w:rPr>
                <w:rFonts w:ascii="Arial" w:cs="Arial" w:eastAsia="Arial" w:hAnsi="Arial"/>
                <w:sz w:val="18"/>
                <w:szCs w:val="18"/>
                <w:b w:val="1"/>
                <w:bCs w:val="1"/>
                <w:color w:val="auto"/>
              </w:rPr>
              <w:t>Subsidiaries of the Registrant</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040" w:type="dxa"/>
            <w:vAlign w:val="bottom"/>
            <w:gridSpan w:val="3"/>
          </w:tcPr>
          <w:p>
            <w:pPr>
              <w:spacing w:after="0"/>
              <w:rPr>
                <w:sz w:val="20"/>
                <w:szCs w:val="20"/>
                <w:color w:val="auto"/>
              </w:rPr>
            </w:pPr>
            <w:r>
              <w:rPr>
                <w:rFonts w:ascii="Arial" w:cs="Arial" w:eastAsia="Arial" w:hAnsi="Arial"/>
                <w:sz w:val="18"/>
                <w:szCs w:val="18"/>
                <w:b w:val="1"/>
                <w:bCs w:val="1"/>
                <w:color w:val="auto"/>
              </w:rPr>
              <w:t>DOMESTIC</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Jurisdiction of</w:t>
            </w:r>
          </w:p>
        </w:tc>
      </w:tr>
      <w:tr>
        <w:trPr>
          <w:trHeight w:val="234"/>
        </w:trPr>
        <w:tc>
          <w:tcPr>
            <w:tcW w:w="904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120" w:type="dxa"/>
            <w:vAlign w:val="bottom"/>
          </w:tcPr>
          <w:p>
            <w:pPr>
              <w:spacing w:after="0"/>
              <w:rPr>
                <w:sz w:val="20"/>
                <w:szCs w:val="20"/>
                <w:color w:val="auto"/>
              </w:rPr>
            </w:pPr>
          </w:p>
        </w:tc>
        <w:tc>
          <w:tcPr>
            <w:tcW w:w="2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Formation</w:t>
            </w:r>
          </w:p>
        </w:tc>
      </w:tr>
      <w:tr>
        <w:trPr>
          <w:trHeight w:val="209"/>
        </w:trPr>
        <w:tc>
          <w:tcPr>
            <w:tcW w:w="20" w:type="dxa"/>
            <w:vAlign w:val="bottom"/>
          </w:tcPr>
          <w:p>
            <w:pPr>
              <w:spacing w:after="0"/>
              <w:rPr>
                <w:sz w:val="18"/>
                <w:szCs w:val="18"/>
                <w:color w:val="auto"/>
              </w:rPr>
            </w:pPr>
          </w:p>
        </w:tc>
        <w:tc>
          <w:tcPr>
            <w:tcW w:w="9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TripAdvisor Holdings, LLC</w:t>
            </w:r>
          </w:p>
        </w:tc>
        <w:tc>
          <w:tcPr>
            <w:tcW w:w="120" w:type="dxa"/>
            <w:vAlign w:val="bottom"/>
          </w:tcPr>
          <w:p>
            <w:pPr>
              <w:spacing w:after="0"/>
              <w:rPr>
                <w:sz w:val="18"/>
                <w:szCs w:val="18"/>
                <w:color w:val="auto"/>
              </w:rPr>
            </w:pPr>
          </w:p>
        </w:tc>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LLC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Beeem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FlipKey,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640"/>
              <w:spacing w:after="0"/>
              <w:rPr>
                <w:sz w:val="20"/>
                <w:szCs w:val="20"/>
                <w:color w:val="auto"/>
              </w:rPr>
            </w:pPr>
            <w:r>
              <w:rPr>
                <w:rFonts w:ascii="Arial" w:cs="Arial" w:eastAsia="Arial" w:hAnsi="Arial"/>
                <w:sz w:val="18"/>
                <w:szCs w:val="18"/>
                <w:color w:val="auto"/>
              </w:rPr>
              <w:t>Vacation Home Rentals,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GateGuru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Global Motion Media,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Oyster Travel Corporation</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Smarter Travel Media LLC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NV</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640"/>
              <w:spacing w:after="0"/>
              <w:rPr>
                <w:sz w:val="20"/>
                <w:szCs w:val="20"/>
                <w:color w:val="auto"/>
              </w:rPr>
            </w:pPr>
            <w:r>
              <w:rPr>
                <w:rFonts w:ascii="Arial" w:cs="Arial" w:eastAsia="Arial" w:hAnsi="Arial"/>
                <w:sz w:val="18"/>
                <w:szCs w:val="18"/>
                <w:color w:val="auto"/>
              </w:rPr>
              <w:t>Jetsetter,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Viator,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The Independent Traveler,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NJ</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APAC Holdings Corp.</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GP1 LLC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GP2 LLC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Finance LLC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LP2 LLC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Securities Corporation</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MA</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Wanderfly,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ZeTrip,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20"/>
                <w:szCs w:val="20"/>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CityMaps, Inc.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540"/>
        </w:trPr>
        <w:tc>
          <w:tcPr>
            <w:tcW w:w="9040" w:type="dxa"/>
            <w:vAlign w:val="bottom"/>
            <w:gridSpan w:val="3"/>
          </w:tcPr>
          <w:p>
            <w:pPr>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Jurisdiction of</w:t>
            </w:r>
          </w:p>
        </w:tc>
      </w:tr>
      <w:tr>
        <w:trPr>
          <w:trHeight w:val="234"/>
        </w:trPr>
        <w:tc>
          <w:tcPr>
            <w:tcW w:w="904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120" w:type="dxa"/>
            <w:vAlign w:val="bottom"/>
          </w:tcPr>
          <w:p>
            <w:pPr>
              <w:spacing w:after="0"/>
              <w:rPr>
                <w:sz w:val="20"/>
                <w:szCs w:val="20"/>
                <w:color w:val="auto"/>
              </w:rPr>
            </w:pPr>
          </w:p>
        </w:tc>
        <w:tc>
          <w:tcPr>
            <w:tcW w:w="2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Formation</w:t>
            </w:r>
          </w:p>
        </w:tc>
      </w:tr>
      <w:tr>
        <w:trPr>
          <w:trHeight w:val="195"/>
        </w:trPr>
        <w:tc>
          <w:tcPr>
            <w:tcW w:w="20" w:type="dxa"/>
            <w:vAlign w:val="bottom"/>
          </w:tcPr>
          <w:p>
            <w:pPr>
              <w:spacing w:after="0"/>
              <w:rPr>
                <w:sz w:val="16"/>
                <w:szCs w:val="16"/>
                <w:color w:val="auto"/>
              </w:rPr>
            </w:pPr>
          </w:p>
        </w:tc>
        <w:tc>
          <w:tcPr>
            <w:tcW w:w="8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TripAdvisor UK1 LP</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6"/>
                <w:szCs w:val="16"/>
                <w:color w:val="auto"/>
              </w:rPr>
            </w:pP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TripAdvisor UK2 LP</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TripAdvisor Canada Corp.</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Canada</w:t>
            </w: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TripAdvisor Travel India Private Limited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India</w:t>
            </w: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TripAdvisor UK Holdco, Ltd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Limited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Holiday Lettings (Holdings) Ltd.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640"/>
              <w:spacing w:after="0"/>
              <w:rPr>
                <w:sz w:val="20"/>
                <w:szCs w:val="20"/>
                <w:color w:val="auto"/>
              </w:rPr>
            </w:pPr>
            <w:r>
              <w:rPr>
                <w:rFonts w:ascii="Arial" w:cs="Arial" w:eastAsia="Arial" w:hAnsi="Arial"/>
                <w:sz w:val="18"/>
                <w:szCs w:val="18"/>
                <w:color w:val="auto"/>
              </w:rPr>
              <w:t>Holiday Lettings Ltd.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Australia Pty. Ltd.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GmbH</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France SAS</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France</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Italy Srl</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Italy</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TripAdvisor Spain S.L.</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Spain</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Guia de Apartamentos Niumba, S.L.</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Spain</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Cayman Holdings II Limited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Cayman</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Argentina SRL</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Argentina</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Consultoria En Publicidade de Viagens e Turismo Ltda.</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Brazil</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Ireland Ltd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Ireland</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Jetsetter UK Holdings Limited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Jetsetter UK Limited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Jetsetter Hong Kong Limited</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(Luxembourg) I Sarl</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Luxembourg</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(Luxembourg) II Sarl</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Luxembourg</w:t>
            </w:r>
          </w:p>
        </w:tc>
      </w:tr>
      <w:tr>
        <w:trPr>
          <w:trHeight w:val="216"/>
        </w:trPr>
        <w:tc>
          <w:tcPr>
            <w:tcW w:w="2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FZ-LLC</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Dubai</w:t>
            </w:r>
          </w:p>
        </w:tc>
      </w:tr>
      <w:tr>
        <w:trPr>
          <w:trHeight w:val="230"/>
        </w:trPr>
        <w:tc>
          <w:tcPr>
            <w:tcW w:w="20" w:type="dxa"/>
            <w:vAlign w:val="bottom"/>
          </w:tcPr>
          <w:p>
            <w:pPr>
              <w:spacing w:after="0"/>
              <w:rPr>
                <w:sz w:val="20"/>
                <w:szCs w:val="20"/>
                <w:color w:val="auto"/>
              </w:rPr>
            </w:pPr>
          </w:p>
        </w:tc>
        <w:tc>
          <w:tcPr>
            <w:tcW w:w="9020" w:type="dxa"/>
            <w:vAlign w:val="bottom"/>
            <w:gridSpan w:val="2"/>
          </w:tcPr>
          <w:p>
            <w:pPr>
              <w:ind w:left="200"/>
              <w:spacing w:after="0"/>
              <w:rPr>
                <w:sz w:val="20"/>
                <w:szCs w:val="20"/>
                <w:color w:val="auto"/>
              </w:rPr>
            </w:pPr>
            <w:r>
              <w:rPr>
                <w:rFonts w:ascii="Arial" w:cs="Arial" w:eastAsia="Arial" w:hAnsi="Arial"/>
                <w:sz w:val="18"/>
                <w:szCs w:val="18"/>
                <w:color w:val="auto"/>
              </w:rPr>
              <w:t>TripAdvisor LF Holdings (France) SAS</w:t>
            </w: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France</w:t>
            </w:r>
          </w:p>
        </w:tc>
      </w:tr>
      <w:tr>
        <w:trPr>
          <w:trHeight w:val="331"/>
        </w:trPr>
        <w:tc>
          <w:tcPr>
            <w:tcW w:w="20" w:type="dxa"/>
            <w:vAlign w:val="bottom"/>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34"/>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Entity</w:t>
            </w:r>
          </w:p>
        </w:tc>
        <w:tc>
          <w:tcPr>
            <w:tcW w:w="2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Formation</w:t>
            </w:r>
          </w:p>
        </w:tc>
      </w:tr>
      <w:tr>
        <w:trPr>
          <w:trHeight w:val="195"/>
        </w:trPr>
        <w:tc>
          <w:tcPr>
            <w:tcW w:w="20" w:type="dxa"/>
            <w:vAlign w:val="bottom"/>
          </w:tcPr>
          <w:p>
            <w:pPr>
              <w:spacing w:after="0"/>
              <w:rPr>
                <w:sz w:val="16"/>
                <w:szCs w:val="16"/>
                <w:color w:val="auto"/>
              </w:rPr>
            </w:pPr>
          </w:p>
        </w:tc>
        <w:tc>
          <w:tcPr>
            <w:tcW w:w="890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TripAdvisor LF Australia Pty Limited</w:t>
            </w:r>
          </w:p>
        </w:tc>
        <w:tc>
          <w:tcPr>
            <w:tcW w:w="240" w:type="dxa"/>
            <w:vAlign w:val="bottom"/>
          </w:tcPr>
          <w:p>
            <w:pPr>
              <w:spacing w:after="0"/>
              <w:rPr>
                <w:sz w:val="16"/>
                <w:szCs w:val="16"/>
                <w:color w:val="auto"/>
              </w:rPr>
            </w:pPr>
          </w:p>
        </w:tc>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Dimmi Pty Ltd</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BestTables Marketing e Servicos de Restauracao S.A.</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Portugal</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Best Tables Brazil Internet Servicos de Informacao e Technologia Ltda.</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Brazil</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Best Tables II Portugal, Unipessoal Lda.</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Portugal</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La Fourchette SAS</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France</w:t>
            </w:r>
          </w:p>
        </w:tc>
      </w:tr>
      <w:tr>
        <w:trPr>
          <w:trHeight w:val="216"/>
        </w:trPr>
        <w:tc>
          <w:tcPr>
            <w:tcW w:w="20" w:type="dxa"/>
            <w:vAlign w:val="bottom"/>
          </w:tcPr>
          <w:p>
            <w:pPr>
              <w:spacing w:after="0"/>
              <w:rPr>
                <w:sz w:val="18"/>
                <w:szCs w:val="18"/>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La Fourchette Espana S.L.</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Spain</w:t>
            </w:r>
          </w:p>
        </w:tc>
      </w:tr>
      <w:tr>
        <w:trPr>
          <w:trHeight w:val="216"/>
        </w:trPr>
        <w:tc>
          <w:tcPr>
            <w:tcW w:w="20" w:type="dxa"/>
            <w:vAlign w:val="bottom"/>
          </w:tcPr>
          <w:p>
            <w:pPr>
              <w:spacing w:after="0"/>
              <w:rPr>
                <w:sz w:val="18"/>
                <w:szCs w:val="18"/>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LaFourchette Swiss SA</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r>
      <w:tr>
        <w:trPr>
          <w:trHeight w:val="216"/>
        </w:trPr>
        <w:tc>
          <w:tcPr>
            <w:tcW w:w="20" w:type="dxa"/>
            <w:vAlign w:val="bottom"/>
          </w:tcPr>
          <w:p>
            <w:pPr>
              <w:spacing w:after="0"/>
              <w:rPr>
                <w:sz w:val="18"/>
                <w:szCs w:val="18"/>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Sneat SAS</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France</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La Fourchette (Belgium) SA</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Belgium</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La Fourchette Elektronik Iletisim Tanitim Pazarlama Sanayi Ve Ticaret Anonim Sirketi</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Turkey</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La Fourchette Netherlands B.V.</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660"/>
              <w:spacing w:after="0"/>
              <w:rPr>
                <w:sz w:val="20"/>
                <w:szCs w:val="20"/>
                <w:color w:val="auto"/>
              </w:rPr>
            </w:pPr>
            <w:r>
              <w:rPr>
                <w:rFonts w:ascii="Arial" w:cs="Arial" w:eastAsia="Arial" w:hAnsi="Arial"/>
                <w:sz w:val="18"/>
                <w:szCs w:val="18"/>
                <w:color w:val="auto"/>
              </w:rPr>
              <w:t>IENS Independent Index B.V.</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LaFourchette Italy SRL</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Italy</w:t>
            </w:r>
          </w:p>
        </w:tc>
      </w:tr>
      <w:tr>
        <w:trPr>
          <w:trHeight w:val="216"/>
        </w:trPr>
        <w:tc>
          <w:tcPr>
            <w:tcW w:w="20" w:type="dxa"/>
            <w:vAlign w:val="bottom"/>
          </w:tcPr>
          <w:p>
            <w:pPr>
              <w:spacing w:after="0"/>
              <w:rPr>
                <w:sz w:val="18"/>
                <w:szCs w:val="18"/>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Couverts Reserveren B.V.</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LaFourchette Sweden AB</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Sweden</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La Fourchette (UK) Ltd.</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TripAdvisor K.K.</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Bookingbuddy K.K.</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Smartertravel K.K.</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TripAdvisor Singapore Private Limited</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TripAdvisor Korea Co., Ltd.</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Korea</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TripAdvisor Hong Kong Limited</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Hong Kong</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TripAdvisor China Cayman Holdings Limited</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Cayman</w:t>
            </w:r>
          </w:p>
        </w:tc>
      </w:tr>
      <w:tr>
        <w:trPr>
          <w:trHeight w:val="216"/>
        </w:trPr>
        <w:tc>
          <w:tcPr>
            <w:tcW w:w="20" w:type="dxa"/>
            <w:vAlign w:val="bottom"/>
          </w:tcPr>
          <w:p>
            <w:pPr>
              <w:spacing w:after="0"/>
              <w:rPr>
                <w:sz w:val="18"/>
                <w:szCs w:val="18"/>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TripAdvisor Consulting Services (Beijing) Co. Ltd</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Tuqu Net Information Technology (Beijing) Co., Ltd. (beneficial ownership)</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11"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Arial" w:cs="Arial" w:eastAsia="Arial" w:hAnsi="Arial"/>
          <w:sz w:val="18"/>
          <w:szCs w:val="18"/>
          <w:color w:val="auto"/>
        </w:rPr>
        <w:t>178637, 333-190384, and 333-198726) on Form S-8 of TripAdvisor, Inc. of our reports dated February 17, 2017, with respect to the consolidated balance sheets of TripAdvisor, Inc. and subsidiaries as of December 31, 2016 and 2015, and the related consolidated statements of operations, comprehensive income, changes in stockholders’ equity, and cash flows for each of the years in the three-year period ended December 31, 2016, and the effectiveness of internal control over financial reporting as of December 31, 2016, which reports appear in the December 31, 2016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TripAdvisor, Inc.</w:t>
      </w:r>
    </w:p>
    <w:p>
      <w:pPr>
        <w:spacing w:after="0" w:line="20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ectPr>
          <w:pgSz w:w="11900" w:h="16838" w:orient="portrait"/>
          <w:cols w:equalWidth="0" w:num="1">
            <w:col w:w="11420"/>
          </w:cols>
          <w:pgMar w:left="240" w:top="121" w:right="239" w:bottom="1440" w:gutter="0" w:footer="0" w:header="0"/>
        </w:sectPr>
      </w:pPr>
    </w:p>
    <w:bookmarkStart w:id="140" w:name="page141"/>
    <w:bookmarkEnd w:id="140"/>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Stephen Kaufer, Chief Executive Officer and President of TripAdvisor, Inc., certify that:</w:t>
      </w:r>
    </w:p>
    <w:p>
      <w:pPr>
        <w:spacing w:after="0" w:line="225" w:lineRule="exact"/>
        <w:rPr>
          <w:sz w:val="20"/>
          <w:szCs w:val="20"/>
          <w:color w:val="auto"/>
        </w:rPr>
      </w:pPr>
    </w:p>
    <w:p>
      <w:pPr>
        <w:ind w:left="600" w:hanging="592"/>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00" w:hanging="598"/>
        <w:spacing w:after="0" w:line="264" w:lineRule="auto"/>
        <w:tabs>
          <w:tab w:leader="none" w:pos="1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00" w:right="420" w:hanging="598"/>
        <w:spacing w:after="0" w:line="277" w:lineRule="auto"/>
        <w:tabs>
          <w:tab w:leader="none" w:pos="1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February 17, 2017</w:t>
            </w:r>
          </w:p>
        </w:tc>
        <w:tc>
          <w:tcPr>
            <w:tcW w:w="7700" w:type="dxa"/>
            <w:vAlign w:val="bottom"/>
            <w:gridSpan w:val="2"/>
          </w:tcPr>
          <w:p>
            <w:pPr>
              <w:ind w:left="1940"/>
              <w:spacing w:after="0"/>
              <w:rPr>
                <w:sz w:val="20"/>
                <w:szCs w:val="20"/>
                <w:color w:val="auto"/>
              </w:rPr>
            </w:pPr>
            <w:r>
              <w:rPr>
                <w:rFonts w:ascii="Arial" w:cs="Arial" w:eastAsia="Arial" w:hAnsi="Arial"/>
                <w:sz w:val="18"/>
                <w:szCs w:val="18"/>
                <w:color w:val="auto"/>
              </w:rPr>
              <w:t>/s/ STEPHEN KAUFER</w:t>
            </w:r>
          </w:p>
        </w:tc>
      </w:tr>
      <w:tr>
        <w:trPr>
          <w:trHeight w:val="195"/>
        </w:trPr>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7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3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420"/>
          </w:cols>
          <w:pgMar w:left="240" w:top="121" w:right="239" w:bottom="1440" w:gutter="0" w:footer="0" w:header="0"/>
        </w:sectPr>
      </w:pPr>
    </w:p>
    <w:bookmarkStart w:id="141" w:name="page142"/>
    <w:bookmarkEnd w:id="141"/>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225" w:lineRule="exact"/>
        <w:rPr>
          <w:sz w:val="20"/>
          <w:szCs w:val="20"/>
          <w:color w:val="auto"/>
        </w:rPr>
      </w:pPr>
    </w:p>
    <w:p>
      <w:pPr>
        <w:ind w:left="600" w:hanging="592"/>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00" w:hanging="598"/>
        <w:spacing w:after="0" w:line="264"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00" w:right="420" w:hanging="598"/>
        <w:spacing w:after="0" w:line="277"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February 17, 2017</w:t>
            </w:r>
          </w:p>
        </w:tc>
        <w:tc>
          <w:tcPr>
            <w:tcW w:w="7700" w:type="dxa"/>
            <w:vAlign w:val="bottom"/>
            <w:gridSpan w:val="2"/>
          </w:tcPr>
          <w:p>
            <w:pPr>
              <w:ind w:left="1940"/>
              <w:spacing w:after="0"/>
              <w:rPr>
                <w:sz w:val="20"/>
                <w:szCs w:val="20"/>
                <w:color w:val="auto"/>
              </w:rPr>
            </w:pPr>
            <w:r>
              <w:rPr>
                <w:rFonts w:ascii="Arial" w:cs="Arial" w:eastAsia="Arial" w:hAnsi="Arial"/>
                <w:sz w:val="18"/>
                <w:szCs w:val="18"/>
                <w:color w:val="auto"/>
              </w:rPr>
              <w:t>/s/ ERNST TEUNISSEN</w:t>
            </w:r>
          </w:p>
        </w:tc>
      </w:tr>
      <w:tr>
        <w:trPr>
          <w:trHeight w:val="195"/>
        </w:trPr>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7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3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2016, as filed with the Securities and Exchange Commission on the date hereof (the “Report”), I, Stephen Kaufer, Chief Executive Officer and President of the Company, certify, pursuant to Section 906 of the Sarbanes-Oxley Act of 2002, 18 U.S.C. Section 1350, that:</w:t>
      </w:r>
    </w:p>
    <w:p>
      <w:pPr>
        <w:spacing w:after="0" w:line="181" w:lineRule="exact"/>
        <w:rPr>
          <w:sz w:val="20"/>
          <w:szCs w:val="20"/>
          <w:color w:val="auto"/>
        </w:rPr>
      </w:pPr>
    </w:p>
    <w:p>
      <w:pPr>
        <w:ind w:left="600" w:right="120" w:hanging="592"/>
        <w:spacing w:after="0" w:line="277"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February 17, 2017</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58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2016, as filed with the Securities and Exchange Commission on the date hereof (the “Report”), I, Ernst Teunissen, Chief Financial Officer of the Company, certify, pursuant to Section 906 of the Sarbanes-Oxley Act of 2002, 18 U.S.C. Section 1350, that:</w:t>
      </w:r>
    </w:p>
    <w:p>
      <w:pPr>
        <w:spacing w:after="0" w:line="181" w:lineRule="exact"/>
        <w:rPr>
          <w:sz w:val="20"/>
          <w:szCs w:val="20"/>
          <w:color w:val="auto"/>
        </w:rPr>
      </w:pPr>
    </w:p>
    <w:p>
      <w:pPr>
        <w:ind w:left="600" w:right="120" w:hanging="59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20" w:type="dxa"/>
            <w:vAlign w:val="bottom"/>
          </w:tcPr>
          <w:p>
            <w:pPr>
              <w:spacing w:after="0"/>
              <w:rPr>
                <w:sz w:val="20"/>
                <w:szCs w:val="20"/>
                <w:color w:val="auto"/>
              </w:rPr>
            </w:pPr>
            <w:r>
              <w:rPr>
                <w:rFonts w:ascii="Arial" w:cs="Arial" w:eastAsia="Arial" w:hAnsi="Arial"/>
                <w:sz w:val="18"/>
                <w:szCs w:val="18"/>
                <w:color w:val="auto"/>
              </w:rPr>
              <w:t>Date: February 17, 2017</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ERNST TEUNISSEN</w:t>
            </w:r>
          </w:p>
        </w:tc>
      </w:tr>
      <w:tr>
        <w:trPr>
          <w:trHeight w:val="195"/>
        </w:trPr>
        <w:tc>
          <w:tcPr>
            <w:tcW w:w="58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3"/>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3"/>
    </w:lvl>
  </w:abstractNum>
  <w:abstractNum w:abstractNumId="29">
    <w:nsid w:val="374A3FE6"/>
    <w:multiLevelType w:val="hybridMultilevel"/>
    <w:lvl w:ilvl="0">
      <w:lvlJc w:val="left"/>
      <w:lvlText w:val="(%1)"/>
      <w:numFmt w:val="decimal"/>
      <w:start w:val="5"/>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3"/>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4"/>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4"/>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emdash "/>
      <w:numFmt w:val="bullet"/>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2"/>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decimal"/>
      <w:start w:val="3"/>
    </w:lvl>
  </w:abstractNum>
  <w:abstractNum w:abstractNumId="61">
    <w:nsid w:val="5F5E7FD0"/>
    <w:multiLevelType w:val="hybridMultilevel"/>
    <w:lvl w:ilvl="0">
      <w:lvlJc w:val="left"/>
      <w:lvlText w:val="(%1)"/>
      <w:numFmt w:val="decimal"/>
      <w:start w:val="5"/>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1"/>
    </w:lvl>
  </w:abstractNum>
  <w:abstractNum w:abstractNumId="66">
    <w:nsid w:val="168E121F"/>
    <w:multiLevelType w:val="hybridMultilevel"/>
    <w:lvl w:ilvl="0">
      <w:lvlJc w:val="left"/>
      <w:lvlText w:val="(%1)"/>
      <w:numFmt w:val="lowerLetter"/>
      <w:start w:val="2"/>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1)"/>
      <w:numFmt w:val="lowerLetter"/>
      <w:start w:val="1"/>
    </w:lvl>
    <w:lvl w:ilvl="1">
      <w:lvlJc w:val="left"/>
      <w:lvlText w:val="-"/>
      <w:numFmt w:val="bullet"/>
      <w:start w:val="1"/>
    </w:lvl>
  </w:abstractNum>
  <w:abstractNum w:abstractNumId="69">
    <w:nsid w:val="5DC79EA8"/>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70">
    <w:nsid w:val="540A471C"/>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71">
    <w:nsid w:val="7BD3EE7B"/>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72">
    <w:nsid w:val="51D9C564"/>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73">
    <w:nsid w:val="613EFDC5"/>
    <w:multiLevelType w:val="hybridMultilevel"/>
    <w:lvl w:ilvl="0">
      <w:lvlJc w:val="left"/>
      <w:lvlText w:val="%1."/>
      <w:numFmt w:val="lowerRoman"/>
      <w:start w:val="1"/>
    </w:lvl>
    <w:lvl w:ilvl="1">
      <w:lvlJc w:val="left"/>
      <w:lvlText w:val="-"/>
      <w:numFmt w:val="bullet"/>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2019-12-29T08:16:27Z</dcterms:created>
  <dcterms:modified xsi:type="dcterms:W3CDTF">2019-12-29T08:16:27Z</dcterms:modified>
</cp:coreProperties>
</file>