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p>
      <w:pPr>
        <w:spacing w:after="0" w:line="286"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80" w:space="720"/>
            <w:col w:w="2540"/>
          </w:cols>
          <w:pgMar w:left="240" w:top="341" w:right="219" w:bottom="1440" w:gutter="0" w:footer="0" w:header="0"/>
          <w:type w:val="continuous"/>
        </w:sectPr>
      </w:pPr>
    </w:p>
    <w:p>
      <w:pPr>
        <w:spacing w:after="0" w:line="12"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(State or other jurisdiction of</w:t>
      </w:r>
    </w:p>
    <w:p>
      <w:pPr>
        <w:ind w:left="26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8040" w:space="720"/>
            <w:col w:w="2680"/>
          </w:cols>
          <w:pgMar w:left="240" w:top="341" w:right="2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p>
      <w:pPr>
        <w:spacing w:after="0" w:line="391" w:lineRule="exact"/>
        <w:rPr>
          <w:sz w:val="24"/>
          <w:szCs w:val="24"/>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4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20" w:type="dxa"/>
            <w:vAlign w:val="bottom"/>
          </w:tcPr>
          <w:p>
            <w:pPr>
              <w:ind w:left="168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00" w:lineRule="exact"/>
        <w:rPr>
          <w:sz w:val="24"/>
          <w:szCs w:val="24"/>
          <w:color w:val="auto"/>
        </w:rPr>
      </w:pPr>
    </w:p>
    <w:p>
      <w:pPr>
        <w:ind w:right="1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44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960" w:type="dxa"/>
            <w:vAlign w:val="bottom"/>
            <w:gridSpan w:val="3"/>
          </w:tcPr>
          <w:p>
            <w:pPr>
              <w:jc w:val="center"/>
              <w:ind w:right="720"/>
              <w:spacing w:after="0"/>
              <w:rPr>
                <w:sz w:val="20"/>
                <w:szCs w:val="20"/>
                <w:color w:val="auto"/>
              </w:rPr>
            </w:pPr>
            <w:r>
              <w:rPr>
                <w:rFonts w:ascii="Arial" w:cs="Arial" w:eastAsia="Arial" w:hAnsi="Arial"/>
                <w:sz w:val="14"/>
                <w:szCs w:val="14"/>
                <w:color w:val="auto"/>
                <w:w w:val="91"/>
              </w:rPr>
              <w:t>Class</w:t>
            </w:r>
          </w:p>
        </w:tc>
        <w:tc>
          <w:tcPr>
            <w:tcW w:w="3440" w:type="dxa"/>
            <w:vAlign w:val="bottom"/>
          </w:tcPr>
          <w:p>
            <w:pPr>
              <w:jc w:val="center"/>
              <w:ind w:right="537"/>
              <w:spacing w:after="0"/>
              <w:rPr>
                <w:sz w:val="20"/>
                <w:szCs w:val="20"/>
                <w:color w:val="auto"/>
              </w:rPr>
            </w:pPr>
            <w:r>
              <w:rPr>
                <w:rFonts w:ascii="Arial" w:cs="Arial" w:eastAsia="Arial" w:hAnsi="Arial"/>
                <w:sz w:val="14"/>
                <w:szCs w:val="14"/>
                <w:color w:val="auto"/>
                <w:w w:val="91"/>
              </w:rPr>
              <w:t>Outstanding Shares at May 4, 2018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40" w:type="dxa"/>
            <w:vAlign w:val="bottom"/>
          </w:tcPr>
          <w:p>
            <w:pPr>
              <w:jc w:val="center"/>
              <w:ind w:right="517"/>
              <w:spacing w:after="0" w:line="169" w:lineRule="exact"/>
              <w:rPr>
                <w:sz w:val="20"/>
                <w:szCs w:val="20"/>
                <w:color w:val="auto"/>
              </w:rPr>
            </w:pPr>
            <w:r>
              <w:rPr>
                <w:rFonts w:ascii="Arial" w:cs="Arial" w:eastAsia="Arial" w:hAnsi="Arial"/>
                <w:sz w:val="18"/>
                <w:szCs w:val="18"/>
                <w:color w:val="auto"/>
                <w:w w:val="87"/>
              </w:rPr>
              <w:t>124,603,606 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720"/>
              <w:spacing w:after="0"/>
              <w:rPr>
                <w:sz w:val="20"/>
                <w:szCs w:val="20"/>
                <w:color w:val="auto"/>
              </w:rPr>
            </w:pPr>
            <w:r>
              <w:rPr>
                <w:rFonts w:ascii="Arial" w:cs="Arial" w:eastAsia="Arial" w:hAnsi="Arial"/>
                <w:sz w:val="18"/>
                <w:szCs w:val="18"/>
                <w:color w:val="auto"/>
                <w:w w:val="89"/>
              </w:rPr>
              <w:t>Class B common stock, $0.001 par value per share</w:t>
            </w:r>
          </w:p>
        </w:tc>
        <w:tc>
          <w:tcPr>
            <w:tcW w:w="3440" w:type="dxa"/>
            <w:vAlign w:val="bottom"/>
          </w:tcPr>
          <w:p>
            <w:pPr>
              <w:jc w:val="center"/>
              <w:ind w:right="53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94"/>
        </w:trPr>
        <w:tc>
          <w:tcPr>
            <w:tcW w:w="7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1040" w:type="dxa"/>
            <w:vAlign w:val="bottom"/>
            <w:gridSpan w:val="19"/>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40" w:type="dxa"/>
            <w:vAlign w:val="bottom"/>
            <w:gridSpan w:val="19"/>
          </w:tcPr>
          <w:p>
            <w:pPr>
              <w:spacing w:after="0"/>
              <w:rPr>
                <w:sz w:val="20"/>
                <w:szCs w:val="20"/>
                <w:color w:val="auto"/>
              </w:rPr>
            </w:pPr>
            <w:r>
              <w:rPr>
                <w:rFonts w:ascii="Arial" w:cs="Arial" w:eastAsia="Arial" w:hAnsi="Arial"/>
                <w:sz w:val="18"/>
                <w:szCs w:val="18"/>
                <w:color w:val="auto"/>
              </w:rPr>
              <w:t>Item 1. Unaudited Condensed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6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Operations for the Three Months Ended March 31, 2018 and 2017</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3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Comprehensive Income for the Three Months Ended March 31, 2018 and 2017</w:t>
              </w:r>
            </w:hyperlink>
          </w:p>
        </w:tc>
        <w:tc>
          <w:tcPr>
            <w:tcW w:w="1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March 31, 2018 and December 31, 2017</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2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 of Changes in Stockholders’ Equity for the Three Months Ended March 31, 2018</w:t>
              </w:r>
            </w:hyperlink>
          </w:p>
        </w:tc>
        <w:tc>
          <w:tcPr>
            <w:tcW w:w="13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Three Months Ended March 31, 2018 and 2017</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3700" w:type="dxa"/>
            <w:vAlign w:val="bottom"/>
            <w:tcBorders>
              <w:top w:val="single" w:sz="8" w:color="0000EE"/>
            </w:tcBorders>
            <w:gridSpan w:val="4"/>
          </w:tcPr>
          <w:p>
            <w:pPr>
              <w:spacing w:after="0"/>
              <w:rPr>
                <w:sz w:val="17"/>
                <w:szCs w:val="17"/>
                <w:color w:val="auto"/>
              </w:rPr>
            </w:pPr>
          </w:p>
        </w:tc>
        <w:tc>
          <w:tcPr>
            <w:tcW w:w="21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4. Controls and Procedures</w:t>
              </w:r>
            </w:hyperlink>
          </w:p>
        </w:tc>
        <w:tc>
          <w:tcPr>
            <w:tcW w:w="87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0">
              <w:r>
                <w:rPr>
                  <w:rFonts w:ascii="Arial" w:cs="Arial" w:eastAsia="Arial" w:hAnsi="Arial"/>
                  <w:sz w:val="18"/>
                  <w:szCs w:val="18"/>
                  <w:b w:val="1"/>
                  <w:bCs w:val="1"/>
                  <w:color w:val="0000EE"/>
                  <w:w w:val="97"/>
                </w:rPr>
                <w:t>Part II—Other Information</w:t>
              </w:r>
            </w:hyperlink>
          </w:p>
        </w:tc>
        <w:tc>
          <w:tcPr>
            <w:tcW w:w="88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1. Legal Proceedings</w:t>
              </w:r>
            </w:hyperlink>
          </w:p>
        </w:tc>
        <w:tc>
          <w:tcPr>
            <w:tcW w:w="91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Item 1A. Risk Factors</w:t>
              </w:r>
            </w:hyperlink>
          </w:p>
        </w:tc>
        <w:tc>
          <w:tcPr>
            <w:tcW w:w="94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Item 2. Unregistered Sales of Equity Securities and Use of Proceeds</w:t>
              </w:r>
            </w:hyperlink>
          </w:p>
        </w:tc>
        <w:tc>
          <w:tcPr>
            <w:tcW w:w="61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3. Defaults Upon 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16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5. Other Information</w:t>
              </w:r>
            </w:hyperlink>
          </w:p>
        </w:tc>
        <w:tc>
          <w:tcPr>
            <w:tcW w:w="91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6. Exhibits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98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gridSpan w:val="5"/>
          </w:tcPr>
          <w:p>
            <w:pPr>
              <w:jc w:val="right"/>
              <w:ind w:right="85"/>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56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Borders>
              <w:top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4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Cost of revenue (1)</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 (2)</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Technology and content (2)</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 (2)</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4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4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 (Note 4):</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Basic</w:t>
            </w:r>
          </w:p>
        </w:tc>
        <w:tc>
          <w:tcPr>
            <w:tcW w:w="1420" w:type="dxa"/>
            <w:vAlign w:val="bottom"/>
            <w:gridSpan w:val="2"/>
            <w:shd w:val="clear" w:color="auto" w:fill="CFF0FC"/>
          </w:tcPr>
          <w:p>
            <w:pPr>
              <w:jc w:val="right"/>
              <w:ind w:right="806"/>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20" w:type="dxa"/>
            <w:vAlign w:val="bottom"/>
            <w:gridSpan w:val="2"/>
          </w:tcPr>
          <w:p>
            <w:pPr>
              <w:jc w:val="right"/>
              <w:ind w:right="80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w w:val="98"/>
              </w:rPr>
              <w:t>Amortization of acquired technology included in amortization of intangible assets</w:t>
            </w:r>
          </w:p>
        </w:tc>
        <w:tc>
          <w:tcPr>
            <w:tcW w:w="1420" w:type="dxa"/>
            <w:vAlign w:val="bottom"/>
            <w:gridSpan w:val="2"/>
          </w:tcPr>
          <w:p>
            <w:pPr>
              <w:jc w:val="right"/>
              <w:ind w:right="80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4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gridSpan w:val="2"/>
          </w:tcPr>
          <w:p>
            <w:pPr>
              <w:spacing w:after="0"/>
              <w:rPr>
                <w:sz w:val="20"/>
                <w:szCs w:val="20"/>
                <w:color w:val="auto"/>
              </w:rPr>
            </w:pPr>
            <w:r>
              <w:rPr>
                <w:rFonts w:ascii="Arial" w:cs="Arial" w:eastAsia="Arial" w:hAnsi="Arial"/>
                <w:sz w:val="18"/>
                <w:szCs w:val="18"/>
                <w:color w:val="auto"/>
              </w:rPr>
              <w:t>(2) Includes stock-based compensation expense as follows (Note 5):</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1420" w:type="dxa"/>
            <w:vAlign w:val="bottom"/>
            <w:gridSpan w:val="2"/>
            <w:shd w:val="clear" w:color="auto" w:fill="CFF0FC"/>
          </w:tcPr>
          <w:p>
            <w:pPr>
              <w:jc w:val="right"/>
              <w:ind w:right="806"/>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1420" w:type="dxa"/>
            <w:vAlign w:val="bottom"/>
            <w:gridSpan w:val="2"/>
          </w:tcPr>
          <w:p>
            <w:pPr>
              <w:jc w:val="right"/>
              <w:ind w:right="80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2"/>
            <w:shd w:val="clear" w:color="auto" w:fill="CFF0FC"/>
          </w:tcPr>
          <w:p>
            <w:pPr>
              <w:jc w:val="right"/>
              <w:ind w:right="806"/>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3" w:name="page4"/>
    <w:bookmarkEnd w:id="3"/>
    <w:p>
      <w:pPr>
        <w:jc w:val="center"/>
        <w:ind w:right="-38"/>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(in millions)</w:t>
      </w:r>
    </w:p>
    <w:p>
      <w:pPr>
        <w:spacing w:after="0" w:line="311" w:lineRule="exact"/>
        <w:rPr>
          <w:sz w:val="20"/>
          <w:szCs w:val="20"/>
          <w:color w:val="auto"/>
        </w:rPr>
      </w:pPr>
    </w:p>
    <w:tbl>
      <w:tblPr>
        <w:tblLayout w:type="fixed"/>
        <w:tblInd w:w="59"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00" w:type="dxa"/>
            <w:vAlign w:val="bottom"/>
            <w:gridSpan w:val="4"/>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6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10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 (1)</w:t>
            </w:r>
          </w:p>
        </w:tc>
        <w:tc>
          <w:tcPr>
            <w:tcW w:w="20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w:t>
            </w:r>
          </w:p>
        </w:tc>
        <w:tc>
          <w:tcPr>
            <w:tcW w:w="20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0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79" w:right="320" w:hanging="379"/>
        <w:spacing w:after="0" w:line="277" w:lineRule="auto"/>
        <w:tabs>
          <w:tab w:leader="none" w:pos="37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intention to indefinitely reinvest the earnings of our foreign subsidiaries in those operations.</w:t>
      </w:r>
    </w:p>
    <w:p>
      <w:pPr>
        <w:spacing w:after="0" w:line="34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39"/>
          </w:cols>
          <w:pgMar w:left="761" w:top="364"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6)</w:t>
            </w:r>
          </w:p>
        </w:tc>
        <w:tc>
          <w:tcPr>
            <w:tcW w:w="1040" w:type="dxa"/>
            <w:vAlign w:val="bottom"/>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Short-term marketable securities (Note 6)</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and contract assets, net of allowance for doubtful accounts of $17 and $16, respectively</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Long-term marketable securities (Note 6)</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net of accumulated depreciation of $198 and $177, respectively</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$120 and $112, respectively</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10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2,240</w:t>
            </w:r>
          </w:p>
        </w:tc>
        <w:tc>
          <w:tcPr>
            <w:tcW w:w="300" w:type="dxa"/>
            <w:vAlign w:val="bottom"/>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debt (Note 7)</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Long-term debt (Note 7)</w:t>
            </w:r>
          </w:p>
        </w:tc>
        <w:tc>
          <w:tcPr>
            <w:tcW w:w="10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3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9)</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gridSpan w:val="2"/>
          </w:tcPr>
          <w:p>
            <w:pPr>
              <w:spacing w:after="0"/>
              <w:rPr>
                <w:sz w:val="20"/>
                <w:szCs w:val="20"/>
                <w:color w:val="auto"/>
              </w:rPr>
            </w:pPr>
            <w:r>
              <w:rPr>
                <w:rFonts w:ascii="Arial" w:cs="Arial" w:eastAsia="Arial" w:hAnsi="Arial"/>
                <w:sz w:val="16"/>
                <w:szCs w:val="16"/>
                <w:color w:val="auto"/>
              </w:rPr>
              <w:t>Stockholders’ equity: (Note 10)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Authorized shares: 100,000,000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10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1,600,000,000</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Shares issued: 136,396,872 and 135,617,263, respectively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outstanding: 126,669,732 and 126,142,773, respectively</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10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400,000,000</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935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loss</w:t>
            </w: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Treasury stock-common stock, at cost, 9,727,140 and 9,474,490 shares, respectively</w:t>
            </w:r>
          </w:p>
        </w:tc>
        <w:tc>
          <w:tcPr>
            <w:tcW w:w="10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(457)</w:t>
            </w: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1,390</w:t>
            </w: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2,240</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other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40"/>
              <w:spacing w:after="0"/>
              <w:rPr>
                <w:sz w:val="20"/>
                <w:szCs w:val="20"/>
                <w:color w:val="auto"/>
              </w:rPr>
            </w:pPr>
            <w:r>
              <w:rPr>
                <w:rFonts w:ascii="Arial" w:cs="Arial" w:eastAsia="Arial" w:hAnsi="Arial"/>
                <w:sz w:val="14"/>
                <w:szCs w:val="14"/>
                <w:b w:val="1"/>
                <w:bCs w:val="1"/>
                <w:color w:val="auto"/>
                <w:w w:val="85"/>
              </w:rPr>
              <w:t>Class B</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paid-in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0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00" w:type="dxa"/>
            <w:vAlign w:val="bottom"/>
          </w:tcPr>
          <w:p>
            <w:pPr>
              <w:spacing w:after="0"/>
              <w:rPr>
                <w:sz w:val="19"/>
                <w:szCs w:val="19"/>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r>
      <w:tr>
        <w:trPr>
          <w:trHeight w:val="205"/>
        </w:trPr>
        <w:tc>
          <w:tcPr>
            <w:tcW w:w="20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Balance as of December</w:t>
            </w: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135,617,263</w:t>
            </w:r>
          </w:p>
        </w:tc>
        <w:tc>
          <w:tcPr>
            <w:tcW w:w="76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(9,474,490)</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99"/>
              </w:rPr>
              <w:t>(447)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1,363</w:t>
            </w:r>
          </w:p>
        </w:tc>
        <w:tc>
          <w:tcPr>
            <w:tcW w:w="80" w:type="dxa"/>
            <w:vAlign w:val="bottom"/>
            <w:shd w:val="clear" w:color="auto" w:fill="CFF0FC"/>
          </w:tcPr>
          <w:p>
            <w:pPr>
              <w:spacing w:after="0"/>
              <w:rPr>
                <w:sz w:val="20"/>
                <w:szCs w:val="20"/>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 from adoption</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of new accounting</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guidance (Note 2)</w:t>
            </w: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r>
      <w:tr>
        <w:trPr>
          <w:trHeight w:val="215"/>
        </w:trPr>
        <w:tc>
          <w:tcPr>
            <w:tcW w:w="2000" w:type="dxa"/>
            <w:vAlign w:val="bottom"/>
          </w:tcPr>
          <w:p>
            <w:pPr>
              <w:spacing w:after="0"/>
              <w:rPr>
                <w:sz w:val="20"/>
                <w:szCs w:val="20"/>
                <w:color w:val="auto"/>
              </w:rPr>
            </w:pPr>
            <w:r>
              <w:rPr>
                <w:rFonts w:ascii="Arial" w:cs="Arial" w:eastAsia="Arial" w:hAnsi="Arial"/>
                <w:sz w:val="18"/>
                <w:szCs w:val="18"/>
                <w:color w:val="auto"/>
              </w:rPr>
              <w:t>Other comprehensive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income</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7"/>
              </w:rPr>
              <w:t>stock related to exercises</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of options and vesting of</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779,609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r>
      <w:tr>
        <w:trPr>
          <w:trHeight w:val="215"/>
        </w:trPr>
        <w:tc>
          <w:tcPr>
            <w:tcW w:w="2000" w:type="dxa"/>
            <w:vAlign w:val="bottom"/>
          </w:tcPr>
          <w:p>
            <w:pPr>
              <w:spacing w:after="0"/>
              <w:rPr>
                <w:sz w:val="20"/>
                <w:szCs w:val="20"/>
                <w:color w:val="auto"/>
              </w:rPr>
            </w:pPr>
            <w:r>
              <w:rPr>
                <w:rFonts w:ascii="Arial" w:cs="Arial" w:eastAsia="Arial" w:hAnsi="Arial"/>
                <w:sz w:val="18"/>
                <w:szCs w:val="18"/>
                <w:color w:val="auto"/>
              </w:rPr>
              <w:t>Repurchase of common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stock</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(252,650)</w:t>
            </w:r>
          </w:p>
        </w:tc>
        <w:tc>
          <w:tcPr>
            <w:tcW w:w="26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taxes on net</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share settlements of</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15"/>
        </w:trPr>
        <w:tc>
          <w:tcPr>
            <w:tcW w:w="2000" w:type="dxa"/>
            <w:vAlign w:val="bottom"/>
          </w:tcPr>
          <w:p>
            <w:pPr>
              <w:spacing w:after="0"/>
              <w:rPr>
                <w:sz w:val="20"/>
                <w:szCs w:val="20"/>
                <w:color w:val="auto"/>
              </w:rPr>
            </w:pPr>
            <w:r>
              <w:rPr>
                <w:rFonts w:ascii="Arial" w:cs="Arial" w:eastAsia="Arial" w:hAnsi="Arial"/>
                <w:sz w:val="18"/>
                <w:szCs w:val="18"/>
                <w:color w:val="auto"/>
              </w:rPr>
              <w:t>Stock-based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20"/>
                <w:szCs w:val="20"/>
                <w:color w:val="auto"/>
              </w:rPr>
            </w:pPr>
          </w:p>
        </w:tc>
      </w:tr>
      <w:tr>
        <w:trPr>
          <w:trHeight w:val="205"/>
        </w:trPr>
        <w:tc>
          <w:tcPr>
            <w:tcW w:w="20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6"/>
              </w:rPr>
              <w:t>Balance as of March 31,</w:t>
            </w: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2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136,396,872</w:t>
            </w:r>
          </w:p>
        </w:tc>
        <w:tc>
          <w:tcPr>
            <w:tcW w:w="76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(34)</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(9,727,140)</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99"/>
              </w:rPr>
              <w:t>(457)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1,390</w:t>
            </w:r>
          </w:p>
        </w:tc>
        <w:tc>
          <w:tcPr>
            <w:tcW w:w="80" w:type="dxa"/>
            <w:vAlign w:val="bottom"/>
            <w:shd w:val="clear" w:color="auto" w:fill="CFF0FC"/>
          </w:tcPr>
          <w:p>
            <w:pPr>
              <w:spacing w:after="0"/>
              <w:rPr>
                <w:sz w:val="20"/>
                <w:szCs w:val="20"/>
                <w:color w:val="auto"/>
              </w:rPr>
            </w:pPr>
          </w:p>
        </w:tc>
      </w:tr>
      <w:tr>
        <w:trPr>
          <w:trHeight w:val="20"/>
        </w:trPr>
        <w:tc>
          <w:tcPr>
            <w:tcW w:w="20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4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70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merchant payables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Income tax receivables/payables, net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of marketable securities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Maturities of marketable securities</w:t>
            </w:r>
          </w:p>
        </w:tc>
        <w:tc>
          <w:tcPr>
            <w:tcW w:w="5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2015 credit facility</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Payments to 2015 credit facility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2016 credit facility</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500" w:type="dxa"/>
            <w:vAlign w:val="bottom"/>
          </w:tcPr>
          <w:p>
            <w:pPr>
              <w:spacing w:after="0"/>
              <w:rPr>
                <w:sz w:val="22"/>
                <w:szCs w:val="22"/>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22"/>
                <w:szCs w:val="22"/>
                <w:color w:val="auto"/>
              </w:rPr>
            </w:pP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Stock-based compensation capitalized with internal-use software and website development costs</w:t>
            </w:r>
          </w:p>
        </w:tc>
        <w:tc>
          <w:tcPr>
            <w:tcW w:w="144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users and travel partners a global platform about destinations, accommodations, travel activities and experiences, and restaurants that encompasses rich user-generated content, price comparison tools and online reservation and related services.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TripAdvisor, Inc., by and through its subsidiaries, owns and operates a portfolio of leading online travel brands. Our flagship brand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TripAdvisor. TripAdvisor-branded websites include tripadvisor.com in the United States and localized versions of the website in 48 markets and 28 languages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worldwide. In addition to the flagship TripAdvisor brand, we manage and operate the following 20 other travel media brands, connected by the common goal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providing users the most comprehensive travel-planning and trip-taking resources in the travel industry: www.airfarewatchdog.com,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www.bookingbuddy.com, www.citymaps.com, www.cruisecritic.com, www.familyvacationcritic.com, www.flipkey.com, www.thefork.com (including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www.lafourchette.com, www.eltenedor.com, www.iens.nl, and www.dimmi.com.au), www.gateguru.com, www.holidaylettings.co.uk,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www.holidaywatchdog.com, www.housetrip.com, www.jetsetter.com, www.niumba.com, www.onetime.com, www.oyster.com, www.seatguru.com,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www.smartertravel.com, www.tingo.com, www.vacationhomerentals.com, and www.viator.com.</w:t>
      </w:r>
    </w:p>
    <w:p>
      <w:pPr>
        <w:spacing w:after="0" w:line="211" w:lineRule="exact"/>
        <w:rPr>
          <w:sz w:val="20"/>
          <w:szCs w:val="20"/>
          <w:color w:val="auto"/>
        </w:rPr>
      </w:pPr>
    </w:p>
    <w:p>
      <w:pPr>
        <w:ind w:right="200" w:firstLine="548"/>
        <w:spacing w:after="0" w:line="302" w:lineRule="auto"/>
        <w:rPr>
          <w:sz w:val="20"/>
          <w:szCs w:val="20"/>
          <w:color w:val="auto"/>
        </w:rPr>
      </w:pPr>
      <w:r>
        <w:rPr>
          <w:rFonts w:ascii="Arial" w:cs="Arial" w:eastAsia="Arial" w:hAnsi="Arial"/>
          <w:sz w:val="16"/>
          <w:szCs w:val="16"/>
          <w:color w:val="auto"/>
        </w:rPr>
        <w:t xml:space="preserve">We manage our business in two reportable segments: Hotel and Non-Hotel. Our Non-Hotel segment consists of our Experiences, Restaurants, and Rentals offerings. During the quarter we renamed Attractions as “Experiences” and Vacation Rentals as “Rentals.” These changes had no impact on the composition of our segments or on any financial information. For further information on our segments and principal revenue streams within these segments refer to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“Note 12: </w:t>
      </w:r>
      <w:r>
        <w:rPr>
          <w:rFonts w:ascii="Arial" w:cs="Arial" w:eastAsia="Arial" w:hAnsi="Arial"/>
          <w:sz w:val="16"/>
          <w:szCs w:val="16"/>
          <w:i w:val="1"/>
          <w:iCs w:val="1"/>
          <w:color w:val="auto"/>
        </w:rPr>
        <w:t>Segment Information</w:t>
      </w:r>
      <w:r>
        <w:rPr>
          <w:rFonts w:ascii="Arial" w:cs="Arial" w:eastAsia="Arial" w:hAnsi="Arial"/>
          <w:sz w:val="16"/>
          <w:szCs w:val="16"/>
          <w:color w:val="auto"/>
        </w:rPr>
        <w:t>,” in the notes to our unaudited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were not material for all periods presented.</w:t>
      </w:r>
    </w:p>
    <w:p>
      <w:pPr>
        <w:spacing w:after="0" w:line="5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2017, previously filed with the SEC. The unaudited condensed consolidated balance sheet as of December 31, 2017 included herein was derived from the audited consolidated financial statements as of that date, but does not include all disclosures including notes required by GAAP.</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right="480"/>
        <w:spacing w:after="0" w:line="264" w:lineRule="auto"/>
        <w:rPr>
          <w:sz w:val="20"/>
          <w:szCs w:val="20"/>
          <w:color w:val="auto"/>
        </w:rPr>
      </w:pPr>
      <w:r>
        <w:rPr>
          <w:rFonts w:ascii="Arial" w:cs="Arial" w:eastAsia="Arial" w:hAnsi="Arial"/>
          <w:sz w:val="18"/>
          <w:szCs w:val="18"/>
          <w:color w:val="auto"/>
        </w:rPr>
        <w:t>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partners/advertisers to market to potential travelers and, therefore our financial performance, or revenue and profits, tend to be seasonal as well. Our financial performance tends to be seasonally highest in the second and third quarters of a year, as it is a key period for leisure travel research and trip-taking, which includes the seasonal peak in traveler hotel and rental stays, and tours and experiences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In June 2016, the Financial Accounting Standard Board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6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February 2016, the FASB issued new guidance related to accounting for leases. The new standard requires the recognition of assets (right-of-use-assets) and liabilities arising from lease transactions on the balance sheet and the disclosure of key information about leasing arrangements. Accordingly, a lessee will recognize a lease asset for its right to use the underlying asset and a lease liability for the corresponding lease obligation. Both the asset and liability will initially be measured at the present value of the future minimum lease payments over the lease term. The new guidance will classify leases as either finance or operating leases, with classification determining the presentation of expenses and cash flows on our consolidated financial statements. Initial costs directly attributable to negotiating and arranging the lease will be included in the asset. For leases with a term of 12 months or less, a lessee can make an accounting policy election by class of underlying asset to not recognize an asset and corresponding liability. The transition guidance also provides specific guidance for sale and leaseback transactions, build-to-suit leases and amounts previously recognized in accordance with the business combinations guidance for leases. We will also be required to provide additional qualitative and quantitative disclosures regarding the amount, timing and uncertainty of cash flows arising from leases which include, among other things, the computation and disclosure of our weighted average remaining lease term and discount rate, cash paid for amounts included in the measurement of lease liabilities, and supplemental non-cash information on lease liabilities arising from obtaining the right-of-use assets. These disclosures are intended to provide supplemental information to the amounts recorded in the financial statements so that users can better understand the nature of an entity’s leasing activities. This guidance is effective for fiscal years, and interim periods within those fiscal years, beginning after December 15, 2018, with early adoption permitted, which will require the recognition and measurement of leases at the beginning of the earliest comparative period presented in the financial statements using a modified retrospective approach. We anticipate adopting this new guidance in the first quarter of 2019.</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continue to evaluate the new lease guidance and are in the process of updating accounting policies, accounting position memos, and evaluating our existing population of contracts to ensure all contracts that meet the definition of a lease contract under the new standard are identified. We are also in the process of implementing additional lease software to support our accounting and reporting process, including the new quantitative and qualitative financial disclosure requirements. In addition, we are evaluating the impact of the system implementation and new accounting guidance on our internal controls. We will continue to provide updates on our assessment of the effect that this new lease guidance will have on our consolidated financial statements, disclosures, systems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related internal controls, and will disclose material effects, if any, when known.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In May 2017, the FASB issued new accounting guidance that clarifies when changes to the terms or conditions of a share-based payment award must be accounted for as modifications which will reduce diversity in practice. Under the new guidance, an entity will not apply modification accounting to a share-based payment award if the award’s fair value (or calculated value or intrinsic value, if those measurement methods are used), the award’s vesting conditions, and the award’s classification as an equity or liability instrument are the same immediately before and after the change. The guidance also states that an entity is not required to estimate the value of the award immediately before and after the change if the change does not affect any of the inputs to the model used to value the award. We adopted this guidance prospectively in the first quarter of 2018. We believe the new guidance will likely result in fewer changes to the terms of an award being accounted for as modifications.</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We adopted this guidance in the first quarter of 2018 and it will be applied prospectively to any transactions occurring within and after the adoption date.</w:t>
      </w:r>
    </w:p>
    <w:p>
      <w:pPr>
        <w:spacing w:after="0" w:line="18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November 2016, the FASB issued new accounting guidance on the classification and presentation of 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We adopted this guidance in the first quarter of 2018 and applied it retrospectively to all prior periods presented in the financial statements as required under the new guidance. The adoption did not have a material impact on our consolidated financial statements and related disclosures.</w:t>
      </w:r>
    </w:p>
    <w:p>
      <w:pPr>
        <w:spacing w:after="0" w:line="165"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We adopted this new guidance in the first quarter of 2018 on a modified retrospective basis. Accordingly, we recognized the cumulative effect of initial application of this new guidance as an adjustment to the opening balance of retained earnings, which was not material to our consolidated financial statements.</w:t>
      </w:r>
    </w:p>
    <w:p>
      <w:pPr>
        <w:spacing w:after="0" w:line="17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In August 2016, the FASB issued new accounting guidance which clarifies how companies present and classify certain cash receipts and cash</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payments in the statement of cash flows. The new guidance specifically addresses the following cash flow topics in an effort to reduce diversity in practice:</w:t>
      </w:r>
    </w:p>
    <w:p>
      <w:pPr>
        <w:spacing w:after="0" w:line="32" w:lineRule="exact"/>
        <w:rPr>
          <w:sz w:val="20"/>
          <w:szCs w:val="20"/>
          <w:color w:val="auto"/>
        </w:rPr>
      </w:pPr>
    </w:p>
    <w:p>
      <w:pPr>
        <w:ind w:firstLine="8"/>
        <w:spacing w:after="0" w:line="27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We adopted this new guidance in the first quarter of 2018 retrospectively and the adoption did not have an impact on our consolidated financial statements and related disclosures.</w:t>
      </w:r>
    </w:p>
    <w:p>
      <w:pPr>
        <w:spacing w:after="0" w:line="179"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In January 2016, the FASB issued new accounting guidance which amends the standard on the recognition and measurement of financial instruments. The FASB clarified certain aspects of this guidance by issuing an update for technical corrections and improvements related to this guidance in February 2018. The guidance (1) requires an entity to measure equity investments (except those accounted for under the equity method or those that result in consolidation of the investee) at fair value with changes in fair value recognized in net income rather than accumulated other comprehensive income on the balance sheet; (2) allows an entity to elect to measure the equity investments that do not have a readily determinable fair value using a new measurement alternative which measure these equity investments at cost less impairment, if any, plus or minus changes resulting from observable price changes in orderly transactions for the identical or a similar investment of the same issuer; (3) simplifies the impairment assessment of equity investments without readily determinable fair values by requiring a qualitative assessment to identify impairment; and (4) clarifies that an entity should evaluate the need for a valuation allowance on a deferred tax asset related to available-for-sale securities 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ind w:right="220"/>
        <w:spacing w:after="0" w:line="286" w:lineRule="auto"/>
        <w:rPr>
          <w:sz w:val="20"/>
          <w:szCs w:val="20"/>
          <w:color w:val="auto"/>
        </w:rPr>
      </w:pPr>
      <w:r>
        <w:rPr>
          <w:rFonts w:ascii="Arial" w:cs="Arial" w:eastAsia="Arial" w:hAnsi="Arial"/>
          <w:sz w:val="17"/>
          <w:szCs w:val="17"/>
          <w:color w:val="auto"/>
        </w:rPr>
        <w:t>combination with the entity’s evaluation of their other deferred tax assets. We adopted this guidance in the first quarter of 2018 and elected to prospectively account for our investments in equity securities of privately-held companies that do not have a readily determinable fair value using the measurement alternative. The adoption did not have a material impact on our consolidated financial statements and related disclosures.</w:t>
      </w:r>
    </w:p>
    <w:p>
      <w:pPr>
        <w:spacing w:after="0" w:line="166"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 xml:space="preserve">In May 2014, the FASB issued new accounting guidance on revenue from contracts with customers, or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which replaced numerous requirements in GAAP, and provides companies with a single model for recognizing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addition, the FASB has also issued several amendments to the standard, which clarifies certain aspects of the guidance, including principal versus agent considerations and identifying performance obligations.</w:t>
      </w:r>
    </w:p>
    <w:p>
      <w:pPr>
        <w:spacing w:after="0" w:line="19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 xml:space="preserve">In the first quarter of 2018, we adopted ASC 606 under the modified retrospective method for all contracts that were not completed as of January 1, 2018. Results for reporting periods beginning after January 1, 2018 are presented under the new revenue guidance, while prior period amounts are not adjusted and continue to be reported in accordance with our previous accounting policies under the historical revenue guidance, or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8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 xml:space="preserve">We evaluated each of our revenue streams and applied ASC 606 as further discussed in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As a result of adoption of the new revenue guidance, certain revenue streams, such as the instant booking revenue recorded under the consumption model which we previously recorded upon completion of the traveler stay, is now recognized upon booking. The amount of the recognized transaction price is recorded as revenue net of the impact of estimated cancellations. We also recorded an adjustment to capitalize certain costs to obtain contracts for existing arrangements as of the implementation date. We expect the adoption of this new revenue standard will not have a material impact, either on an annual or quarterly basis, to our consolidated financial statements on an ongoing basis. Our systems and internal controls were not significantly impacted as a result of the accounting changes and we have made the necessary changes to our accounting policies and internal processes to support the new revenue recognition standard, including the related disclosures.</w:t>
      </w:r>
    </w:p>
    <w:p>
      <w:pPr>
        <w:spacing w:after="0" w:line="192"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We recognized the cumulative effect of initial application of ASC 606 as an adjustment to the opening balance of retained earnings. We recorded a net increase in opening retained earnings of $4 million as of January 1, 2018 due to the cumulative impact of adoption of the new revenue guidance and all other accounts were not materially impacted.</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There have been no changes to our significant accounting policies since December 31, 2017, other than noted above. See “Note 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below for further discussion about our revenue recognition policies under ASC 606. For additional information about our significant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policies and estimates,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 December 31, 2017.</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under ASC 606</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under ASC 606, we recognize revenue for only our commission on the arrangement. We determine revenue recognition through the following steps:</w:t>
      </w:r>
    </w:p>
    <w:p>
      <w:pPr>
        <w:spacing w:after="0" w:line="18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ind w:right="60"/>
        <w:spacing w:after="0" w:line="255" w:lineRule="auto"/>
        <w:rPr>
          <w:sz w:val="20"/>
          <w:szCs w:val="20"/>
          <w:color w:val="auto"/>
        </w:rPr>
      </w:pPr>
      <w:r>
        <w:rPr>
          <w:rFonts w:ascii="Arial" w:cs="Arial" w:eastAsia="Arial" w:hAnsi="Arial"/>
          <w:sz w:val="18"/>
          <w:szCs w:val="18"/>
          <w:color w:val="auto"/>
        </w:rPr>
        <w:t>discussed below. There was no significant revenue recognized in the three months ended March 31, 2018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93"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approximately $1 million as of March 31, 2018. We amortize these contract costs on a straight-line basis over the estimated customer life, which is based on historical data. Amortization expense recorded to sales and marketing during the three months ended March 31, 2018 was not material. We assess such assets for impairment when events or circumstances indicate that the carrying amount may not be recoverable.</w:t>
      </w:r>
    </w:p>
    <w:p>
      <w:pPr>
        <w:spacing w:after="0" w:line="173"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The recognition of revenue may require the application of judgment related to the determination of the performance obligations, the timing of when the performance obligations are satisfied and other areas. The determination of our performance obligations does not require significant judgment given that we generally do not provide multiple services to a customer in a given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data. The estimate is not material. Taxes assessed by a government authority that are both imposed on and concurrent with a specific revenue –producing transaction, that are collected by us from a customer, are reported on a net basis, or in other words excluded from revenue on our consolidated financial statements, which is consistent with prior periods. The application of our revenue recognition policies and a description of our principal activities, organized by segment, from which we generate our revenue, are presented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 Segment</w:t>
      </w:r>
    </w:p>
    <w:p>
      <w:pPr>
        <w:spacing w:after="0" w:line="2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color w:val="auto"/>
        </w:rPr>
        <w:t>TripAdvisor-branded Click-based Advertising and Transaction Revenue</w:t>
      </w:r>
      <w:r>
        <w:rPr>
          <w:rFonts w:ascii="Arial" w:cs="Arial" w:eastAsia="Arial" w:hAnsi="Arial"/>
          <w:sz w:val="18"/>
          <w:szCs w:val="18"/>
          <w:color w:val="auto"/>
        </w:rPr>
        <w:t>. Our largest source of Hotel segment revenue is generated from click-based advertising on TripAdvisor-branded websites, which is primarily comprised of contextually-relevant booking links to our travel partners’ sites. Our click-based travel partners are predominantly online travel agencies, or OTAs, and direct suppliers in the hotel category. Click-based advertising is generally priced on a cost-per-click, or “CPC”, basis, with payments from advertisers determined by the number of users who click on a link multiplied by the price that partner is willing to pay for that click, or hotel shopper lead. CPC rates that our travel partners are willing to pay are determined in a dynamic, competitive auction process, or metasearch auction.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8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Transaction revenue is generated from our instant booking feature, which enables hotel shoppers to book directly with a travel partner, or the merchant of record, without leaving our website. We earn a commission from our travel partner for a user that completes a hotel reservation on our website. Our instant booking revenue includes arrangements where commissions are billable on all instant booking hotel reservations and also includes arrangements where the commission is billable only upon the completion of the traveler’s stay resulting from the reservation. Our performance obligation in both arrangements is complete at the time of the booking and the commission earned is recognized upon booking, as we have no post-booking service obligations. The amount of revenue recognized for commissions which are billable contingent upon a travelers stay requires an estimate of the impact of cancellations using historical cancellation rates. Contract assets are recognized at the time of booking for commissions that are billable at the time of stay. We are the agent in these transactions under ASC 606.</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b w:val="1"/>
          <w:bCs w:val="1"/>
          <w:color w:val="auto"/>
        </w:rPr>
        <w:t>TripAdvisor-branded Display-based Advertising and Subscription Revenue</w:t>
      </w:r>
      <w:r>
        <w:rPr>
          <w:rFonts w:ascii="Arial" w:cs="Arial" w:eastAsia="Arial" w:hAnsi="Arial"/>
          <w:sz w:val="17"/>
          <w:szCs w:val="17"/>
          <w:color w:val="auto"/>
        </w:rPr>
        <w:t>. Travel partners can promote their brands in a contextually-relevant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manner through a variety of display-based advertising placements on our websites. Our display-based advertising clients are predominately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business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2" w:name="page13"/>
    <w:bookmarkEnd w:id="12"/>
    <w:p>
      <w:pPr>
        <w:jc w:val="both"/>
        <w:ind w:right="40" w:firstLine="518"/>
        <w:spacing w:after="0" w:line="288" w:lineRule="auto"/>
        <w:rPr>
          <w:sz w:val="20"/>
          <w:szCs w:val="20"/>
          <w:color w:val="auto"/>
        </w:rPr>
      </w:pPr>
      <w:r>
        <w:rPr>
          <w:rFonts w:ascii="Arial" w:cs="Arial" w:eastAsia="Arial" w:hAnsi="Arial"/>
          <w:sz w:val="16"/>
          <w:szCs w:val="16"/>
          <w:color w:val="auto"/>
        </w:rPr>
        <w:t>In addition, we offer subscription-based advertising to hotels, B&amp;Bs and other specialty lodging properties. Our performance obligation is generally to enable subscribers to advertise their business on our website, including such information as a website URL, email address and phone number, as well as other information. Subscription advertising is predominantly sold for a flat fee, for a contracted period of time which is predominately one year or less.</w:t>
      </w:r>
    </w:p>
    <w:p>
      <w:pPr>
        <w:ind w:right="100"/>
        <w:spacing w:after="0" w:line="277" w:lineRule="auto"/>
        <w:rPr>
          <w:sz w:val="20"/>
          <w:szCs w:val="20"/>
          <w:color w:val="auto"/>
        </w:rPr>
      </w:pPr>
      <w:r>
        <w:rPr>
          <w:rFonts w:ascii="Arial" w:cs="Arial" w:eastAsia="Arial" w:hAnsi="Arial"/>
          <w:sz w:val="17"/>
          <w:szCs w:val="17"/>
          <w:color w:val="auto"/>
        </w:rPr>
        <w:t>Subscription advertising services are generally billed in advance of service. Subscription advertising revenues are recognized on a straight-line basis over the period of the subscription service as efforts are expended evenly throughout the contract period. When prepayments are received, we recognize deferred revenue for the amount of prepayment in excess of revenue recognized until the performance obligation is satisfied.</w:t>
      </w:r>
    </w:p>
    <w:p>
      <w:pPr>
        <w:spacing w:after="0" w:line="169" w:lineRule="exact"/>
        <w:rPr>
          <w:sz w:val="20"/>
          <w:szCs w:val="20"/>
          <w:color w:val="auto"/>
        </w:rPr>
      </w:pPr>
    </w:p>
    <w:p>
      <w:pPr>
        <w:ind w:right="20" w:firstLine="518"/>
        <w:spacing w:after="0" w:line="261" w:lineRule="auto"/>
        <w:rPr>
          <w:sz w:val="20"/>
          <w:szCs w:val="20"/>
          <w:color w:val="auto"/>
        </w:rPr>
      </w:pPr>
      <w:r>
        <w:rPr>
          <w:rFonts w:ascii="Arial" w:cs="Arial" w:eastAsia="Arial" w:hAnsi="Arial"/>
          <w:sz w:val="18"/>
          <w:szCs w:val="18"/>
          <w:b w:val="1"/>
          <w:bCs w:val="1"/>
          <w:color w:val="auto"/>
        </w:rPr>
        <w:t xml:space="preserve">Other Hotel Revenue. </w:t>
      </w:r>
      <w:r>
        <w:rPr>
          <w:rFonts w:ascii="Arial" w:cs="Arial" w:eastAsia="Arial" w:hAnsi="Arial"/>
          <w:sz w:val="18"/>
          <w:szCs w:val="18"/>
          <w:color w:val="auto"/>
        </w:rPr>
        <w:t>Our other hotel revenue primarily includes revenue from non-TripAdvisor-branded websites, such as www.bookingbuddy.com,</w:t>
      </w:r>
      <w:r>
        <w:rPr>
          <w:rFonts w:ascii="Arial" w:cs="Arial" w:eastAsia="Arial" w:hAnsi="Arial"/>
          <w:sz w:val="18"/>
          <w:szCs w:val="18"/>
          <w:b w:val="1"/>
          <w:bCs w:val="1"/>
          <w:color w:val="auto"/>
        </w:rPr>
        <w:t xml:space="preserve"> </w:t>
      </w:r>
      <w:r>
        <w:rPr>
          <w:rFonts w:ascii="Arial" w:cs="Arial" w:eastAsia="Arial" w:hAnsi="Arial"/>
          <w:sz w:val="18"/>
          <w:szCs w:val="18"/>
          <w:color w:val="auto"/>
        </w:rPr>
        <w:t>www.cruisecritic.com, and www.onetime.com, which primarily includes click-based advertising and display-based advertising revenue. The performance obligations and timing of customer payments for these brands and methods of recognizing revenue are generally consistent with click-based advertising or display-based advertising revenue, as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Non-Hotel Segment</w:t>
      </w:r>
    </w:p>
    <w:p>
      <w:pPr>
        <w:spacing w:after="0" w:line="225"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provide information and services for users to research, book and experience activities and attractions in popular travel destinations both through Viator, our dedicated Experiences offering, and on our TripAdvisor website and applications. We also power travel activities and experiences booking capabilities to users for affiliate partners, including some of the world’s top airlines, hotel chains and online and offline travel agencies. We work with local tour or travel activities/experiences operators (“the supplier”) to provide our users with access to book tours, activities and experiences (“the activity”) in popular destinations worldwide. We generate commissions for each booking transaction we facilitate through our online reservation system. We provide post-booking service to the user until the time of the activity, which is the completion of the performance obligation. Revenue is recognized at the time that the activity occurs. We are an agent in the transaction, under ASC 606, for nearly all of these transactions. We generally collect payment from the user at the time of booking that includes both our commission revenue and the amount due to the supplier. Our commission revenue is recorded as deferred revenue until revenue is recognized, and the amount due to the supplier is recorded to deferred merchant payables on our consolidated balance sheet, until payment is made to the supplier after the completion of the activity. To a lesser extent, we earn commissions from third-party merchant partners, who display and promote our supplier activities on their websites to generate bookings. In these transactions, where we are not the merchant of record, we generally invoice and receive commissions directly from the third-party merchant partners. Our performance obligation is to allow the third-party merchant partners to display and promote our supplier activities on their website and we earn a commission when users book and complete an activity.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 We are an agent in these transactions, under ASC 606.</w:t>
      </w:r>
    </w:p>
    <w:p>
      <w:pPr>
        <w:spacing w:after="0" w:line="18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also provide information and services for users to research and book restaurants in popular travel destinations through our dedicated restaurant reservations offering, TheFork, and on our TripAdvisor website and applications. TheFork is an online restaurant booking platform operating on a number of websites (including www.lafourchette.com, www.eltenedor.com, www.iens.nl and www.dimmi.com.au), with a network of restaurant partners located primarily across Europe and Australia. Our bookable restaurants are available on www.thefork.com and on TripAdvisor-branded websites and mobile applications. We primarily generate transaction fees (or per seated diner fees) that are paid by restaurants for diners seated primarily from bookings through TheFork’s online reservation system. The transaction fee is recognized in revenue after the reservation is fulfilled, or as diners are seated by our restaurant customers. Revenue is billed monthly when the transaction fees are payable, which is at the time the diner is seated. To a lesser extent, we also generate subscription fees for access to certain online reservation management services and marketing analytic tools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w:t>
      </w:r>
    </w:p>
    <w:p>
      <w:pPr>
        <w:spacing w:after="0" w:line="18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addition, we provide information and services for users to research and book vacation and short-term rental properties, including full home rentals, condominiums, villas, beach rentals, cabins and cottages. Rentals generates revenue primarily by offering individual property owners and managers the ability to list their properties on our websites and mobile applications thereby connecting homeowners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applications. We earn commissions associated with rental transactions through our free-to-list model from both the traveler and the property owner or manager. We provide post-booking service to the traveler and property owners and managers until the time the rental commences, which is the time the performance obligation is completed. Revenue from transaction fees is recognized at the time that the rental commences. We are 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agent in these transactions, under ASC 606. We generally collect payment from the traveler at the time of booking that includes our commissions, which is recorded as deferred revenue until revenue is recognized, and the amount due to the property owner, which is recorded in deferred merchant payables on our consolidated balance sheet,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expense costs to obtain a contract as incurred, such as sales commissions, when the amortization period would have been one year or less.</w:t>
      </w:r>
    </w:p>
    <w:p>
      <w:pPr>
        <w:spacing w:after="0" w:line="23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Adoption of ASC 606</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impact of this new revenue recognition guidance on our unaudited condensed consolidated statement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was as follows:</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3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6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w w:val="94"/>
              </w:rPr>
              <w:t>As Reported - ASC 606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top w:val="single" w:sz="8" w:color="auto"/>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Impact of Accounting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Adjusted - ASC 605</w:t>
            </w:r>
          </w:p>
        </w:tc>
        <w:tc>
          <w:tcPr>
            <w:tcW w:w="80" w:type="dxa"/>
            <w:vAlign w:val="bottom"/>
          </w:tcPr>
          <w:p>
            <w:pPr>
              <w:spacing w:after="0"/>
              <w:rPr>
                <w:sz w:val="13"/>
                <w:szCs w:val="13"/>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under ASC 606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3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9"/>
                <w:szCs w:val="19"/>
                <w:color w:val="auto"/>
              </w:rPr>
            </w:pPr>
          </w:p>
        </w:tc>
      </w:tr>
      <w:tr>
        <w:trPr>
          <w:trHeight w:val="230"/>
        </w:trPr>
        <w:tc>
          <w:tcPr>
            <w:tcW w:w="3180" w:type="dxa"/>
            <w:vAlign w:val="bottom"/>
          </w:tcPr>
          <w:p>
            <w:pPr>
              <w:ind w:left="80"/>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30"/>
        </w:trPr>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30"/>
        </w:trPr>
        <w:tc>
          <w:tcPr>
            <w:tcW w:w="318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318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impact of the new guidance was not meaningful as of and for the three months ended March 31, 2018 for the unaudited condensed consolidated balance sheet and unaudited condensed consolidated statement of cash flows,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 our business consists of two reportable segments – Hotel and Non-Hotel. A reconciliation of disaggregated revenue to segment revenue is also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127635</wp:posOffset>
            </wp:positionV>
            <wp:extent cx="14751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Major products/revenue sources:</w:t>
            </w:r>
          </w:p>
        </w:tc>
        <w:tc>
          <w:tcPr>
            <w:tcW w:w="1500" w:type="dxa"/>
            <w:vAlign w:val="bottom"/>
          </w:tcPr>
          <w:p>
            <w:pPr>
              <w:spacing w:after="0"/>
              <w:rPr>
                <w:sz w:val="14"/>
                <w:szCs w:val="14"/>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months ended March 31, 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Click-based advertising and transaction revenue</w:t>
            </w:r>
          </w:p>
        </w:tc>
        <w:tc>
          <w:tcPr>
            <w:tcW w:w="194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Display-based advertising and subscription revenue</w:t>
            </w: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15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Total Hotel Revenue (1)</w:t>
            </w: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 Revenue (1)</w:t>
            </w:r>
          </w:p>
        </w:tc>
        <w:tc>
          <w:tcPr>
            <w:tcW w:w="15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Revenue</w:t>
            </w:r>
          </w:p>
        </w:tc>
        <w:tc>
          <w:tcPr>
            <w:tcW w:w="15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440" w:hanging="379"/>
        <w:spacing w:after="0"/>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both our Hotel and Non-Hotel segments.</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receivables and contract assets from contracts with customers (in millions):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tcBorders>
              <w:top w:val="single" w:sz="8" w:color="auto"/>
            </w:tcBorders>
            <w:shd w:val="clear" w:color="auto" w:fill="CFF0FC"/>
          </w:tcPr>
          <w:p>
            <w:pPr>
              <w:jc w:val="right"/>
              <w:ind w:right="12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269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assets</w:t>
            </w: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FF0FC"/>
          </w:tcPr>
          <w:p>
            <w:pPr>
              <w:jc w:val="right"/>
              <w:ind w:right="12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unaudited condensed consolidated balance sheet. During the three months ended March 31, 2018, $41 million was recognized as revenue which was included in the deferred revenue balance at the beginning of the period. The difference between the opening and closing balances of our contract assets and deferred revenue primarily results from the timing differences between our performance and the customer’s payment. There were no significant changes in contract assets or liabilities during the three months ended March 31, 2018 related to business combinations, impairments, cumulative catch-up or other material adjustments.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79"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ind w:right="2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3"/>
                <w:szCs w:val="13"/>
                <w:color w:val="auto"/>
              </w:rPr>
            </w:pP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3"/>
        </w:trPr>
        <w:tc>
          <w:tcPr>
            <w:tcW w:w="53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118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3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189"/>
        </w:trPr>
        <w:tc>
          <w:tcPr>
            <w:tcW w:w="53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360" w:type="dxa"/>
            <w:vAlign w:val="bottom"/>
            <w:gridSpan w:val="3"/>
          </w:tcPr>
          <w:p>
            <w:pPr>
              <w:ind w:left="240"/>
              <w:spacing w:after="0"/>
              <w:rPr>
                <w:sz w:val="20"/>
                <w:szCs w:val="20"/>
                <w:color w:val="auto"/>
              </w:rPr>
            </w:pPr>
            <w:r>
              <w:rPr>
                <w:rFonts w:ascii="Arial" w:cs="Arial" w:eastAsia="Arial" w:hAnsi="Arial"/>
                <w:sz w:val="18"/>
                <w:szCs w:val="18"/>
                <w:color w:val="auto"/>
              </w:rPr>
              <w:t>Weighted average shares used to compute Basic EPS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139,312</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143,632</w:t>
            </w:r>
          </w:p>
        </w:tc>
        <w:tc>
          <w:tcPr>
            <w:tcW w:w="120" w:type="dxa"/>
            <w:vAlign w:val="bottom"/>
          </w:tcPr>
          <w:p>
            <w:pPr>
              <w:spacing w:after="0"/>
              <w:rPr>
                <w:sz w:val="19"/>
                <w:szCs w:val="19"/>
                <w:color w:val="auto"/>
              </w:rPr>
            </w:pPr>
          </w:p>
        </w:tc>
      </w:tr>
      <w:tr>
        <w:trPr>
          <w:trHeight w:val="230"/>
        </w:trPr>
        <w:tc>
          <w:tcPr>
            <w:tcW w:w="53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1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r>
      <w:tr>
        <w:trPr>
          <w:trHeight w:val="230"/>
        </w:trPr>
        <w:tc>
          <w:tcPr>
            <w:tcW w:w="53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RSUs/MSUs</w:t>
            </w:r>
          </w:p>
        </w:tc>
        <w:tc>
          <w:tcPr>
            <w:tcW w:w="1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FF0FC"/>
          </w:tcPr>
          <w:p>
            <w:pPr>
              <w:spacing w:after="0"/>
              <w:rPr>
                <w:sz w:val="19"/>
                <w:szCs w:val="19"/>
                <w:color w:val="auto"/>
              </w:rPr>
            </w:pPr>
          </w:p>
        </w:tc>
      </w:tr>
      <w:tr>
        <w:trPr>
          <w:trHeight w:val="263"/>
        </w:trPr>
        <w:tc>
          <w:tcPr>
            <w:tcW w:w="53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Weighted average shares used to compute Diluted EPS</w:t>
            </w:r>
          </w:p>
        </w:tc>
        <w:tc>
          <w:tcPr>
            <w:tcW w:w="118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140,322</w:t>
            </w:r>
          </w:p>
        </w:tc>
        <w:tc>
          <w:tcPr>
            <w:tcW w:w="32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144,717</w:t>
            </w:r>
          </w:p>
        </w:tc>
        <w:tc>
          <w:tcPr>
            <w:tcW w:w="120" w:type="dxa"/>
            <w:vAlign w:val="bottom"/>
            <w:tcBorders>
              <w:bottom w:val="single" w:sz="8" w:color="CFF0FC"/>
            </w:tcBorders>
          </w:tcPr>
          <w:p>
            <w:pPr>
              <w:spacing w:after="0"/>
              <w:rPr>
                <w:sz w:val="22"/>
                <w:szCs w:val="22"/>
                <w:color w:val="auto"/>
              </w:rPr>
            </w:pPr>
          </w:p>
        </w:tc>
      </w:tr>
      <w:tr>
        <w:trPr>
          <w:trHeight w:val="210"/>
        </w:trPr>
        <w:tc>
          <w:tcPr>
            <w:tcW w:w="5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18"/>
                <w:szCs w:val="18"/>
                <w:color w:val="auto"/>
              </w:rPr>
            </w:pPr>
          </w:p>
        </w:tc>
      </w:t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13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Potential common shares, consisting of outstanding stock options, restricted stock units (“RSUs”) and market-based stock units (“MSUs”), totaling approximately 12.0 million shares and 6.4 million shares for the three months ended March 31, 2018 and 2017, respectively, have been excluded from the calculation of Diluted EPS because their effect would have been antidilutive. In addition, potential common shares, consisting of performance-based awards, totaling approximately 0.4 million shares and 0.1 million shares for three months ended March 31, 2018 and 2017, respectively, for which all targets required to trigger vesting had not been achieved, were excluded from the calculation of weighted average shares used to compute Diluted EPS for those reporting periods.</w:t>
      </w:r>
    </w:p>
    <w:p>
      <w:pPr>
        <w:spacing w:after="0" w:line="193"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5" w:lineRule="exact"/>
        <w:rPr>
          <w:sz w:val="20"/>
          <w:szCs w:val="20"/>
          <w:color w:val="auto"/>
        </w:rPr>
      </w:pPr>
    </w:p>
    <w:p>
      <w:pPr>
        <w:ind w:right="5260"/>
        <w:spacing w:after="0" w:line="378" w:lineRule="auto"/>
        <w:rPr>
          <w:sz w:val="20"/>
          <w:szCs w:val="20"/>
          <w:color w:val="auto"/>
        </w:rPr>
      </w:pPr>
      <w:r>
        <w:rPr>
          <w:rFonts w:ascii="Arial" w:cs="Arial" w:eastAsia="Arial" w:hAnsi="Arial"/>
          <w:sz w:val="18"/>
          <w:szCs w:val="18"/>
          <w:b w:val="1"/>
          <w:bCs w:val="1"/>
          <w:color w:val="auto"/>
        </w:rPr>
        <w:t>NOTE 5: STOCK BASED AWARDS AND OTHER EQUITY INSTRUMENTS Stock-Based Compensation Expense</w:t>
      </w:r>
    </w:p>
    <w:p>
      <w:pPr>
        <w:ind w:right="180"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unaudited condensed consolidated statements of operations during the periods presented:</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During both the three months ended March 31, 2018 and 2017, we capitalized $3 million of stock-based compensation expense as internal-use software and website development costs.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Stock Option Activity</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During the three months ended March 31, 2018, we granted 611,235 service-based non-qualified stock options under the Company’s 2011 Stock and Annual Incentive Plan, as amended (the “2011 Incentive Plan”). These stock options generally have a term of ten years from the date of grant and typically vest equally over a four-year requisite service period.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A summary of our stock option activity during the three months ended March 31, 2018, is presented below:</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52.78</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41.54</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2018</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as of March 31, 2018</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54.81</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March 31, 2018 (2)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40" w:hanging="386"/>
        <w:spacing w:after="0" w:line="288"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Inclusive of 150,855 of options which were not converted into shares due to net share settlement in order to cover the aggregate exercise price and the required amount of employee withholding taxes. Potential shares that had been convertible under stock options that were withheld under net share settlement remain in the authorized but unissued pool under the 2011 Incentive Plan and can be reissued by the Company. Total payments</w:t>
      </w:r>
    </w:p>
    <w:p>
      <w:pPr>
        <w:ind w:left="840" w:right="260"/>
        <w:spacing w:after="0" w:line="250" w:lineRule="auto"/>
        <w:rPr>
          <w:sz w:val="20"/>
          <w:szCs w:val="20"/>
          <w:color w:val="auto"/>
        </w:rPr>
      </w:pPr>
      <w:r>
        <w:rPr>
          <w:rFonts w:ascii="Arial" w:cs="Arial" w:eastAsia="Arial" w:hAnsi="Arial"/>
          <w:sz w:val="18"/>
          <w:szCs w:val="18"/>
          <w:color w:val="auto"/>
        </w:rPr>
        <w:t>for the 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40" w:right="48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62" w:lineRule="exact"/>
        <w:rPr>
          <w:sz w:val="20"/>
          <w:szCs w:val="20"/>
          <w:color w:val="auto"/>
        </w:rPr>
      </w:pPr>
    </w:p>
    <w:p>
      <w:pPr>
        <w:ind w:firstLine="518"/>
        <w:spacing w:after="0" w:line="279"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March 31, 2018 was $40.89. The total intrinsic value of stock options exercised was $3 million and $7 million, for the three months ended March 31, 2018 and 2017, respectively.</w:t>
      </w:r>
    </w:p>
    <w:p>
      <w:pPr>
        <w:spacing w:after="0" w:line="16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408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42.29%</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41.53%</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The weighted-average grant date fair value of options granted was $17.60 and $17.20 for the three months ended March 31, 2018 and 2017, respectively. The total fair value of stock options vested was $8 million and $13 million for the three months ended March 31, 2018 and 2017, respectively. Cash received from stock option exercises was not material and $3 million for the three months ended March 31, 2018 and 2017,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RSU Activity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the three months ended March 31, 2018, we granted 2,590,380 service-based RSUs under the 2011 Incentive Plan which typically vest over a four-year requisite service period. A summary of our RSU activity for service-based and performance-based awards during the three months ended March 31, 2018, is presented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5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3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32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156"/>
        </w:trPr>
        <w:tc>
          <w:tcPr>
            <w:tcW w:w="532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2017 (1)</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Transfer (1)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Vested and released (2)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 outstanding as of March 31, 2018</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45.18</w:t>
            </w:r>
          </w:p>
        </w:tc>
        <w:tc>
          <w:tcPr>
            <w:tcW w:w="4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tcPr>
          <w:p>
            <w:pPr>
              <w:spacing w:after="0"/>
              <w:rPr>
                <w:sz w:val="22"/>
                <w:szCs w:val="22"/>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 after March 31, 2018 (3)</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45.18</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right="360" w:hanging="386"/>
        <w:spacing w:after="0" w:line="258"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RSUs outstanding as of December 31, 2017 include 213,000 MSUs awarded to the Company’s CEO in November 2017. This award has been transferred to the MSU activity table below.</w:t>
      </w:r>
    </w:p>
    <w:p>
      <w:pPr>
        <w:spacing w:after="0" w:line="1" w:lineRule="exact"/>
        <w:rPr>
          <w:rFonts w:ascii="Arial" w:cs="Arial" w:eastAsia="Arial" w:hAnsi="Arial"/>
          <w:sz w:val="18"/>
          <w:szCs w:val="18"/>
          <w:color w:val="auto"/>
        </w:rPr>
      </w:pPr>
    </w:p>
    <w:p>
      <w:pPr>
        <w:ind w:left="840" w:hanging="347"/>
        <w:spacing w:after="0" w:line="265" w:lineRule="auto"/>
        <w:tabs>
          <w:tab w:leader="none" w:pos="833" w:val="left"/>
        </w:tabs>
        <w:numPr>
          <w:ilvl w:val="1"/>
          <w:numId w:val="8"/>
        </w:numPr>
        <w:rPr>
          <w:rFonts w:ascii="Arial" w:cs="Arial" w:eastAsia="Arial" w:hAnsi="Arial"/>
          <w:sz w:val="17"/>
          <w:szCs w:val="17"/>
          <w:color w:val="auto"/>
        </w:rPr>
      </w:pPr>
      <w:r>
        <w:rPr>
          <w:rFonts w:ascii="Arial" w:cs="Arial" w:eastAsia="Arial" w:hAnsi="Arial"/>
          <w:sz w:val="17"/>
          <w:szCs w:val="17"/>
          <w:color w:val="auto"/>
        </w:rPr>
        <w:t>Inclusive of 269,878 RSUs withheld due to net share settlement to satisfy required employee tax withholding requirements.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condensed consolidated statements of cash flows.</w:t>
      </w:r>
    </w:p>
    <w:tbl>
      <w:tblPr>
        <w:tblLayout w:type="fixed"/>
        <w:tblInd w:w="460" w:type="dxa"/>
        <w:tblCellMar>
          <w:top w:w="0" w:type="dxa"/>
          <w:left w:w="0" w:type="dxa"/>
          <w:bottom w:w="0" w:type="dxa"/>
          <w:right w:w="0" w:type="dxa"/>
        </w:tblCellMar>
      </w:tblPr>
      <w:tr>
        <w:trPr>
          <w:trHeight w:val="203"/>
        </w:trPr>
        <w:tc>
          <w:tcPr>
            <w:tcW w:w="9220" w:type="dxa"/>
            <w:vAlign w:val="bottom"/>
            <w:gridSpan w:val="8"/>
          </w:tcPr>
          <w:p>
            <w:pPr>
              <w:jc w:val="right"/>
              <w:spacing w:after="0" w:line="203" w:lineRule="exact"/>
              <w:rPr>
                <w:sz w:val="20"/>
                <w:szCs w:val="20"/>
                <w:color w:val="auto"/>
              </w:rPr>
            </w:pPr>
            <w:r>
              <w:rPr>
                <w:rFonts w:ascii="Arial" w:cs="Arial" w:eastAsia="Arial" w:hAnsi="Arial"/>
                <w:sz w:val="18"/>
                <w:szCs w:val="18"/>
                <w:color w:val="auto"/>
                <w:w w:val="90"/>
              </w:rPr>
              <w:t>(3)  The Company accounts for forfeitures as they occur, rather than estimate expected forfeitures as allowed under GAAP and</w:t>
            </w:r>
          </w:p>
        </w:tc>
        <w:tc>
          <w:tcPr>
            <w:tcW w:w="1260" w:type="dxa"/>
            <w:vAlign w:val="bottom"/>
            <w:gridSpan w:val="3"/>
          </w:tcPr>
          <w:p>
            <w:pPr>
              <w:ind w:left="120"/>
              <w:spacing w:after="0" w:line="203" w:lineRule="exact"/>
              <w:rPr>
                <w:sz w:val="20"/>
                <w:szCs w:val="20"/>
                <w:color w:val="auto"/>
              </w:rPr>
            </w:pPr>
            <w:r>
              <w:rPr>
                <w:rFonts w:ascii="Arial" w:cs="Arial" w:eastAsia="Arial" w:hAnsi="Arial"/>
                <w:sz w:val="18"/>
                <w:szCs w:val="18"/>
                <w:color w:val="auto"/>
                <w:w w:val="88"/>
              </w:rPr>
              <w:t>therefore do not</w:t>
            </w:r>
          </w:p>
        </w:tc>
      </w:tr>
      <w:tr>
        <w:trPr>
          <w:trHeight w:val="230"/>
        </w:trPr>
        <w:tc>
          <w:tcPr>
            <w:tcW w:w="120" w:type="dxa"/>
            <w:vAlign w:val="bottom"/>
          </w:tcPr>
          <w:p>
            <w:pPr>
              <w:spacing w:after="0"/>
              <w:rPr>
                <w:sz w:val="20"/>
                <w:szCs w:val="20"/>
                <w:color w:val="auto"/>
              </w:rPr>
            </w:pPr>
          </w:p>
        </w:tc>
        <w:tc>
          <w:tcPr>
            <w:tcW w:w="8460" w:type="dxa"/>
            <w:vAlign w:val="bottom"/>
            <w:gridSpan w:val="5"/>
          </w:tcPr>
          <w:p>
            <w:pPr>
              <w:jc w:val="right"/>
              <w:ind w:right="99"/>
              <w:spacing w:after="0"/>
              <w:rPr>
                <w:sz w:val="20"/>
                <w:szCs w:val="20"/>
                <w:color w:val="auto"/>
              </w:rPr>
            </w:pPr>
            <w:r>
              <w:rPr>
                <w:rFonts w:ascii="Arial" w:cs="Arial" w:eastAsia="Arial" w:hAnsi="Arial"/>
                <w:sz w:val="18"/>
                <w:szCs w:val="18"/>
                <w:color w:val="auto"/>
                <w:w w:val="93"/>
              </w:rPr>
              <w:t>include a forfeiture rate in our expected to vest calculation unless necessary for a performance condition award.</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gridSpan w:val="6"/>
          </w:tcPr>
          <w:p>
            <w:pPr>
              <w:jc w:val="right"/>
              <w:ind w:right="459"/>
              <w:spacing w:after="0"/>
              <w:rPr>
                <w:sz w:val="20"/>
                <w:szCs w:val="20"/>
                <w:color w:val="auto"/>
              </w:rPr>
            </w:pPr>
            <w:r>
              <w:rPr>
                <w:rFonts w:ascii="Arial" w:cs="Arial" w:eastAsia="Arial" w:hAnsi="Arial"/>
                <w:sz w:val="18"/>
                <w:szCs w:val="18"/>
                <w:color w:val="auto"/>
                <w:w w:val="92"/>
              </w:rPr>
              <w:t>A summary of our RSU activity for MSUs, during the three months ended March 31, 2018 is presented below:</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1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8"/>
        </w:trPr>
        <w:tc>
          <w:tcPr>
            <w:tcW w:w="1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MSUs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1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gridSpan w:val="2"/>
          </w:tcPr>
          <w:p>
            <w:pPr>
              <w:spacing w:after="0"/>
              <w:rPr>
                <w:sz w:val="13"/>
                <w:szCs w:val="13"/>
                <w:color w:val="auto"/>
              </w:rPr>
            </w:pPr>
          </w:p>
        </w:tc>
      </w:tr>
      <w:tr>
        <w:trPr>
          <w:trHeight w:val="230"/>
        </w:trPr>
        <w:tc>
          <w:tcPr>
            <w:tcW w:w="1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2017 (1)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Granted (2)</w:t>
            </w: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March 31, 2018</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64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20" w:hanging="852"/>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213,000 MSUs awarded to the Company’s CEO in November 2017.</w:t>
      </w:r>
    </w:p>
    <w:p>
      <w:pPr>
        <w:spacing w:after="0" w:line="23" w:lineRule="exact"/>
        <w:rPr>
          <w:rFonts w:ascii="Arial" w:cs="Arial" w:eastAsia="Arial" w:hAnsi="Arial"/>
          <w:sz w:val="18"/>
          <w:szCs w:val="18"/>
          <w:color w:val="auto"/>
        </w:rPr>
      </w:pPr>
    </w:p>
    <w:p>
      <w:pPr>
        <w:ind w:left="760" w:hanging="392"/>
        <w:spacing w:after="0" w:line="269"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MSUs provide for vesting based upon the Company’s total shareholder return, or TSR, performance over the period commencing January 1, 2018 through December 31, 2020 relative to the TSR performance of the Nasdaq Composite Total Return Index. A Monte-Carlo simulation model, which simulated the present value of the potential outcomes of future stock prices and TSR of the Company and the Nasdaq Composite Total Return Index over the performance period, was used to calculate the grant-date fair value of these awards. The estimated grant-date fair value of these awards is being amortized on a straight-line basis over the requisite service period through December 31, 2020. Based upon actual attainment relative to the target performance metric, the grantee has the ability to receive up to 200% of the target number of MSUs originally granted, or to be issued none at all. These MSUs were granted under the 2011 Incentive Plan.</w:t>
      </w:r>
    </w:p>
    <w:p>
      <w:pPr>
        <w:spacing w:after="0" w:line="181" w:lineRule="exact"/>
        <w:rPr>
          <w:sz w:val="20"/>
          <w:szCs w:val="20"/>
          <w:color w:val="auto"/>
        </w:rPr>
      </w:pPr>
    </w:p>
    <w:p>
      <w:pPr>
        <w:ind w:firstLine="548"/>
        <w:spacing w:after="0" w:line="277"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were $3 million and $14 million during the three months ended March 31, 2018 and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related to our non-vested equity awards is presented below (in millions, except in years information):</w:t>
      </w:r>
    </w:p>
    <w:p>
      <w:pPr>
        <w:spacing w:after="0" w:line="1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840" w:type="dxa"/>
            <w:vAlign w:val="bottom"/>
          </w:tcPr>
          <w:p>
            <w:pPr>
              <w:jc w:val="center"/>
              <w:ind w:left="187"/>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140" w:type="dxa"/>
            <w:vAlign w:val="bottom"/>
          </w:tcPr>
          <w:p>
            <w:pPr>
              <w:spacing w:after="0"/>
              <w:rPr>
                <w:sz w:val="14"/>
                <w:szCs w:val="14"/>
                <w:color w:val="auto"/>
              </w:rPr>
            </w:pPr>
          </w:p>
        </w:tc>
        <w:tc>
          <w:tcPr>
            <w:tcW w:w="840" w:type="dxa"/>
            <w:vAlign w:val="bottom"/>
          </w:tcPr>
          <w:p>
            <w:pPr>
              <w:jc w:val="center"/>
              <w:ind w:left="187"/>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MSUs</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Restricted Cash and Marketable Securities</w:t>
      </w:r>
    </w:p>
    <w:p>
      <w:pPr>
        <w:spacing w:after="0" w:line="12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The following tables show our cash, cash equivalents, restricted cash and short-term and long-term available-for-sale marketable debt securities, by major security type, that are measured at fair value on a recurring basis and were categorized using the fair value hierarchy, as well as their classification on our unaudited condensed consolidated balance sheets, as of the periods presented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left="8"/>
              <w:spacing w:after="0"/>
              <w:rPr>
                <w:sz w:val="20"/>
                <w:szCs w:val="20"/>
                <w:color w:val="auto"/>
              </w:rPr>
            </w:pPr>
            <w:r>
              <w:rPr>
                <w:rFonts w:ascii="Arial" w:cs="Arial" w:eastAsia="Arial" w:hAnsi="Arial"/>
                <w:sz w:val="14"/>
                <w:szCs w:val="14"/>
                <w:b w:val="1"/>
                <w:bCs w:val="1"/>
                <w:color w:val="auto"/>
                <w:w w:val="96"/>
              </w:rPr>
              <w:t>March 31, 2018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Cash, Cash</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Long-Term</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Marketable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7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Level 1:</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Level 2:</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7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655</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Cash, Cash</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Equivalents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Marketable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780" w:type="dxa"/>
            <w:vAlign w:val="bottom"/>
            <w:vMerge w:val="restart"/>
          </w:tcPr>
          <w:p>
            <w:pPr>
              <w:spacing w:after="0"/>
              <w:rPr>
                <w:sz w:val="20"/>
                <w:szCs w:val="20"/>
                <w:color w:val="auto"/>
              </w:rPr>
            </w:pPr>
            <w:r>
              <w:rPr>
                <w:rFonts w:ascii="Arial" w:cs="Arial" w:eastAsia="Arial" w:hAnsi="Arial"/>
                <w:sz w:val="18"/>
                <w:szCs w:val="18"/>
                <w:color w:val="auto"/>
              </w:rPr>
              <w:t>Cash and restricted cash (1)</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78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7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74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60" w:hanging="372"/>
        <w:spacing w:after="0" w:line="293"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March 31, 2018 and December 31, 2017, our restricted cash which primarily consists of escrowed security deposits, was not material and is included in other long-term assets on our unaudited condensed consolidated balance sheets.</w:t>
      </w:r>
    </w:p>
    <w:p>
      <w:pPr>
        <w:spacing w:after="0" w:line="16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of purchase. The remaining maturities of our long-term marketable securities range from one to three years and our short-term marketable securities include maturities that were greater than 90 days at the date purchased and have 12 months or less remaining at March 31, 2018 and December 31, 2017,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9" w:name="page20"/>
    <w:bookmarkEnd w:id="19"/>
    <w:p>
      <w:pPr>
        <w:ind w:right="560" w:firstLine="518"/>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20"/>
        <w:spacing w:after="0" w:line="264"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0"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We classify our cash, cash equivalents, restricted cash and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marketable securities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6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months ended March 31, 2018 and 2017. Realized gains and losses on the sale of securities are determined by specific identification of each security’s cost basis. We consider any unrealized loss position in our available-for-sale marketable debt securities to be temporary in nature and do not consider any of these investments other-than-temporarily impaired as of March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552"/>
        <w:spacing w:after="0" w:line="273" w:lineRule="auto"/>
        <w:rPr>
          <w:sz w:val="20"/>
          <w:szCs w:val="20"/>
          <w:color w:val="auto"/>
        </w:rPr>
      </w:pPr>
      <w:r>
        <w:rPr>
          <w:rFonts w:ascii="Arial" w:cs="Arial" w:eastAsia="Arial" w:hAnsi="Arial"/>
          <w:sz w:val="17"/>
          <w:szCs w:val="17"/>
          <w:color w:val="auto"/>
        </w:rPr>
        <w:t>Derivative financial instruments are carried at fair value on our unaudited condensed consolidated balance sheets. We use foreign currency forward contracts to reduce the effects of foreign currency exchange rate fluctuations on our cash flows primarily for the Euro versus the U.S. Dollar. Our foreign currency forward contracts, which we have entered into to date, have not been designated as hedges and have had current maturities of less than 90 days. Any gain or loss resulting from the change in fair value of the foreign currency forward contracts was recognized in our unaudited condensed consolidated statement of operations in interest income and other, net, and was not material for the three months ended March 31, 2018 and 2017. The Company did not have any outstanding foreign currency derivatives as of March 31, 2018 and December 31,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accounts receivable and contract assets, accounts payable, deferred merchant payables, short-term debt, accrued and other current liabilities and long-term debt. The carrying amount of these financial instruments, with the exception of long-term debt, approximate their fair value because of the short maturity of these instruments as reported on our unaudited condensed consolidated balance sheets as of March 31, 2018 and December 31, 2017. The carrying value of the long-term debt from our 2015 Credit Facility bears interest at a variable rate and therefore is also considered to approximate its fair value.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also hold investments in equity securities of privately-held companies that do not have a readily determinable</w:t>
      </w:r>
    </w:p>
    <w:p>
      <w:pPr>
        <w:spacing w:after="0" w:line="23"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fair value. As of both March 31, 2018 and December 31, 2017, the total carrying value of our equity investments in these privately-held companies were $12 million and are included in other long-term assets on our unaudited condensed consolidated balance sheet. Our policy is to measure these investments at cost less impairment, if any, plus or minus changes resulting from observable price changes in orderly transactions for the identical or a similar investment of the same issuer. On a quarterly basis, we perform a qualitative assessment considering impairment indicators to evaluate whether these investments are impaired and also monitor for any observable price changes. During the three months ended March 31, 2018 and 2017, we did not have any impairment loss on these equity investments.</w:t>
      </w:r>
    </w:p>
    <w:p>
      <w:pPr>
        <w:spacing w:after="0" w:line="194"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did not have assets or liabilities measured at fair value on a recurring basis using the Level 3 unobservable inputs at both March 31, 2018 and December 31, 2017.</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as of the dates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jc w:val="right"/>
              <w:ind w:right="86"/>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60" w:type="dxa"/>
            <w:vAlign w:val="bottom"/>
            <w:gridSpan w:val="2"/>
          </w:tcPr>
          <w:p>
            <w:pPr>
              <w:jc w:val="right"/>
              <w:ind w:right="266"/>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ind w:right="77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right"/>
              <w:ind w:right="45"/>
              <w:spacing w:after="0" w:line="155" w:lineRule="exact"/>
              <w:rPr>
                <w:sz w:val="20"/>
                <w:szCs w:val="20"/>
                <w:color w:val="auto"/>
              </w:rPr>
            </w:pPr>
            <w:r>
              <w:rPr>
                <w:rFonts w:ascii="Arial" w:cs="Arial" w:eastAsia="Arial" w:hAnsi="Arial"/>
                <w:sz w:val="14"/>
                <w:szCs w:val="14"/>
                <w:b w:val="1"/>
                <w:bCs w:val="1"/>
                <w:color w:val="auto"/>
              </w:rPr>
              <w:t>(in millions)</w:t>
            </w: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2960" w:type="dxa"/>
            <w:vAlign w:val="bottom"/>
            <w:gridSpan w:val="2"/>
          </w:tcPr>
          <w:p>
            <w:pPr>
              <w:jc w:val="right"/>
              <w:ind w:right="132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Debt (1)</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13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2015 Credit Facility</w:t>
            </w:r>
          </w:p>
        </w:tc>
        <w:tc>
          <w:tcPr>
            <w:tcW w:w="2960" w:type="dxa"/>
            <w:vAlign w:val="bottom"/>
            <w:gridSpan w:val="2"/>
          </w:tcPr>
          <w:p>
            <w:pPr>
              <w:jc w:val="right"/>
              <w:ind w:right="1326"/>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85"/>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13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right="80" w:firstLine="548"/>
        <w:spacing w:after="0" w:line="271" w:lineRule="auto"/>
        <w:rPr>
          <w:sz w:val="20"/>
          <w:szCs w:val="20"/>
          <w:color w:val="auto"/>
        </w:rPr>
      </w:pPr>
      <w:r>
        <w:rPr>
          <w:rFonts w:ascii="Arial" w:cs="Arial" w:eastAsia="Arial" w:hAnsi="Arial"/>
          <w:sz w:val="17"/>
          <w:szCs w:val="17"/>
          <w:color w:val="auto"/>
        </w:rPr>
        <w:t>We are party to a five year credit agreement with a group of lenders which, among other things, provides for a $1.2 billion unsecured revolving credit facility (the “2015 Credit Facility”) with a maturity date of May 12, 2022.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 sterling.</w:t>
      </w:r>
    </w:p>
    <w:p>
      <w:pPr>
        <w:spacing w:after="0" w:line="71" w:lineRule="exact"/>
        <w:rPr>
          <w:sz w:val="20"/>
          <w:szCs w:val="20"/>
          <w:color w:val="auto"/>
        </w:rPr>
      </w:pPr>
    </w:p>
    <w:p>
      <w:pPr>
        <w:ind w:firstLine="552"/>
        <w:spacing w:after="0" w:line="270" w:lineRule="auto"/>
        <w:rPr>
          <w:sz w:val="20"/>
          <w:szCs w:val="20"/>
          <w:color w:val="auto"/>
        </w:rPr>
      </w:pPr>
      <w:r>
        <w:rPr>
          <w:rFonts w:ascii="Arial" w:cs="Arial" w:eastAsia="Arial" w:hAnsi="Arial"/>
          <w:sz w:val="17"/>
          <w:szCs w:val="17"/>
          <w:color w:val="auto"/>
        </w:rPr>
        <w:t>During the three months ended March 31, 2018, the Company borrowed an additional $5 million and repaid $235 million of our outstanding borrowings on the 2015 Credit Facility. These net repayments were primarily made from a one-time cash repatriation of $325 million of foreign earnings to the United States during the first quarter of 2018. As of March 31, 2018, there were no outstanding borrowings under the 2015 Credit Facility. We are required to pay a quarterly commitment fee, at an applicable rate ranging from 0.15% to 0.30%, on the daily unused portion of the revolving credit facility for each fiscal quarter and additional fees in connection with the issuance of letters of credit. As of March 31, 2018, our unused revolver capacity was subject to a commitment fee of 0.15%, given the Company’s leverage ratio. The 2015 Credit Facility includes $15 million of borrowing capacity available for letters of credit and $40 million for Swing Line borrowings on same-day notice. As of March 31, 2018, we had issued $3 million of outstanding letters of credit under the 2015 Credit Facility. We recorded total interest expense and commitment fees on our 2015 Credit Facility of $1 million for both the three months ended March 31, 2018 and 2017 to interest expense on our unaudited condensed consolidated statements of operations. All unpaid interest and commitment fee amounts as of March 31, 2018 and December 31, 2017, respectively, were not material.</w:t>
      </w:r>
    </w:p>
    <w:p>
      <w:pPr>
        <w:spacing w:after="0" w:line="70"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There is no specific repayment date prior to the maturity date for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March 31, 2018, we were in compliance with all of our debt covenants.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We are party to an uncommitted facility agreement which provides for a $73 million unsecured revolving credit facility (the “2016 Credit Facility”) with no specific expiration date. The 2016 Credit Facility is available at the lender’s discretion and can be canceled at any time. Repayment terms for borrowings under the 2016 Credit Facility are generally one to six month periods or such other periods as the parties may mutually agree and bear interest at LIBO rate plus 112.5 basis points. The Company may borrow from the 2016 Credit Facility in U.S. dollars only and we may voluntarily repay any outstanding borrowing at any time without premium or penalty. There are no specific financial or incurrence covenants.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1" w:name="page22"/>
    <w:bookmarkEnd w:id="21"/>
    <w:p>
      <w:pPr>
        <w:ind w:right="80" w:firstLine="518"/>
        <w:spacing w:after="0" w:line="312" w:lineRule="auto"/>
        <w:rPr>
          <w:sz w:val="20"/>
          <w:szCs w:val="20"/>
          <w:color w:val="auto"/>
        </w:rPr>
      </w:pPr>
      <w:r>
        <w:rPr>
          <w:rFonts w:ascii="Arial" w:cs="Arial" w:eastAsia="Arial" w:hAnsi="Arial"/>
          <w:sz w:val="16"/>
          <w:szCs w:val="16"/>
          <w:color w:val="auto"/>
        </w:rPr>
        <w:t>The Company repaid outstanding borrowings of $73 million during the three months ended March 31, 2017. As of March 31, 2018 and December 31, 2017, there were no outstanding borrowings under the 2016 Credit Facility. During the three months ended March 31, 2017, total interest recorded with respect to our 2016 Credit Facility to interest expense on our unaudited condensed consolidated statement of operations was not material.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to our 2015 Credit Facility and 2016 Credit Facility, we maintain two credit facilities in China (jointly, the “Chinese Credit Facilities”).</w:t>
      </w:r>
    </w:p>
    <w:p>
      <w:pPr>
        <w:spacing w:after="0" w:line="23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are party to a $30 million, one-year revolving credit facility with Bank of America (the “Chinese Credit Facility—BOA”) that is currently subject to review on a periodic basis with no specific expiration period. Borrowings under our Chinese Credit Facility – BOA generally bear interest at a rate based on People’s Bank of China benchmark, including certain adjustments which may be made in accordance with market conditions at the time of borrowing. As of March 31, 2018 and December 31, 2017, there were no outstanding borrowings under our Chinese Credit Facility—BOA.</w:t>
      </w:r>
    </w:p>
    <w:p>
      <w:pPr>
        <w:spacing w:after="0" w:line="171" w:lineRule="exact"/>
        <w:rPr>
          <w:sz w:val="20"/>
          <w:szCs w:val="20"/>
          <w:color w:val="auto"/>
        </w:rPr>
      </w:pPr>
    </w:p>
    <w:p>
      <w:pPr>
        <w:ind w:right="60" w:firstLine="552"/>
        <w:spacing w:after="0" w:line="302" w:lineRule="auto"/>
        <w:rPr>
          <w:sz w:val="20"/>
          <w:szCs w:val="20"/>
          <w:color w:val="auto"/>
        </w:rPr>
      </w:pPr>
      <w:r>
        <w:rPr>
          <w:rFonts w:ascii="Arial" w:cs="Arial" w:eastAsia="Arial" w:hAnsi="Arial"/>
          <w:sz w:val="16"/>
          <w:szCs w:val="16"/>
          <w:color w:val="auto"/>
        </w:rPr>
        <w:t>We are also party to a RMB 70,000,000 (approximately $11 million) one-year revolving credit facility with J.P. Morgan Chase Bank (“Chinese Credit Facility-JPM”). Our Chinese Credit Facility—JPM generally bears interest at a rate based on People’s Bank of China benchmark, including certain adjustments which may be made in accordance with market conditions at the time of borrowing. As of both March 31, 2018 and December 31, 2017, we had $7 million of outstanding borrowings from the Chinese Credit Facility – JPM at a weighted average rate of 4.98% and 5.00%,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Our effective tax rate for the three months ended March 31, 2018 and 2017 was 76.2% and 48.0%, respectively. For the three months ended March 31, 2018, the effective tax rate was greater than the federal statutory rate primarily due to international provisions from the U.S. Tax Cuts and Jobs Act of 2017 (“2017 Tax Act”), discussed below, foreign valuation allowances, and the income tax effects of the accounting for share based compensation. The change in the effective tax rate for the three months ended March 31, 2018 compared to the three months ended March 31, 2017 rate was primarily due to the Transition Tax, discussed below, and a lower stock price resulting in stock compensation shortfalls.</w:t>
      </w:r>
    </w:p>
    <w:p>
      <w:pPr>
        <w:spacing w:after="0" w:line="173"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The 2017 Tax Act introduced significant changes to U.S. income tax law. Changes include, but are not limited to, a corporate tax rate decrease from 35% to 21% effective for tax years beginning after December 31, 2017, the transition of U.S. international taxation from a worldwide tax system to a territorial system, and a one-time tax on the mandatory deemed repatriation of cumulative foreign earnings (the “Transition Tax”) as of December 31, 2017.</w:t>
      </w:r>
    </w:p>
    <w:p>
      <w:pPr>
        <w:spacing w:after="0" w:line="14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December 22, 2017, the SEC issued Staff Accounting Bulletin No. 118, or SAB 118, which allows us to record provisional amounts during a measurement period not to extend beyond one year of the enactment date.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During the quarter ended March 31, 2018, we recorded an incremental $5 million tax expense for the Transition Tax, which we initially recorded in the quarter ended December 31, 2017, reflecting additional information obtained relating to earnings and profits, foreign tax credits, and state taxes. Additional work is still necessary for a more detailed analysis of our historical foreign earnings. Any subsequent adjustment to these amounts will be recorded to current tax expense in the quarter of 2018 when the analysis is complete.</w:t>
      </w:r>
    </w:p>
    <w:p>
      <w:pPr>
        <w:spacing w:after="0" w:line="18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subject to additional requirements of the 2017 Tax Act during the year ended December 31, 2018. Those provisions include a tax on global intangible low-taxed income (“GILTI”), a limitation of certain executive compensation, and a deduction for foreign derived intangible income (“FDII”). We have elected to account for GILTI as a period cost, and therefore included GILTI expense in the effective tax rate calculation. Our 2018 effective tax rate includes our estimates of these new provisions, with a net tax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benefit of $1 million recorded in Q1. Our estimates may be revised in future periods as we obtain additional data, and as the Internal Revenue Service (“IRS”) issues new guidance implementing the law changes.</w:t>
      </w:r>
    </w:p>
    <w:p>
      <w:pPr>
        <w:spacing w:after="0" w:line="170"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March 31, 2018, accrued interest was $11 million, net of federal and state benefit, and no penalties have been accrued.</w:t>
      </w:r>
    </w:p>
    <w:p>
      <w:pPr>
        <w:spacing w:after="0" w:line="12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and have various ongoing state income tax audits. We are separately under examination by the IRS for the short-period 2011, 2012 and 2013 tax years and under an employment tax audit by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2018, no material assessments have resulted, except as noted below regarding our 2009 and 2010 IRS audit with Expedia.</w:t>
      </w:r>
    </w:p>
    <w:p>
      <w:pPr>
        <w:spacing w:after="0" w:line="17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January 2017, as part of the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19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$1 million in its unaudited condensed consolidated statement of operations for both the three months ended March 31, 2018 and 2017. The Company will continue to monitor this matter and related potential impacts to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jc w:val="center"/>
        <w:ind w:right="260"/>
        <w:spacing w:after="0" w:line="342" w:lineRule="auto"/>
        <w:rPr>
          <w:sz w:val="20"/>
          <w:szCs w:val="20"/>
          <w:color w:val="auto"/>
        </w:rPr>
      </w:pPr>
      <w:r>
        <w:rPr>
          <w:rFonts w:ascii="Arial" w:cs="Arial" w:eastAsia="Arial" w:hAnsi="Arial"/>
          <w:sz w:val="16"/>
          <w:szCs w:val="16"/>
          <w:color w:val="auto"/>
        </w:rPr>
        <w:t xml:space="preserve">There have been no material changes to our commitments and contingencies since December 31, 2017. Refer to “Note 13: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of our Annual Report on Form 10-K for the year ended December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right="4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8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 xml:space="preserve">We continue to accumulate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withholding taxes and state taxes. Refer to “Note 8: </w:t>
      </w:r>
      <w:r>
        <w:rPr>
          <w:rFonts w:ascii="Arial" w:cs="Arial" w:eastAsia="Arial" w:hAnsi="Arial"/>
          <w:sz w:val="16"/>
          <w:szCs w:val="16"/>
          <w:i w:val="1"/>
          <w:iCs w:val="1"/>
          <w:color w:val="auto"/>
        </w:rPr>
        <w:t>Income Taxes</w:t>
      </w:r>
      <w:r>
        <w:rPr>
          <w:rFonts w:ascii="Arial" w:cs="Arial" w:eastAsia="Arial" w:hAnsi="Arial"/>
          <w:sz w:val="16"/>
          <w:szCs w:val="16"/>
          <w:color w:val="auto"/>
        </w:rPr>
        <w:t>” above for further information on potential contingencies surrounding income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On January 31, 2018, our Board of Directors authorized up to $250 million of share repurchases. Our Board of Directors authorized and directed management, working with the Executive Committee of our Board of Directors, to affect the share repurchase program in compliance with applicable legal requirements. This repurchase program has no expiration date but may be suspended or terminated by the Board of Directors at any time.</w:t>
      </w:r>
    </w:p>
    <w:p>
      <w:pPr>
        <w:spacing w:after="0" w:line="9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During the three months ended March 31, 2018, we repurchased 252,650 shares of outstanding common stock under the share repurchase program at an aggregate cost of $10 million, or an average share price of $39.88, of which $6 million remains payable and is recorded in accrued expenses and other current liabilities on our unaudited condensed consolidated balance sheet at March 31, 2018. As of March 31, 2018, we had a remaining balance of $240 million available to repurchase shares of our common stock under the share repurchase program. Subsequent to March 31, 2018, we repurchased an additional 2,329,548 shares for an aggregate cost of $90 million, or an average price of $38.60 per share. As of May 7, 2018, we had a remaining balance of $150 million available to repurchase shares of our common stock under the share repurchase program.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consider Liberty TripAdvisor Holdings, Inc. (“LTRIP”) a related party. As of March 31, 2018, LTRIP beneficially owned approximately 18.2 million shares of our common stock and 12.8 million shares of our Class B common stock, which shares constitute 14.3% of the outstanding shares of common stock and 100% of the outstanding shares of Class B common stock. Assuming the conversion of all of LTRIP’s shares of Class B common stock into common stock, LTRIP would beneficially own 22.2% of the outstanding common stock. Because each share of Class B common stock generally is entitled to ten votes per share and each share of common stock is entitled to one vote per share, LTRIP may be deemed to beneficially own equity securities representing 57.4% of our voting power.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both the three months ended March 31, 2018 and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reporting structure includes two reportable segments: Hotel and Non-Hotel. Our Non-Hotel segment consists of the aggregation of three operating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segments: Experiences, Restaurants and Rentals. The nature of the services provided are summarized in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above.</w:t>
      </w:r>
    </w:p>
    <w:p>
      <w:pPr>
        <w:spacing w:after="0" w:line="222" w:lineRule="exact"/>
        <w:rPr>
          <w:sz w:val="20"/>
          <w:szCs w:val="20"/>
          <w:color w:val="auto"/>
        </w:rPr>
      </w:pPr>
    </w:p>
    <w:p>
      <w:pPr>
        <w:jc w:val="both"/>
        <w:ind w:right="80" w:firstLine="654"/>
        <w:spacing w:after="0" w:line="264" w:lineRule="auto"/>
        <w:rPr>
          <w:sz w:val="20"/>
          <w:szCs w:val="20"/>
          <w:color w:val="auto"/>
        </w:rPr>
      </w:pPr>
      <w:r>
        <w:rPr>
          <w:rFonts w:ascii="Arial" w:cs="Arial" w:eastAsia="Arial" w:hAnsi="Arial"/>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CEO.</w:t>
      </w:r>
    </w:p>
    <w:p>
      <w:pPr>
        <w:spacing w:after="0" w:line="181" w:lineRule="exact"/>
        <w:rPr>
          <w:sz w:val="20"/>
          <w:szCs w:val="20"/>
          <w:color w:val="auto"/>
        </w:rPr>
      </w:pPr>
    </w:p>
    <w:p>
      <w:pPr>
        <w:ind w:right="80" w:firstLine="654"/>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8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non-recurring expenses and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ind w:right="20" w:firstLine="761"/>
        <w:spacing w:after="0" w:line="270" w:lineRule="auto"/>
        <w:rPr>
          <w:sz w:val="20"/>
          <w:szCs w:val="20"/>
          <w:color w:val="auto"/>
        </w:rPr>
      </w:pPr>
      <w:r>
        <w:rPr>
          <w:rFonts w:ascii="Arial" w:cs="Arial" w:eastAsia="Arial" w:hAnsi="Arial"/>
          <w:sz w:val="17"/>
          <w:szCs w:val="17"/>
          <w:color w:val="auto"/>
        </w:rPr>
        <w:t>The following tables present our segment information for the three months ended March 31, 2018 and 2017 and include a reconciliation of Adjusted EBITDA to Net Income.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use this information to evaluate operating segments. Accordingly, we do not regularly provide such information by segment to our chief operating decision maker. Intersegment revenue is not material and, in addition, already eliminated in the information by segment provided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jc w:val="center"/>
              <w:ind w:right="315"/>
              <w:spacing w:after="0"/>
              <w:rPr>
                <w:sz w:val="20"/>
                <w:szCs w:val="20"/>
                <w:color w:val="auto"/>
              </w:rPr>
            </w:pPr>
            <w:r>
              <w:rPr>
                <w:rFonts w:ascii="Arial" w:cs="Arial" w:eastAsia="Arial" w:hAnsi="Arial"/>
                <w:sz w:val="14"/>
                <w:szCs w:val="14"/>
                <w:b w:val="1"/>
                <w:bCs w:val="1"/>
                <w:color w:val="auto"/>
                <w:w w:val="92"/>
              </w:rPr>
              <w:t>Three months ended March 31, 2018</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Hotel</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380" w:type="dxa"/>
            <w:vAlign w:val="bottom"/>
          </w:tcPr>
          <w:p>
            <w:pPr>
              <w:jc w:val="center"/>
              <w:ind w:right="35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left="88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299</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Adjusted EBITDA (1)</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gridSpan w:val="3"/>
            <w:vMerge w:val="restart"/>
          </w:tcPr>
          <w:p>
            <w:pPr>
              <w:jc w:val="center"/>
              <w:ind w:right="315"/>
              <w:spacing w:after="0"/>
              <w:rPr>
                <w:sz w:val="20"/>
                <w:szCs w:val="20"/>
                <w:color w:val="auto"/>
              </w:rPr>
            </w:pPr>
            <w:r>
              <w:rPr>
                <w:rFonts w:ascii="Arial" w:cs="Arial" w:eastAsia="Arial" w:hAnsi="Arial"/>
                <w:sz w:val="14"/>
                <w:szCs w:val="14"/>
                <w:b w:val="1"/>
                <w:bCs w:val="1"/>
                <w:color w:val="auto"/>
                <w:w w:val="92"/>
              </w:rPr>
              <w:t>Three months ended March 31, 2017</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Hotel</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380" w:type="dxa"/>
            <w:vAlign w:val="bottom"/>
          </w:tcPr>
          <w:p>
            <w:pPr>
              <w:jc w:val="center"/>
              <w:ind w:right="35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left="88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314</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Adjusted EBITDA (1)</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152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allocated general and administrative expenses in our Hotel segment of $20 million and $19 million; and in our Non-Hotel segment of $12 million and $9 million for the three months ended March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2017.</w:t>
      </w:r>
    </w:p>
    <w:p>
      <w:pPr>
        <w:spacing w:after="0" w:line="63"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right="40"/>
        <w:spacing w:after="0" w:line="270" w:lineRule="auto"/>
        <w:rPr>
          <w:sz w:val="20"/>
          <w:szCs w:val="20"/>
          <w:color w:val="auto"/>
        </w:rPr>
      </w:pPr>
      <w:r>
        <w:rPr>
          <w:rFonts w:ascii="Arial" w:cs="Arial" w:eastAsia="Arial" w:hAnsi="Arial"/>
          <w:sz w:val="17"/>
          <w:szCs w:val="17"/>
          <w:color w:val="auto"/>
        </w:rPr>
        <w:t>Report on Form 10-Q for the three months ended March 31, 2018,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users and travel partners a global platform about destinations, accommodations, travel activities and experiences, and restaurants that includes rich user-generated content, price comparison tools and online reservation and related services.</w:t>
      </w:r>
    </w:p>
    <w:p>
      <w:pPr>
        <w:spacing w:after="0" w:line="166"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Our flagship brand, TripAdvisor, is the world’s largest travel site based on monthly unique visitors. Our TripAdvisor-branded websites include tripadvisor.com in the United States and localized versions of the TripAdvisor website in 48 markets and 28 languages worldwide. TripAdvisor features approximately 630 million reviews and opinions on approximately 7.5 million places to stay, places to eat and things to do – including approximately 1.2 million hotels, inns, B&amp;Bs and specialty lodging, 800,000 rental properties, 4.6 million restaurants and 940,000 travel activities and experiences worldwide. We also enable users to compare prices and/or book a number of these travel experiences on either a TripAdvisor site or mobile app, or on the site or app of one of our travel partners.</w:t>
      </w:r>
    </w:p>
    <w:p>
      <w:pPr>
        <w:spacing w:after="0" w:line="5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to the flagship TripAdvisor brand, we manage and operate the following 20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www.jetsetter.com, www.niumba.com, www.onetime.com, www.oyster.com, www.seatguru.com, www.smartertravel.com, www.tingo.com, www.vacationhomerentals.com, and www.viator.com.</w:t>
      </w:r>
    </w:p>
    <w:p>
      <w:pPr>
        <w:spacing w:after="0" w:line="70"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 xml:space="preserve">Our reporting structure includes two reportable segments: Hotel and Non-Hotel. Our Non-Hotel reportable segment consists of our Experiences, Restaurants and Rentals offerings. During the quarter we renamed Attractions as “Experiences” and Vacation Rentals as “Rentals.” These changes had no impact on the composition of our segments or on any financial information. Financial information and additional descriptive information related to our segments is contained in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our unaudited condensed consolidated financial statements in Item 1 in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Trends</w:t>
      </w:r>
    </w:p>
    <w:p>
      <w:pPr>
        <w:spacing w:after="0" w:line="229"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As the world’s largest online travel platform, as measured by unique monthly visitors, TripAdvisor represents an attractive platform for travel advertisers—including hotel chains, independent hoteliers, online travel agencies, or OTAs, destination marketing organizations, and other travel-related and non-travel related product and service providers—who seek to market and sell their products and services to our large user base. Our product offerings and platform enable users to find, research and price shop for hotels, flights, cruises, rental properties, tours, travel activities and experiences, and restaurants, and book these travel events either directly on our websites or mobile apps, or on our travel partners’ websites or mobile apps. The key drivers of our financial results are described below, including a summary of our long-term growth strategy, current trends affecting our business, and our segment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Our mission is to help people around the world plan, book and experience the perfect trip. We seek to deliver this by: leveraging our user-generated content and global brand to attract users to our websites and applications; providing users with the best user experience throughout all phases of the travel journey; deepening our partnerships with travel partners, by providing them with a global platform of advertising opportunities to generate qualified leads and bookings; and investing in technology, product development, marketing, and other strategic areas that we believe can improve our long-term business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6" w:name="page27"/>
    <w:bookmarkEnd w:id="26"/>
    <w:p>
      <w:pPr>
        <w:ind w:left="1140" w:right="20" w:hanging="376"/>
        <w:spacing w:after="0" w:line="271"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user engagement with our platform. </w:t>
      </w:r>
      <w:r>
        <w:rPr>
          <w:rFonts w:ascii="Arial" w:cs="Arial" w:eastAsia="Arial" w:hAnsi="Arial"/>
          <w:sz w:val="17"/>
          <w:szCs w:val="17"/>
          <w:color w:val="auto"/>
        </w:rPr>
        <w:t>Since our founding, the TripAdvisor brand has become a globally-recognized travel brand,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synonymous with travel reviews and travel research. We believe that our user-generated content and our brand have enabled us to build a large, highly engaged and loyal community of travelers who view TripAdvisor as a valuable resource to help them discover, plan, and book their travel experiences, and for millions of users, TripAdvisor gives them an interactive platform to share their travel experiences. We seek to amplify our global brand and raise user awareness about, and engagement with, our end-to-end product offerings, such as the ability to price shop and book, as we aim to attract users to our websites and applications through various channels, including domain direct and various online and offline marketing channels, including search engines through search engine optimization, or SEO, and search engine marketing, or SEM, and recently, through television brand advertising.</w:t>
      </w:r>
    </w:p>
    <w:p>
      <w:pPr>
        <w:spacing w:after="0" w:line="70" w:lineRule="exact"/>
        <w:rPr>
          <w:rFonts w:ascii="Arial" w:cs="Arial" w:eastAsia="Arial" w:hAnsi="Arial"/>
          <w:sz w:val="17"/>
          <w:szCs w:val="17"/>
          <w:color w:val="auto"/>
        </w:rPr>
      </w:pPr>
    </w:p>
    <w:p>
      <w:pPr>
        <w:ind w:left="1140" w:hanging="376"/>
        <w:spacing w:after="0" w:line="287"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the best user experience possible on our platform. </w:t>
      </w:r>
      <w:r>
        <w:rPr>
          <w:rFonts w:ascii="Arial" w:cs="Arial" w:eastAsia="Arial" w:hAnsi="Arial"/>
          <w:sz w:val="16"/>
          <w:szCs w:val="16"/>
          <w:color w:val="auto"/>
        </w:rPr>
        <w:t>We believe that giving users more value throughout their TripAdvisor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key to our future success. To accomplish this, we have made and will continue to make product improvements in order to provide a more enjoyable and engaging end-to-end user experience throughout all phases of the travel journey – from inspiration and discovery, to researching, price shopping and booking, to in-destination activities and places to eat, and, finally, to sharing the details of these travel experiences on TripAdvisor. These enhancements include growing the number of hotels, inns, B&amp;Bs and specialty lodging, rental properties, restaurants, travel activities and experiences listed on our platform to approximately 7.5 million worldwide as of March 31, 2018. In addition to listings and content, we have provided users more options to price compare and book their travel experiences. During 2017, we launched a more engaging hotel shopping experience that focused on helping hotel shoppers find the best prices on a redesigned TripAdvisor website and mobile application. In order to better serve travelers’ needs when they are in-destination, we have continued to rapidly expand our bookable supply in Experiences and Restaurants. We believe that our continued focus on delivering an increasingly more robust user experience will ultimately result in more repeat usage on our platform, more value for our partners, and greater monetization for our business. We seek to quickly identify what users need to conduct their travel research and booking and to deliver product enhancements quickly.</w:t>
      </w:r>
    </w:p>
    <w:p>
      <w:pPr>
        <w:spacing w:after="0" w:line="60" w:lineRule="exact"/>
        <w:rPr>
          <w:rFonts w:ascii="Arial" w:cs="Arial" w:eastAsia="Arial" w:hAnsi="Arial"/>
          <w:sz w:val="16"/>
          <w:szCs w:val="16"/>
          <w:color w:val="auto"/>
        </w:rPr>
      </w:pPr>
    </w:p>
    <w:p>
      <w:pPr>
        <w:ind w:left="1140" w:hanging="376"/>
        <w:spacing w:after="0" w:line="253"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relationships with our travel partners. </w:t>
      </w:r>
      <w:r>
        <w:rPr>
          <w:rFonts w:ascii="Arial" w:cs="Arial" w:eastAsia="Arial" w:hAnsi="Arial"/>
          <w:sz w:val="18"/>
          <w:szCs w:val="18"/>
          <w:color w:val="auto"/>
        </w:rPr>
        <w:t>We are a global platform consisting of listing and advertising opportunities that help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impressions, brand awareness, qualified leads and bookings for travel partners. As of March 31, 2018, TripAdvisor had approximately 1.2 million hotels, inns, B&amp;Bs and specialty lodging, 800,000 rental properties, 4.6 million restaurants, and 940,000 travel activities and experiences worldwide. We believe that continuing to grow the number of listings and bookable supply, especially in our in-destination Experiences and Restaurants offerings, will enable TripAdvisor to not only delight users in more moments during more trips, but also help partners drive transactions for their business. We are also increasingly providing business-to-business services that are designed to help our partners grow their business. For example, TripAdvisor’s Business Advantage and Premium for Restaurants offer hoteliers and restauranteurs, respectively, affordable marketing analytics tools to help them attract customers and more effectively manage their business pages on TripAdvisor.</w:t>
      </w:r>
    </w:p>
    <w:p>
      <w:pPr>
        <w:spacing w:after="0" w:line="89" w:lineRule="exact"/>
        <w:rPr>
          <w:rFonts w:ascii="Arial" w:cs="Arial" w:eastAsia="Arial" w:hAnsi="Arial"/>
          <w:sz w:val="18"/>
          <w:szCs w:val="18"/>
          <w:color w:val="auto"/>
        </w:rPr>
      </w:pPr>
    </w:p>
    <w:p>
      <w:pPr>
        <w:ind w:left="1140" w:hanging="376"/>
        <w:spacing w:after="0" w:line="270"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technology, product, marketing and other strategic areas. </w:t>
      </w:r>
      <w:r>
        <w:rPr>
          <w:rFonts w:ascii="Arial" w:cs="Arial" w:eastAsia="Arial" w:hAnsi="Arial"/>
          <w:sz w:val="17"/>
          <w:szCs w:val="17"/>
          <w:color w:val="auto"/>
        </w:rPr>
        <w:t>Continuous product testing and speed to market are two of our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important priorities, as they enable us to create a richer user experience. We operate on a regular product release cycle, where releases contain new product features for our websites and mobile applications. For example, innovating and improving our mobile phone offerings are key priorities since mobile phone adoption continues to scale and consumers increasingly conduct more internet searches and commerce on these devices. During the quarter ended March 31, 2018, more than half of our average monthly unique visitors came from mobile phones, growing approximately 25% year-over-year, according to our internal log files. We anticipate that the growth rate in mobile phone monthly unique visitors will continue to exceed the growth rate of our overall monthly unique visitors, resulting in an increased proportion of users continuing to use their mobile phones to access the full range of services available on our websites and applications. We are investing significant resources to improve the features, functionality, engagement, and commercialization of our travel products on our mobile websites and applications.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in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 Segment</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have and will continue to make product enhancements that help us deliver a comprehensive hotel shopping experience by increasing content on destinations, properties and rooms, optimizing the room selection process and helping users find the best prices with our hotelier and OTA partners. On the supply side, we continue to focus on adding partners with unique brands, unique supply or competitive room prices, which enables us to continue to provide consumers with a comprehensive selection of accommodations in order to drive higher repeat usage, conversion of hotel shoppers to bookers and higher cost-per-click rates on our platform.</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27" w:name="page28"/>
    <w:bookmarkEnd w:id="27"/>
    <w:p>
      <w:pPr>
        <w:ind w:firstLine="560"/>
        <w:spacing w:after="0" w:line="312" w:lineRule="auto"/>
        <w:rPr>
          <w:sz w:val="20"/>
          <w:szCs w:val="20"/>
          <w:color w:val="auto"/>
        </w:rPr>
      </w:pPr>
      <w:r>
        <w:rPr>
          <w:rFonts w:ascii="Arial" w:cs="Arial" w:eastAsia="Arial" w:hAnsi="Arial"/>
          <w:sz w:val="16"/>
          <w:szCs w:val="16"/>
          <w:color w:val="auto"/>
        </w:rPr>
        <w:t>We aim to maximize the number of hotel shoppers, which we define as the users who view either a listing of hotels in a city or on a specific hotel page on our platform in any given period, as long as the expected returns from any investments we may make to achieve this objective are at or above our desired return targets. We continue to compete with other travel companies and search engines who also seek to attract hotel shoppers to their websites and apps.</w:t>
      </w:r>
    </w:p>
    <w:p>
      <w:pPr>
        <w:spacing w:after="0" w:line="39"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Over time, hotel shoppers visiting our websites and applications from paid online marketing channels, such as SEM, have grown faster than traffic from unpaid online marketing channels, such as SEO, thereby increasing our aggregate cost of hotel shopper acquisition. Over the past year, however, we have taken important steps to optimize our marketing investment mix, reducing investments in paid online marketing channels and increasing investments in offline channels, such as our TripAdvisor-branded television campaign which was launched in June 2017. As expected, in the near-term, our reduced investments in paid online marketing channels has contributed to slower growth of monthly unique hotel shoppers as well as declines in our click-based and transaction revenue while improving our near-term Hotel segment year-over-year profitability.</w:t>
      </w:r>
    </w:p>
    <w:p>
      <w:pPr>
        <w:spacing w:after="0" w:line="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During the quarter ended March 31, 2018, we continued to invest in our TripAdvisor-branded advertising campaign as we aim to increase user awareness for and long-term engagement with TripAdvisor’s price shopping tools and establish a more durable, long-lasting direct relationship with users in order to enhance our long-term growth. We also continued to leverage a number of other marketing channels, both paid and unpaid, to achieve this objective, including online efforts such as social media and customer relationship management, or CRM.</w:t>
      </w:r>
    </w:p>
    <w:p>
      <w:pPr>
        <w:spacing w:after="0" w:line="79" w:lineRule="exact"/>
        <w:rPr>
          <w:sz w:val="20"/>
          <w:szCs w:val="20"/>
          <w:color w:val="auto"/>
        </w:rPr>
      </w:pPr>
    </w:p>
    <w:p>
      <w:pPr>
        <w:ind w:right="200" w:firstLine="518"/>
        <w:spacing w:after="0" w:line="270" w:lineRule="auto"/>
        <w:rPr>
          <w:sz w:val="20"/>
          <w:szCs w:val="20"/>
          <w:color w:val="auto"/>
        </w:rPr>
      </w:pPr>
      <w:r>
        <w:rPr>
          <w:rFonts w:ascii="Arial" w:cs="Arial" w:eastAsia="Arial" w:hAnsi="Arial"/>
          <w:sz w:val="17"/>
          <w:szCs w:val="17"/>
          <w:color w:val="auto"/>
        </w:rPr>
        <w:t>We also aim to maximize the click-based revenue per hotel shopper on our platform in any given period. In recent periods, our revenue per hotel shopper has declined primarily due to a few reasons: lower partner CPCs in our click-based metasearch auction in the second half of 2017 and decreased investment in less efficient online paid marketing channels, as well as continued accelerated hotel shopper growth on mobile phones. Although revenue per hotel shopper for mobile phones is growing, mobile phones continue to generate significantly lower revenue per shopper than desktop and tablet devices. During the quarter ended March 31, 2018, the growth rate of hotel shoppers that visited our websites and apps on mobile phones continued to grow significantly faster than that of hotel shoppers using desktop and tablet devices. As a result, the growth in hotel shoppers on mobile phones has remained a headwind against our overall revenue per hotel shopper and our TripAdvisor-branded click-based and transaction revenue. However, we believe our mobile phone product enhancements, as well as the continued general trend of consumer adoption of mobile phones for eCommerce activity; will continue to contribute to revenue per hotel shopper growth on mobile phones.</w:t>
      </w:r>
    </w:p>
    <w:p>
      <w:pPr>
        <w:spacing w:after="0" w:line="7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general trend of increasing traffic to our websites and apps on mobile phones also continues to increase overall average monthly unique visitors on our platform. This also reduces our ability to grow TripAdvisor-branded display-based advertising revenue, as we continue to prioritize delivering users a cleaner user experience over maximizing the number of advertising impressions we can sell in a given period. Through ongoing product enhancements and marketing efforts, we aim to continue to deliver increased value to users and partners and improve mobile phone monetization.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Non-Hotel Segment</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We are creating a more comprehensive, end-to-end user experience through our Non-Hotel offerings. Over the past few years, we have seen continued demand growth for these offerings and our key ongoing objectives are to grow users and demand, make product and platform enhancements, and grow bookable supply in our marketplaces to help drive bookings and increase marketing opportunities for more partners on our platform. We continued to achieve those objectives during the quarter ended March 31, 2018. Monthly unique users to these pages on our websites and applications continued to grow, particularly on mobile phones. We also continue to enhance our product and supply initiatives by enhancing the overall user experience on all devices. We grew bookable products on our platform in both Experiences and Restaurants. We have also continued to increasingly leverage strong user growth on the TripAdvisor-branded platform to drive increased bookings in Experiences. In Rentals, the offering continues to shift from a subscription model to a free-to-list model, and we continue to focus on delivering users a larger selection of high-quality accommodation listings in order to deliver a better user experience through more selection, which in turn helps support higher conversion on our platform.</w:t>
      </w:r>
    </w:p>
    <w:p>
      <w:pPr>
        <w:spacing w:after="0" w:line="59"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Continued successful execution of our key growth strategies and increased operating efficiencies primarily contributed to this segment’s revenue growth and improved profitability during the quarter ended March 31, 2018, as compared to the same period in 2017. Our ongoing strategic objectives are to continue to enhance the user experience, to grow traffic and drive increased user engagement, to grow bookable supply, and to grow bookings in this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jc w:val="both"/>
        <w:ind w:right="740" w:firstLine="518"/>
        <w:spacing w:after="0" w:line="342" w:lineRule="auto"/>
        <w:rPr>
          <w:sz w:val="20"/>
          <w:szCs w:val="20"/>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and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in the notes to the unaudited condensed consolidated financial statements in Item 1 in this Quarterly Report on Form 10-Q for financial information and additional descriptive information related to our segments.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As of March 31, 2018, we had 3,255 employees. Of these employees, approximately 50%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partners/advertisers to market to potential travelers and, therefore, our financial performance, or revenue and profits, tend to be seasonal as well. Our financial performance tends to be seasonally highest in the second and third quarters of a year, as it is a key period for leisure travel research and trip-taking, which includes the seasonal peak in traveler hotel and rental stays, and tours and experiences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40" w:firstLine="518"/>
        <w:spacing w:after="0" w:line="258"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1" w:lineRule="exact"/>
        <w:rPr>
          <w:sz w:val="20"/>
          <w:szCs w:val="20"/>
          <w:color w:val="auto"/>
        </w:rPr>
      </w:pPr>
    </w:p>
    <w:p>
      <w:pPr>
        <w:ind w:left="760" w:right="100" w:hanging="374"/>
        <w:spacing w:after="0" w:line="250"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ind w:left="760" w:right="200" w:hanging="374"/>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or that we plan to adopt that have had or may have an impact on our unaudited condensed consolidated financial statements.</w:t>
      </w:r>
    </w:p>
    <w:p>
      <w:pPr>
        <w:spacing w:after="0" w:line="18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 xml:space="preserve">Notably, in the first quarter of 2018, we adopted new revenue guidance, or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Results for reporting periods beginning after January 1, 2018 are presented under the new revenue guidance, while prior period amounts are not adjusted and continue to be reported in accordance with our previous accounting policies under the historical revenue guidance, or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and “Note 3: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in the notes to our unaudited condensed consolidated financial statements in Item 1 in this Quarterly Report on Form 10-Q for further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about our new revenue recognition policy and its impact to our unaudited consolidated financial statements under this new revenue guidance.</w:t>
      </w:r>
    </w:p>
    <w:p>
      <w:pPr>
        <w:spacing w:after="0" w:line="16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There have been no other significant changes to our significant accounting policies and estimates, other than revenue recognition, as discussed above, as compared to the significant accounting policies and estimates described in our Annual Report on Form 10-K for the fiscal year ended December 31, 2017. For additional information about our accounting policies and estimates, refer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 xml:space="preserve">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of our Annual Report on Form 10-K for the year ended December 31, 2017.</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percentages)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 vs. 2017</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372</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207</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345</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6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16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6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Financial Data:</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52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26"/>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1080" w:firstLine="2"/>
        <w:spacing w:after="0" w:line="277" w:lineRule="auto"/>
        <w:tabs>
          <w:tab w:leader="none" w:pos="8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“Adjusted EBITDA” discussion below for more information and for a reconciliation of Adjusted EBITDA to net income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-302260</wp:posOffset>
            </wp:positionV>
            <wp:extent cx="651764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28321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gridSpan w:val="2"/>
            <w:vMerge w:val="restart"/>
          </w:tcPr>
          <w:p>
            <w:pPr>
              <w:ind w:left="580"/>
              <w:spacing w:after="0"/>
              <w:rPr>
                <w:sz w:val="20"/>
                <w:szCs w:val="20"/>
                <w:color w:val="auto"/>
              </w:rPr>
            </w:pPr>
            <w:r>
              <w:rPr>
                <w:rFonts w:ascii="Arial" w:cs="Arial" w:eastAsia="Arial" w:hAnsi="Arial"/>
                <w:sz w:val="18"/>
                <w:szCs w:val="18"/>
                <w:color w:val="auto"/>
              </w:rPr>
              <w:t>Revenue by Segment:</w:t>
            </w:r>
          </w:p>
        </w:tc>
        <w:tc>
          <w:tcPr>
            <w:tcW w:w="8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 vs. 2017</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4"/>
          </w:tcPr>
          <w:p>
            <w:pPr>
              <w:jc w:val="right"/>
              <w:ind w:right="825"/>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84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w:t>
            </w:r>
          </w:p>
        </w:tc>
        <w:tc>
          <w:tcPr>
            <w:tcW w:w="8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4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580"/>
              <w:spacing w:after="0"/>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84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Non-Hotel</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Adjusted EBITDA</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580"/>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8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28%</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Non-Hotel</w:t>
            </w: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40" w:type="dxa"/>
            <w:vAlign w:val="bottom"/>
            <w:gridSpan w:val="2"/>
          </w:tcPr>
          <w:p>
            <w:pPr>
              <w:jc w:val="right"/>
              <w:ind w:right="427"/>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30" w:name="page31"/>
    <w:bookmarkEnd w:id="30"/>
    <w:p>
      <w:pPr>
        <w:ind w:left="1120" w:right="2300" w:hanging="301"/>
        <w:spacing w:after="0" w:line="25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Included in Adjusted EBITDA is a general and administrative expense allocation for each segment, which is based on the segment’s percentage of our total personnel costs, excluding stock-based compensation. Refer to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our unaudited condensed consolidated financial statements for more information.</w:t>
      </w:r>
    </w:p>
    <w:p>
      <w:pPr>
        <w:spacing w:after="0" w:line="2" w:lineRule="exact"/>
        <w:rPr>
          <w:rFonts w:ascii="Arial" w:cs="Arial" w:eastAsia="Arial" w:hAnsi="Arial"/>
          <w:sz w:val="18"/>
          <w:szCs w:val="18"/>
          <w:color w:val="auto"/>
        </w:rPr>
      </w:pPr>
    </w:p>
    <w:p>
      <w:pPr>
        <w:ind w:left="1120" w:right="2360" w:hanging="301"/>
        <w:spacing w:after="0" w:line="261"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define “Adjusted EBITDA Margin by Segment”, as Adjusted EBITDA by segment divided by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-842645</wp:posOffset>
            </wp:positionV>
            <wp:extent cx="5351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Hotel segment revenue decreased by $15 million during the three months ended March 31, 2018, when compared to the same period in 2017, primarily due to a $22 million decrease in TripAdvisor-branded click-based and transaction revenue, partially offset by an increase of $6 million in TripAdvisor-branded display-based advertising and subscription revenue, and $1 million in other hotel revenue, all of which are discussed below, as well as a favorable impact of foreign currency fluctuations when compared to the same period in 2017.</w:t>
      </w:r>
    </w:p>
    <w:p>
      <w:pPr>
        <w:spacing w:after="0" w:line="146"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Hotel segment Adjusted EBITDA was flat during the three months ended March 31, 2018 compared to the same period in 2017, primarily due to a decrease in Hotel segment revenue which was offset by a decrease in our overall marketing spend on traffic acquisition primarily due to the optimization of our marketing investment mix between online and offline channels and to a lesser extent the favorable impact of foreign currency fluctuations, when compared to the same period in 2017.</w:t>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jc w:val="right"/>
              <w:ind w:right="708"/>
              <w:spacing w:after="0"/>
              <w:rPr>
                <w:sz w:val="20"/>
                <w:szCs w:val="20"/>
                <w:color w:val="auto"/>
              </w:rPr>
            </w:pPr>
            <w:r>
              <w:rPr>
                <w:rFonts w:ascii="Arial" w:cs="Arial" w:eastAsia="Arial" w:hAnsi="Arial"/>
                <w:sz w:val="14"/>
                <w:szCs w:val="14"/>
                <w:b w:val="1"/>
                <w:bCs w:val="1"/>
                <w:color w:val="auto"/>
              </w:rPr>
              <w:t>% Change</w:t>
            </w:r>
          </w:p>
        </w:tc>
      </w:tr>
      <w:tr>
        <w:trPr>
          <w:trHeight w:val="156"/>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2018 vs. 2017</w:t>
            </w:r>
          </w:p>
        </w:tc>
      </w:tr>
      <w:tr>
        <w:trPr>
          <w:trHeight w:val="156"/>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0" w:type="dxa"/>
            <w:vAlign w:val="bottom"/>
            <w:gridSpan w:val="3"/>
          </w:tcPr>
          <w:p>
            <w:pPr>
              <w:jc w:val="right"/>
              <w:ind w:right="890"/>
              <w:spacing w:after="0" w:line="155" w:lineRule="exact"/>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TripAdvisor-branded click-based and transaction</w:t>
            </w:r>
          </w:p>
        </w:tc>
        <w:tc>
          <w:tcPr>
            <w:tcW w:w="1520" w:type="dxa"/>
            <w:vAlign w:val="bottom"/>
            <w:gridSpan w:val="2"/>
          </w:tcPr>
          <w:p>
            <w:pPr>
              <w:jc w:val="right"/>
              <w:ind w:right="10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15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w w:val="97"/>
              </w:rPr>
              <w:t>TripAdvisor-branded display-based advertising and</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9%</w:t>
            </w: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hotel revenue</w:t>
            </w:r>
          </w:p>
        </w:tc>
        <w:tc>
          <w:tcPr>
            <w:tcW w:w="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40" w:type="dxa"/>
            <w:vAlign w:val="bottom"/>
            <w:tcBorders>
              <w:bottom w:val="single" w:sz="8" w:color="CFF0FC"/>
            </w:tcBorders>
            <w:gridSpan w:val="2"/>
          </w:tcPr>
          <w:p>
            <w:pPr>
              <w:jc w:val="right"/>
              <w:ind w:right="28"/>
              <w:spacing w:after="0"/>
              <w:rPr>
                <w:sz w:val="20"/>
                <w:szCs w:val="20"/>
                <w:color w:val="auto"/>
              </w:rPr>
            </w:pPr>
            <w:r>
              <w:rPr>
                <w:rFonts w:ascii="Arial" w:cs="Arial" w:eastAsia="Arial" w:hAnsi="Arial"/>
                <w:sz w:val="18"/>
                <w:szCs w:val="18"/>
                <w:color w:val="auto"/>
              </w:rPr>
              <w:t>3%</w:t>
            </w:r>
          </w:p>
        </w:tc>
      </w:tr>
      <w:tr>
        <w:trPr>
          <w:trHeight w:val="223"/>
        </w:trPr>
        <w:tc>
          <w:tcPr>
            <w:tcW w:w="4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Hotel revenue</w:t>
            </w:r>
          </w:p>
        </w:tc>
        <w:tc>
          <w:tcPr>
            <w:tcW w:w="3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TripAdvisor-branded click-based and transaction revenue includes cost-per-click-based advertising revenue from our TripAdvisor-branded websites as well as transaction-based revenue from our hotel instant booking feature. For the three months ended March 31, 2018 and 2017, 63% and 67%, respectively, of our total Hotel segment revenue was derived from our TripAdvisor-branded click-based and transaction revenue. TripAdvisor-branded click-based and transaction revenue decreased $22 million during the three months ended March 31, 2018, when compared to the same period in 2017, primarily due to a decrease of 11% in revenue per hotel shopper, which is explained below.</w:t>
      </w:r>
    </w:p>
    <w:p>
      <w:pPr>
        <w:spacing w:after="0" w:line="64"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largest source of Hotel segment revenue is click-based advertising revenue from our TripAdvisor-branded websites, which include links to our travel partners’ sites and contextually-relevant branded and related text links. Click-based advertising is generated primarily through our metasearch auction, a description of which follows. Our click-based travel partners are predominantly OTAs and hoteliers. Click-based advertising is generally priced on a cost-per-click, or CPC basis, with payments to us from advertisers based on the number of user clicks on each type of link, or in other words, the conversion of a hotel shopper to a paid click. CPC is the price that a partner is willing to pay us for a hotel shopper lead and is determined in a competitive process that enables our partners to submit CPC bids to have their rates and availability listed on our site. When a CPC bid is submitted, the partner agrees to pay us the bid amount each time a user subsequently clicks on the link to that partner’s website. Bids can be submitted periodically – as often as daily– on a property-by-property basis. Primary factors used to determine the placement of partner links on our site include, but are not limited to, nightly room rate, the size of the bid relative to other bids, and other variables. CPCs are generally lower in markets outside the U.S. market, and hotel shoppers visiting via mobile phones currently monetize at a significantly lower rate than hotel shoppers visiting via desktop or tablet.</w:t>
      </w:r>
    </w:p>
    <w:p>
      <w:pPr>
        <w:spacing w:after="0" w:line="61"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Our Hotel segment transaction-based revenue is comprised of revenue from our hotel instant booking feature, which enables the merchant of record, generally an OTA or hotel partner, to pay a commission to TripAdvisor for a user that completes a hotel reservation via our website.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31" w:name="page32"/>
    <w:bookmarkEnd w:id="31"/>
    <w:p>
      <w:pPr>
        <w:ind w:firstLine="51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growth in average monthly unique hotel shoppers and revenue per hotel shopper growth, the latter of which measures how effectively we convert our hotel shoppers into revenue. We measure performance by calculating revenue per hotel shopper on an aggregate basis by dividing total TripAdvisor-branded click-based and transaction revenue by total average monthly unique hotel shoppers on TripAdvisor-branded websites for the periods presented.</w:t>
      </w:r>
    </w:p>
    <w:p>
      <w:pPr>
        <w:spacing w:after="0" w:line="79"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While we believe that total traffic growth, or growth in monthly visits from unique visitors, is reflective of our overall brand growth, we also track and analyze sub-segments of our traffic and their correlation to revenue generation and utilize data regarding hotel shoppers as one of the key indicators of revenue growth. Hotel shoppers are visitors who view either a listing of hotels in a city or on a specific hotel page. The number of hotel shoppers tends to vary based on seasonality of the travel industry and general economic conditions, as well as other factors outside of our control. Given these factors, as well as the trend towards increased usage on mobile phones, quarterly and annual hotel shopper growth is a difficult metric to forecast.</w:t>
      </w:r>
    </w:p>
    <w:p>
      <w:pPr>
        <w:spacing w:after="0" w:line="5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table below summarizes our revenue per hotel shopper calculation and growth rate, in aggregate, for the periods presented (in millions, except calculated revenue per hotel shopper and percentages):</w:t>
      </w:r>
    </w:p>
    <w:p>
      <w:pPr>
        <w:spacing w:after="0" w:line="6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3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5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2018 vs. 2017</w:t>
            </w: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15"/>
        </w:trPr>
        <w:tc>
          <w:tcPr>
            <w:tcW w:w="3320" w:type="dxa"/>
            <w:vAlign w:val="bottom"/>
          </w:tcPr>
          <w:p>
            <w:pPr>
              <w:ind w:left="240"/>
              <w:spacing w:after="0"/>
              <w:rPr>
                <w:sz w:val="20"/>
                <w:szCs w:val="20"/>
                <w:color w:val="auto"/>
              </w:rPr>
            </w:pPr>
            <w:r>
              <w:rPr>
                <w:rFonts w:ascii="Arial" w:cs="Arial" w:eastAsia="Arial" w:hAnsi="Arial"/>
                <w:sz w:val="18"/>
                <w:szCs w:val="18"/>
                <w:color w:val="auto"/>
              </w:rPr>
              <w:t>TripAdvisor-branded click-based and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transaction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15"/>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Divided by: Total average monthly</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unique hotel shoppers for the quarter</w:t>
            </w: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r>
      <w:tr>
        <w:trPr>
          <w:trHeight w:val="223"/>
        </w:trPr>
        <w:tc>
          <w:tcPr>
            <w:tcW w:w="33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518"/>
        <w:spacing w:after="0" w:line="302" w:lineRule="auto"/>
        <w:rPr>
          <w:sz w:val="20"/>
          <w:szCs w:val="20"/>
          <w:color w:val="auto"/>
        </w:rPr>
      </w:pPr>
      <w:r>
        <w:rPr>
          <w:rFonts w:ascii="Arial" w:cs="Arial" w:eastAsia="Arial" w:hAnsi="Arial"/>
          <w:sz w:val="16"/>
          <w:szCs w:val="16"/>
          <w:color w:val="auto"/>
        </w:rPr>
        <w:t>Revenue per hotel shopper decreased 11% during the three months ended March 31, 2018, when compared to the same period in 2017, according to our internal log files. The decrease was primarily driven by lower CPCs in our click-based metasearch auction, the optimizing of our marketing investment mix from online to offline channels, as discussed above, as well as the general trend of a greater percentage of hotel shoppers visiting TripAdvisor-branded websites and apps on mobile phones, partially offset by favorable foreign currency fluctuation impacts when compared to the same period in 2017.</w:t>
      </w:r>
    </w:p>
    <w:p>
      <w:pPr>
        <w:spacing w:after="0" w:line="46"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Our aggregate average monthly unique hotel shoppers on TripAdvisor-branded websites remained flat during the three months ended March 31, 2018, when compared to the same period in 2017, according to our internal log files. In the quarter ended March 31, 2018, we continued to experience the general trend of an increasing number of hotel shoppers visiting our websites and apps on mobile phones; however, this increase was partially offset by the optimizing of our marketing investment mix from online to offline channels, which is a current headwind to hotel shoppers, as discussed above.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For the three months ended March 31, 2018 and 2017, 24% and 21%, respectively, of our Hotel segment revenue was derived from our TripAdvisor-branded display-based advertising and subscription revenue, which primarily consists of revenue from display-based advertising and subscription-based hotel advertising revenue.</w:t>
      </w:r>
    </w:p>
    <w:p>
      <w:pPr>
        <w:spacing w:after="0" w:line="14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TripAdvisor-branded display-based advertising and subscription revenue increased by $6 million or 9%, during the three months ended March 31, 2018, when compared to the same period in 2017. The majority of the increase was from our display-based advertising revenue, which was primarily due to an increase in impressions sold, partially offset by the general trend of an increasing percentage of our traffic visiting our websites and apps on mobile phones.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For the three months ended March 31, 2018 and 2017, 13% and 12%, respectively, of our Hotel segment revenue was derived from other hotel revenues. Our other hotel revenue primarily includes revenue from non-TripAdvisor branded websites, such as www.bookingbuddy.com, www.cruisecritic.com and www.onetime.com, primarily through click-based advertising revenue and display-based advertising revenue generated through these websites. Our other hotel revenue remained relatively flat during the three months ended March 31, 2018, when compared to the same period in 2017.</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2" w:name="page33"/>
    <w:bookmarkEnd w:id="32"/>
    <w:p>
      <w:pPr>
        <w:ind w:right="120" w:firstLine="518"/>
        <w:spacing w:after="0" w:line="264" w:lineRule="auto"/>
        <w:rPr>
          <w:sz w:val="20"/>
          <w:szCs w:val="20"/>
          <w:color w:val="auto"/>
        </w:rPr>
      </w:pPr>
      <w:r>
        <w:rPr>
          <w:rFonts w:ascii="Arial" w:cs="Arial" w:eastAsia="Arial" w:hAnsi="Arial"/>
          <w:sz w:val="18"/>
          <w:szCs w:val="18"/>
          <w:color w:val="auto"/>
        </w:rPr>
        <w:t>Our Non-Hotel segment revenue increased by $21 million or 36% during the three months ended March 31, 2018, when compared to the same period in 2017, primarily driven by increased bookings in Experiences and Restaurants and to a lesser extent favorable foreign currency fluctuation impacts, when compared to the same period in 2017.</w:t>
      </w:r>
    </w:p>
    <w:p>
      <w:pPr>
        <w:spacing w:after="0" w:line="141"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Experiences offerings continued to generate strong revenue growth driven by the following factors: growth in bookings sourced by TripAdvisor, bookable supply growth, as well as growth in free and paid traffic sources. Another contributing factor is the improved shopping experience from the new features in Experiences, such as instant booking for mobile phone, which enables users to purchase tickets and tours seamlessly as well as other key feature improvements. Continued strong revenue growth in Restaurants offerings was attributed to seated diner growth, mobile bookings growth, user experience improvements, and increased bookable supply of restaurant listings as well as increased revenue from TripAdvisor websites. Rentals’ revenue was relatively flat, when compared to the same period in 2017, primarily due to the continued migration of our subscription model to our free-to-list model, which we believe will have a longer term return, partially offset by the growth in our free-to-list revenues in 2018 as compared to the same period in 2017.</w:t>
      </w:r>
    </w:p>
    <w:p>
      <w:pPr>
        <w:spacing w:after="0" w:line="14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Adjusted EBITDA in our Non-Hotel segment increased $7 million or 47% during the three months ended March 31, 2018, when compared to the same period in 2017. This increase was primarily driven by the increase in our Non-Hotel segment revenue as well as increased operational efficiencies, partially offset by increased personnel and overhead costs of $8 million to support growth in this segment during the three months ended March 31, 2018, and increased offline advertising costs.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36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jc w:val="right"/>
              <w:ind w:right="107"/>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right"/>
              <w:ind w:right="105"/>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2018 vs. 2017</w:t>
            </w:r>
          </w:p>
        </w:tc>
      </w:tr>
      <w:tr>
        <w:trPr>
          <w:trHeight w:val="156"/>
        </w:trPr>
        <w:tc>
          <w:tcPr>
            <w:tcW w:w="20" w:type="dxa"/>
            <w:vAlign w:val="bottom"/>
          </w:tcPr>
          <w:p>
            <w:pPr>
              <w:spacing w:after="0"/>
              <w:rPr>
                <w:sz w:val="13"/>
                <w:szCs w:val="13"/>
                <w:color w:val="auto"/>
              </w:rPr>
            </w:pPr>
          </w:p>
        </w:tc>
        <w:tc>
          <w:tcPr>
            <w:tcW w:w="27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860" w:type="dxa"/>
            <w:vAlign w:val="bottom"/>
            <w:tcBorders>
              <w:top w:val="single" w:sz="8" w:color="auto"/>
            </w:tcBorders>
            <w:gridSpan w:val="4"/>
            <w:shd w:val="clear" w:color="auto" w:fill="CFF0FC"/>
          </w:tcPr>
          <w:p>
            <w:pPr>
              <w:jc w:val="right"/>
              <w:ind w:right="805"/>
              <w:spacing w:after="0" w:line="155" w:lineRule="exact"/>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 costs</w:t>
            </w:r>
          </w:p>
        </w:tc>
        <w:tc>
          <w:tcPr>
            <w:tcW w:w="206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8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0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63"/>
        </w:trPr>
        <w:tc>
          <w:tcPr>
            <w:tcW w:w="20" w:type="dxa"/>
            <w:vAlign w:val="bottom"/>
          </w:tcPr>
          <w:p>
            <w:pPr>
              <w:spacing w:after="0"/>
              <w:rPr>
                <w:sz w:val="22"/>
                <w:szCs w:val="22"/>
                <w:color w:val="auto"/>
              </w:rPr>
            </w:pPr>
          </w:p>
        </w:tc>
        <w:tc>
          <w:tcPr>
            <w:tcW w:w="2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 of revenue</w:t>
            </w:r>
          </w:p>
        </w:tc>
        <w:tc>
          <w:tcPr>
            <w:tcW w:w="102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FF0FC"/>
            </w:tcBorders>
          </w:tcPr>
          <w:p>
            <w:pPr>
              <w:spacing w:after="0"/>
              <w:rPr>
                <w:sz w:val="22"/>
                <w:szCs w:val="22"/>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2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w:t>
            </w: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Cost of revenue increased $3 million during the three months ended March 31, 2018, when compared to the same period in 2017, due to increased direct costs from credit card and other transaction payment fees in our Non-Hotel segment as a result of revenue growth, as well as an increase in other transaction costs related to revenue generation.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jc w:val="right"/>
              <w:ind w:right="62"/>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2018 vs. 2017</w:t>
            </w:r>
          </w:p>
        </w:tc>
      </w:tr>
      <w:tr>
        <w:trPr>
          <w:trHeight w:val="156"/>
        </w:trPr>
        <w:tc>
          <w:tcPr>
            <w:tcW w:w="20" w:type="dxa"/>
            <w:vAlign w:val="bottom"/>
          </w:tcPr>
          <w:p>
            <w:pPr>
              <w:spacing w:after="0"/>
              <w:rPr>
                <w:sz w:val="13"/>
                <w:szCs w:val="13"/>
                <w:color w:val="auto"/>
              </w:rPr>
            </w:pPr>
          </w:p>
        </w:tc>
        <w:tc>
          <w:tcPr>
            <w:tcW w:w="29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860" w:type="dxa"/>
            <w:vAlign w:val="bottom"/>
            <w:tcBorders>
              <w:top w:val="single" w:sz="8" w:color="auto"/>
            </w:tcBorders>
            <w:gridSpan w:val="4"/>
            <w:shd w:val="clear" w:color="auto" w:fill="CFF0FC"/>
          </w:tcPr>
          <w:p>
            <w:pPr>
              <w:jc w:val="right"/>
              <w:ind w:right="765"/>
              <w:spacing w:after="0" w:line="155"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Direct costs</w:t>
            </w:r>
          </w:p>
        </w:tc>
        <w:tc>
          <w:tcPr>
            <w:tcW w:w="176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1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7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r>
      <w:tr>
        <w:trPr>
          <w:trHeight w:val="263"/>
        </w:trPr>
        <w:tc>
          <w:tcPr>
            <w:tcW w:w="20" w:type="dxa"/>
            <w:vAlign w:val="bottom"/>
          </w:tcPr>
          <w:p>
            <w:pPr>
              <w:spacing w:after="0"/>
              <w:rPr>
                <w:sz w:val="22"/>
                <w:szCs w:val="22"/>
                <w:color w:val="auto"/>
              </w:rPr>
            </w:pPr>
          </w:p>
        </w:tc>
        <w:tc>
          <w:tcPr>
            <w:tcW w:w="2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selling and marketing</w:t>
            </w:r>
          </w:p>
        </w:tc>
        <w:tc>
          <w:tcPr>
            <w:tcW w:w="74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Borders>
              <w:bottom w:val="single" w:sz="8" w:color="CFF0FC"/>
            </w:tcBorders>
          </w:tcPr>
          <w:p>
            <w:pPr>
              <w:spacing w:after="0"/>
              <w:rPr>
                <w:sz w:val="22"/>
                <w:szCs w:val="22"/>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2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55.6%</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100" w:firstLine="552"/>
        <w:spacing w:after="0" w:line="259" w:lineRule="auto"/>
        <w:rPr>
          <w:sz w:val="20"/>
          <w:szCs w:val="20"/>
          <w:color w:val="auto"/>
        </w:rPr>
      </w:pPr>
      <w:r>
        <w:rPr>
          <w:rFonts w:ascii="Arial" w:cs="Arial" w:eastAsia="Arial" w:hAnsi="Arial"/>
          <w:sz w:val="18"/>
          <w:szCs w:val="18"/>
          <w:color w:val="auto"/>
        </w:rPr>
        <w:t>Direct selling and marketing costs decreased $14 million during the three months ended March 31, 2018, when compared to the same period in 2017, primarily due to decreased SEM and online traffic acquisition costs of $38 million in our Hotel segment, partially offset by our television advertising campaign spend of $24 million in our Hotel segment during the three months ended March 31, 2018 which we did not incur during the three months ended March 31, 2017. Personnel and overhead costs increased $5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3" w:name="page34"/>
    <w:bookmarkEnd w:id="33"/>
    <w:p>
      <w:pPr>
        <w:ind w:right="280"/>
        <w:spacing w:after="0" w:line="277" w:lineRule="auto"/>
        <w:rPr>
          <w:sz w:val="20"/>
          <w:szCs w:val="20"/>
          <w:color w:val="auto"/>
        </w:rPr>
      </w:pPr>
      <w:r>
        <w:rPr>
          <w:rFonts w:ascii="Arial" w:cs="Arial" w:eastAsia="Arial" w:hAnsi="Arial"/>
          <w:sz w:val="18"/>
          <w:szCs w:val="18"/>
          <w:color w:val="auto"/>
        </w:rPr>
        <w:t>million during the three months ended March 31, 2018, when compared to the same period in 2017, primarily due to an increase in headcount in our Non-Hotel segment to support business growth.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jc w:val="both"/>
        <w:ind w:right="100" w:firstLine="67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2018 vs. 2017</w:t>
            </w:r>
          </w:p>
        </w:tc>
      </w:tr>
      <w:tr>
        <w:trPr>
          <w:trHeight w:val="156"/>
        </w:trPr>
        <w:tc>
          <w:tcPr>
            <w:tcW w:w="20" w:type="dxa"/>
            <w:vAlign w:val="bottom"/>
          </w:tcPr>
          <w:p>
            <w:pPr>
              <w:spacing w:after="0"/>
              <w:rPr>
                <w:sz w:val="13"/>
                <w:szCs w:val="13"/>
                <w:color w:val="auto"/>
              </w:rPr>
            </w:pPr>
          </w:p>
        </w:tc>
        <w:tc>
          <w:tcPr>
            <w:tcW w:w="304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60" w:type="dxa"/>
            <w:vAlign w:val="bottom"/>
            <w:tcBorders>
              <w:top w:val="single" w:sz="8" w:color="auto"/>
            </w:tcBorders>
            <w:gridSpan w:val="4"/>
            <w:shd w:val="clear" w:color="auto" w:fill="CFF0FC"/>
          </w:tcPr>
          <w:p>
            <w:pPr>
              <w:jc w:val="right"/>
              <w:ind w:right="76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72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1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63"/>
        </w:trPr>
        <w:tc>
          <w:tcPr>
            <w:tcW w:w="20" w:type="dxa"/>
            <w:vAlign w:val="bottom"/>
          </w:tcPr>
          <w:p>
            <w:pPr>
              <w:spacing w:after="0"/>
              <w:rPr>
                <w:sz w:val="22"/>
                <w:szCs w:val="22"/>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technology and content</w:t>
            </w:r>
          </w:p>
        </w:tc>
        <w:tc>
          <w:tcPr>
            <w:tcW w:w="7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CFF0FC"/>
            </w:tcBorders>
          </w:tcPr>
          <w:p>
            <w:pPr>
              <w:spacing w:after="0"/>
              <w:rPr>
                <w:sz w:val="22"/>
                <w:szCs w:val="22"/>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0"/>
        </w:trPr>
        <w:tc>
          <w:tcPr>
            <w:tcW w:w="20" w:type="dxa"/>
            <w:vAlign w:val="bottom"/>
          </w:tcPr>
          <w:p>
            <w:pPr>
              <w:spacing w:after="0"/>
              <w:rPr>
                <w:sz w:val="18"/>
                <w:szCs w:val="18"/>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w:t>
            </w: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161" w:lineRule="exact"/>
        <w:rPr>
          <w:sz w:val="20"/>
          <w:szCs w:val="20"/>
          <w:color w:val="auto"/>
        </w:rPr>
      </w:pPr>
    </w:p>
    <w:p>
      <w:pPr>
        <w:ind w:right="160" w:firstLine="589"/>
        <w:spacing w:after="0" w:line="264" w:lineRule="auto"/>
        <w:rPr>
          <w:sz w:val="20"/>
          <w:szCs w:val="20"/>
          <w:color w:val="auto"/>
        </w:rPr>
      </w:pPr>
      <w:r>
        <w:rPr>
          <w:rFonts w:ascii="Arial" w:cs="Arial" w:eastAsia="Arial" w:hAnsi="Arial"/>
          <w:sz w:val="18"/>
          <w:szCs w:val="18"/>
          <w:color w:val="auto"/>
        </w:rPr>
        <w:t>Technology and content costs increased $8 million during the three months ended March 31, 2018, when compared to the same period in 2017, primarily due to an increase in personnel and overhead costs related to stock-based compensation of $5 million and increased personnel costs to support the business growth in our Non-Hotel segment.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executive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2018 vs. 2017</w:t>
            </w:r>
          </w:p>
        </w:tc>
      </w:tr>
      <w:tr>
        <w:trPr>
          <w:trHeight w:val="156"/>
        </w:trPr>
        <w:tc>
          <w:tcPr>
            <w:tcW w:w="20" w:type="dxa"/>
            <w:vAlign w:val="bottom"/>
          </w:tcPr>
          <w:p>
            <w:pPr>
              <w:spacing w:after="0"/>
              <w:rPr>
                <w:sz w:val="13"/>
                <w:szCs w:val="13"/>
                <w:color w:val="auto"/>
              </w:rPr>
            </w:pPr>
          </w:p>
        </w:tc>
        <w:tc>
          <w:tcPr>
            <w:tcW w:w="316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900" w:type="dxa"/>
            <w:vAlign w:val="bottom"/>
            <w:tcBorders>
              <w:top w:val="single" w:sz="8" w:color="auto"/>
            </w:tcBorders>
            <w:gridSpan w:val="4"/>
            <w:shd w:val="clear" w:color="auto" w:fill="CFF0FC"/>
          </w:tcPr>
          <w:p>
            <w:pPr>
              <w:jc w:val="right"/>
              <w:ind w:right="825"/>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62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18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 fees and other</w:t>
            </w:r>
          </w:p>
        </w:tc>
        <w:tc>
          <w:tcPr>
            <w:tcW w:w="6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63"/>
        </w:trPr>
        <w:tc>
          <w:tcPr>
            <w:tcW w:w="20" w:type="dxa"/>
            <w:vAlign w:val="bottom"/>
          </w:tcPr>
          <w:p>
            <w:pPr>
              <w:spacing w:after="0"/>
              <w:rPr>
                <w:sz w:val="22"/>
                <w:szCs w:val="22"/>
                <w:color w:val="auto"/>
              </w:rPr>
            </w:pPr>
          </w:p>
        </w:tc>
        <w:tc>
          <w:tcPr>
            <w:tcW w:w="3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general and administrative</w:t>
            </w:r>
          </w:p>
        </w:tc>
        <w:tc>
          <w:tcPr>
            <w:tcW w:w="60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FF0FC"/>
            </w:tcBorders>
          </w:tcPr>
          <w:p>
            <w:pPr>
              <w:spacing w:after="0"/>
              <w:rPr>
                <w:sz w:val="22"/>
                <w:szCs w:val="22"/>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w:t>
            </w: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280" w:firstLine="552"/>
        <w:spacing w:after="0" w:line="302" w:lineRule="auto"/>
        <w:rPr>
          <w:sz w:val="20"/>
          <w:szCs w:val="20"/>
          <w:color w:val="auto"/>
        </w:rPr>
      </w:pPr>
      <w:r>
        <w:rPr>
          <w:rFonts w:ascii="Arial" w:cs="Arial" w:eastAsia="Arial" w:hAnsi="Arial"/>
          <w:sz w:val="16"/>
          <w:szCs w:val="16"/>
          <w:color w:val="auto"/>
        </w:rPr>
        <w:t>General and administrative costs increased $7 million during the three months ended March 31, 2018, when compared to the same period in 2017. Personnel and overhead costs increased $5 million during the three months ended March 31, 2018, when compared to the same period in 2017, primarily related to an increase in stock-based compensation of $4 million. Professional service fees and other increased $2 million during the three months ended March 31, 2018, when compared to the same period in 2017, primarily due to an increase in bad debt expense and consulting costs.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93"/>
              </w:rPr>
              <w:t>Three months ended March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66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156"/>
        </w:trPr>
        <w:tc>
          <w:tcPr>
            <w:tcW w:w="26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040" w:type="dxa"/>
            <w:vAlign w:val="bottom"/>
            <w:gridSpan w:val="2"/>
            <w:shd w:val="clear" w:color="auto" w:fill="CFF0FC"/>
          </w:tcPr>
          <w:p>
            <w:pPr>
              <w:jc w:val="center"/>
              <w:ind w:right="6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Depreciation</w:t>
            </w:r>
          </w:p>
        </w:tc>
        <w:tc>
          <w:tcPr>
            <w:tcW w:w="264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20</w:t>
            </w:r>
          </w:p>
        </w:tc>
        <w:tc>
          <w:tcPr>
            <w:tcW w:w="1320" w:type="dxa"/>
            <w:vAlign w:val="bottom"/>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r>
      <w:tr>
        <w:trPr>
          <w:trHeight w:val="230"/>
        </w:trPr>
        <w:tc>
          <w:tcPr>
            <w:tcW w:w="2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14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5.3%</w:t>
            </w:r>
          </w:p>
        </w:tc>
        <w:tc>
          <w:tcPr>
            <w:tcW w:w="13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Depreciation expense increased $1 million during the three months ended March 31, 2018 when compared to the same period in 2017 primarily due to increased amortization related to capitalized software and website development costs.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4" w:name="page35"/>
    <w:bookmarkEnd w:id="34"/>
    <w:tbl>
      <w:tblPr>
        <w:tblLayout w:type="fixed"/>
        <w:tblInd w:w="17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93"/>
              </w:rPr>
              <w:t>Three months ended March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24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156"/>
        </w:trPr>
        <w:tc>
          <w:tcPr>
            <w:tcW w:w="3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040" w:type="dxa"/>
            <w:vAlign w:val="bottom"/>
            <w:gridSpan w:val="2"/>
            <w:shd w:val="clear" w:color="auto" w:fill="CFF0FC"/>
          </w:tcPr>
          <w:p>
            <w:pPr>
              <w:jc w:val="center"/>
              <w:ind w:right="6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6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r>
      <w:tr>
        <w:trPr>
          <w:trHeight w:val="230"/>
        </w:trPr>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8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w:t>
            </w:r>
          </w:p>
        </w:tc>
        <w:tc>
          <w:tcPr>
            <w:tcW w:w="13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16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Amortization of intangible assets remained flat during the three months ended March 31, 2018, when compared to the same period in 2017.</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306"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2016 Credit Facility and Chinese Credit Facilities, as well as interest on our financing obligation related to our corporate headquarters.</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6350</wp:posOffset>
            </wp:positionV>
            <wp:extent cx="23412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 w:lineRule="exact"/>
        <w:rPr>
          <w:sz w:val="20"/>
          <w:szCs w:val="20"/>
          <w:color w:val="auto"/>
        </w:rPr>
      </w:pPr>
    </w:p>
    <w:p>
      <w:pPr>
        <w:ind w:left="6660"/>
        <w:spacing w:after="0"/>
        <w:tabs>
          <w:tab w:leader="none" w:pos="8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8570" cy="11176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4"/>
          <w:szCs w:val="14"/>
          <w:b w:val="1"/>
          <w:bCs w:val="1"/>
          <w:color w:val="auto"/>
        </w:rPr>
        <w:t>(in millions)</w:t>
      </w:r>
    </w:p>
    <w:p>
      <w:pPr>
        <w:spacing w:after="0" w:line="15" w:lineRule="exact"/>
        <w:rPr>
          <w:sz w:val="20"/>
          <w:szCs w:val="20"/>
          <w:color w:val="auto"/>
        </w:rPr>
      </w:pPr>
    </w:p>
    <w:p>
      <w:pPr>
        <w:ind w:left="1720"/>
        <w:spacing w:after="0"/>
        <w:tabs>
          <w:tab w:leader="none" w:pos="5920" w:val="left"/>
          <w:tab w:leader="none" w:pos="7480" w:val="left"/>
          <w:tab w:leader="none" w:pos="7920" w:val="left"/>
          <w:tab w:leader="none" w:pos="944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tab/>
        <w:t>$</w:t>
      </w:r>
      <w:r>
        <w:rPr>
          <w:sz w:val="20"/>
          <w:szCs w:val="20"/>
          <w:color w:val="auto"/>
        </w:rPr>
        <w:tab/>
      </w:r>
      <w:r>
        <w:rPr>
          <w:rFonts w:ascii="Arial" w:cs="Arial" w:eastAsia="Arial" w:hAnsi="Arial"/>
          <w:sz w:val="18"/>
          <w:szCs w:val="18"/>
          <w:color w:val="auto"/>
        </w:rPr>
        <w:t>(3)</w:t>
      </w:r>
    </w:p>
    <w:p>
      <w:pPr>
        <w:spacing w:after="0" w:line="209" w:lineRule="exact"/>
        <w:rPr>
          <w:sz w:val="20"/>
          <w:szCs w:val="20"/>
          <w:color w:val="auto"/>
        </w:rPr>
      </w:pPr>
    </w:p>
    <w:p>
      <w:pPr>
        <w:ind w:firstLine="552"/>
        <w:spacing w:after="0" w:line="264" w:lineRule="auto"/>
        <w:rPr>
          <w:sz w:val="20"/>
          <w:szCs w:val="20"/>
          <w:color w:val="auto"/>
        </w:rPr>
      </w:pPr>
      <w:r>
        <w:rPr>
          <w:rFonts w:ascii="Arial" w:cs="Arial" w:eastAsia="Arial" w:hAnsi="Arial"/>
          <w:sz w:val="18"/>
          <w:szCs w:val="18"/>
          <w:color w:val="auto"/>
        </w:rPr>
        <w:t xml:space="preserve">Interest expense remained flat during the three months ended March 31, 2018, when compared to the same period in 2017. Refer to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 for additional information on our credit facilities.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Interest income and other, net primarily consists of interest earned from our money market funds and marketable securities, amortization of discounts and premiums on our marketable securities, net foreign exchange gains and losses, and gains and losses on sales of our marketable securities.</w:t>
      </w:r>
    </w:p>
    <w:p>
      <w:pPr>
        <w:spacing w:after="0" w:line="197"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23412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 w:lineRule="exact"/>
        <w:rPr>
          <w:sz w:val="20"/>
          <w:szCs w:val="20"/>
          <w:color w:val="auto"/>
        </w:rPr>
      </w:pPr>
    </w:p>
    <w:p>
      <w:pPr>
        <w:ind w:left="6660"/>
        <w:spacing w:after="0"/>
        <w:tabs>
          <w:tab w:leader="none" w:pos="86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8570" cy="111760"/>
                    </a:xfrm>
                    <a:prstGeom prst="rect">
                      <a:avLst/>
                    </a:prstGeom>
                    <a:noFill/>
                  </pic:spPr>
                </pic:pic>
              </a:graphicData>
            </a:graphic>
          </wp:anchor>
        </w:drawing>
      </w:r>
    </w:p>
    <w:p>
      <w:pPr>
        <w:ind w:left="7420"/>
        <w:spacing w:after="0"/>
        <w:rPr>
          <w:sz w:val="20"/>
          <w:szCs w:val="20"/>
          <w:color w:val="auto"/>
        </w:rPr>
      </w:pPr>
      <w:r>
        <w:rPr>
          <w:rFonts w:ascii="Arial" w:cs="Arial" w:eastAsia="Arial" w:hAnsi="Arial"/>
          <w:sz w:val="14"/>
          <w:szCs w:val="14"/>
          <w:b w:val="1"/>
          <w:bCs w:val="1"/>
          <w:color w:val="auto"/>
        </w:rPr>
        <w:t>(in millions)</w:t>
      </w:r>
    </w:p>
    <w:p>
      <w:pPr>
        <w:spacing w:after="0" w:line="15" w:lineRule="exact"/>
        <w:rPr>
          <w:sz w:val="20"/>
          <w:szCs w:val="20"/>
          <w:color w:val="auto"/>
        </w:rPr>
      </w:pPr>
    </w:p>
    <w:p>
      <w:pPr>
        <w:ind w:left="1720"/>
        <w:spacing w:after="0"/>
        <w:tabs>
          <w:tab w:leader="none" w:pos="5940" w:val="left"/>
          <w:tab w:leader="none" w:pos="7520" w:val="left"/>
          <w:tab w:leader="none" w:pos="7920" w:val="left"/>
          <w:tab w:leader="none" w:pos="9520" w:val="left"/>
        </w:tabs>
        <w:rPr>
          <w:sz w:val="20"/>
          <w:szCs w:val="20"/>
          <w:color w:val="auto"/>
        </w:rPr>
      </w:pPr>
      <w:r>
        <w:rPr>
          <w:rFonts w:ascii="Arial" w:cs="Arial" w:eastAsia="Arial" w:hAnsi="Arial"/>
          <w:sz w:val="18"/>
          <w:szCs w:val="18"/>
          <w:color w:val="auto"/>
        </w:rPr>
        <w:t>Interest income and 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1</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income and other, net remained flat during the three months ended March 31, 2018, when compared to the same period in 2017.</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3"/>
              </w:rPr>
              <w:t>Three months ended March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02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156"/>
        </w:trPr>
        <w:tc>
          <w:tcPr>
            <w:tcW w:w="30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060" w:type="dxa"/>
            <w:vAlign w:val="bottom"/>
            <w:gridSpan w:val="2"/>
            <w:shd w:val="clear" w:color="auto" w:fill="CFF0FC"/>
          </w:tcPr>
          <w:p>
            <w:pPr>
              <w:jc w:val="center"/>
              <w:ind w:right="5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6"/>
              <w:spacing w:after="0"/>
              <w:rPr>
                <w:sz w:val="20"/>
                <w:szCs w:val="20"/>
                <w:color w:val="auto"/>
              </w:rPr>
            </w:pPr>
            <w:r>
              <w:rPr>
                <w:rFonts w:ascii="Arial" w:cs="Arial" w:eastAsia="Arial" w:hAnsi="Arial"/>
                <w:sz w:val="18"/>
                <w:szCs w:val="18"/>
                <w:color w:val="auto"/>
              </w:rPr>
              <w:t>16</w:t>
            </w:r>
          </w:p>
        </w:tc>
        <w:tc>
          <w:tcPr>
            <w:tcW w:w="1280" w:type="dxa"/>
            <w:vAlign w:val="bottom"/>
          </w:tcPr>
          <w:p>
            <w:pPr>
              <w:jc w:val="right"/>
              <w:ind w:right="97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r>
      <w:tr>
        <w:trPr>
          <w:trHeight w:val="230"/>
        </w:trPr>
        <w:tc>
          <w:tcPr>
            <w:tcW w:w="3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0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76.2%</w:t>
            </w:r>
          </w:p>
        </w:tc>
        <w:tc>
          <w:tcPr>
            <w:tcW w:w="1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w:t>
            </w:r>
          </w:p>
        </w:tc>
      </w:tr>
    </w:tbl>
    <w:p>
      <w:pPr>
        <w:spacing w:after="0" w:line="202"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 xml:space="preserve">Our effective tax rates for the three months ended March 31, 2018 and 2017 were 76.2% and 48.0%, respectively. For the three months ended March 31, 2018, the effective tax rate was greater than the federal statutory rate primarily due to the international provisions from the 2017 Tax Act, increased foreign valuation allowances, and the recognition of stock compensation shortfalls. For the three months ended March 31, 2017, the effective tax rate was greater than the federal statutory rate primarily due to valuation allowances on losses in jurisdictions outside the United States and recognition of stock compensation shortfalls. The increase in our effective tax rate for the three months ended March 31, 2018, when compared to the same period in 2017 was primarily due to the international provisions related to the 2017 Tax Act. Refer to “Note 8 -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our unaudited condensed consolidated financial statements in Item 1 in this Quarterly Report on Form 10-Q for further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1" w:right="319" w:bottom="1440" w:gutter="0" w:footer="0" w:header="0"/>
        </w:sectPr>
      </w:pPr>
    </w:p>
    <w:bookmarkStart w:id="35" w:name="page36"/>
    <w:bookmarkEnd w:id="35"/>
    <w:p>
      <w:pPr>
        <w:ind w:right="720"/>
        <w:spacing w:after="0" w:line="277" w:lineRule="auto"/>
        <w:rPr>
          <w:sz w:val="20"/>
          <w:szCs w:val="20"/>
          <w:color w:val="auto"/>
        </w:rPr>
      </w:pPr>
      <w:r>
        <w:rPr>
          <w:rFonts w:ascii="Arial" w:cs="Arial" w:eastAsia="Arial" w:hAnsi="Arial"/>
          <w:sz w:val="18"/>
          <w:szCs w:val="18"/>
          <w:color w:val="auto"/>
        </w:rPr>
        <w:t>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70"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other non-recurring expenses and income.</w:t>
      </w:r>
    </w:p>
    <w:p>
      <w:pPr>
        <w:spacing w:after="0" w:line="184"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w w:val="96"/>
              </w:rPr>
              <w:t>Three months ended 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1"/>
        </w:trPr>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80" w:type="dxa"/>
            <w:vAlign w:val="bottom"/>
            <w:gridSpan w:val="4"/>
          </w:tcPr>
          <w:p>
            <w:pPr>
              <w:jc w:val="right"/>
              <w:ind w:right="585"/>
              <w:spacing w:after="0" w:line="151" w:lineRule="exact"/>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40" w:type="dxa"/>
            <w:vAlign w:val="bottom"/>
            <w:gridSpan w:val="2"/>
          </w:tcPr>
          <w:p>
            <w:pPr>
              <w:jc w:val="right"/>
              <w:ind w:right="1147"/>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685"/>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Add: Provision for income taxes</w:t>
            </w:r>
          </w:p>
        </w:tc>
        <w:tc>
          <w:tcPr>
            <w:tcW w:w="1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Add: Other expense, net</w:t>
            </w: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Add: Stock-based compensation</w:t>
            </w:r>
          </w:p>
        </w:tc>
        <w:tc>
          <w:tcPr>
            <w:tcW w:w="1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Add: Amortization of intangible assets</w:t>
            </w: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w:t>
            </w:r>
          </w:p>
        </w:tc>
        <w:tc>
          <w:tcPr>
            <w:tcW w:w="134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1340" w:type="dxa"/>
            <w:vAlign w:val="bottom"/>
          </w:tcPr>
          <w:p>
            <w:pPr>
              <w:spacing w:after="0"/>
              <w:rPr>
                <w:sz w:val="19"/>
                <w:szCs w:val="19"/>
                <w:color w:val="auto"/>
              </w:rPr>
            </w:pPr>
          </w:p>
        </w:tc>
        <w:tc>
          <w:tcPr>
            <w:tcW w:w="1300" w:type="dxa"/>
            <w:vAlign w:val="bottom"/>
            <w:tcBorders>
              <w:bottom w:val="single" w:sz="8" w:color="auto"/>
            </w:tcBorders>
          </w:tcPr>
          <w:p>
            <w:pPr>
              <w:jc w:val="right"/>
              <w:ind w:right="1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 xml:space="preserve">For information on our relationship with Liberty TripAdvisor Holdings, Inc., refer to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months ended March 31, 2018 and 2017,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 xml:space="preserve">Refer to “Note 5: </w:t>
      </w:r>
      <w:r>
        <w:rPr>
          <w:rFonts w:ascii="Arial" w:cs="Arial" w:eastAsia="Arial" w:hAnsi="Arial"/>
          <w:sz w:val="17"/>
          <w:szCs w:val="17"/>
          <w:i w:val="1"/>
          <w:iCs w:val="1"/>
          <w:color w:val="auto"/>
        </w:rPr>
        <w:t>Stock Based Awards and Other Equity Instruments</w:t>
      </w:r>
      <w:r>
        <w:rPr>
          <w:rFonts w:ascii="Arial" w:cs="Arial" w:eastAsia="Arial" w:hAnsi="Arial"/>
          <w:sz w:val="17"/>
          <w:szCs w:val="17"/>
          <w:color w:val="auto"/>
        </w:rPr>
        <w:t>” in the notes to our unaudited condensed consolidated financial statements in Item 1 in this Quarterly Report on Form 10-Q for further information on current year equity award activity, including the issuance of 611,235 service-based stock options with a weighted average grant-date fair value per option of $17.60, 2,590,380 service-based RSUs with a weighted average grant-date fair value of $41.44, and 71,425 MSUs with a weighted average grant-date fair value of $59.40 during the three months ended March 31, 2018.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during the year, describes our current capital resources and discusses our future known financial commitments.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principal source of liquidity is cash flows generated from operations, although liquidity needs can also be met through drawdowns under our 2015 Credit Facility, 2016 Credit Facility, and Chinese Credit Facilities. As of March 31, 2018 and December 31, 2017, we had $655 million and $735 million, respectively, of cash, cash equivalents, and short-term and long-term available-for-sale marketable debt securities. As of March 31, 2018 approximately $316 million of our cash and cash equivalents, and $20 million of short-term and long-term available-for-sale marketable debt securities are held by our subsidiaries outside the United States, with the majority in the United Kingdom. As of March 31, 2018, the majority of total cash on hand is denominated in U.S. dollars. Cumulative undistributed earnings of foreign subsidiaries that we intend to indefinitely reinvest outside of the United States totaled approximately $569 million as of March 31, 2018. Should we distribute, or be treated under certain U.S. tax rules as having distributed, the earnings of foreign subsidiaries in the form of dividends or otherwise, we may be subject to U.S. income taxes. To date, we have permanently reinvested our foreign earnings outside of the United States and we currently do not intend to repatriate these earnings to fund U.S. operations. The amount of any unrecognized deferred income tax on this temporary difference is not material.</w:t>
      </w:r>
    </w:p>
    <w:p>
      <w:pPr>
        <w:spacing w:after="0" w:line="205"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 xml:space="preserve">During the three months ended March 31, 2018, we borrowed an additional $5 million and repaid $235 million of outstanding borrowings under the 2015 Credit Facility. These net repayments were primarily made from a one-time cash repatriation of $325 million of foreign earnings to the United States during the three months ended March 31, 2018. As of March 31, 2018, we had no outstanding borrowings and approximately $1.2 billion of borrowing capacity available under our 2015 Credit Facility. Additionally, we also had $73 million and approximately $34 million of borrowing capacity available under our 2016 Credit Facility and Chinese Credit Facilities, respectively. As of March 31, 2018, we had no outstanding borrowings under the 2016 Credit Facility and $7 million outstanding short-term borrowings under our Chinese Credit Facilities, at a weighted average interest rate of 4.98%. For further discussion on our credit facilities refer to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w:t>
      </w:r>
    </w:p>
    <w:p>
      <w:pPr>
        <w:spacing w:after="0" w:line="19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business experiences seasonal fluctuations that affect the timing of our annual cash flows related to working capital. In our Rentals free-to-list model and our Experiences offering, we receive cash from travelers at the time of booking and we record these amounts, net of commissions, on our consolidated balance sheets as deferred merchant payables. We pay the suppliers, or the property rental owners and experience providers, respectively, after the travelers’ use. Therefore, we receive cash from the traveler prior to paying the supplier and this operating cycle represents a working capital source or use of cash to us. During the first half of the year rentals and experiences bookings typically exceed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179"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On January 31, 2018, our Board of Directors authorized the repurchase of up to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 This new share repurchase program has no expiration date but may</w:t>
      </w:r>
    </w:p>
    <w:p>
      <w:pPr>
        <w:spacing w:after="0" w:line="253" w:lineRule="auto"/>
        <w:rPr>
          <w:sz w:val="20"/>
          <w:szCs w:val="20"/>
          <w:color w:val="auto"/>
        </w:rPr>
      </w:pPr>
      <w:r>
        <w:rPr>
          <w:rFonts w:ascii="Arial" w:cs="Arial" w:eastAsia="Arial" w:hAnsi="Arial"/>
          <w:sz w:val="18"/>
          <w:szCs w:val="18"/>
          <w:color w:val="auto"/>
        </w:rPr>
        <w:t>be suspended or terminated by the Board of Directors at any time. During the three months ended March 31, 2018, we repurchased 252,650 shares of our outstanding common stock at an aggregate cost of $10 million, of which $6 million remains payable at March 31, 2018. As of March 31, 2018, we had $240 million available to repurchase shares of our common stock under the share repurchase program. Subsequent to March 31, 2018, we repurchased an additional 2,329,548 shares for an aggregate cost of $90 million. As of May 7, 2018, we had a remaining balance of $150 million available to repurchase shares of our common stock under the share repurchase program.</w:t>
      </w:r>
    </w:p>
    <w:p>
      <w:pPr>
        <w:spacing w:after="0" w:line="19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believe that our available cash and marketable securities, combined with expected cash flows generated by operating activities and available cash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7" w:name="page38"/>
    <w:bookmarkEnd w:id="37"/>
    <w:p>
      <w:pPr>
        <w:ind w:right="180"/>
        <w:spacing w:after="0" w:line="277" w:lineRule="auto"/>
        <w:rPr>
          <w:sz w:val="20"/>
          <w:szCs w:val="20"/>
          <w:color w:val="auto"/>
        </w:rPr>
      </w:pPr>
      <w:r>
        <w:rPr>
          <w:rFonts w:ascii="Arial" w:cs="Arial" w:eastAsia="Arial" w:hAnsi="Arial"/>
          <w:sz w:val="18"/>
          <w:szCs w:val="18"/>
          <w:color w:val="auto"/>
        </w:rPr>
        <w:t>and/or other expenditures in support of our business strategy, thus may potentially reduce our cash balance and/or increase our debt. We expect total capital expenditures for 2018 to be comparable to our 2017 spending levels.</w:t>
      </w:r>
    </w:p>
    <w:p>
      <w:pPr>
        <w:spacing w:after="0" w:line="6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18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3"/>
              </w:rPr>
              <w:t>Three months ended March 31,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20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156"/>
        </w:trPr>
        <w:tc>
          <w:tcPr>
            <w:tcW w:w="4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center"/>
              <w:ind w:right="57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activities</w:t>
            </w:r>
          </w:p>
        </w:tc>
        <w:tc>
          <w:tcPr>
            <w:tcW w:w="118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174</w:t>
            </w:r>
          </w:p>
        </w:tc>
        <w:tc>
          <w:tcPr>
            <w:tcW w:w="1300" w:type="dxa"/>
            <w:vAlign w:val="bottom"/>
            <w:shd w:val="clear" w:color="auto" w:fill="CFF0FC"/>
          </w:tcPr>
          <w:p>
            <w:pPr>
              <w:jc w:val="right"/>
              <w:ind w:right="99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18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28</w:t>
            </w:r>
          </w:p>
        </w:tc>
        <w:tc>
          <w:tcPr>
            <w:tcW w:w="1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Financing activities</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(246)</w:t>
            </w:r>
          </w:p>
        </w:tc>
        <w:tc>
          <w:tcPr>
            <w:tcW w:w="1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For the three months ended March 31, 2018, net cash provided by operating activities increased by $40 million or 30% when compared to the same period in 2017, primarily due to a net increase in working capital movements of $43 million, and to a lesser extent, non-cash items affecting cash flow of $5 million, which was primarily due to an increase in stock-based compensation expense of $10 million, partially offset by a decrease in other, net of $6 million, driven primarily by deferred income tax expense. These increases were partially offset by a decrease in net income of $8 million. The increase in working capital movements of $43 million was primarily related to an increase in cash received from customers related to bookings in Experiences, as well as timing of collection of receivables, income tax and non-income tax payments and refunds, vendor payments, and other merchant payments.</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three months ended March 31, 2018, net cash provided by investing activities decreased by $70 million when compared to the same period in 2017, primarily due to a net decrease in cash generated from the purchases, sales and maturities of our marketable securities of $73 million, partially offset by a decrease in capital expenditures of $3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For the three months ended March 31, 2018, net cash used in financing activities increased by $132 million when compared to the same period in 2017, primarily due to a net repayment on our 2015 Credit Facility of $230 million during the three months ended March 31, 2018, as compared to net borrowings of $119 million during the three months ended March 31, 2017, partially offset by a decrease in cash used to purchase shares of our common stock under our share repurchase program of $146 million during the three months ended March 31, 2018 as compared to the same period in 2017, as well as a repayment of our 2016 Credit Facility borrowings of $73 million during the three months ended March 31, 2017, which did not reoccur in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2017. As of March 31, 2018, other than our contractual obligations and commercial commitments, we did not have any off-balance sheet arrangements, as defined in Item 303(a)(4)(ii) of Regulation S-K promulgated by the SEC. Refer to “Liquidity and Capital Resources” in Part II, Item 7. — Management’s Discussion and Analysis of Financial Condition and Results of Operations of our Annual Report on Form 10-K for the year ended December 31, 2017 for a discussion of our contractual obligations and commercial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8" w:name="page39"/>
    <w:bookmarkEnd w:id="38"/>
    <w:p>
      <w:pPr>
        <w:spacing w:after="0" w:line="253" w:lineRule="auto"/>
        <w:rPr>
          <w:sz w:val="20"/>
          <w:szCs w:val="20"/>
          <w:color w:val="auto"/>
        </w:rPr>
      </w:pPr>
      <w:r>
        <w:rPr>
          <w:rFonts w:ascii="Arial" w:cs="Arial" w:eastAsia="Arial" w:hAnsi="Arial"/>
          <w:sz w:val="18"/>
          <w:szCs w:val="18"/>
          <w:color w:val="auto"/>
        </w:rPr>
        <w:t>that the final disposition of any of these matters will have a material adverse effect on the business. However, the final outcome of these matters could vary significantly from our estimates. Moreover, such claims, even if not meritorious, could result in the expenditure of significant financial and managerial resources, divert management's attention from the Company's business objectives and adversely affect the Company's business, results of operations, financial condition and cash flows. There may also be claims or actions pending or threatened against us of which we are currently not aware and the ultimate disposition of which would have a material adverse effect on us.</w:t>
      </w:r>
    </w:p>
    <w:p>
      <w:pPr>
        <w:spacing w:after="0" w:line="4" w:lineRule="exact"/>
        <w:rPr>
          <w:sz w:val="20"/>
          <w:szCs w:val="20"/>
          <w:color w:val="auto"/>
        </w:rPr>
      </w:pPr>
    </w:p>
    <w:p>
      <w:pPr>
        <w:ind w:right="80" w:firstLine="450"/>
        <w:spacing w:after="0" w:line="253" w:lineRule="auto"/>
        <w:rPr>
          <w:sz w:val="20"/>
          <w:szCs w:val="20"/>
          <w:color w:val="auto"/>
        </w:rPr>
      </w:pPr>
      <w:r>
        <w:rPr>
          <w:rFonts w:ascii="Arial" w:cs="Arial" w:eastAsia="Arial" w:hAnsi="Arial"/>
          <w:sz w:val="18"/>
          <w:szCs w:val="18"/>
          <w:color w:val="auto"/>
        </w:rPr>
        <w:t>On December 22, 2017, the 2017 Tax Act was signed into United States tax law. The legislation significantly changes U.S. tax law by, among other provisions, lowering corporate income tax rates, and imposing a repatriation tax on deemed repatriated earnings of foreign subsidiaries. The 2017 Tax Act permanently reduced the U.S. corporate income tax rate from a maximum of 35% to a flat 21% rate, which was effective January 1, 2018. This legislation is resulting in additional uncertainty in our income tax liability, as we obtain additional data to comply with new provisions and as the IRS issues new guidance interpreting the law changes.</w:t>
      </w:r>
    </w:p>
    <w:p>
      <w:pPr>
        <w:spacing w:after="0" w:line="191" w:lineRule="exact"/>
        <w:rPr>
          <w:sz w:val="20"/>
          <w:szCs w:val="20"/>
          <w:color w:val="auto"/>
        </w:rPr>
      </w:pPr>
    </w:p>
    <w:p>
      <w:pPr>
        <w:ind w:right="20" w:firstLine="447"/>
        <w:spacing w:after="0" w:line="253"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4"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short-period 2011 tax years, and have various ongoing state income tax audits. We are separately under examination by the IRS for the short-period 2011, 2012 and 2013 tax years and have commenced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2017, no material assessments have resulted, except as noted below regarding our 2009 and 2010 IRS audit with Expedia.</w:t>
      </w:r>
    </w:p>
    <w:p>
      <w:pPr>
        <w:spacing w:after="0" w:line="179"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In January 2017, as part of the Company’s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3" w:lineRule="exact"/>
        <w:rPr>
          <w:sz w:val="20"/>
          <w:szCs w:val="20"/>
          <w:color w:val="auto"/>
        </w:rPr>
      </w:pPr>
    </w:p>
    <w:p>
      <w:pPr>
        <w:ind w:right="60" w:firstLine="518"/>
        <w:spacing w:after="0" w:line="250"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withholding taxes and state taxes.</w:t>
      </w:r>
    </w:p>
    <w:p>
      <w:pPr>
        <w:spacing w:after="0" w:line="1"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the impact of the 2017 Tax Act, potential contingencies surrounding current audits by the IRS and various other domestic and foreign tax authorities, and other income tax matters.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exposed to certain market risks, including changes in interest rates and foreign currency exchange rates that could adversely affect our results of operations or financial condition. Our exposure to market risk includes our revolving credit facilities, derivative instruments and cash and cash equivalents, marketable securities, accounts receivable and contracts receivable, intercompany receivables, accounts payable and deferred merchant payables denominated in foreign currencies.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foreign currency exchange rates and interest rates.</w:t>
      </w:r>
    </w:p>
    <w:p>
      <w:pPr>
        <w:spacing w:after="0" w:line="17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three months ended March 31, 2018. For additional information, refer to “Quantitative and Qualitative Disclosures About Market Risk” in Item 7A. in Part II of our Annual Report on Form 10-K for the year ended December 31,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of March 31, 2018,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March 31, 2018,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2018 that have materially affected, or are reasonably likely to materially affect, our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mobile apps and to cost-effectively convert these visitors into revenue-generating users, our revenue, financial results and business could be harmed.</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long term success depends on our continued ability to maintain and increase the overall number of visitors flowing through our platforms in a cost effective manner and to engage users throughout the travel planning, booking and trip-taking phases. The primary asset that we use to attract visitors to our websites and convert these visitors into engaged users and bookers is our ability to collect or create, organize and distribute high-quality, commercially valuable content and products that meet users’ specific interests. Our traffic and user engagement could be adversely affected by a number of factors, including but not limited to increased competition, reduced consumer awareness of our brands, declines or inefficiencies in traffic acquisition, and macroeconomic conditions. Certain of our competitors have advertising campaigns expressly designed to drive consumer traffic directly to their websites, and these campaigns may negatively impact traffic to our site. There can be no assurances that we will continue to provide content and products in a manner that meets rapidly changing consumer demand, that encourages users to book on our platform and that is cost-effective.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sectPr>
      </w:pPr>
    </w:p>
    <w:bookmarkStart w:id="40" w:name="page41"/>
    <w:bookmarkEnd w:id="40"/>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 and applications are not displayed prominently, traffic to our platform could decline and our business would be negatively affected.</w:t>
      </w:r>
    </w:p>
    <w:p>
      <w:pPr>
        <w:spacing w:after="0" w:line="18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rely heavily on internet search engines, such as Google, to generate a significant amount of traffic to our websites, principally through the purchase of travel-related keywords (what is also known as search engine marketing, or SEM) as well as through free, or organic, search (what is also known as search engine optimization, or SEO). The number of users we attract from search engines to our platform is due in large part to how and where information from and links to our website are displayed on search engine results pages. The display, including rankings, of unpaid search results can be affected by a number of factors, many of which are not in our control and may change frequently. Search engines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organic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Furthermore, our failure to successfully manage our SEO and SEM strategies could result in a substantial decrease in traffic to our websites, as well as increased costs if we were to replace free traffic with paid traffic.</w:t>
      </w:r>
    </w:p>
    <w:p>
      <w:pPr>
        <w:spacing w:after="0" w:line="18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the extent that Google or other leading search or metasearch engines that have a significant presence in our key markets, disintermediate OTAs or travel content providers, whether by offering their own comprehensive travel planning or shopping capabilities, or by referring leads to suppliers, other favored partners or themselves directly, there could be a negative effect on search results and traffic to our site, which in turn could have a material adverse impact on our business and financial performance.</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derive a substantial portion of our revenue from the sale of advertising, primarily through click-based advertising and, to a lesser extent, display-based and subscription-based advertising. We enter into master advertising contracts with our advertising partners; however, the agreement terms are generally limited to legal matters, with campaign details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acceptance of online advertising versus more traditional or more effective forms of advertising ,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83"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derive a substantial portion of our revenue from a relatively small number of advertising partners and rely significantly on our relationships. For example, for the year ended December 31, 2017, our two most significant advertising partners, Expedia and Booking Holdings (and their subsidiaries), accounted for a combined 43% of total revenue. While we enter into master advertising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1" w:name="page42"/>
    <w:bookmarkEnd w:id="41"/>
    <w:p>
      <w:pPr>
        <w:ind w:right="80"/>
        <w:spacing w:after="0" w:line="264" w:lineRule="auto"/>
        <w:rPr>
          <w:sz w:val="20"/>
          <w:szCs w:val="20"/>
          <w:color w:val="auto"/>
        </w:rPr>
      </w:pPr>
      <w:r>
        <w:rPr>
          <w:rFonts w:ascii="Arial" w:cs="Arial" w:eastAsia="Arial" w:hAnsi="Arial"/>
          <w:sz w:val="18"/>
          <w:szCs w:val="18"/>
          <w:color w:val="auto"/>
        </w:rPr>
        <w:t>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strive to create the best experience for our users, providing them with the information, products and tools to enable them to plan, book, and experience the perfect trip. We believe that in doing so we will increase our rates of conversion, our revenue per hotel shopper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changes to existing products or new products that direct users away from formats or use cases where we have a proven means of monetization. In addition, our approach of putting users first may negatively impact our relationship with existing or prospective advertisers. These actions and practices could result in a loss of advertisers,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any failure to maintain, protect and enhance our brand would hurt our ability to retain and expand our base of users and advertisers, as well as increase the frequency with which users utilize our products and services.</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believe that the strength of our brands (particularly the TripAdvisor brand) has contributed significantly to our success. We also believe that maintaining, protecting and enhancing our brands is critical to expanding our base of users, increasing the frequency with which users utilize our solutions and attracting advertisers and business partners. Our ability to maintain and protect our brand depends, in part, on our ability to maintain consumer trust in our products and in the quality and integrity of the user content and other information found on our platform. We believe that consumers must trust the integrity of our content and that they must believe that our content is reliable as well as useful. If consumers do not view our reviews to be useful and reliable, they may seek other sources to obtain the information they are looking for and may not return to our platform as often in the future, or at all. This would negatively impact our ability to attract and retain users and advertisers and the frequency with which they use our platform. We dedicate significant resources to these goals, primarily through our computer algorithms to identify inappropriate or deceptive content removing content from our website that violates our terms of service and, in certain cases, taking legal action against businesses that we believe engage in deceptive practices.</w:t>
      </w:r>
    </w:p>
    <w:p>
      <w:pPr>
        <w:spacing w:after="0" w:line="167" w:lineRule="exact"/>
        <w:rPr>
          <w:sz w:val="20"/>
          <w:szCs w:val="20"/>
          <w:color w:val="auto"/>
        </w:rPr>
      </w:pPr>
    </w:p>
    <w:p>
      <w:pPr>
        <w:ind w:right="120" w:firstLine="507"/>
        <w:spacing w:after="0" w:line="253" w:lineRule="auto"/>
        <w:rPr>
          <w:sz w:val="20"/>
          <w:szCs w:val="20"/>
          <w:color w:val="auto"/>
        </w:rPr>
      </w:pPr>
      <w:r>
        <w:rPr>
          <w:rFonts w:ascii="Arial" w:cs="Arial" w:eastAsia="Arial" w:hAnsi="Arial"/>
          <w:sz w:val="18"/>
          <w:szCs w:val="18"/>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For example, certain media outlets have reported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users; we do not establish rankings and ratings in favor of our advertisers. Nevertheless, our reputation and brand, the traffic to our platform and our business may suffer from negative publicity about our company or if users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9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changes, competitive pressures, litigation or regulatory activity, could adversely affect our reputation with our users and our advertisers. Such negative publicity also could have an adverse effect on the size, engagement, and loyalty of our user base and result in decreased revenue.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be successful.</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an effort to enhance our brand we invest significantly in brand marketing including, but not limited to, television advertising. We expect these investments to continue, and even increase, as a result of a variety of factors, including relatively high levels of advertising spending by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 efforts and spend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right="780"/>
        <w:spacing w:after="0" w:line="277" w:lineRule="auto"/>
        <w:rPr>
          <w:sz w:val="20"/>
          <w:szCs w:val="20"/>
          <w:color w:val="auto"/>
        </w:rPr>
      </w:pPr>
      <w:r>
        <w:rPr>
          <w:rFonts w:ascii="Arial" w:cs="Arial" w:eastAsia="Arial" w:hAnsi="Arial"/>
          <w:sz w:val="18"/>
          <w:szCs w:val="18"/>
          <w:color w:val="auto"/>
        </w:rPr>
        <w:t>among the different marketing channels, in each case as we think appropriate based on the relative growth opportunity, the expected returns and the competitive environment in the different segments and businesses in which we operate.</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diversified resources than we do, and they may also be able to leverage other aspects of their businesses to enable them to compete more effectively with us.</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phone devices creates new challenges and, if we are unable to operate effectively on mobile phone devices, our business may be adversely affected.</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number of people who access the internet through mobile phones continues to increase and we anticipate that the rate of use of these devices will continue to grow. A significant percentage of our traffic comes from users accessing our sites on mobile phones and we expect this percentage to continue to increase. In order to attract and retain engaged users of our mobile platform, the mobile products and services we introduce must be compelling. In addition, the mobile phones continue to monetize at a significantly lower rate than desktops and tablets and advertising opportunities are more limited on mobile phone devices. Given device sizes and technical limitations of these devices, mobile phone consumers may not be willing to download multiple apps from multiple companies providing similar service and instead prefer to use one or a limited number of apps for their hotel, restaurant and experiences activity. In addition, as new devices and platforms are released, users may begin consuming content in a manner that is more difficult to monetize.</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To address these growing user demands, we continue to extend our platform to develop and improve upon our mobile applications and monetization strategies. If we are unable to continue to rapidly innovate and create new, user-friendly and differentiated mobile phone offerings and websites optimized for mobile phone devices and efficiently and effectively advertise and distribute on these platforms, or if our mobile phone offerings are not used by consumers, our future growth and results of operations could be negatively impacted.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spending could reduce the demand for our services and have a negative impact on our business and financial performance.</w:t>
      </w:r>
    </w:p>
    <w:p>
      <w:pPr>
        <w:spacing w:after="0" w:line="17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our results of operations. For example, the United Kingdom’s referendum to exit the European Union, known as Brexit, could adversely affect European and global economic or market conditions, could contribute to instability in global financial markets and may have a negative effect on the travel industry and our business.</w:t>
      </w:r>
    </w:p>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compete in rapidly evolving and competitive markets. We face competition for content, users, advertisers, online travel search and price comparison services, or what is known in the industry as hotel metasearch, and online reservations. In the competition to attract users to our platform, we rely on our ability to acquire traffic through offline brand recognition and brand-direct efforts such as SEO, SEM, email and television. These marketing strategies can be impacted by competitive site content, changes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ind w:right="220"/>
        <w:spacing w:after="0" w:line="277" w:lineRule="auto"/>
        <w:rPr>
          <w:sz w:val="20"/>
          <w:szCs w:val="20"/>
          <w:color w:val="auto"/>
        </w:rPr>
      </w:pPr>
      <w:r>
        <w:rPr>
          <w:rFonts w:ascii="Arial" w:cs="Arial" w:eastAsia="Arial" w:hAnsi="Arial"/>
          <w:sz w:val="18"/>
          <w:szCs w:val="18"/>
          <w:color w:val="auto"/>
        </w:rPr>
        <w:t>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participate, including large and small companies in the travel space as well as broader service providers. More specifically:</w:t>
      </w:r>
    </w:p>
    <w:p>
      <w:pPr>
        <w:spacing w:after="0" w:line="170" w:lineRule="exact"/>
        <w:rPr>
          <w:sz w:val="20"/>
          <w:szCs w:val="20"/>
          <w:color w:val="auto"/>
        </w:rPr>
      </w:pPr>
    </w:p>
    <w:p>
      <w:pPr>
        <w:ind w:left="760" w:right="100" w:hanging="374"/>
        <w:spacing w:after="0" w:line="259"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our Hotel segment, we face competition from OTAs (including Expedia, Inc. and Booking Holdings,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186" w:lineRule="exact"/>
        <w:rPr>
          <w:rFonts w:ascii="Arial" w:cs="Arial" w:eastAsia="Arial" w:hAnsi="Arial"/>
          <w:sz w:val="18"/>
          <w:szCs w:val="18"/>
          <w:color w:val="auto"/>
        </w:rPr>
      </w:pPr>
    </w:p>
    <w:p>
      <w:pPr>
        <w:ind w:left="760" w:right="140" w:hanging="374"/>
        <w:spacing w:after="0" w:line="297"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also face competition from different companies in each of the operating segments in our Non-Hotel segment. Experiences competes with traditional travel agencies, wholesalers, and individual tour operators as well as Airbnb and similar websites that have added other travel services such as tours and activities. Restaurants competes with other online restaurant reservation services, such as SeatMe (owned by Yelp) and OpenTable (a subsidiary of Booking Holdings). Rentals competes with companies focused on alternative lodging, shared accommodations and online accommodation searches, including Airbnb, HomeAway (a subsidiary of Expedia) and booking.com (a subsidiary of Booking Holdings).</w:t>
      </w:r>
    </w:p>
    <w:p>
      <w:pPr>
        <w:spacing w:after="0" w:line="15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Certain of the companies we do business with, including some of our click-based advertising partners, are also our competitors. The consolidation of our competitors and partners, including Expedia (through its acquisitions of Orbitz, Travelocity, and HomeAway) and Booking Holdings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member engagement, any of which could adversely affect our business and financial performance.</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among other things,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users.</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the emergence of alternative platforms such as mobile phone and tablet computing devices and the emergence of niche competitors who may be able to optimize products, services or strategies for such platforms will require new investment in technology. New developments in other areas could also make it easier for competition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4" w:name="page45"/>
    <w:bookmarkEnd w:id="44"/>
    <w:p>
      <w:pPr>
        <w:ind w:right="6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travelers, we may not remain competitive, and our business and financial performance could suffer.</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Our success depends in part on continued innovation to provide products, features and services that make our platform compelling to travelers. Our competitors are continually developing innovations in online travel-related services and features. As a result, we are continually working to improve our business model and user experience in order to drive user traffic and conversion rates. We can give no assurances that the changes we make will yield the benefits we expect and will not have unintended or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online advertisers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believe that certain metrics are key to our business, including but not limited to unique visitors, hotel shoppers, and revenue per hotel shopper. As both the industry in which we operate and our business continue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26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co-founder, Chief Executive and President,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Certain companies in the internet and technology industries that own patents, copyrights, trademarks and trade secrets frequently enter into litigation based on allegations of infringement or other violations of those intellectual property rights in order to extract value from technology companies, such as royalties in connection with grants of licenses. We have received in the past, and expect to receive in the future,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Our success will depend, in part, on our ability to expand our product offerings and expand user engagement in order to grow our business in response to changing technologies, user and advertiser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any of which could be material to our financial conditions and results of operations. Such endeavors may involve significant risks and uncertainties, including, but not limited to, the following:</w:t>
      </w:r>
    </w:p>
    <w:p>
      <w:pPr>
        <w:spacing w:after="0" w:line="64" w:lineRule="exact"/>
        <w:rPr>
          <w:sz w:val="20"/>
          <w:szCs w:val="20"/>
          <w:color w:val="auto"/>
        </w:rPr>
      </w:pPr>
    </w:p>
    <w:p>
      <w:pPr>
        <w:ind w:left="104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40" w:right="38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stock repurchases, retirement of outstanding indebtedness and/or dividend payments;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assumed, and other claims relating to the acquired company;</w:t>
      </w:r>
    </w:p>
    <w:p>
      <w:pPr>
        <w:spacing w:after="0" w:line="62"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right="760" w:hanging="384"/>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minus impairment,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ind w:right="40"/>
        <w:spacing w:after="0" w:line="264" w:lineRule="auto"/>
        <w:rPr>
          <w:sz w:val="20"/>
          <w:szCs w:val="20"/>
          <w:color w:val="auto"/>
        </w:rPr>
      </w:pPr>
      <w:r>
        <w:rPr>
          <w:rFonts w:ascii="Arial" w:cs="Arial" w:eastAsia="Arial" w:hAnsi="Arial"/>
          <w:sz w:val="18"/>
          <w:szCs w:val="18"/>
          <w:color w:val="auto"/>
        </w:rPr>
        <w:t>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8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Over the years, we have experienced rapid growth in some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short-term and vacation rentals and other matters. In addition, our businesses face intellectual property litigation that exposes us to the risk of exclusion and cease and desist orders, which could limit our ability to sell products and services.</w:t>
      </w:r>
    </w:p>
    <w:p>
      <w:pPr>
        <w:spacing w:after="0" w:line="154"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Such claims, 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We operate in a number of jurisdictions both inside and outside of the United States and continue to expand our operations both domestically and internationally. Many regions have different economic conditions, languages, currencies, consumer expectations, legislation, regulatory environments (including labors laws and customs), tax laws, levels of consumer acceptance and use of the internet for commerce and levels of political stability. We are subject to associated risks typical of global businesses, including, but not limited to, the following:</w:t>
      </w:r>
    </w:p>
    <w:p>
      <w:pPr>
        <w:spacing w:after="0" w:line="63" w:lineRule="exact"/>
        <w:rPr>
          <w:sz w:val="20"/>
          <w:szCs w:val="20"/>
          <w:color w:val="auto"/>
        </w:rPr>
      </w:pPr>
    </w:p>
    <w:p>
      <w:pPr>
        <w:ind w:left="1040" w:right="500" w:hanging="344"/>
        <w:spacing w:after="0" w:line="264" w:lineRule="auto"/>
        <w:tabs>
          <w:tab w:leader="none" w:pos="10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and the U.K. Bribery Act (including the European Union’s General Data Protection Regulation, or GDPR), data privacy requirements, labor and employment law, laws regarding advertisements and promotions and anti-competition regulations;</w:t>
      </w:r>
    </w:p>
    <w:p>
      <w:pPr>
        <w:spacing w:after="0" w:line="73" w:lineRule="exact"/>
        <w:rPr>
          <w:rFonts w:ascii="Arial" w:cs="Arial" w:eastAsia="Arial" w:hAnsi="Arial"/>
          <w:sz w:val="18"/>
          <w:szCs w:val="18"/>
          <w:color w:val="auto"/>
        </w:rPr>
      </w:pPr>
    </w:p>
    <w:p>
      <w:pPr>
        <w:ind w:left="1020" w:hanging="32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7" w:name="page48"/>
    <w:bookmarkEnd w:id="47"/>
    <w:p>
      <w:pPr>
        <w:ind w:left="1020" w:hanging="32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040" w:right="260" w:hanging="344"/>
        <w:spacing w:after="0" w:line="277" w:lineRule="auto"/>
        <w:tabs>
          <w:tab w:leader="none" w:pos="10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1020" w:hanging="32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or political instability; and</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A number of countries are actively pursuing changes to their tax laws applicable to corporate multinationals, such as the recently enacted U.S. tax legislation commonly referred to as the Tax Cuts and Jobs Act of 2017 (the “2017 Tax Act”). Foreign governments may enact tax laws in response to the 2017 Tax Act that could result in further changes to global taxation and materially affect our financial position and results of operations.</w:t>
      </w:r>
    </w:p>
    <w:p>
      <w:pPr>
        <w:spacing w:after="0" w:line="166"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of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additional guidance, we may make adjustments to provisional amounts that we have recorded that may materially impact our provision for income taxes in the period in which the adjustments are made.</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travel and rental licensing and listing requirements and tax. In some cases, these laws continue to evolve.</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Further, Rentals has been and continues to be subject to regulatory developments that affect the rental industry and the ability of competitors like us to list those rentals online. For example, some states and local jurisdictions have fair housing or other laws governing whether and how properties may be rented, which they assert apply to rentals. In addition, many homeowners, condominium and neighborhood associations have adopted or are considering adopting statutes or ordinances that prohibit or restrict property owners and managers from short-term rentals.</w:t>
      </w:r>
    </w:p>
    <w:p>
      <w:pPr>
        <w:spacing w:after="0" w:line="17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8" w:name="page49"/>
    <w:bookmarkEnd w:id="48"/>
    <w:p>
      <w:pPr>
        <w:ind w:right="180" w:firstLine="518"/>
        <w:spacing w:after="0" w:line="255"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Unfavorable changes could decrease demand for products and services, limit marketing methods and capabilities, increase costs and/or subject us to additional liabilities. Violations of these laws and regulations could result in fines and/or criminal sanctions against us, our officers or our employees and/or prohibitions on the conduct of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ability to protect our technology, content and brands.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collect, process, store and transmit data, including personal information, for our users. As a result, 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we are subject to GDPR, a new data protection legal framework adopted by the European Union effective May 2018. These data protection laws and regulations are intended to protect the privacy and security of personal data, including credit card information. Implementation of and compliance with these laws and regulations may be more costly or take longer than we anticipate, or could otherwise affect our business operations.</w:t>
      </w:r>
    </w:p>
    <w:p>
      <w:pPr>
        <w:spacing w:after="0" w:line="169"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54"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payments-related risks and failure to manage those risks may subject us to fines, penalties and additional costs and could have a negative impact on our business.</w:t>
      </w:r>
    </w:p>
    <w:p>
      <w:pPr>
        <w:spacing w:after="0" w:line="170" w:lineRule="exact"/>
        <w:rPr>
          <w:sz w:val="20"/>
          <w:szCs w:val="20"/>
          <w:color w:val="auto"/>
        </w:rPr>
      </w:pPr>
    </w:p>
    <w:p>
      <w:pPr>
        <w:ind w:right="40" w:firstLine="447"/>
        <w:spacing w:after="0" w:line="287" w:lineRule="auto"/>
        <w:rPr>
          <w:sz w:val="20"/>
          <w:szCs w:val="20"/>
          <w:color w:val="auto"/>
        </w:rPr>
      </w:pPr>
      <w:r>
        <w:rPr>
          <w:rFonts w:ascii="Arial" w:cs="Arial" w:eastAsia="Arial" w:hAnsi="Arial"/>
          <w:sz w:val="16"/>
          <w:szCs w:val="16"/>
          <w:color w:val="auto"/>
        </w:rPr>
        <w:t>We accept payments, both from consumers and advertising partners and suppliers,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payments products and yet may still be susceptible to fraudulent activity.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w:t>
      </w:r>
    </w:p>
    <w:p>
      <w:pPr>
        <w:spacing w:after="0" w:line="173" w:lineRule="exact"/>
        <w:rPr>
          <w:sz w:val="20"/>
          <w:szCs w:val="20"/>
          <w:color w:val="auto"/>
        </w:rPr>
      </w:pPr>
    </w:p>
    <w:p>
      <w:pPr>
        <w:ind w:right="360" w:firstLine="447"/>
        <w:spacing w:after="0" w:line="264" w:lineRule="auto"/>
        <w:rPr>
          <w:sz w:val="20"/>
          <w:szCs w:val="20"/>
          <w:color w:val="auto"/>
        </w:rPr>
      </w:pPr>
      <w:r>
        <w:rPr>
          <w:rFonts w:ascii="Arial" w:cs="Arial" w:eastAsia="Arial" w:hAnsi="Arial"/>
          <w:sz w:val="18"/>
          <w:szCs w:val="18"/>
          <w:color w:val="auto"/>
        </w:rPr>
        <w:t>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Any significant system disruption in or unauthorized access to our computer systems or those of third parties that we utilize, including those relating to cybersecurity or arising from cyberattacks, could result in a loss or degradation of service, unauthorized disclosure of data or theft of intellectual property, and could harm our business.</w:t>
      </w:r>
    </w:p>
    <w:p>
      <w:pPr>
        <w:spacing w:after="0" w:line="18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reputation and ability to attract, retain and service our users and partners is dependent upon the reliable performance and security of our computer systems and those of third parties we utilize in our operations. In the past, we have experienced cyberattacks, such as computer viruses, security intrusions, “denial-of-service” or “bot” type attacks that have made portions of our websites unavailable for short periods of time as well as allowed unauthorized access of our systems and data. Significant interruptions, outages, delays or security breaches in internal systems or systems of third parties that we rely upon, could impair our ability to process transactions or display content and significantly harm our business. A party, whether internal or external, that is able to circumvent our security systems could misappropriate user information or proprietary information or cause significant interruptions in our operations. We also face risks associated with security breaches affecting third parties conducting business over the internet. Much of our business is conducted with third party marketing affiliates or, more recently, through business partners powering our instant booking feature.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failure of such third parties to comply with applicable disclosure requirements could expose us to liability.</w:t>
      </w:r>
    </w:p>
    <w:p>
      <w:pPr>
        <w:spacing w:after="0" w:line="18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may need to expend significant resources to protect against security breaches or to investigate and address problems caused by breaches.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Media coverage of data breaches has escalated, in part because of the increased number of enforcement actions, investigations and lawsuits.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8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Any of these events could cause system interruption, delays and loss of critical data, and could prevent us from providing content and services to users, travelers and/or third parties for a significant period of time.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ind w:right="80"/>
        <w:spacing w:after="0" w:line="277" w:lineRule="auto"/>
        <w:rPr>
          <w:sz w:val="20"/>
          <w:szCs w:val="20"/>
          <w:color w:val="auto"/>
        </w:rPr>
      </w:pPr>
      <w:r>
        <w:rPr>
          <w:rFonts w:ascii="Arial" w:cs="Arial" w:eastAsia="Arial" w:hAnsi="Arial"/>
          <w:sz w:val="18"/>
          <w:szCs w:val="18"/>
          <w:b w:val="1"/>
          <w:bCs w:val="1"/>
          <w:i w:val="1"/>
          <w:iCs w:val="1"/>
          <w:color w:val="auto"/>
        </w:rPr>
        <w:t>The online short-term and vacation rental market is rapidly evolving and if we fail to predict the manner in which the market develops, our business and prospects may suffer.</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offer short-term and vacation rental services on our TripAdvisor-branded sites as well as through our U.S.-based FlipKey and Vacation Home Rentals and European-based Holiday Lettings and Niumba businesses. The short-term and vacation rental market has been and continues to be, subject to regulatory development globally that affects the industry and the ability of companies like us to list these rental properties online. For example, some states and local jurisdictions, both domestically and internationally, have adopted, or are considering adopting, statutes or ordinances that prohibit property owners and managers from renting certain properties for fewer than 30 consecutive days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(as more fully discussed below,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At March 31, 2018, there were no outstanding borrowings in long-term debt. However, we continue to have existing credit facilities from which we can borrow significant amounts; as such, we are still subject to risks relating to our indebtedness that include:</w:t>
      </w:r>
    </w:p>
    <w:p>
      <w:pPr>
        <w:spacing w:after="0" w:line="170"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60" w:hanging="384"/>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51" w:name="page52"/>
    <w:bookmarkEnd w:id="51"/>
    <w:p>
      <w:pPr>
        <w:ind w:right="62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24"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The final determination of audits could be materially different from our income tax provisions and accruals and could have a material effect on our financial position, results of operations, or cash flows in the period or periods for which that determination is made.</w:t>
      </w:r>
    </w:p>
    <w:p>
      <w:pPr>
        <w:spacing w:after="0" w:line="18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tax rate. In periods in which our stock price is higher than the grant price of the share-based compensation awards vesting in that period, we will recognize excess tax benefits that will decrease our effective tax rate. In periods in which our stock price is lower than the grant price of the share-based compensation awards vesting in that period, our effective tax rate will increase.</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withholding taxes and state taxes.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position and results of operations.</w:t>
      </w:r>
    </w:p>
    <w:p>
      <w:pPr>
        <w:spacing w:after="0" w:line="24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derive could be undermined due to changing tax</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2" w:name="page53"/>
    <w:bookmarkEnd w:id="52"/>
    <w:p>
      <w:pPr>
        <w:ind w:right="60"/>
        <w:spacing w:after="0" w:line="264" w:lineRule="auto"/>
        <w:rPr>
          <w:sz w:val="20"/>
          <w:szCs w:val="20"/>
          <w:color w:val="auto"/>
        </w:rPr>
      </w:pPr>
      <w:r>
        <w:rPr>
          <w:rFonts w:ascii="Arial" w:cs="Arial" w:eastAsia="Arial" w:hAnsi="Arial"/>
          <w:sz w:val="18"/>
          <w:szCs w:val="18"/>
          <w:color w:val="auto"/>
        </w:rPr>
        <w:t>laws. A number of countries are actively pursuing changes to their tax laws applicable to corporate multinationals, such as the recently enacted 2017 Tax Act. Foreign governments or U.S. states may enact tax laws in response to the 2017 Tax Act that could result in further changes to global taxation and materially affect our financial position and results of operations.</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2017 Tax Act has resulted in significant changes to the U.S. corporate income tax system. The 2017 Tax Act requires complex computations to be performed that were not previously required in U.S. tax law, significant judgments to be made in interpretation of the provisions of the 2017 Tax Act, significant estimates in calculations, and the preparation of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additional guidance, we may make adjustments to provisional amounts that we have recorded that may materially impact our provision for income taxes in the period in which the adjustments are made.</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Spin-Off, we could be subject to significant tax liabilities.</w:t>
      </w:r>
    </w:p>
    <w:p>
      <w:pPr>
        <w:spacing w:after="0" w:line="22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an IRS audit for the 2009, 2010, and short-period 2011 tax years. In connection with that audit, we received, in January 2017, notices of proposed adjustment from the IRS for the 2009 and 2010 tax years, which would result in an increase in our worldwide income tax expense. The proposed adjustments would result in an increase to our worldwide income tax expense in an estimated range totaling $10 million to $14 million for those specific years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conduct a significant and growing portion of our business outside the United States but report our results in U.S. dollars. As a result, we face exposure to movements in foreign currency exchange rates, particularly those related to the Euro, British pound sterling,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7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color w:val="auto"/>
        </w:rPr>
        <w:t>consumer trends and the timing and degree of their impact on our markets and business, which in turn could adversely affect our ability to effectively manage our business and adversely affect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one of our Directors Albert Rosenthaler also serve as officers and directors of LTRIP. LTRIP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18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40" w:right="80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4" w:name="page55"/>
    <w:bookmarkEnd w:id="54"/>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For the three months ended March 31, 2018, the average daily trading volume of our common stock on NASDAQ was approximately 3.2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62"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40" w:right="10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During the quarter ended March 31, 2018,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This new repurchase program has no expiration but may be suspended or terminated by the Board of Directors at any time</w:t>
      </w:r>
    </w:p>
    <w:p>
      <w:pPr>
        <w:spacing w:after="0" w:line="147" w:lineRule="exact"/>
        <w:rPr>
          <w:sz w:val="20"/>
          <w:szCs w:val="20"/>
          <w:color w:val="auto"/>
        </w:rPr>
      </w:pPr>
    </w:p>
    <w:p>
      <w:pPr>
        <w:ind w:right="100" w:firstLine="518"/>
        <w:spacing w:after="0" w:line="258" w:lineRule="auto"/>
        <w:rPr>
          <w:sz w:val="20"/>
          <w:szCs w:val="20"/>
          <w:color w:val="auto"/>
        </w:rPr>
      </w:pPr>
      <w:r>
        <w:rPr>
          <w:rFonts w:ascii="Arial" w:cs="Arial" w:eastAsia="Arial" w:hAnsi="Arial"/>
          <w:sz w:val="18"/>
          <w:szCs w:val="18"/>
          <w:color w:val="auto"/>
        </w:rPr>
        <w:t>During the three months ended March 31, 2018, we repurchased 252,650 shares of outstanding common stock under the share repurchase program, as set forth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56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94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720" w:type="dxa"/>
            <w:vAlign w:val="bottom"/>
          </w:tcPr>
          <w:p>
            <w:pPr>
              <w:spacing w:after="0"/>
              <w:rPr>
                <w:sz w:val="20"/>
                <w:szCs w:val="20"/>
                <w:color w:val="auto"/>
              </w:rPr>
            </w:pPr>
          </w:p>
        </w:tc>
        <w:tc>
          <w:tcPr>
            <w:tcW w:w="13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(1)</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6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or Programs</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1 to January 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250,000,000</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February 1 to February 28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250,000,000</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1 to March 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252,650</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39.88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239,924,296</w:t>
            </w:r>
          </w:p>
        </w:tc>
      </w:tr>
      <w:tr>
        <w:trPr>
          <w:trHeight w:val="500"/>
        </w:trPr>
        <w:tc>
          <w:tcPr>
            <w:tcW w:w="5160" w:type="dxa"/>
            <w:vAlign w:val="bottom"/>
          </w:tcPr>
          <w:p>
            <w:pPr>
              <w:ind w:left="5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252,650</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252,650</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33"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amount excludes fees and commissions associated with the share repurchase.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28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2"/>
        </w:trPr>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9">
        <w:r>
          <w:rPr>
            <w:rFonts w:ascii="Arial" w:cs="Arial" w:eastAsia="Arial" w:hAnsi="Arial"/>
            <w:sz w:val="16"/>
            <w:szCs w:val="16"/>
            <w:u w:val="single" w:color="auto"/>
            <w:color w:val="0000EE"/>
          </w:rPr>
          <w:t>Form of Option Agreement (Domestic)</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68">
        <w:r>
          <w:rPr>
            <w:rFonts w:ascii="Arial" w:cs="Arial" w:eastAsia="Arial" w:hAnsi="Arial"/>
            <w:sz w:val="16"/>
            <w:szCs w:val="16"/>
            <w:u w:val="single" w:color="auto"/>
            <w:color w:val="0000EE"/>
          </w:rPr>
          <w:t>Form of Option Agreement (International)</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85">
        <w:r>
          <w:rPr>
            <w:rFonts w:ascii="Arial" w:cs="Arial" w:eastAsia="Arial" w:hAnsi="Arial"/>
            <w:sz w:val="16"/>
            <w:szCs w:val="16"/>
            <w:u w:val="single" w:color="auto"/>
            <w:color w:val="0000EE"/>
          </w:rPr>
          <w:t>Form of Restricted Stock Unit Agreement (Domestic)</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94">
        <w:r>
          <w:rPr>
            <w:rFonts w:ascii="Arial" w:cs="Arial" w:eastAsia="Arial" w:hAnsi="Arial"/>
            <w:sz w:val="16"/>
            <w:szCs w:val="16"/>
            <w:u w:val="single" w:color="auto"/>
            <w:color w:val="0000EE"/>
          </w:rPr>
          <w:t>Form of Restricted Stock Unit Agreement (International)</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w:anchor="page113">
        <w:r>
          <w:rPr>
            <w:rFonts w:ascii="Arial" w:cs="Arial" w:eastAsia="Arial" w:hAnsi="Arial"/>
            <w:sz w:val="16"/>
            <w:szCs w:val="16"/>
            <w:u w:val="single" w:color="auto"/>
            <w:color w:val="0000EE"/>
          </w:rPr>
          <w:t>Form of Restricted Stock Unit Agreement (French)</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w:anchor="page127">
        <w:r>
          <w:rPr>
            <w:rFonts w:ascii="Arial" w:cs="Arial" w:eastAsia="Arial" w:hAnsi="Arial"/>
            <w:sz w:val="16"/>
            <w:szCs w:val="16"/>
            <w:u w:val="single" w:color="auto"/>
            <w:color w:val="0000EE"/>
          </w:rPr>
          <w:t>Form of Restricted Stock Unit Agreement (Performance Based) (Domestic)</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w:anchor="page140">
        <w:r>
          <w:rPr>
            <w:rFonts w:ascii="Arial" w:cs="Arial" w:eastAsia="Arial" w:hAnsi="Arial"/>
            <w:sz w:val="16"/>
            <w:szCs w:val="16"/>
            <w:u w:val="single" w:color="auto"/>
            <w:color w:val="0000EE"/>
          </w:rPr>
          <w:t>Form of Restricted Stock Unit Agreement (Performance Based) (French)</w:t>
        </w:r>
      </w:hyperlink>
    </w:p>
    <w:p>
      <w:pPr>
        <w:spacing w:after="0" w:line="144"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58">
        <w:r>
          <w:rPr>
            <w:rFonts w:ascii="Arial" w:cs="Arial" w:eastAsia="Arial" w:hAnsi="Arial"/>
            <w:sz w:val="16"/>
            <w:szCs w:val="16"/>
            <w:u w:val="single" w:color="auto"/>
            <w:color w:val="0000EE"/>
          </w:rPr>
          <w:t>Certification of the Chief Executive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59">
        <w:r>
          <w:rPr>
            <w:rFonts w:ascii="Arial" w:cs="Arial" w:eastAsia="Arial" w:hAnsi="Arial"/>
            <w:sz w:val="16"/>
            <w:szCs w:val="16"/>
            <w:u w:val="single" w:color="auto"/>
            <w:color w:val="0000EE"/>
          </w:rPr>
          <w:t>Certification of the Chief Financial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60">
        <w:r>
          <w:rPr>
            <w:rFonts w:ascii="Arial" w:cs="Arial" w:eastAsia="Arial" w:hAnsi="Arial"/>
            <w:sz w:val="16"/>
            <w:szCs w:val="16"/>
            <w:u w:val="single" w:color="auto"/>
            <w:color w:val="0000EE"/>
          </w:rPr>
          <w:t>Certification of the Chief Executive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61">
        <w:r>
          <w:rPr>
            <w:rFonts w:ascii="Arial" w:cs="Arial" w:eastAsia="Arial" w:hAnsi="Arial"/>
            <w:sz w:val="16"/>
            <w:szCs w:val="16"/>
            <w:u w:val="single" w:color="auto"/>
            <w:color w:val="0000EE"/>
          </w:rPr>
          <w:t>Certification of the Chief Financial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2002</w:t>
        </w:r>
      </w:hyperlink>
    </w:p>
    <w:p>
      <w:pPr>
        <w:spacing w:after="0" w:line="130" w:lineRule="exact"/>
        <w:rPr>
          <w:sz w:val="20"/>
          <w:szCs w:val="20"/>
          <w:color w:val="auto"/>
        </w:rPr>
      </w:pPr>
    </w:p>
    <w:p>
      <w:pPr>
        <w:ind w:left="560" w:hanging="552"/>
        <w:spacing w:after="0" w:line="255"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March 31, 2018, formatted in XBRL: (i) Unaudited Condensed Consolidated Statements of Operations, (ii) Unaudited Condensed Consolidated Statements of Comprehensive Income, (iii) Unaudited Condensed Consolidated Balance Sheets, (iv) Unaudited Condensed Consolidated Statement of Changes in Stockholders’ Equity, (v) Unaudited Condensed Consolidated Statements of Cash Flows, and (vi) Notes to Unaudited Condensed Consolidated Financial Statements.</w:t>
      </w:r>
    </w:p>
    <w:p>
      <w:pPr>
        <w:spacing w:after="0" w:line="189"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97" w:lineRule="exact"/>
        <w:rPr>
          <w:rFonts w:ascii="Arial" w:cs="Arial" w:eastAsia="Arial" w:hAnsi="Arial"/>
          <w:sz w:val="18"/>
          <w:szCs w:val="18"/>
          <w:i w:val="1"/>
          <w:iCs w:val="1"/>
          <w:color w:val="auto"/>
        </w:rPr>
      </w:pPr>
    </w:p>
    <w:p>
      <w:pPr>
        <w:ind w:left="5620"/>
        <w:spacing w:after="0"/>
        <w:rPr>
          <w:rFonts w:ascii="Arial" w:cs="Arial" w:eastAsia="Arial" w:hAnsi="Arial"/>
          <w:sz w:val="18"/>
          <w:szCs w:val="18"/>
          <w:i w:val="1"/>
          <w:iCs w:val="1"/>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7820" w:space="440"/>
            <w:col w:w="3160"/>
          </w:cols>
          <w:pgMar w:left="240" w:top="688"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88"/>
              </w:rPr>
              <w:t>/s/ Ernst Teunissen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Chief Financial Officer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Noel Watson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Noel Watson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8,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OPTION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(Domestic)</w:t>
      </w:r>
    </w:p>
    <w:p>
      <w:pPr>
        <w:spacing w:after="0" w:line="188"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 (the “Award”).</w:t>
      </w:r>
    </w:p>
    <w:p>
      <w:pPr>
        <w:spacing w:after="0" w:line="14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Company’s Amended and Restated 2011 Stock and Annual Incentive Plan or the Company’s 2018 Stock and Annual Incentive Plan, as appropriate (as either may be amended from time to time, the “Plan”).</w:t>
      </w:r>
    </w:p>
    <w:p>
      <w:pPr>
        <w:spacing w:after="0" w:line="180" w:lineRule="exact"/>
        <w:rPr>
          <w:sz w:val="20"/>
          <w:szCs w:val="20"/>
          <w:color w:val="auto"/>
        </w:rPr>
      </w:pPr>
    </w:p>
    <w:p>
      <w:pPr>
        <w:ind w:left="880" w:hanging="872"/>
        <w:spacing w:after="0"/>
        <w:tabs>
          <w:tab w:leader="none" w:pos="8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of Option</w:t>
      </w:r>
    </w:p>
    <w:p>
      <w:pPr>
        <w:spacing w:after="0" w:line="212" w:lineRule="exact"/>
        <w:rPr>
          <w:rFonts w:ascii="Arial" w:cs="Arial" w:eastAsia="Arial" w:hAnsi="Arial"/>
          <w:sz w:val="22"/>
          <w:szCs w:val="22"/>
          <w:b w:val="1"/>
          <w:bCs w:val="1"/>
          <w:color w:val="auto"/>
        </w:rPr>
      </w:pPr>
    </w:p>
    <w:p>
      <w:pPr>
        <w:jc w:val="both"/>
        <w:ind w:firstLine="885"/>
        <w:spacing w:after="0" w:line="277" w:lineRule="auto"/>
        <w:tabs>
          <w:tab w:leader="none" w:pos="1765"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the Plan and the Grant Details, the Company hereby grants the Option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9"/>
          <w:szCs w:val="19"/>
          <w:u w:val="single" w:color="auto"/>
          <w:color w:val="auto"/>
        </w:rPr>
        <w:t>www.netbenefits.fidelity.com</w:t>
      </w:r>
      <w:r>
        <w:rPr>
          <w:rFonts w:ascii="Arial" w:cs="Arial" w:eastAsia="Arial" w:hAnsi="Arial"/>
          <w:sz w:val="19"/>
          <w:szCs w:val="19"/>
          <w:color w:val="auto"/>
        </w:rPr>
        <w:t xml:space="preserve"> (or any successor equity administration system selected by the Company to manage the Plan from time to time). The Grant Details, which set forth the number of Shares underlying the Option, the grant price which is the per Share exercise price of the Option, the Grant Date of the Option, and the vesting schedule of the Option (among other information), are hereby incorporated by reference into, and shall be read as part and parcel of, this Agreement.</w:t>
      </w:r>
    </w:p>
    <w:p>
      <w:pPr>
        <w:spacing w:after="0" w:line="152" w:lineRule="exact"/>
        <w:rPr>
          <w:rFonts w:ascii="Arial" w:cs="Arial" w:eastAsia="Arial" w:hAnsi="Arial"/>
          <w:sz w:val="19"/>
          <w:szCs w:val="19"/>
          <w:color w:val="auto"/>
        </w:rPr>
      </w:pPr>
    </w:p>
    <w:p>
      <w:pPr>
        <w:ind w:right="20" w:firstLine="885"/>
        <w:spacing w:after="0" w:line="251" w:lineRule="auto"/>
        <w:tabs>
          <w:tab w:leader="none" w:pos="1778"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Option shall be a Nonqualified Option. Unless earlier terminated pursuant to the terms of this Agreement or the Plan, the Option shall expire on the ten-year anniversary of the Grant Date.</w:t>
      </w:r>
    </w:p>
    <w:p>
      <w:pPr>
        <w:spacing w:after="0" w:line="167" w:lineRule="exact"/>
        <w:rPr>
          <w:rFonts w:ascii="Arial" w:cs="Arial" w:eastAsia="Arial" w:hAnsi="Arial"/>
          <w:sz w:val="22"/>
          <w:szCs w:val="22"/>
          <w:color w:val="auto"/>
        </w:rPr>
      </w:pPr>
    </w:p>
    <w:p>
      <w:pPr>
        <w:ind w:left="880" w:hanging="872"/>
        <w:spacing w:after="0"/>
        <w:tabs>
          <w:tab w:leader="none" w:pos="8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34"/>
        </w:numPr>
        <w:rPr>
          <w:rFonts w:ascii="Arial" w:cs="Arial" w:eastAsia="Arial" w:hAnsi="Arial"/>
          <w:sz w:val="22"/>
          <w:szCs w:val="22"/>
          <w:color w:val="auto"/>
        </w:rPr>
      </w:pPr>
      <w:r>
        <w:rPr>
          <w:rFonts w:ascii="Arial" w:cs="Arial" w:eastAsia="Arial" w:hAnsi="Arial"/>
          <w:sz w:val="22"/>
          <w:szCs w:val="22"/>
          <w:color w:val="auto"/>
        </w:rPr>
        <w:t>Subject to (i) the terms and conditions of this Agreement, the Grant Details and the Plan, and (ii) the Eligible Individual’s continuous employment with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85" w:lineRule="exact"/>
        <w:rPr>
          <w:rFonts w:ascii="Arial" w:cs="Arial" w:eastAsia="Arial" w:hAnsi="Arial"/>
          <w:sz w:val="22"/>
          <w:szCs w:val="22"/>
          <w:color w:val="auto"/>
        </w:rPr>
      </w:pPr>
    </w:p>
    <w:p>
      <w:pPr>
        <w:jc w:val="both"/>
        <w:ind w:firstLine="885"/>
        <w:spacing w:after="0" w:line="252" w:lineRule="auto"/>
        <w:tabs>
          <w:tab w:leader="none" w:pos="1778" w:val="left"/>
        </w:tabs>
        <w:numPr>
          <w:ilvl w:val="1"/>
          <w:numId w:val="34"/>
        </w:numPr>
        <w:rPr>
          <w:rFonts w:ascii="Arial" w:cs="Arial" w:eastAsia="Arial" w:hAnsi="Arial"/>
          <w:sz w:val="21"/>
          <w:szCs w:val="21"/>
          <w:color w:val="auto"/>
        </w:rPr>
      </w:pPr>
      <w:r>
        <w:rPr>
          <w:rFonts w:ascii="Arial" w:cs="Arial" w:eastAsia="Arial" w:hAnsi="Arial"/>
          <w:sz w:val="21"/>
          <w:szCs w:val="21"/>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(e.g., active employment would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9" w:name="page60"/>
    <w:bookmarkEnd w:id="59"/>
    <w:p>
      <w:pPr>
        <w:jc w:val="both"/>
        <w:spacing w:after="0" w:line="238" w:lineRule="auto"/>
        <w:rPr>
          <w:sz w:val="20"/>
          <w:szCs w:val="20"/>
          <w:color w:val="auto"/>
        </w:rPr>
      </w:pPr>
      <w:r>
        <w:rPr>
          <w:rFonts w:ascii="Arial" w:cs="Arial" w:eastAsia="Arial" w:hAnsi="Arial"/>
          <w:sz w:val="22"/>
          <w:szCs w:val="22"/>
          <w:color w:val="auto"/>
        </w:rPr>
        <w:t>include a period of “garden leave” or similar period pursuant to local law); furthermore, in the event of a Termination of Employment (whether or not in breach of local labor laws), the Eligible Individual’s right to vest in the Award after such Termination of Employment, if any, will be measured to the date of the Termination of Employment and will not be extended by any notice period mandated under local law.</w:t>
      </w:r>
    </w:p>
    <w:p>
      <w:pPr>
        <w:spacing w:after="0" w:line="179" w:lineRule="exact"/>
        <w:rPr>
          <w:sz w:val="20"/>
          <w:szCs w:val="20"/>
          <w:color w:val="auto"/>
        </w:rPr>
      </w:pPr>
    </w:p>
    <w:p>
      <w:pPr>
        <w:ind w:left="880" w:hanging="872"/>
        <w:spacing w:after="0"/>
        <w:tabs>
          <w:tab w:leader="none" w:pos="88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Manner of Exercise</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85"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85" w:lineRule="exact"/>
        <w:rPr>
          <w:rFonts w:ascii="Arial" w:cs="Arial" w:eastAsia="Arial" w:hAnsi="Arial"/>
          <w:sz w:val="22"/>
          <w:szCs w:val="22"/>
          <w:color w:val="auto"/>
        </w:rPr>
      </w:pPr>
    </w:p>
    <w:p>
      <w:pPr>
        <w:jc w:val="both"/>
        <w:ind w:firstLine="885"/>
        <w:spacing w:after="0"/>
        <w:tabs>
          <w:tab w:leader="none" w:pos="1765" w:val="left"/>
        </w:tabs>
        <w:numPr>
          <w:ilvl w:val="1"/>
          <w:numId w:val="35"/>
        </w:numPr>
        <w:rPr>
          <w:rFonts w:ascii="Arial" w:cs="Arial" w:eastAsia="Arial" w:hAnsi="Arial"/>
          <w:sz w:val="22"/>
          <w:szCs w:val="22"/>
          <w:color w:val="auto"/>
        </w:rPr>
      </w:pPr>
      <w:r>
        <w:rPr>
          <w:rFonts w:ascii="Arial" w:cs="Arial" w:eastAsia="Arial" w:hAnsi="Arial"/>
          <w:sz w:val="22"/>
          <w:szCs w:val="22"/>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80" w:lineRule="exact"/>
        <w:rPr>
          <w:rFonts w:ascii="Arial" w:cs="Arial" w:eastAsia="Arial" w:hAnsi="Arial"/>
          <w:sz w:val="22"/>
          <w:szCs w:val="22"/>
          <w:color w:val="auto"/>
        </w:rPr>
      </w:pPr>
    </w:p>
    <w:p>
      <w:pPr>
        <w:ind w:left="880" w:hanging="872"/>
        <w:spacing w:after="0"/>
        <w:tabs>
          <w:tab w:leader="none" w:pos="88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color w:val="auto"/>
        </w:rPr>
      </w:pPr>
    </w:p>
    <w:p>
      <w:pPr>
        <w:jc w:val="both"/>
        <w:ind w:firstLine="885"/>
        <w:spacing w:after="0" w:line="270" w:lineRule="auto"/>
        <w:tabs>
          <w:tab w:leader="none" w:pos="1765" w:val="left"/>
        </w:tabs>
        <w:numPr>
          <w:ilvl w:val="1"/>
          <w:numId w:val="35"/>
        </w:numPr>
        <w:rPr>
          <w:rFonts w:ascii="Arial" w:cs="Arial" w:eastAsia="Arial" w:hAnsi="Arial"/>
          <w:sz w:val="19"/>
          <w:szCs w:val="19"/>
          <w:color w:val="auto"/>
        </w:rPr>
      </w:pPr>
      <w:r>
        <w:rPr>
          <w:rFonts w:ascii="Arial" w:cs="Arial" w:eastAsia="Arial" w:hAnsi="Arial"/>
          <w:sz w:val="19"/>
          <w:szCs w:val="19"/>
          <w:color w:val="auto"/>
        </w:rPr>
        <w:t>Notwithstanding the provisions of Sections 2 and 3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Options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w:t>
      </w:r>
    </w:p>
    <w:p>
      <w:pPr>
        <w:spacing w:after="0" w:line="1" w:lineRule="exact"/>
        <w:rPr>
          <w:rFonts w:ascii="Arial" w:cs="Arial" w:eastAsia="Arial" w:hAnsi="Arial"/>
          <w:sz w:val="19"/>
          <w:szCs w:val="19"/>
          <w:color w:val="auto"/>
        </w:rPr>
      </w:pPr>
    </w:p>
    <w:p>
      <w:pPr>
        <w:jc w:val="both"/>
        <w:spacing w:after="0" w:line="275" w:lineRule="auto"/>
        <w:rPr>
          <w:rFonts w:ascii="Arial" w:cs="Arial" w:eastAsia="Arial" w:hAnsi="Arial"/>
          <w:sz w:val="19"/>
          <w:szCs w:val="19"/>
          <w:color w:val="auto"/>
        </w:rPr>
      </w:pPr>
      <w:r>
        <w:rPr>
          <w:rFonts w:ascii="Arial" w:cs="Arial" w:eastAsia="Arial" w:hAnsi="Arial"/>
          <w:sz w:val="19"/>
          <w:szCs w:val="19"/>
          <w:color w:val="auto"/>
        </w:rPr>
        <w:t>(i) return the Shares issued upon exercise of such Option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such Option that vested during the two-year period after the events or circumstances giving rise to or constituting grounds for such Termination of Employment for Cause (i.e., the value of the Shares upon exercise of the Option), in each case including any dividend equivalents or other distributions received in respect of any such Option.</w:t>
      </w:r>
    </w:p>
    <w:p>
      <w:pPr>
        <w:spacing w:after="0" w:line="154" w:lineRule="exact"/>
        <w:rPr>
          <w:rFonts w:ascii="Arial" w:cs="Arial" w:eastAsia="Arial" w:hAnsi="Arial"/>
          <w:sz w:val="19"/>
          <w:szCs w:val="19"/>
          <w:color w:val="auto"/>
        </w:rPr>
      </w:pPr>
    </w:p>
    <w:p>
      <w:pPr>
        <w:jc w:val="both"/>
        <w:ind w:firstLine="885"/>
        <w:spacing w:after="0" w:line="236" w:lineRule="auto"/>
        <w:tabs>
          <w:tab w:leader="none" w:pos="1778" w:val="left"/>
        </w:tabs>
        <w:numPr>
          <w:ilvl w:val="1"/>
          <w:numId w:val="3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the Eligible Individual be entitled to the same type of benefits under both the Plan and any employment arrangement for the same event or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0" w:name="page61"/>
    <w:bookmarkEnd w:id="60"/>
    <w:p>
      <w:pPr>
        <w:jc w:val="both"/>
        <w:ind w:firstLine="885"/>
        <w:spacing w:after="0" w:line="297" w:lineRule="auto"/>
        <w:tabs>
          <w:tab w:leader="none" w:pos="1765" w:val="left"/>
        </w:tabs>
        <w:numPr>
          <w:ilvl w:val="1"/>
          <w:numId w:val="36"/>
        </w:numPr>
        <w:rPr>
          <w:rFonts w:ascii="Arial" w:cs="Arial" w:eastAsia="Arial" w:hAnsi="Arial"/>
          <w:sz w:val="19"/>
          <w:szCs w:val="19"/>
          <w:color w:val="auto"/>
        </w:rPr>
      </w:pPr>
      <w:r>
        <w:rPr>
          <w:rFonts w:ascii="Arial" w:cs="Arial" w:eastAsia="Arial" w:hAnsi="Arial"/>
          <w:sz w:val="19"/>
          <w:szCs w:val="19"/>
          <w:color w:val="auto"/>
        </w:rPr>
        <w:t>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28" w:lineRule="exact"/>
        <w:rPr>
          <w:rFonts w:ascii="Arial" w:cs="Arial" w:eastAsia="Arial" w:hAnsi="Arial"/>
          <w:sz w:val="19"/>
          <w:szCs w:val="19"/>
          <w:color w:val="auto"/>
        </w:rPr>
      </w:pPr>
    </w:p>
    <w:p>
      <w:pPr>
        <w:ind w:left="880" w:hanging="872"/>
        <w:spacing w:after="0"/>
        <w:tabs>
          <w:tab w:leader="none" w:pos="88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Option</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19"/>
          <w:szCs w:val="19"/>
          <w:color w:val="auto"/>
        </w:rPr>
        <w:t>During the Vesting Period and until such time as the Option is ultimately exercised as provided herein or on the website</w:t>
      </w:r>
    </w:p>
    <w:p>
      <w:pPr>
        <w:spacing w:after="0" w:line="43"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of the Plan Administrator, the Option shall not be transferable by the Eligible Individual by means of sale, assignment, exchange, encumbrance, pledge, hedge or otherwise.</w:t>
      </w:r>
    </w:p>
    <w:p>
      <w:pPr>
        <w:spacing w:after="0" w:line="179" w:lineRule="exact"/>
        <w:rPr>
          <w:sz w:val="20"/>
          <w:szCs w:val="20"/>
          <w:color w:val="auto"/>
        </w:rPr>
      </w:pPr>
    </w:p>
    <w:p>
      <w:pPr>
        <w:ind w:left="880" w:hanging="872"/>
        <w:spacing w:after="0"/>
        <w:tabs>
          <w:tab w:leader="none" w:pos="8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Except as otherwise specifically provided in this Agreement, until such time as the Option is exercised, the Eligible Individual shall not be entitled to any rights of a stockholder with respect to the Option.</w:t>
      </w:r>
    </w:p>
    <w:p>
      <w:pPr>
        <w:spacing w:after="0" w:line="167" w:lineRule="exact"/>
        <w:rPr>
          <w:sz w:val="20"/>
          <w:szCs w:val="20"/>
          <w:color w:val="auto"/>
        </w:rPr>
      </w:pPr>
    </w:p>
    <w:p>
      <w:pPr>
        <w:ind w:left="880" w:hanging="872"/>
        <w:spacing w:after="0"/>
        <w:tabs>
          <w:tab w:leader="none" w:pos="8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firstLine="885"/>
        <w:spacing w:after="0" w:line="279" w:lineRule="auto"/>
        <w:tabs>
          <w:tab w:leader="none" w:pos="1765" w:val="left"/>
        </w:tabs>
        <w:numPr>
          <w:ilvl w:val="1"/>
          <w:numId w:val="39"/>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50" w:lineRule="exact"/>
        <w:rPr>
          <w:rFonts w:ascii="Arial" w:cs="Arial" w:eastAsia="Arial" w:hAnsi="Arial"/>
          <w:sz w:val="19"/>
          <w:szCs w:val="19"/>
          <w:color w:val="auto"/>
        </w:rPr>
      </w:pPr>
    </w:p>
    <w:p>
      <w:pPr>
        <w:jc w:val="both"/>
        <w:ind w:firstLine="885"/>
        <w:spacing w:after="0" w:line="274" w:lineRule="auto"/>
        <w:tabs>
          <w:tab w:leader="none" w:pos="1778" w:val="left"/>
        </w:tabs>
        <w:numPr>
          <w:ilvl w:val="1"/>
          <w:numId w:val="39"/>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the Option in exchange for payments of cash,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58" w:lineRule="exact"/>
        <w:rPr>
          <w:rFonts w:ascii="Arial" w:cs="Arial" w:eastAsia="Arial" w:hAnsi="Arial"/>
          <w:sz w:val="19"/>
          <w:szCs w:val="19"/>
          <w:color w:val="auto"/>
        </w:rPr>
      </w:pPr>
    </w:p>
    <w:p>
      <w:pPr>
        <w:ind w:firstLine="885"/>
        <w:spacing w:after="0" w:line="251" w:lineRule="auto"/>
        <w:tabs>
          <w:tab w:leader="none" w:pos="1765"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1" w:name="page62"/>
    <w:bookmarkEnd w:id="61"/>
    <w:p>
      <w:pPr>
        <w:ind w:left="872" w:hanging="872"/>
        <w:spacing w:after="0"/>
        <w:tabs>
          <w:tab w:leader="none" w:pos="872"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b w:val="1"/>
          <w:bCs w:val="1"/>
          <w:color w:val="auto"/>
        </w:rPr>
      </w:pPr>
    </w:p>
    <w:p>
      <w:pPr>
        <w:jc w:val="both"/>
        <w:ind w:left="-8" w:firstLine="885"/>
        <w:spacing w:after="0"/>
        <w:tabs>
          <w:tab w:leader="none" w:pos="1757"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Option,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left="-8" w:firstLine="885"/>
        <w:spacing w:after="0" w:line="234" w:lineRule="auto"/>
        <w:tabs>
          <w:tab w:leader="none" w:pos="1770" w:val="left"/>
        </w:tabs>
        <w:numPr>
          <w:ilvl w:val="1"/>
          <w:numId w:val="40"/>
        </w:numPr>
        <w:rPr>
          <w:rFonts w:ascii="Arial" w:cs="Arial" w:eastAsia="Arial" w:hAnsi="Arial"/>
          <w:sz w:val="22"/>
          <w:szCs w:val="22"/>
          <w:color w:val="auto"/>
        </w:rPr>
      </w:pPr>
      <w:r>
        <w:rPr>
          <w:rFonts w:ascii="Arial" w:cs="Arial" w:eastAsia="Arial" w:hAnsi="Arial"/>
          <w:sz w:val="22"/>
          <w:szCs w:val="22"/>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Award, including the exercise of the Option and issuance of the Shares in connection therewith, the receipt of cash or any dividends or dividend equivalents; and (2) do not commit to structure the terms of the Award or any aspect of the Option to reduce or eliminate the Eligible Individual’s liability for Tax-Related Items.</w:t>
      </w:r>
    </w:p>
    <w:p>
      <w:pPr>
        <w:spacing w:after="0" w:line="187" w:lineRule="exact"/>
        <w:rPr>
          <w:rFonts w:ascii="Arial" w:cs="Arial" w:eastAsia="Arial" w:hAnsi="Arial"/>
          <w:sz w:val="22"/>
          <w:szCs w:val="22"/>
          <w:color w:val="auto"/>
        </w:rPr>
      </w:pPr>
    </w:p>
    <w:p>
      <w:pPr>
        <w:jc w:val="both"/>
        <w:ind w:left="-8" w:firstLine="885"/>
        <w:spacing w:after="0" w:line="272" w:lineRule="auto"/>
        <w:tabs>
          <w:tab w:leader="none" w:pos="1757" w:val="left"/>
        </w:tabs>
        <w:numPr>
          <w:ilvl w:val="1"/>
          <w:numId w:val="40"/>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vesting or exercise of the Option,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Award that cannot be satisfied by the means previously described. The Company may refuse to deliver the Shares issuable upon exercise of the Award if the Eligible Individual fails to comply with his or her obligations in connection with the Tax-Related Items as described in this Section.</w:t>
      </w:r>
    </w:p>
    <w:p>
      <w:pPr>
        <w:spacing w:after="0" w:line="157" w:lineRule="exact"/>
        <w:rPr>
          <w:rFonts w:ascii="Arial" w:cs="Arial" w:eastAsia="Arial" w:hAnsi="Arial"/>
          <w:sz w:val="19"/>
          <w:szCs w:val="19"/>
          <w:color w:val="auto"/>
        </w:rPr>
      </w:pPr>
    </w:p>
    <w:p>
      <w:pPr>
        <w:jc w:val="both"/>
        <w:ind w:left="-8" w:firstLine="885"/>
        <w:spacing w:after="0" w:line="274" w:lineRule="auto"/>
        <w:tabs>
          <w:tab w:leader="none" w:pos="1770" w:val="left"/>
        </w:tabs>
        <w:numPr>
          <w:ilvl w:val="1"/>
          <w:numId w:val="40"/>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445135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28" w:right="239" w:bottom="1440" w:gutter="0" w:footer="0" w:header="0"/>
        </w:sectPr>
      </w:pPr>
    </w:p>
    <w:bookmarkStart w:id="62" w:name="page63"/>
    <w:bookmarkEnd w:id="62"/>
    <w:p>
      <w:pPr>
        <w:ind w:left="872" w:hanging="872"/>
        <w:spacing w:after="0"/>
        <w:tabs>
          <w:tab w:leader="none" w:pos="872"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jc w:val="both"/>
        <w:ind w:left="-8" w:firstLine="885"/>
        <w:spacing w:after="0" w:line="249" w:lineRule="auto"/>
        <w:tabs>
          <w:tab w:leader="none" w:pos="1757" w:val="left"/>
        </w:tabs>
        <w:numPr>
          <w:ilvl w:val="1"/>
          <w:numId w:val="41"/>
        </w:numPr>
        <w:rPr>
          <w:rFonts w:ascii="Arial" w:cs="Arial" w:eastAsia="Arial" w:hAnsi="Arial"/>
          <w:sz w:val="21"/>
          <w:szCs w:val="21"/>
          <w:color w:val="auto"/>
        </w:rPr>
      </w:pPr>
      <w:r>
        <w:rPr>
          <w:rFonts w:ascii="Arial" w:cs="Arial" w:eastAsia="Arial" w:hAnsi="Arial"/>
          <w:sz w:val="21"/>
          <w:szCs w:val="21"/>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8" w:lineRule="exact"/>
        <w:rPr>
          <w:rFonts w:ascii="Arial" w:cs="Arial" w:eastAsia="Arial" w:hAnsi="Arial"/>
          <w:sz w:val="21"/>
          <w:szCs w:val="21"/>
          <w:color w:val="auto"/>
        </w:rPr>
      </w:pPr>
    </w:p>
    <w:p>
      <w:pPr>
        <w:jc w:val="both"/>
        <w:ind w:left="-8" w:firstLine="885"/>
        <w:spacing w:after="0" w:line="246" w:lineRule="auto"/>
        <w:tabs>
          <w:tab w:leader="none" w:pos="1770" w:val="left"/>
        </w:tabs>
        <w:numPr>
          <w:ilvl w:val="1"/>
          <w:numId w:val="41"/>
        </w:numPr>
        <w:rPr>
          <w:rFonts w:ascii="Arial" w:cs="Arial" w:eastAsia="Arial" w:hAnsi="Arial"/>
          <w:sz w:val="21"/>
          <w:szCs w:val="21"/>
          <w:color w:val="auto"/>
        </w:rPr>
      </w:pPr>
      <w:r>
        <w:rPr>
          <w:rFonts w:ascii="Arial" w:cs="Arial" w:eastAsia="Arial" w:hAnsi="Arial"/>
          <w:sz w:val="21"/>
          <w:szCs w:val="21"/>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74" w:lineRule="exact"/>
        <w:rPr>
          <w:rFonts w:ascii="Arial" w:cs="Arial" w:eastAsia="Arial" w:hAnsi="Arial"/>
          <w:sz w:val="21"/>
          <w:szCs w:val="21"/>
          <w:color w:val="auto"/>
        </w:rPr>
      </w:pPr>
    </w:p>
    <w:p>
      <w:pPr>
        <w:ind w:left="872" w:hanging="872"/>
        <w:spacing w:after="0"/>
        <w:tabs>
          <w:tab w:leader="none" w:pos="872"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color w:val="auto"/>
        </w:rPr>
      </w:pPr>
    </w:p>
    <w:p>
      <w:pPr>
        <w:ind w:left="872"/>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color w:val="auto"/>
        </w:rPr>
      </w:pPr>
    </w:p>
    <w:p>
      <w:pPr>
        <w:ind w:left="-8" w:firstLine="885"/>
        <w:spacing w:after="0" w:line="328" w:lineRule="auto"/>
        <w:tabs>
          <w:tab w:leader="none" w:pos="1757"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left="-8" w:firstLine="885"/>
        <w:spacing w:after="0" w:line="251" w:lineRule="auto"/>
        <w:tabs>
          <w:tab w:leader="none" w:pos="177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granted repeatedly in the past;</w:t>
      </w:r>
    </w:p>
    <w:p>
      <w:pPr>
        <w:spacing w:after="0" w:line="173" w:lineRule="exact"/>
        <w:rPr>
          <w:rFonts w:ascii="Arial" w:cs="Arial" w:eastAsia="Arial" w:hAnsi="Arial"/>
          <w:sz w:val="22"/>
          <w:szCs w:val="22"/>
          <w:color w:val="auto"/>
        </w:rPr>
      </w:pPr>
    </w:p>
    <w:p>
      <w:pPr>
        <w:ind w:left="1772" w:hanging="895"/>
        <w:spacing w:after="0"/>
        <w:tabs>
          <w:tab w:leader="none" w:pos="1772" w:val="left"/>
        </w:tabs>
        <w:numPr>
          <w:ilvl w:val="1"/>
          <w:numId w:val="41"/>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rFonts w:ascii="Arial" w:cs="Arial" w:eastAsia="Arial" w:hAnsi="Arial"/>
          <w:sz w:val="22"/>
          <w:szCs w:val="22"/>
          <w:color w:val="auto"/>
        </w:rPr>
      </w:pPr>
    </w:p>
    <w:p>
      <w:pPr>
        <w:jc w:val="both"/>
        <w:ind w:left="-8" w:firstLine="885"/>
        <w:spacing w:after="0"/>
        <w:tabs>
          <w:tab w:leader="none" w:pos="177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772" w:hanging="895"/>
        <w:spacing w:after="0"/>
        <w:tabs>
          <w:tab w:leader="none" w:pos="1772"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jc w:val="both"/>
        <w:ind w:left="-8" w:firstLine="885"/>
        <w:spacing w:after="0"/>
        <w:tabs>
          <w:tab w:leader="none" w:pos="1734"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462280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28" w:right="239" w:bottom="1440" w:gutter="0" w:footer="0" w:header="0"/>
        </w:sectPr>
      </w:pPr>
    </w:p>
    <w:bookmarkStart w:id="63" w:name="page64"/>
    <w:bookmarkEnd w:id="63"/>
    <w:p>
      <w:pPr>
        <w:jc w:val="both"/>
        <w:ind w:firstLine="885"/>
        <w:spacing w:after="0" w:line="238" w:lineRule="auto"/>
        <w:tabs>
          <w:tab w:leader="none" w:pos="1778"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right="20" w:firstLine="885"/>
        <w:spacing w:after="0" w:line="328" w:lineRule="auto"/>
        <w:tabs>
          <w:tab w:leader="none" w:pos="1778"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a Subsidiary or an Affiliate, the Award will not be interpreted to form an employment contract or relationship with the Company, a Subsidiary or Affiliate; and</w:t>
      </w:r>
    </w:p>
    <w:p>
      <w:pPr>
        <w:spacing w:after="0" w:line="105" w:lineRule="exact"/>
        <w:rPr>
          <w:rFonts w:ascii="Arial" w:cs="Arial" w:eastAsia="Arial" w:hAnsi="Arial"/>
          <w:sz w:val="19"/>
          <w:szCs w:val="19"/>
          <w:color w:val="auto"/>
        </w:rPr>
      </w:pPr>
    </w:p>
    <w:p>
      <w:pPr>
        <w:jc w:val="both"/>
        <w:ind w:firstLine="885"/>
        <w:spacing w:after="0" w:line="279" w:lineRule="auto"/>
        <w:tabs>
          <w:tab w:leader="none" w:pos="1730"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880" w:hanging="872"/>
        <w:spacing w:after="0"/>
        <w:tabs>
          <w:tab w:leader="none" w:pos="8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2"/>
        <w:spacing w:after="0"/>
        <w:tabs>
          <w:tab w:leader="none" w:pos="8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4" w:name="page65"/>
    <w:bookmarkEnd w:id="64"/>
    <w:p>
      <w:pPr>
        <w:jc w:val="both"/>
        <w:ind w:left="-8" w:firstLine="885"/>
        <w:spacing w:after="0" w:line="249" w:lineRule="auto"/>
        <w:tabs>
          <w:tab w:leader="none" w:pos="177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2" w:lineRule="exact"/>
        <w:rPr>
          <w:rFonts w:ascii="Arial" w:cs="Arial" w:eastAsia="Arial" w:hAnsi="Arial"/>
          <w:sz w:val="21"/>
          <w:szCs w:val="21"/>
          <w:color w:val="auto"/>
        </w:rPr>
      </w:pPr>
    </w:p>
    <w:p>
      <w:pPr>
        <w:ind w:left="872" w:hanging="872"/>
        <w:spacing w:after="0"/>
        <w:tabs>
          <w:tab w:leader="none" w:pos="87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left="-8" w:firstLine="885"/>
        <w:spacing w:after="0" w:line="238" w:lineRule="auto"/>
        <w:tabs>
          <w:tab w:leader="none" w:pos="1757"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rFonts w:ascii="Arial" w:cs="Arial" w:eastAsia="Arial" w:hAnsi="Arial"/>
          <w:sz w:val="22"/>
          <w:szCs w:val="22"/>
          <w:color w:val="auto"/>
        </w:rPr>
      </w:pPr>
    </w:p>
    <w:p>
      <w:pPr>
        <w:jc w:val="both"/>
        <w:ind w:left="-8" w:firstLine="885"/>
        <w:spacing w:after="0" w:line="246" w:lineRule="auto"/>
        <w:tabs>
          <w:tab w:leader="none" w:pos="1770"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rFonts w:ascii="Arial" w:cs="Arial" w:eastAsia="Arial" w:hAnsi="Arial"/>
          <w:sz w:val="21"/>
          <w:szCs w:val="21"/>
          <w:color w:val="auto"/>
        </w:rPr>
      </w:pPr>
    </w:p>
    <w:p>
      <w:pPr>
        <w:jc w:val="both"/>
        <w:ind w:left="-8" w:firstLine="885"/>
        <w:spacing w:after="0" w:line="238" w:lineRule="auto"/>
        <w:tabs>
          <w:tab w:leader="none" w:pos="1757"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9" w:lineRule="exact"/>
        <w:rPr>
          <w:rFonts w:ascii="Arial" w:cs="Arial" w:eastAsia="Arial" w:hAnsi="Arial"/>
          <w:sz w:val="22"/>
          <w:szCs w:val="22"/>
          <w:color w:val="auto"/>
        </w:rPr>
      </w:pPr>
    </w:p>
    <w:p>
      <w:pPr>
        <w:ind w:left="872" w:hanging="872"/>
        <w:spacing w:after="0"/>
        <w:tabs>
          <w:tab w:leader="none" w:pos="87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left="-8" w:firstLine="885"/>
        <w:spacing w:after="0" w:line="245" w:lineRule="auto"/>
        <w:tabs>
          <w:tab w:leader="none" w:pos="1757"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461645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65" w:name="page66"/>
    <w:bookmarkEnd w:id="65"/>
    <w:p>
      <w:pPr>
        <w:jc w:val="both"/>
        <w:ind w:left="-8" w:firstLine="885"/>
        <w:spacing w:after="0" w:line="275" w:lineRule="auto"/>
        <w:tabs>
          <w:tab w:leader="none" w:pos="177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8" w:lineRule="exact"/>
        <w:rPr>
          <w:rFonts w:ascii="Arial" w:cs="Arial" w:eastAsia="Arial" w:hAnsi="Arial"/>
          <w:sz w:val="19"/>
          <w:szCs w:val="19"/>
          <w:color w:val="auto"/>
        </w:rPr>
      </w:pPr>
    </w:p>
    <w:p>
      <w:pPr>
        <w:jc w:val="both"/>
        <w:ind w:left="-8" w:firstLine="885"/>
        <w:spacing w:after="0" w:line="279" w:lineRule="auto"/>
        <w:tabs>
          <w:tab w:leader="none" w:pos="1757"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rFonts w:ascii="Arial" w:cs="Arial" w:eastAsia="Arial" w:hAnsi="Arial"/>
          <w:sz w:val="19"/>
          <w:szCs w:val="19"/>
          <w:color w:val="auto"/>
        </w:rPr>
      </w:pPr>
    </w:p>
    <w:p>
      <w:pPr>
        <w:ind w:left="872" w:hanging="872"/>
        <w:spacing w:after="0"/>
        <w:tabs>
          <w:tab w:leader="none" w:pos="872"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left="-8" w:firstLine="885"/>
        <w:spacing w:after="0" w:line="249" w:lineRule="auto"/>
        <w:tabs>
          <w:tab w:leader="none" w:pos="1757"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8" w:lineRule="exact"/>
        <w:rPr>
          <w:rFonts w:ascii="Arial" w:cs="Arial" w:eastAsia="Arial" w:hAnsi="Arial"/>
          <w:sz w:val="21"/>
          <w:szCs w:val="21"/>
          <w:color w:val="auto"/>
        </w:rPr>
      </w:pPr>
    </w:p>
    <w:p>
      <w:pPr>
        <w:jc w:val="both"/>
        <w:ind w:left="-8" w:firstLine="885"/>
        <w:spacing w:after="0" w:line="275" w:lineRule="auto"/>
        <w:tabs>
          <w:tab w:leader="none" w:pos="177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66" w:name="page67"/>
    <w:bookmarkEnd w:id="66"/>
    <w:p>
      <w:pPr>
        <w:ind w:left="880" w:hanging="872"/>
        <w:spacing w:after="0"/>
        <w:tabs>
          <w:tab w:leader="none" w:pos="88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880" w:hanging="872"/>
        <w:spacing w:after="0"/>
        <w:tabs>
          <w:tab w:leader="none" w:pos="8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ectPr>
          <w:pgSz w:w="11900" w:h="16838" w:orient="portrait"/>
          <w:cols w:equalWidth="0" w:num="1">
            <w:col w:w="11420"/>
          </w:cols>
          <w:pgMar w:left="240" w:top="32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OPTION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w:t>
      </w:r>
    </w:p>
    <w:p>
      <w:pPr>
        <w:spacing w:after="0" w:line="188"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w:t>
      </w:r>
    </w:p>
    <w:p>
      <w:pPr>
        <w:spacing w:after="0" w:line="14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Company’s Amended and Restated 2011 Stock and Annual Incentive Plan or the Company’s 2018 Stock and Annual Incentive Plan, as appropriate (as either may be amended from time to time, the “Plan”).</w:t>
      </w:r>
    </w:p>
    <w:p>
      <w:pPr>
        <w:spacing w:after="0" w:line="180" w:lineRule="exact"/>
        <w:rPr>
          <w:sz w:val="20"/>
          <w:szCs w:val="20"/>
          <w:color w:val="auto"/>
        </w:rPr>
      </w:pPr>
    </w:p>
    <w:p>
      <w:pPr>
        <w:ind w:left="880" w:hanging="872"/>
        <w:spacing w:after="0"/>
        <w:tabs>
          <w:tab w:leader="none" w:pos="8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of Option</w:t>
      </w:r>
    </w:p>
    <w:p>
      <w:pPr>
        <w:spacing w:after="0" w:line="212" w:lineRule="exact"/>
        <w:rPr>
          <w:rFonts w:ascii="Arial" w:cs="Arial" w:eastAsia="Arial" w:hAnsi="Arial"/>
          <w:sz w:val="22"/>
          <w:szCs w:val="22"/>
          <w:b w:val="1"/>
          <w:bCs w:val="1"/>
          <w:color w:val="auto"/>
        </w:rPr>
      </w:pPr>
    </w:p>
    <w:p>
      <w:pPr>
        <w:jc w:val="both"/>
        <w:ind w:firstLine="885"/>
        <w:spacing w:after="0" w:line="277" w:lineRule="auto"/>
        <w:tabs>
          <w:tab w:leader="none" w:pos="1765"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the Plan and the Grant Details, the Company hereby grants the Option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9"/>
          <w:szCs w:val="19"/>
          <w:u w:val="single" w:color="auto"/>
          <w:color w:val="auto"/>
        </w:rPr>
        <w:t>www.netbenefits.fidelity.com</w:t>
      </w:r>
      <w:r>
        <w:rPr>
          <w:rFonts w:ascii="Arial" w:cs="Arial" w:eastAsia="Arial" w:hAnsi="Arial"/>
          <w:sz w:val="19"/>
          <w:szCs w:val="19"/>
          <w:color w:val="auto"/>
        </w:rPr>
        <w:t xml:space="preserve"> (or any successor equity administration system selected by the Company to manage the Plan from time to time). The Grant Details, which set forth the number of Shares underlying the Option, the grant price which is the per Share exercise price of the Option, the Grant Date of the Option, and the vesting schedule of the Option (among other information), are hereby incorporated by reference into, and shall be read as part and parcel of, this Agreement.</w:t>
      </w:r>
    </w:p>
    <w:p>
      <w:pPr>
        <w:spacing w:after="0" w:line="152" w:lineRule="exact"/>
        <w:rPr>
          <w:rFonts w:ascii="Arial" w:cs="Arial" w:eastAsia="Arial" w:hAnsi="Arial"/>
          <w:sz w:val="19"/>
          <w:szCs w:val="19"/>
          <w:color w:val="auto"/>
        </w:rPr>
      </w:pPr>
    </w:p>
    <w:p>
      <w:pPr>
        <w:ind w:right="20" w:firstLine="885"/>
        <w:spacing w:after="0" w:line="251" w:lineRule="auto"/>
        <w:tabs>
          <w:tab w:leader="none" w:pos="1778"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Option shall be a Nonqualified Option. Unless earlier terminated pursuant to the terms of this Agreement or the Plan, the Option shall expire on the ten-year anniversary of the Grant Date.</w:t>
      </w:r>
    </w:p>
    <w:p>
      <w:pPr>
        <w:spacing w:after="0" w:line="167" w:lineRule="exact"/>
        <w:rPr>
          <w:rFonts w:ascii="Arial" w:cs="Arial" w:eastAsia="Arial" w:hAnsi="Arial"/>
          <w:sz w:val="22"/>
          <w:szCs w:val="22"/>
          <w:color w:val="auto"/>
        </w:rPr>
      </w:pPr>
    </w:p>
    <w:p>
      <w:pPr>
        <w:ind w:left="880" w:hanging="872"/>
        <w:spacing w:after="0"/>
        <w:tabs>
          <w:tab w:leader="none" w:pos="8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53"/>
        </w:numPr>
        <w:rPr>
          <w:rFonts w:ascii="Arial" w:cs="Arial" w:eastAsia="Arial" w:hAnsi="Arial"/>
          <w:sz w:val="22"/>
          <w:szCs w:val="22"/>
          <w:color w:val="auto"/>
        </w:rPr>
      </w:pPr>
      <w:r>
        <w:rPr>
          <w:rFonts w:ascii="Arial" w:cs="Arial" w:eastAsia="Arial" w:hAnsi="Arial"/>
          <w:sz w:val="22"/>
          <w:szCs w:val="22"/>
          <w:color w:val="auto"/>
        </w:rPr>
        <w:t>Subject to (i) the terms and conditions of this Agreement, the Grant Details and the Plan</w:t>
      </w:r>
      <w:r>
        <w:rPr>
          <w:rFonts w:ascii="Arial" w:cs="Arial" w:eastAsia="Arial" w:hAnsi="Arial"/>
          <w:sz w:val="22"/>
          <w:szCs w:val="22"/>
          <w:i w:val="1"/>
          <w:iCs w:val="1"/>
          <w:color w:val="auto"/>
        </w:rPr>
        <w:t>,</w:t>
      </w:r>
      <w:r>
        <w:rPr>
          <w:rFonts w:ascii="Arial" w:cs="Arial" w:eastAsia="Arial" w:hAnsi="Arial"/>
          <w:sz w:val="22"/>
          <w:szCs w:val="22"/>
          <w:color w:val="auto"/>
        </w:rPr>
        <w:t xml:space="preserve"> and (ii) the Eligible Individual’s continuous employment with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85" w:lineRule="exact"/>
        <w:rPr>
          <w:rFonts w:ascii="Arial" w:cs="Arial" w:eastAsia="Arial" w:hAnsi="Arial"/>
          <w:sz w:val="22"/>
          <w:szCs w:val="22"/>
          <w:color w:val="auto"/>
        </w:rPr>
      </w:pPr>
    </w:p>
    <w:p>
      <w:pPr>
        <w:jc w:val="both"/>
        <w:ind w:firstLine="885"/>
        <w:spacing w:after="0" w:line="277" w:lineRule="auto"/>
        <w:tabs>
          <w:tab w:leader="none" w:pos="1778"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furthermore, in the event of a Termination of Employment (whether or not in breach of local labor laws), the Eligible Individual’s right to vest in the Award after such Termination of Employment, if any, will be measured to the date of the Termination of Employment and will not be extended by any notice period mandated under local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8" w:name="page69"/>
    <w:bookmarkEnd w:id="68"/>
    <w:p>
      <w:pPr>
        <w:ind w:left="880" w:hanging="872"/>
        <w:spacing w:after="0"/>
        <w:tabs>
          <w:tab w:leader="none" w:pos="8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Manner of Exercise</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85"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85" w:lineRule="exact"/>
        <w:rPr>
          <w:rFonts w:ascii="Arial" w:cs="Arial" w:eastAsia="Arial" w:hAnsi="Arial"/>
          <w:sz w:val="22"/>
          <w:szCs w:val="22"/>
          <w:color w:val="auto"/>
        </w:rPr>
      </w:pPr>
    </w:p>
    <w:p>
      <w:pPr>
        <w:jc w:val="both"/>
        <w:ind w:firstLine="885"/>
        <w:spacing w:after="0"/>
        <w:tabs>
          <w:tab w:leader="none" w:pos="1765" w:val="left"/>
        </w:tabs>
        <w:numPr>
          <w:ilvl w:val="1"/>
          <w:numId w:val="54"/>
        </w:numPr>
        <w:rPr>
          <w:rFonts w:ascii="Arial" w:cs="Arial" w:eastAsia="Arial" w:hAnsi="Arial"/>
          <w:sz w:val="22"/>
          <w:szCs w:val="22"/>
          <w:color w:val="auto"/>
        </w:rPr>
      </w:pPr>
      <w:r>
        <w:rPr>
          <w:rFonts w:ascii="Arial" w:cs="Arial" w:eastAsia="Arial" w:hAnsi="Arial"/>
          <w:sz w:val="22"/>
          <w:szCs w:val="22"/>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80" w:lineRule="exact"/>
        <w:rPr>
          <w:rFonts w:ascii="Arial" w:cs="Arial" w:eastAsia="Arial" w:hAnsi="Arial"/>
          <w:sz w:val="22"/>
          <w:szCs w:val="22"/>
          <w:color w:val="auto"/>
        </w:rPr>
      </w:pPr>
    </w:p>
    <w:p>
      <w:pPr>
        <w:ind w:left="880" w:hanging="872"/>
        <w:spacing w:after="0"/>
        <w:tabs>
          <w:tab w:leader="none" w:pos="8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color w:val="auto"/>
        </w:rPr>
      </w:pPr>
    </w:p>
    <w:p>
      <w:pPr>
        <w:jc w:val="both"/>
        <w:ind w:firstLine="885"/>
        <w:spacing w:after="0" w:line="270" w:lineRule="auto"/>
        <w:tabs>
          <w:tab w:leader="none" w:pos="1765"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Notwithstanding the provisions of Sections 2 and 3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Options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w:t>
      </w:r>
    </w:p>
    <w:p>
      <w:pPr>
        <w:spacing w:after="0" w:line="1" w:lineRule="exact"/>
        <w:rPr>
          <w:rFonts w:ascii="Arial" w:cs="Arial" w:eastAsia="Arial" w:hAnsi="Arial"/>
          <w:sz w:val="19"/>
          <w:szCs w:val="19"/>
          <w:color w:val="auto"/>
        </w:rPr>
      </w:pPr>
    </w:p>
    <w:p>
      <w:pPr>
        <w:jc w:val="both"/>
        <w:spacing w:after="0" w:line="275" w:lineRule="auto"/>
        <w:rPr>
          <w:rFonts w:ascii="Arial" w:cs="Arial" w:eastAsia="Arial" w:hAnsi="Arial"/>
          <w:sz w:val="19"/>
          <w:szCs w:val="19"/>
          <w:color w:val="auto"/>
        </w:rPr>
      </w:pPr>
      <w:r>
        <w:rPr>
          <w:rFonts w:ascii="Arial" w:cs="Arial" w:eastAsia="Arial" w:hAnsi="Arial"/>
          <w:sz w:val="19"/>
          <w:szCs w:val="19"/>
          <w:color w:val="auto"/>
        </w:rPr>
        <w:t>(i) return the Shares issued upon exercise of such Option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such Option that vested during the two-year period after the events or circumstances giving rise to or constituting grounds for such Termination of Employment for Cause (i.e., the value of the Shares upon exercise of the Option), in each case including any dividend equivalents or other distributions received in respect of any such Option.</w:t>
      </w:r>
    </w:p>
    <w:p>
      <w:pPr>
        <w:spacing w:after="0" w:line="154" w:lineRule="exact"/>
        <w:rPr>
          <w:rFonts w:ascii="Arial" w:cs="Arial" w:eastAsia="Arial" w:hAnsi="Arial"/>
          <w:sz w:val="19"/>
          <w:szCs w:val="19"/>
          <w:color w:val="auto"/>
        </w:rPr>
      </w:pPr>
    </w:p>
    <w:p>
      <w:pPr>
        <w:jc w:val="both"/>
        <w:ind w:firstLine="885"/>
        <w:spacing w:after="0" w:line="236" w:lineRule="auto"/>
        <w:tabs>
          <w:tab w:leader="none" w:pos="1778" w:val="left"/>
        </w:tabs>
        <w:numPr>
          <w:ilvl w:val="1"/>
          <w:numId w:val="54"/>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the Eligible Individual be entitled to the same type of benefits under both the Plan and any employment arrangement for the same event or qualifying termination.</w:t>
      </w:r>
    </w:p>
    <w:p>
      <w:pPr>
        <w:spacing w:after="0" w:line="187" w:lineRule="exact"/>
        <w:rPr>
          <w:rFonts w:ascii="Arial" w:cs="Arial" w:eastAsia="Arial" w:hAnsi="Arial"/>
          <w:sz w:val="22"/>
          <w:szCs w:val="22"/>
          <w:color w:val="auto"/>
        </w:rPr>
      </w:pPr>
    </w:p>
    <w:p>
      <w:pPr>
        <w:jc w:val="both"/>
        <w:ind w:firstLine="885"/>
        <w:spacing w:after="0" w:line="297" w:lineRule="auto"/>
        <w:tabs>
          <w:tab w:leader="none" w:pos="1765" w:val="left"/>
        </w:tabs>
        <w:numPr>
          <w:ilvl w:val="1"/>
          <w:numId w:val="54"/>
        </w:numPr>
        <w:rPr>
          <w:rFonts w:ascii="Arial" w:cs="Arial" w:eastAsia="Arial" w:hAnsi="Arial"/>
          <w:sz w:val="19"/>
          <w:szCs w:val="19"/>
          <w:color w:val="auto"/>
        </w:rPr>
      </w:pPr>
      <w:r>
        <w:rPr>
          <w:rFonts w:ascii="Arial" w:cs="Arial" w:eastAsia="Arial" w:hAnsi="Arial"/>
          <w:sz w:val="19"/>
          <w:szCs w:val="19"/>
          <w:color w:val="auto"/>
        </w:rPr>
        <w:t>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9" w:name="page70"/>
    <w:bookmarkEnd w:id="69"/>
    <w:p>
      <w:pPr>
        <w:ind w:left="880" w:hanging="872"/>
        <w:spacing w:after="0"/>
        <w:tabs>
          <w:tab w:leader="none" w:pos="8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Option</w:t>
      </w:r>
    </w:p>
    <w:p>
      <w:pPr>
        <w:spacing w:after="0" w:line="212"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During the Vesting Period and until such time as the Option is ultimately exercised as provided herein or on the website of the Plan Administrator, the Option shall not be transferable by the Eligible Individual by means of sale, assignment, exchange, encumbrance, pledge, hedge or otherwise.</w:t>
      </w:r>
    </w:p>
    <w:p>
      <w:pPr>
        <w:spacing w:after="0" w:line="180" w:lineRule="exact"/>
        <w:rPr>
          <w:sz w:val="20"/>
          <w:szCs w:val="20"/>
          <w:color w:val="auto"/>
        </w:rPr>
      </w:pPr>
    </w:p>
    <w:p>
      <w:pPr>
        <w:ind w:left="880" w:hanging="872"/>
        <w:spacing w:after="0"/>
        <w:tabs>
          <w:tab w:leader="none" w:pos="8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Except as otherwise specifically provided in this Agreement, until such time as the Option is exercised, the Eligible Individual shall not be entitled to any rights of a stockholder with respect to the Option.</w:t>
      </w:r>
    </w:p>
    <w:p>
      <w:pPr>
        <w:spacing w:after="0" w:line="167" w:lineRule="exact"/>
        <w:rPr>
          <w:sz w:val="20"/>
          <w:szCs w:val="20"/>
          <w:color w:val="auto"/>
        </w:rPr>
      </w:pPr>
    </w:p>
    <w:p>
      <w:pPr>
        <w:ind w:left="880" w:hanging="872"/>
        <w:spacing w:after="0"/>
        <w:tabs>
          <w:tab w:leader="none" w:pos="88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firstLine="885"/>
        <w:spacing w:after="0" w:line="279" w:lineRule="auto"/>
        <w:tabs>
          <w:tab w:leader="none" w:pos="1765" w:val="left"/>
        </w:tabs>
        <w:numPr>
          <w:ilvl w:val="1"/>
          <w:numId w:val="57"/>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50" w:lineRule="exact"/>
        <w:rPr>
          <w:rFonts w:ascii="Arial" w:cs="Arial" w:eastAsia="Arial" w:hAnsi="Arial"/>
          <w:sz w:val="19"/>
          <w:szCs w:val="19"/>
          <w:color w:val="auto"/>
        </w:rPr>
      </w:pPr>
    </w:p>
    <w:p>
      <w:pPr>
        <w:jc w:val="both"/>
        <w:ind w:firstLine="885"/>
        <w:spacing w:after="0" w:line="274" w:lineRule="auto"/>
        <w:tabs>
          <w:tab w:leader="none" w:pos="1778" w:val="left"/>
        </w:tabs>
        <w:numPr>
          <w:ilvl w:val="1"/>
          <w:numId w:val="57"/>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the Option in exchange for payments of cash,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58" w:lineRule="exact"/>
        <w:rPr>
          <w:rFonts w:ascii="Arial" w:cs="Arial" w:eastAsia="Arial" w:hAnsi="Arial"/>
          <w:sz w:val="19"/>
          <w:szCs w:val="19"/>
          <w:color w:val="auto"/>
        </w:rPr>
      </w:pPr>
    </w:p>
    <w:p>
      <w:pPr>
        <w:ind w:firstLine="885"/>
        <w:spacing w:after="0" w:line="251" w:lineRule="auto"/>
        <w:tabs>
          <w:tab w:leader="none" w:pos="1765"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67" w:lineRule="exact"/>
        <w:rPr>
          <w:rFonts w:ascii="Arial" w:cs="Arial" w:eastAsia="Arial" w:hAnsi="Arial"/>
          <w:sz w:val="22"/>
          <w:szCs w:val="22"/>
          <w:color w:val="auto"/>
        </w:rPr>
      </w:pPr>
    </w:p>
    <w:p>
      <w:pPr>
        <w:ind w:left="880" w:hanging="872"/>
        <w:spacing w:after="0"/>
        <w:tabs>
          <w:tab w:leader="none" w:pos="88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b w:val="1"/>
          <w:bCs w:val="1"/>
          <w:color w:val="auto"/>
        </w:rPr>
      </w:pPr>
    </w:p>
    <w:p>
      <w:pPr>
        <w:jc w:val="both"/>
        <w:ind w:firstLine="885"/>
        <w:spacing w:after="0"/>
        <w:tabs>
          <w:tab w:leader="none" w:pos="1765"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Option, together with any and all other fees and expenses necessarily incurred by the Company in connection therewith.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0" w:name="page71"/>
    <w:bookmarkEnd w:id="70"/>
    <w:p>
      <w:pPr>
        <w:jc w:val="both"/>
        <w:ind w:firstLine="885"/>
        <w:spacing w:after="0" w:line="234" w:lineRule="auto"/>
        <w:tabs>
          <w:tab w:leader="none" w:pos="1778"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Award, including the exercise of the Option and issuance of the Shares in connection therewith, the receipt of cash or any dividends or dividend equivalents; and (2) do not commit to structure the terms of the Award or any aspect of the Option to reduce or eliminate the Eligible Individual’s liability for Tax-Related Items.</w:t>
      </w:r>
    </w:p>
    <w:p>
      <w:pPr>
        <w:spacing w:after="0" w:line="187" w:lineRule="exact"/>
        <w:rPr>
          <w:rFonts w:ascii="Arial" w:cs="Arial" w:eastAsia="Arial" w:hAnsi="Arial"/>
          <w:sz w:val="22"/>
          <w:szCs w:val="22"/>
          <w:color w:val="auto"/>
        </w:rPr>
      </w:pPr>
    </w:p>
    <w:p>
      <w:pPr>
        <w:jc w:val="both"/>
        <w:ind w:firstLine="885"/>
        <w:spacing w:after="0" w:line="270" w:lineRule="auto"/>
        <w:tabs>
          <w:tab w:leader="none" w:pos="1765"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vesting or exercise of the Option,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Award that cannot be satisfied by the means previously described. The Company may refuse to deliver the Shares issuable upon exercise of the Award if the Eligible Individual fails to comply with his or her obligations in connection with the Tax-Related Items as described in this Section.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885"/>
        <w:spacing w:after="0" w:line="274" w:lineRule="auto"/>
        <w:tabs>
          <w:tab w:leader="none" w:pos="1778"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1" w:name="page72"/>
    <w:bookmarkEnd w:id="71"/>
    <w:p>
      <w:pPr>
        <w:ind w:left="880" w:hanging="872"/>
        <w:spacing w:after="0"/>
        <w:tabs>
          <w:tab w:leader="none" w:pos="88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jc w:val="both"/>
        <w:ind w:firstLine="885"/>
        <w:spacing w:after="0" w:line="249" w:lineRule="auto"/>
        <w:tabs>
          <w:tab w:leader="none" w:pos="1765"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Option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8" w:lineRule="exact"/>
        <w:rPr>
          <w:rFonts w:ascii="Arial" w:cs="Arial" w:eastAsia="Arial" w:hAnsi="Arial"/>
          <w:sz w:val="21"/>
          <w:szCs w:val="21"/>
          <w:color w:val="auto"/>
        </w:rPr>
      </w:pPr>
    </w:p>
    <w:p>
      <w:pPr>
        <w:jc w:val="both"/>
        <w:ind w:firstLine="885"/>
        <w:spacing w:after="0" w:line="246" w:lineRule="auto"/>
        <w:tabs>
          <w:tab w:leader="none" w:pos="1778"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74" w:lineRule="exact"/>
        <w:rPr>
          <w:rFonts w:ascii="Arial" w:cs="Arial" w:eastAsia="Arial" w:hAnsi="Arial"/>
          <w:sz w:val="21"/>
          <w:szCs w:val="21"/>
          <w:color w:val="auto"/>
        </w:rPr>
      </w:pPr>
    </w:p>
    <w:p>
      <w:pPr>
        <w:ind w:left="880" w:hanging="872"/>
        <w:spacing w:after="0"/>
        <w:tabs>
          <w:tab w:leader="none" w:pos="88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color w:val="auto"/>
        </w:rPr>
      </w:pPr>
    </w:p>
    <w:p>
      <w:pPr>
        <w:ind w:firstLine="885"/>
        <w:spacing w:after="0" w:line="328" w:lineRule="auto"/>
        <w:tabs>
          <w:tab w:leader="none" w:pos="1765"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firstLine="885"/>
        <w:spacing w:after="0" w:line="251" w:lineRule="auto"/>
        <w:tabs>
          <w:tab w:leader="none" w:pos="177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made repeatedly in the past;</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rFonts w:ascii="Arial" w:cs="Arial" w:eastAsia="Arial" w:hAnsi="Arial"/>
          <w:sz w:val="22"/>
          <w:szCs w:val="22"/>
          <w:color w:val="auto"/>
        </w:rPr>
      </w:pPr>
    </w:p>
    <w:p>
      <w:pPr>
        <w:jc w:val="both"/>
        <w:ind w:firstLine="885"/>
        <w:spacing w:after="0"/>
        <w:tabs>
          <w:tab w:leader="none" w:pos="177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jc w:val="both"/>
        <w:ind w:firstLine="885"/>
        <w:spacing w:after="0"/>
        <w:tabs>
          <w:tab w:leader="none" w:pos="174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2" w:name="page73"/>
    <w:bookmarkEnd w:id="72"/>
    <w:p>
      <w:pPr>
        <w:jc w:val="both"/>
        <w:ind w:firstLine="885"/>
        <w:spacing w:after="0" w:line="238" w:lineRule="auto"/>
        <w:tabs>
          <w:tab w:leader="none" w:pos="1778"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right="20" w:firstLine="885"/>
        <w:spacing w:after="0" w:line="328" w:lineRule="auto"/>
        <w:tabs>
          <w:tab w:leader="none" w:pos="1778" w:val="left"/>
        </w:tabs>
        <w:numPr>
          <w:ilvl w:val="1"/>
          <w:numId w:val="60"/>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a Subsidiary or an Affiliate, the Award will not be interpreted to form an employment contract or relationship with the Company, a Subsidiary or Affiliate; and</w:t>
      </w:r>
    </w:p>
    <w:p>
      <w:pPr>
        <w:spacing w:after="0" w:line="105" w:lineRule="exact"/>
        <w:rPr>
          <w:rFonts w:ascii="Arial" w:cs="Arial" w:eastAsia="Arial" w:hAnsi="Arial"/>
          <w:sz w:val="19"/>
          <w:szCs w:val="19"/>
          <w:color w:val="auto"/>
        </w:rPr>
      </w:pPr>
    </w:p>
    <w:p>
      <w:pPr>
        <w:jc w:val="both"/>
        <w:ind w:firstLine="885"/>
        <w:spacing w:after="0" w:line="279" w:lineRule="auto"/>
        <w:tabs>
          <w:tab w:leader="none" w:pos="1730" w:val="left"/>
        </w:tabs>
        <w:numPr>
          <w:ilvl w:val="1"/>
          <w:numId w:val="60"/>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880" w:hanging="872"/>
        <w:spacing w:after="0"/>
        <w:tabs>
          <w:tab w:leader="none" w:pos="88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80" w:hanging="872"/>
        <w:spacing w:after="0"/>
        <w:tabs>
          <w:tab w:leader="none" w:pos="8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2"/>
        <w:spacing w:after="0"/>
        <w:tabs>
          <w:tab w:leader="none" w:pos="8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3" w:name="page74"/>
    <w:bookmarkEnd w:id="73"/>
    <w:p>
      <w:pPr>
        <w:jc w:val="both"/>
        <w:ind w:firstLine="885"/>
        <w:spacing w:after="0" w:line="249" w:lineRule="auto"/>
        <w:tabs>
          <w:tab w:leader="none" w:pos="1778" w:val="left"/>
        </w:tabs>
        <w:numPr>
          <w:ilvl w:val="1"/>
          <w:numId w:val="65"/>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2" w:lineRule="exact"/>
        <w:rPr>
          <w:rFonts w:ascii="Arial" w:cs="Arial" w:eastAsia="Arial" w:hAnsi="Arial"/>
          <w:sz w:val="21"/>
          <w:szCs w:val="21"/>
          <w:color w:val="auto"/>
        </w:rPr>
      </w:pPr>
    </w:p>
    <w:p>
      <w:pPr>
        <w:ind w:left="880" w:hanging="872"/>
        <w:spacing w:after="0"/>
        <w:tabs>
          <w:tab w:leader="none" w:pos="88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rFonts w:ascii="Arial" w:cs="Arial" w:eastAsia="Arial" w:hAnsi="Arial"/>
          <w:sz w:val="22"/>
          <w:szCs w:val="22"/>
          <w:color w:val="auto"/>
        </w:rPr>
      </w:pPr>
    </w:p>
    <w:p>
      <w:pPr>
        <w:jc w:val="both"/>
        <w:ind w:firstLine="885"/>
        <w:spacing w:after="0" w:line="246" w:lineRule="auto"/>
        <w:tabs>
          <w:tab w:leader="none" w:pos="1778"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rFonts w:ascii="Arial" w:cs="Arial" w:eastAsia="Arial" w:hAnsi="Arial"/>
          <w:sz w:val="21"/>
          <w:szCs w:val="21"/>
          <w:color w:val="auto"/>
        </w:rPr>
      </w:pPr>
    </w:p>
    <w:p>
      <w:pPr>
        <w:jc w:val="both"/>
        <w:ind w:firstLine="885"/>
        <w:spacing w:after="0" w:line="238" w:lineRule="auto"/>
        <w:tabs>
          <w:tab w:leader="none" w:pos="1765"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9" w:lineRule="exact"/>
        <w:rPr>
          <w:rFonts w:ascii="Arial" w:cs="Arial" w:eastAsia="Arial" w:hAnsi="Arial"/>
          <w:sz w:val="22"/>
          <w:szCs w:val="22"/>
          <w:color w:val="auto"/>
        </w:rPr>
      </w:pPr>
    </w:p>
    <w:p>
      <w:pPr>
        <w:ind w:left="880" w:hanging="872"/>
        <w:spacing w:after="0"/>
        <w:tabs>
          <w:tab w:leader="none" w:pos="88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85"/>
        <w:spacing w:after="0" w:line="245" w:lineRule="auto"/>
        <w:tabs>
          <w:tab w:leader="none" w:pos="1765"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4" w:name="page75"/>
    <w:bookmarkEnd w:id="74"/>
    <w:p>
      <w:pPr>
        <w:jc w:val="both"/>
        <w:ind w:firstLine="885"/>
        <w:spacing w:after="0" w:line="275" w:lineRule="auto"/>
        <w:tabs>
          <w:tab w:leader="none" w:pos="1778"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8" w:lineRule="exact"/>
        <w:rPr>
          <w:rFonts w:ascii="Arial" w:cs="Arial" w:eastAsia="Arial" w:hAnsi="Arial"/>
          <w:sz w:val="19"/>
          <w:szCs w:val="19"/>
          <w:color w:val="auto"/>
        </w:rPr>
      </w:pPr>
    </w:p>
    <w:p>
      <w:pPr>
        <w:jc w:val="both"/>
        <w:ind w:firstLine="885"/>
        <w:spacing w:after="0" w:line="279" w:lineRule="auto"/>
        <w:tabs>
          <w:tab w:leader="none" w:pos="1765"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2" w:lineRule="exact"/>
        <w:rPr>
          <w:sz w:val="20"/>
          <w:szCs w:val="20"/>
          <w:color w:val="auto"/>
        </w:rPr>
      </w:pPr>
    </w:p>
    <w:p>
      <w:pPr>
        <w:ind w:left="880" w:hanging="872"/>
        <w:spacing w:after="0"/>
        <w:tabs>
          <w:tab w:leader="none" w:pos="8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880" w:hanging="872"/>
        <w:spacing w:after="0"/>
        <w:tabs>
          <w:tab w:leader="none" w:pos="88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5" w:name="page76"/>
    <w:bookmarkEnd w:id="75"/>
    <w:p>
      <w:pPr>
        <w:jc w:val="both"/>
        <w:ind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82" w:lineRule="exact"/>
        <w:rPr>
          <w:sz w:val="20"/>
          <w:szCs w:val="20"/>
          <w:color w:val="auto"/>
        </w:rPr>
      </w:pPr>
    </w:p>
    <w:p>
      <w:pPr>
        <w:ind w:left="880" w:hanging="872"/>
        <w:spacing w:after="0"/>
        <w:tabs>
          <w:tab w:leader="none" w:pos="88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Exchange Risk</w:t>
      </w:r>
    </w:p>
    <w:p>
      <w:pPr>
        <w:spacing w:after="0" w:line="212"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Exchange Risk”). Eligible Individual waives and releases the Company, its Subsidiaries and Affiliates and the Plan Administrator from any potential claims arising out of the Currency Exchange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45" w:lineRule="exact"/>
        <w:rPr>
          <w:sz w:val="20"/>
          <w:szCs w:val="20"/>
          <w:color w:val="auto"/>
        </w:rPr>
      </w:pPr>
    </w:p>
    <w:p>
      <w:pPr>
        <w:ind w:left="880" w:hanging="872"/>
        <w:spacing w:after="0"/>
        <w:tabs>
          <w:tab w:leader="none" w:pos="88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p>
    <w:p>
      <w:pPr>
        <w:spacing w:after="0" w:line="212"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Notwithstanding any provisions in this Agreement to the contrary, the Option shall be subject to any special terms and conditions set forth in the Appendix to the Agreement for Eligible Individual’s country.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party of this Agreement and is incorporated by reference as fully as though set forth herein.</w:t>
      </w:r>
    </w:p>
    <w:p>
      <w:pPr>
        <w:spacing w:after="0" w:line="172" w:lineRule="exact"/>
        <w:rPr>
          <w:sz w:val="20"/>
          <w:szCs w:val="20"/>
          <w:color w:val="auto"/>
        </w:rPr>
      </w:pPr>
    </w:p>
    <w:p>
      <w:pPr>
        <w:ind w:left="880" w:hanging="872"/>
        <w:spacing w:after="0"/>
        <w:tabs>
          <w:tab w:leader="none" w:pos="88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The Award of the Option is not intended to be a public offering of securities in the Eligible Individual’s country. The Company has not submitted any registration statement, prospectus or other filings with the local securities authorities (unless otherwise required under local law), and the grant of the Option is not subject to the supervision of the local securities authorities.</w:t>
      </w:r>
    </w:p>
    <w:p>
      <w:pPr>
        <w:spacing w:after="0" w:line="128" w:lineRule="exact"/>
        <w:rPr>
          <w:sz w:val="20"/>
          <w:szCs w:val="20"/>
          <w:color w:val="auto"/>
        </w:rPr>
      </w:pPr>
    </w:p>
    <w:p>
      <w:pPr>
        <w:ind w:left="880" w:hanging="872"/>
        <w:spacing w:after="0"/>
        <w:tabs>
          <w:tab w:leader="none" w:pos="8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the Option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APPENDIX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OF THE TRIPADVISOR, INC.</w:t>
      </w:r>
    </w:p>
    <w:p>
      <w:pPr>
        <w:jc w:val="center"/>
        <w:spacing w:after="0"/>
        <w:rPr>
          <w:sz w:val="20"/>
          <w:szCs w:val="20"/>
          <w:color w:val="auto"/>
        </w:rPr>
      </w:pPr>
      <w:r>
        <w:rPr>
          <w:rFonts w:ascii="Arial" w:cs="Arial" w:eastAsia="Arial" w:hAnsi="Arial"/>
          <w:sz w:val="20"/>
          <w:szCs w:val="20"/>
          <w:b w:val="1"/>
          <w:bCs w:val="1"/>
          <w:color w:val="auto"/>
        </w:rPr>
        <w:t>OPTION AGREEMENT</w:t>
      </w:r>
    </w:p>
    <w:p>
      <w:pPr>
        <w:jc w:val="center"/>
        <w:spacing w:after="0"/>
        <w:rPr>
          <w:sz w:val="20"/>
          <w:szCs w:val="20"/>
          <w:color w:val="auto"/>
        </w:rPr>
      </w:pPr>
      <w:r>
        <w:rPr>
          <w:rFonts w:ascii="Arial" w:cs="Arial" w:eastAsia="Arial" w:hAnsi="Arial"/>
          <w:sz w:val="20"/>
          <w:szCs w:val="20"/>
          <w:b w:val="1"/>
          <w:bCs w:val="1"/>
          <w:color w:val="auto"/>
        </w:rPr>
        <w:t>(INTERNATIONAL)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Notifications</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Appendix also includes country-specific information of which the Eligible Individual should be aware with respect to his or her participation in the Plan. The information is based on the securities, exchange control and other laws in effect in the respective countries as of March 2018. Such laws are often complex and change frequently. As a result, the Company strongly recommends that Eligible Individual does not rely on the information noted herein as the only source of information relating to the consequences of the Eligible Individual’s participation in the Plan because the information may be out of date at the time that the Eligible Individual vests in Share awards or sells Shares acquired under the Plan.</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addition, the information is general in nature and may not apply to the Eligible Individual’s particular situation, and the Company is not in a position to assure the Eligible Individual of any particular result. Accordingly, the Eligible Individual is advised to seek appropriate professional advice as to how the relevant laws in his or her country may apply to his or her situation. Finally, please note that if the Eligible Individual is a citizen or resident of a country other than the country in which he or she is currently working, or transfers employment after grant, the information contained in this Appendix may not be applicable to the Eligible Individual.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of the Option, Eligible Individual agrees that he or she is making an investment decision, the Shares</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issued to Eligible Individual only if the vesting conditions are met, the Option is exercised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Compliance with the Law</w:t>
      </w:r>
      <w:r>
        <w:rPr>
          <w:rFonts w:ascii="Arial" w:cs="Arial" w:eastAsia="Arial" w:hAnsi="Arial"/>
          <w:sz w:val="20"/>
          <w:szCs w:val="20"/>
          <w:color w:val="auto"/>
        </w:rPr>
        <w:t>. In accepting the grant of the Option, the Eligible Individual acknowledges his or her agreement to comply with</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Brazilian laws and to pay any and all applicable tax associated with the Option, the sale of the Shares acquired under the Plan and the receipt of any cash dividends paid on such Shares.</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Labor Law Acknowledgment. </w:t>
      </w:r>
      <w:r>
        <w:rPr>
          <w:rFonts w:ascii="Arial" w:cs="Arial" w:eastAsia="Arial" w:hAnsi="Arial"/>
          <w:sz w:val="20"/>
          <w:szCs w:val="20"/>
          <w:color w:val="auto"/>
        </w:rPr>
        <w:t>The Eligible Individual agrees, for all legal purposes, (i) the benefits provided under the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are the result of commercial transactions unrelated to the Eligible Individual’s employment; (ii) the Agreement and the Plan are not a part of the terms and conditions of the Employee’s employment; and (iii) the income from the Option, if any, is not part of the Employee’s remuneration from employment.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Eligible Individual is a resident or domiciled in Brazil, he or she will be required to submit an annual</w:t>
      </w:r>
      <w:r>
        <w:rPr>
          <w:rFonts w:ascii="Arial" w:cs="Arial" w:eastAsia="Arial" w:hAnsi="Arial"/>
          <w:sz w:val="20"/>
          <w:szCs w:val="20"/>
          <w:b w:val="1"/>
          <w:bCs w:val="1"/>
          <w:color w:val="auto"/>
        </w:rPr>
        <w:t xml:space="preserve"> </w:t>
      </w:r>
      <w:r>
        <w:rPr>
          <w:rFonts w:ascii="Arial" w:cs="Arial" w:eastAsia="Arial" w:hAnsi="Arial"/>
          <w:sz w:val="20"/>
          <w:szCs w:val="20"/>
          <w:color w:val="auto"/>
        </w:rPr>
        <w:t>declaration of assets and rights held outside of Brazil to the Central Bank of Brazil if the aggregate value of such assets and rights is equal to or greater than US$100,000. Assets and rights that must be reported include Shares.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67"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Settlement of Stock Awards. </w:t>
      </w:r>
      <w:r>
        <w:rPr>
          <w:rFonts w:ascii="Arial" w:cs="Arial" w:eastAsia="Arial" w:hAnsi="Arial"/>
          <w:sz w:val="20"/>
          <w:szCs w:val="20"/>
          <w:color w:val="auto"/>
        </w:rPr>
        <w:t>Notwithstanding any discretion or anything to the contrary in the Plan, the grant of the Awards does not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any right for Eligible Individual to receive a cash payment and the Awards will be settled in Shares only.</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Taxes, Fees and Withholding. </w:t>
      </w:r>
      <w:r>
        <w:rPr>
          <w:rFonts w:ascii="Arial" w:cs="Arial" w:eastAsia="Arial" w:hAnsi="Arial"/>
          <w:sz w:val="20"/>
          <w:szCs w:val="20"/>
          <w:color w:val="auto"/>
        </w:rPr>
        <w:t>This provision supplements Section 8 of the Agreement. Any share withholding by the Company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consent of the Eligible Individual at the time of option exercise.</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Authorization to Release and Transfer Necessary Personal Information. </w:t>
      </w:r>
      <w:r>
        <w:rPr>
          <w:rFonts w:ascii="Arial" w:cs="Arial" w:eastAsia="Arial" w:hAnsi="Arial"/>
          <w:sz w:val="19"/>
          <w:szCs w:val="19"/>
          <w:color w:val="auto"/>
        </w:rPr>
        <w:t>This provision supplements Section 21 of the Agreement:</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Bundesbank</w:t>
      </w:r>
      <w:r>
        <w:rPr>
          <w:rFonts w:ascii="Arial" w:cs="Arial" w:eastAsia="Arial" w:hAnsi="Arial"/>
          <w:sz w:val="20"/>
          <w:szCs w:val="20"/>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20"/>
          <w:szCs w:val="20"/>
          <w:i w:val="1"/>
          <w:iCs w:val="1"/>
          <w:color w:val="auto"/>
        </w:rPr>
        <w:t>Allgemeine Meldeportal Statistik</w:t>
      </w:r>
      <w:r>
        <w:rPr>
          <w:rFonts w:ascii="Arial" w:cs="Arial" w:eastAsia="Arial" w:hAnsi="Arial"/>
          <w:sz w:val="20"/>
          <w:szCs w:val="20"/>
          <w:color w:val="auto"/>
        </w:rPr>
        <w:t>”) can be accessed via the Bundesbank’s website (www.bundesbank.de) and is available in both German and English.</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The Award and Shares issued upon exercise (if any) do not constitute a public offering of securities under Hong Kong</w:t>
      </w:r>
      <w:r>
        <w:rPr>
          <w:rFonts w:ascii="Arial" w:cs="Arial" w:eastAsia="Arial" w:hAnsi="Arial"/>
          <w:sz w:val="18"/>
          <w:szCs w:val="18"/>
          <w:b w:val="1"/>
          <w:bCs w:val="1"/>
          <w:color w:val="auto"/>
        </w:rPr>
        <w:t xml:space="preserve"> </w:t>
      </w:r>
      <w:r>
        <w:rPr>
          <w:rFonts w:ascii="Arial" w:cs="Arial" w:eastAsia="Arial" w:hAnsi="Arial"/>
          <w:sz w:val="18"/>
          <w:szCs w:val="18"/>
          <w:color w:val="auto"/>
        </w:rPr>
        <w:t>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Vesting of Awards and Sale of Shares. </w:t>
      </w:r>
      <w:r>
        <w:rPr>
          <w:rFonts w:ascii="Arial" w:cs="Arial" w:eastAsia="Arial" w:hAnsi="Arial"/>
          <w:sz w:val="20"/>
          <w:szCs w:val="20"/>
          <w:color w:val="auto"/>
        </w:rPr>
        <w:t>In the event the Eligible Individual’s Awards vest and Shares are issued to the Eligible Individual</w:t>
      </w:r>
      <w:r>
        <w:rPr>
          <w:rFonts w:ascii="Arial" w:cs="Arial" w:eastAsia="Arial" w:hAnsi="Arial"/>
          <w:sz w:val="20"/>
          <w:szCs w:val="20"/>
          <w:b w:val="1"/>
          <w:bCs w:val="1"/>
          <w:color w:val="auto"/>
        </w:rPr>
        <w:t xml:space="preserve"> </w:t>
      </w:r>
      <w:r>
        <w:rPr>
          <w:rFonts w:ascii="Arial" w:cs="Arial" w:eastAsia="Arial" w:hAnsi="Arial"/>
          <w:sz w:val="20"/>
          <w:szCs w:val="20"/>
          <w:color w:val="auto"/>
        </w:rPr>
        <w:t>within six months of the date of grant, the Eligible Individual agrees that he or she will not dispose of any of such Shares prior to the six-month anniversary of the date of grant.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78" w:name="page79"/>
    <w:bookmarkEnd w:id="78"/>
    <w:p>
      <w:pPr>
        <w:jc w:val="both"/>
        <w:spacing w:after="0" w:line="294" w:lineRule="auto"/>
        <w:rPr>
          <w:sz w:val="20"/>
          <w:szCs w:val="20"/>
          <w:color w:val="auto"/>
        </w:rPr>
      </w:pPr>
      <w:r>
        <w:rPr>
          <w:rFonts w:ascii="Arial" w:cs="Arial" w:eastAsia="Arial" w:hAnsi="Arial"/>
          <w:sz w:val="18"/>
          <w:szCs w:val="18"/>
          <w:b w:val="1"/>
          <w:bCs w:val="1"/>
          <w:color w:val="auto"/>
        </w:rPr>
        <w:t xml:space="preserve">Nature of the Plan. </w:t>
      </w:r>
      <w:r>
        <w:rPr>
          <w:rFonts w:ascii="Arial" w:cs="Arial" w:eastAsia="Arial" w:hAnsi="Arial"/>
          <w:sz w:val="18"/>
          <w:szCs w:val="18"/>
          <w:color w:val="auto"/>
        </w:rPr>
        <w:t>The Company specifically intends that the Plan will not be tread as an occupational retirement scheme for purposes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Occupational Retirement Scheme Ordinance (“ORSO”). To the extent that any court, tribunal or legal/regulatory body in Hong Kong determines that the Plan constitutes an occupational retirement scheme for the purpose of ORSO, the grant of RSUs shall be null and void.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Tax Information. </w:t>
      </w:r>
      <w:r>
        <w:rPr>
          <w:rFonts w:ascii="Arial" w:cs="Arial" w:eastAsia="Arial" w:hAnsi="Arial"/>
          <w:sz w:val="20"/>
          <w:szCs w:val="20"/>
          <w:color w:val="auto"/>
        </w:rPr>
        <w:t>The amount subject to tax at vesting may be dependent upon a valuation of Shares from a Merchant Banker in India.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has no responsibility or obligation to obtain the most favorable valuation possible nor obtain valuations more frequently than required under Indian tax law.</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Exchange Control Obligations. </w:t>
      </w:r>
      <w:r>
        <w:rPr>
          <w:rFonts w:ascii="Arial" w:cs="Arial" w:eastAsia="Arial" w:hAnsi="Arial"/>
          <w:sz w:val="20"/>
          <w:szCs w:val="20"/>
          <w:color w:val="auto"/>
        </w:rPr>
        <w:t>Eligible Individual understands that he or she must repatriate any proceeds from the sale of Shares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and any dividends received in relation to the Shares to India in accordance with local foreign exchange rules and regulations. Neither the Company nor any of its Subsidiaries shall be liable for any fines or penalties resulting from the Employee’s failure to comply with applicable laws.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Director Notification Obligation</w:t>
      </w:r>
      <w:r>
        <w:rPr>
          <w:rFonts w:ascii="Arial" w:cs="Arial" w:eastAsia="Arial" w:hAnsi="Arial"/>
          <w:sz w:val="18"/>
          <w:szCs w:val="18"/>
          <w:color w:val="auto"/>
        </w:rPr>
        <w:t>. Directors, shadow directors and secretaries of the Company’s Irish Affiliates are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requirements under the Irish Companies Act. Directors, shadow directors and secretaries must notify the Irish Affiliates in writing of their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Option,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This provision replaces in its entirety the “Data Privacy” section of the Award Agreement:</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The Eligible Individual understands that the Employer and/or the Company may hold certain personal information about the Eligible Individual, including, but not limited to, Awardee’s name, home address and telephone number, date of birth, social security number (or any other social or national identification number), salary, nationality, job title, number of Shares held and the details of any Option or any other entitlement to Stock awarded, cancelled, exercised, vested, unvested or outstanding (the “Data”)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9" w:name="page80"/>
    <w:bookmarkEnd w:id="79"/>
    <w:p>
      <w:pPr>
        <w:jc w:val="both"/>
        <w:spacing w:after="0" w:line="306" w:lineRule="auto"/>
        <w:rPr>
          <w:sz w:val="20"/>
          <w:szCs w:val="20"/>
          <w:color w:val="auto"/>
        </w:rPr>
      </w:pPr>
      <w:r>
        <w:rPr>
          <w:rFonts w:ascii="Arial" w:cs="Arial" w:eastAsia="Arial" w:hAnsi="Arial"/>
          <w:sz w:val="16"/>
          <w:szCs w:val="16"/>
          <w:b w:val="1"/>
          <w:bCs w:val="1"/>
          <w:i w:val="1"/>
          <w:iCs w:val="1"/>
          <w:color w:val="auto"/>
        </w:rPr>
        <w:t>The Controller of personal Data processing is TripAdvisor, Inc., 400 1</w:t>
      </w:r>
      <w:r>
        <w:rPr>
          <w:rFonts w:ascii="Arial" w:cs="Arial" w:eastAsia="Arial" w:hAnsi="Arial"/>
          <w:sz w:val="13"/>
          <w:szCs w:val="13"/>
          <w:b w:val="1"/>
          <w:bCs w:val="1"/>
          <w:i w:val="1"/>
          <w:iCs w:val="1"/>
          <w:color w:val="auto"/>
        </w:rPr>
        <w:t>st</w:t>
      </w:r>
      <w:r>
        <w:rPr>
          <w:rFonts w:ascii="Arial" w:cs="Arial" w:eastAsia="Arial" w:hAnsi="Arial"/>
          <w:sz w:val="16"/>
          <w:szCs w:val="16"/>
          <w:b w:val="1"/>
          <w:bCs w:val="1"/>
          <w:i w:val="1"/>
          <w:iCs w:val="1"/>
          <w:color w:val="auto"/>
        </w:rPr>
        <w:t xml:space="preserve"> Avenue, Needham, MA 02494, U.S.A., and, pursuant to D.lgs 196/2003, its representative in Italy is TripAdvisor Italy, S.r.l., with its registered offices at Corso Garibaldi, n 86 6th Floor, 20121 Milan MI 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Awardee’s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3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 Furthermore, the Eligible Individual is aware that the Eligible Individual’s Data will not be used for direct marketing purposes. In addition, Data provided can be reviewed and questions or complaints can be addressed by contacting the Eligible Individuals local human representative.</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Grant Terms Acknowledgment</w:t>
      </w:r>
      <w:r>
        <w:rPr>
          <w:rFonts w:ascii="Arial" w:cs="Arial" w:eastAsia="Arial" w:hAnsi="Arial"/>
          <w:sz w:val="19"/>
          <w:szCs w:val="19"/>
          <w:color w:val="auto"/>
        </w:rPr>
        <w:t>. By accepting the Option, the Eligible Individual acknowledges that the Eligible Individual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If the Eligible Individual holds investments abroad or foreign financial assets (</w:t>
      </w:r>
      <w:r>
        <w:rPr>
          <w:rFonts w:ascii="Arial" w:cs="Arial" w:eastAsia="Arial" w:hAnsi="Arial"/>
          <w:sz w:val="20"/>
          <w:szCs w:val="20"/>
          <w:i w:val="1"/>
          <w:iCs w:val="1"/>
          <w:color w:val="auto"/>
        </w:rPr>
        <w:t>e.g.</w:t>
      </w:r>
      <w:r>
        <w:rPr>
          <w:rFonts w:ascii="Arial" w:cs="Arial" w:eastAsia="Arial" w:hAnsi="Arial"/>
          <w:sz w:val="20"/>
          <w:szCs w:val="20"/>
          <w:color w:val="auto"/>
        </w:rPr>
        <w:t>, cash,</w:t>
      </w:r>
      <w:r>
        <w:rPr>
          <w:rFonts w:ascii="Arial" w:cs="Arial" w:eastAsia="Arial" w:hAnsi="Arial"/>
          <w:sz w:val="20"/>
          <w:szCs w:val="20"/>
          <w:b w:val="1"/>
          <w:bCs w:val="1"/>
          <w:color w:val="auto"/>
        </w:rPr>
        <w:t xml:space="preserve"> </w:t>
      </w:r>
      <w:r>
        <w:rPr>
          <w:rFonts w:ascii="Arial" w:cs="Arial" w:eastAsia="Arial" w:hAnsi="Arial"/>
          <w:sz w:val="20"/>
          <w:szCs w:val="20"/>
          <w:color w:val="auto"/>
        </w:rPr>
        <w:t>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Foreign Asset Tax</w:t>
      </w:r>
      <w:r>
        <w:rPr>
          <w:rFonts w:ascii="Arial" w:cs="Arial" w:eastAsia="Arial" w:hAnsi="Arial"/>
          <w:sz w:val="19"/>
          <w:szCs w:val="19"/>
          <w:color w:val="auto"/>
        </w:rPr>
        <w:t>. The value of the financial assets held outside of Italy by individuals resident of Italy is subject to a foreign asset tax. The</w:t>
      </w:r>
      <w:r>
        <w:rPr>
          <w:rFonts w:ascii="Arial" w:cs="Arial" w:eastAsia="Arial" w:hAnsi="Arial"/>
          <w:sz w:val="19"/>
          <w:szCs w:val="19"/>
          <w:b w:val="1"/>
          <w:bCs w:val="1"/>
          <w:color w:val="auto"/>
        </w:rPr>
        <w:t xml:space="preserve"> </w:t>
      </w:r>
      <w:r>
        <w:rPr>
          <w:rFonts w:ascii="Arial" w:cs="Arial" w:eastAsia="Arial" w:hAnsi="Arial"/>
          <w:sz w:val="19"/>
          <w:szCs w:val="19"/>
          <w:color w:val="auto"/>
        </w:rPr>
        <w:t>taxable amount will be the fair market value of the financial assets (</w:t>
      </w:r>
      <w:r>
        <w:rPr>
          <w:rFonts w:ascii="Arial" w:cs="Arial" w:eastAsia="Arial" w:hAnsi="Arial"/>
          <w:sz w:val="19"/>
          <w:szCs w:val="19"/>
          <w:i w:val="1"/>
          <w:iCs w:val="1"/>
          <w:color w:val="auto"/>
        </w:rPr>
        <w:t>e.g.</w:t>
      </w:r>
      <w:r>
        <w:rPr>
          <w:rFonts w:ascii="Arial" w:cs="Arial" w:eastAsia="Arial" w:hAnsi="Arial"/>
          <w:sz w:val="19"/>
          <w:szCs w:val="19"/>
          <w:color w:val="auto"/>
        </w:rPr>
        <w:t>, Shares) assessed at the end of the calendar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Eligible Individual will be required to report details of any assets held outside of Japan</w:t>
      </w:r>
      <w:r>
        <w:rPr>
          <w:rFonts w:ascii="Arial" w:cs="Arial" w:eastAsia="Arial" w:hAnsi="Arial"/>
          <w:sz w:val="20"/>
          <w:szCs w:val="20"/>
          <w:b w:val="1"/>
          <w:bCs w:val="1"/>
          <w:color w:val="auto"/>
        </w:rPr>
        <w:t xml:space="preserve"> </w:t>
      </w:r>
      <w:r>
        <w:rPr>
          <w:rFonts w:ascii="Arial" w:cs="Arial" w:eastAsia="Arial" w:hAnsi="Arial"/>
          <w:sz w:val="20"/>
          <w:szCs w:val="20"/>
          <w:color w:val="auto"/>
        </w:rPr>
        <w:t>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Options, as well as Shares, in the report.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81"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Language Consent. The Eligible Individual hereby express declares that he or she has full knowledge of the English language and has read, understood and fully accepted and agreed with the terms and conditions established in the Plan and the Agreement.</w:t>
      </w:r>
    </w:p>
    <w:p>
      <w:pPr>
        <w:spacing w:after="0" w:line="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Exchange Control Notification. If the Eligible Individual holds Shares issued upon exercise of Options , the acquisition of Shares could be reported to the Banco de Portugal for statistical purposes. If the Shares are deposited with a commercial bank or financial intermediary in Portugal, such bank or financial intermediary could submit the report on Participant’s behalf. If the Shares are not deposited with a commercial bank or financial intermediary in Portugal, the Eligible Individual is responsible for submitting the report to the Banco de Portugal.</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this Award is made in reliance on section 273(1)(f) of the Securities and Futures Act (Cap. 289) (“SFA”)</w:t>
      </w:r>
      <w:r>
        <w:rPr>
          <w:rFonts w:ascii="Arial" w:cs="Arial" w:eastAsia="Arial" w:hAnsi="Arial"/>
          <w:sz w:val="20"/>
          <w:szCs w:val="20"/>
          <w:b w:val="1"/>
          <w:bCs w:val="1"/>
          <w:color w:val="auto"/>
        </w:rPr>
        <w:t xml:space="preserve"> </w:t>
      </w:r>
      <w:r>
        <w:rPr>
          <w:rFonts w:ascii="Arial" w:cs="Arial" w:eastAsia="Arial" w:hAnsi="Arial"/>
          <w:sz w:val="20"/>
          <w:szCs w:val="20"/>
          <w:color w:val="auto"/>
        </w:rPr>
        <w:t>for which it is exempt from the prospectus and registration requirements under the SFA.</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Director Notification Obligation. </w:t>
      </w:r>
      <w:r>
        <w:rPr>
          <w:rFonts w:ascii="Arial" w:cs="Arial" w:eastAsia="Arial" w:hAnsi="Arial"/>
          <w:sz w:val="18"/>
          <w:szCs w:val="18"/>
          <w:color w:val="auto"/>
        </w:rPr>
        <w:t>If Eligible Individual is a director, associate director or shadow director (i.e., a non-director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This provision supplements the “Nature of Grant” section of the Award Agreement: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accepting the Options, the Eligible Individual consents to participation in the Plan and acknowledges that he or she has received a copy of the Plan.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Further, the Eligible Individual understands that the Company has unilaterally, gratuitously and in its sole discretion decided to grant Options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Options or the Shares acquired upon exercise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Eligible Individual also understands and agrees that, as a condition of the grant and vesting of the Option, the termination of the Eligible Individual’s employment for any reason (including the reasons listed below), the Option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(as defined in the Agreement),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“Cause” shall be as defined in the Agreement, regardless of whether the termination is considered a fair termination (i.e. despido procedente”) under Spanish legislation.</w:t>
      </w:r>
    </w:p>
    <w:p>
      <w:pPr>
        <w:spacing w:after="0" w:line="13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Eligible Individual acknowledges that he or she has read and specifically accepts the conditions referred to in the “Termination of Employment” and “Nature of Grant” sections of the Award Agreement.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The grant of this Award and the Shares issued pursuant to the vesting and exercise of the Award are considered a</w:t>
      </w:r>
      <w:r>
        <w:rPr>
          <w:rFonts w:ascii="Arial" w:cs="Arial" w:eastAsia="Arial" w:hAnsi="Arial"/>
          <w:sz w:val="20"/>
          <w:szCs w:val="20"/>
          <w:b w:val="1"/>
          <w:bCs w:val="1"/>
          <w:color w:val="auto"/>
        </w:rPr>
        <w:t xml:space="preserve"> </w:t>
      </w:r>
      <w:r>
        <w:rPr>
          <w:rFonts w:ascii="Arial" w:cs="Arial" w:eastAsia="Arial" w:hAnsi="Arial"/>
          <w:sz w:val="20"/>
          <w:szCs w:val="20"/>
          <w:color w:val="auto"/>
        </w:rPr>
        <w:t>private placement outside of the scope of Spanish laws on public offerings and issuances of securities.</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To participate in the Plan, the Eligible Individual must comply with exchange control regulations in Spain.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acquisition of Shares upon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and exercise of the Option and the sale of Shares must be declared on Form D-6, for statistical purposes, to the </w:t>
      </w:r>
      <w:r>
        <w:rPr>
          <w:rFonts w:ascii="Arial" w:cs="Arial" w:eastAsia="Arial" w:hAnsi="Arial"/>
          <w:sz w:val="20"/>
          <w:szCs w:val="20"/>
          <w:i w:val="1"/>
          <w:iCs w:val="1"/>
          <w:color w:val="auto"/>
        </w:rPr>
        <w:t>Dirección General de Comercio e Inversiones</w:t>
      </w:r>
      <w:r>
        <w:rPr>
          <w:rFonts w:ascii="Arial" w:cs="Arial" w:eastAsia="Arial" w:hAnsi="Arial"/>
          <w:sz w:val="20"/>
          <w:szCs w:val="20"/>
          <w:color w:val="auto"/>
        </w:rPr>
        <w:t xml:space="preserve"> (the “DGCI”) of the Ministry of Industry, Tourism and Commerce. Generally, the D-6 form must be filed each January while the shares are owned or to report the sale of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82" w:name="page83"/>
    <w:bookmarkEnd w:id="82"/>
    <w:p>
      <w:pPr>
        <w:jc w:val="both"/>
        <w:spacing w:after="0" w:line="260" w:lineRule="auto"/>
        <w:rPr>
          <w:sz w:val="20"/>
          <w:szCs w:val="20"/>
          <w:color w:val="auto"/>
        </w:rPr>
      </w:pPr>
      <w:r>
        <w:rPr>
          <w:rFonts w:ascii="Arial" w:cs="Arial" w:eastAsia="Arial" w:hAnsi="Arial"/>
          <w:sz w:val="19"/>
          <w:szCs w:val="19"/>
          <w:color w:val="auto"/>
        </w:rPr>
        <w:t>Whenever receiving foreign currency payments derived from the ownership of Stock (</w:t>
      </w:r>
      <w:r>
        <w:rPr>
          <w:rFonts w:ascii="Arial" w:cs="Arial" w:eastAsia="Arial" w:hAnsi="Arial"/>
          <w:sz w:val="19"/>
          <w:szCs w:val="19"/>
          <w:i w:val="1"/>
          <w:iCs w:val="1"/>
          <w:color w:val="auto"/>
        </w:rPr>
        <w:t>i.e</w:t>
      </w:r>
      <w:r>
        <w:rPr>
          <w:rFonts w:ascii="Arial" w:cs="Arial" w:eastAsia="Arial" w:hAnsi="Arial"/>
          <w:sz w:val="19"/>
          <w:szCs w:val="19"/>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To the extent that the Eligible Individual holds rights or assets (</w:t>
      </w:r>
      <w:r>
        <w:rPr>
          <w:rFonts w:ascii="Arial" w:cs="Arial" w:eastAsia="Arial" w:hAnsi="Arial"/>
          <w:sz w:val="19"/>
          <w:szCs w:val="19"/>
          <w:i w:val="1"/>
          <w:iCs w:val="1"/>
          <w:color w:val="auto"/>
        </w:rPr>
        <w:t>e.g.</w:t>
      </w:r>
      <w:r>
        <w:rPr>
          <w:rFonts w:ascii="Arial" w:cs="Arial" w:eastAsia="Arial" w:hAnsi="Arial"/>
          <w:sz w:val="19"/>
          <w:szCs w:val="19"/>
          <w:color w:val="auto"/>
        </w:rPr>
        <w:t>, Shares or cash held in a</w:t>
      </w:r>
      <w:r>
        <w:rPr>
          <w:rFonts w:ascii="Arial" w:cs="Arial" w:eastAsia="Arial" w:hAnsi="Arial"/>
          <w:sz w:val="19"/>
          <w:szCs w:val="19"/>
          <w:b w:val="1"/>
          <w:bCs w:val="1"/>
          <w:color w:val="auto"/>
        </w:rPr>
        <w:t xml:space="preserve"> </w:t>
      </w:r>
      <w:r>
        <w:rPr>
          <w:rFonts w:ascii="Arial" w:cs="Arial" w:eastAsia="Arial" w:hAnsi="Arial"/>
          <w:sz w:val="19"/>
          <w:szCs w:val="19"/>
          <w:color w:val="auto"/>
        </w:rPr>
        <w:t>bank or brokerage account)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The Award is considered a private offering in Switzerland and is therefore not subject to registration.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this document nor any other materials relating to the Award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Settlement of Stock Awards. </w:t>
      </w:r>
      <w:r>
        <w:rPr>
          <w:rFonts w:ascii="Arial" w:cs="Arial" w:eastAsia="Arial" w:hAnsi="Arial"/>
          <w:sz w:val="20"/>
          <w:szCs w:val="20"/>
          <w:color w:val="auto"/>
        </w:rPr>
        <w:t>Notwithstanding any discretion or anything to the contrary in the Plan, the grant of the Award does not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any right for Eligible Individual to receive a cash payment and the Awards will be settled in Shares only.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3" w:name="page84"/>
    <w:bookmarkEnd w:id="83"/>
    <w:p>
      <w:pPr>
        <w:spacing w:after="0"/>
        <w:rPr>
          <w:sz w:val="20"/>
          <w:szCs w:val="20"/>
          <w:color w:val="auto"/>
        </w:rPr>
      </w:pPr>
      <w:r>
        <w:rPr>
          <w:rFonts w:ascii="Arial" w:cs="Arial" w:eastAsia="Arial" w:hAnsi="Arial"/>
          <w:sz w:val="19"/>
          <w:szCs w:val="19"/>
          <w:b w:val="1"/>
          <w:bCs w:val="1"/>
          <w:color w:val="auto"/>
        </w:rPr>
        <w:t xml:space="preserve">Tax and National Insurance Contributions Acknowledgment. </w:t>
      </w:r>
      <w:r>
        <w:rPr>
          <w:rFonts w:ascii="Arial" w:cs="Arial" w:eastAsia="Arial" w:hAnsi="Arial"/>
          <w:sz w:val="19"/>
          <w:szCs w:val="19"/>
          <w:color w:val="auto"/>
        </w:rPr>
        <w:t>The following provision supplements Section 8 of the Agreement: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Eligible Individual agrees that if Eligible Individual does not pay or the Employer or the Company does not withhold from Eligible Individual the full amount of Tax-Related Items that Eligible Individual owes in connection with the vesting of the Award and/or the acquisition of Shares pursuant to the vesting of the Award, or the release or assignment of the Award for consideration, or the receipt of any other benefit in connection with the Award (the “</w:t>
      </w:r>
      <w:r>
        <w:rPr>
          <w:rFonts w:ascii="Arial" w:cs="Arial" w:eastAsia="Arial" w:hAnsi="Arial"/>
          <w:sz w:val="19"/>
          <w:szCs w:val="19"/>
          <w:i w:val="1"/>
          <w:iCs w:val="1"/>
          <w:color w:val="auto"/>
        </w:rPr>
        <w:t>Taxable Event</w:t>
      </w:r>
      <w:r>
        <w:rPr>
          <w:rFonts w:ascii="Arial" w:cs="Arial" w:eastAsia="Arial" w:hAnsi="Arial"/>
          <w:sz w:val="19"/>
          <w:szCs w:val="19"/>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49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Exhibit.10.3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(Domestic)</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Company’s Amended and Restated 2011 Stock and Annual Incentive Plan or the Company’s 2018 Stock and Annual Incentive Plan, as appropriate (as either may be amended from time to time, the “Plan”).</w:t>
      </w:r>
    </w:p>
    <w:p>
      <w:pPr>
        <w:spacing w:after="0" w:line="397" w:lineRule="exact"/>
        <w:rPr>
          <w:sz w:val="20"/>
          <w:szCs w:val="20"/>
          <w:color w:val="auto"/>
        </w:rPr>
      </w:pPr>
    </w:p>
    <w:p>
      <w:pPr>
        <w:ind w:left="880" w:hanging="872"/>
        <w:spacing w:after="0"/>
        <w:tabs>
          <w:tab w:leader="none" w:pos="88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RSUs</w:t>
      </w:r>
    </w:p>
    <w:p>
      <w:pPr>
        <w:spacing w:after="0" w:line="212" w:lineRule="exact"/>
        <w:rPr>
          <w:rFonts w:ascii="Arial" w:cs="Arial" w:eastAsia="Arial" w:hAnsi="Arial"/>
          <w:sz w:val="22"/>
          <w:szCs w:val="22"/>
          <w:b w:val="1"/>
          <w:bCs w:val="1"/>
          <w:color w:val="auto"/>
        </w:rPr>
      </w:pPr>
    </w:p>
    <w:p>
      <w:pPr>
        <w:jc w:val="both"/>
        <w:ind w:firstLine="885"/>
        <w:spacing w:after="0" w:line="247" w:lineRule="auto"/>
        <w:tabs>
          <w:tab w:leader="none" w:pos="1765" w:val="left"/>
        </w:tabs>
        <w:numPr>
          <w:ilvl w:val="1"/>
          <w:numId w:val="75"/>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and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The Grant Details, which sets forth the number of RSUs granted to the Eligible Individual by the Company, the Grant Date and the vesting schedule of the RSUs (among other information), are hereby incorporated by reference into, and shall be read as part and parcel of, this Agreement.</w:t>
      </w:r>
    </w:p>
    <w:p>
      <w:pPr>
        <w:spacing w:after="0" w:line="178" w:lineRule="exact"/>
        <w:rPr>
          <w:rFonts w:ascii="Arial" w:cs="Arial" w:eastAsia="Arial" w:hAnsi="Arial"/>
          <w:sz w:val="21"/>
          <w:szCs w:val="21"/>
          <w:color w:val="auto"/>
        </w:rPr>
      </w:pPr>
    </w:p>
    <w:p>
      <w:pPr>
        <w:jc w:val="both"/>
        <w:ind w:firstLine="885"/>
        <w:spacing w:after="0"/>
        <w:tabs>
          <w:tab w:leader="none" w:pos="1778" w:val="left"/>
        </w:tabs>
        <w:numPr>
          <w:ilvl w:val="1"/>
          <w:numId w:val="75"/>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Grant Details and the Plan, the RSUs shall vest and no longer be subject to any restriction (such period during which restrictions apply shall be referred to as the “RSU Restriction Period”) on the dates detailed in the Grant Details.</w:t>
      </w:r>
    </w:p>
    <w:p>
      <w:pPr>
        <w:spacing w:after="0" w:line="180" w:lineRule="exact"/>
        <w:rPr>
          <w:rFonts w:ascii="Arial" w:cs="Arial" w:eastAsia="Arial" w:hAnsi="Arial"/>
          <w:sz w:val="22"/>
          <w:szCs w:val="22"/>
          <w:color w:val="auto"/>
        </w:rPr>
      </w:pPr>
    </w:p>
    <w:p>
      <w:pPr>
        <w:ind w:left="880" w:hanging="872"/>
        <w:spacing w:after="0"/>
        <w:tabs>
          <w:tab w:leader="none" w:pos="88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RSUs</w:t>
      </w:r>
    </w:p>
    <w:p>
      <w:pPr>
        <w:spacing w:after="0" w:line="21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As soon as practicable after any RSUs have vested and are no longer subject to the RSU Restriction Period (but in no event later than sixty (60) days thereafter), such RSUs shall be settled. Subject to Section 7 (pertaining to the withholding of taxes), for each RSU settled pursuant to this Section 2, the Company shall issue one Share and cause to be delivered to the Eligible Individual one or more unlegended, freely-transferable stock certificates in respect of such Shares issued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440690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5" w:name="page86"/>
    <w:bookmarkEnd w:id="85"/>
    <w:p>
      <w:pPr>
        <w:ind w:left="880" w:hanging="872"/>
        <w:spacing w:after="0"/>
        <w:tabs>
          <w:tab w:leader="none" w:pos="8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color w:val="auto"/>
        </w:rPr>
      </w:pPr>
    </w:p>
    <w:p>
      <w:pPr>
        <w:jc w:val="both"/>
        <w:ind w:firstLine="885"/>
        <w:spacing w:after="0" w:line="273" w:lineRule="auto"/>
        <w:tabs>
          <w:tab w:leader="none" w:pos="1765" w:val="left"/>
        </w:tabs>
        <w:numPr>
          <w:ilvl w:val="1"/>
          <w:numId w:val="76"/>
        </w:numPr>
        <w:rPr>
          <w:rFonts w:ascii="Arial" w:cs="Arial" w:eastAsia="Arial" w:hAnsi="Arial"/>
          <w:sz w:val="19"/>
          <w:szCs w:val="19"/>
          <w:color w:val="auto"/>
        </w:rPr>
      </w:pPr>
      <w:r>
        <w:rPr>
          <w:rFonts w:ascii="Arial" w:cs="Arial" w:eastAsia="Arial" w:hAnsi="Arial"/>
          <w:sz w:val="19"/>
          <w:szCs w:val="19"/>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(e.g.,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85"/>
        <w:spacing w:after="0" w:line="272" w:lineRule="auto"/>
        <w:tabs>
          <w:tab w:leader="none" w:pos="1778" w:val="left"/>
        </w:tabs>
        <w:numPr>
          <w:ilvl w:val="1"/>
          <w:numId w:val="76"/>
        </w:numPr>
        <w:rPr>
          <w:rFonts w:ascii="Arial" w:cs="Arial" w:eastAsia="Arial" w:hAnsi="Arial"/>
          <w:sz w:val="19"/>
          <w:szCs w:val="19"/>
          <w:color w:val="auto"/>
        </w:rPr>
      </w:pPr>
      <w:r>
        <w:rPr>
          <w:rFonts w:ascii="Arial" w:cs="Arial" w:eastAsia="Arial" w:hAnsi="Arial"/>
          <w:sz w:val="19"/>
          <w:szCs w:val="19"/>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1" w:lineRule="exact"/>
        <w:rPr>
          <w:rFonts w:ascii="Arial" w:cs="Arial" w:eastAsia="Arial" w:hAnsi="Arial"/>
          <w:sz w:val="19"/>
          <w:szCs w:val="19"/>
          <w:color w:val="auto"/>
        </w:rPr>
      </w:pPr>
    </w:p>
    <w:p>
      <w:pPr>
        <w:jc w:val="both"/>
        <w:ind w:firstLine="885"/>
        <w:spacing w:after="0" w:line="236" w:lineRule="auto"/>
        <w:tabs>
          <w:tab w:leader="none" w:pos="1765" w:val="left"/>
        </w:tabs>
        <w:numPr>
          <w:ilvl w:val="1"/>
          <w:numId w:val="76"/>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rFonts w:ascii="Arial" w:cs="Arial" w:eastAsia="Arial" w:hAnsi="Arial"/>
          <w:sz w:val="22"/>
          <w:szCs w:val="22"/>
          <w:color w:val="auto"/>
        </w:rPr>
      </w:pPr>
    </w:p>
    <w:p>
      <w:pPr>
        <w:jc w:val="both"/>
        <w:ind w:firstLine="885"/>
        <w:spacing w:after="0" w:line="297" w:lineRule="auto"/>
        <w:tabs>
          <w:tab w:leader="none" w:pos="1778" w:val="left"/>
        </w:tabs>
        <w:numPr>
          <w:ilvl w:val="1"/>
          <w:numId w:val="76"/>
        </w:numPr>
        <w:rPr>
          <w:rFonts w:ascii="Arial" w:cs="Arial" w:eastAsia="Arial" w:hAnsi="Arial"/>
          <w:sz w:val="19"/>
          <w:szCs w:val="19"/>
          <w:color w:val="auto"/>
        </w:rPr>
      </w:pPr>
      <w:r>
        <w:rPr>
          <w:rFonts w:ascii="Arial" w:cs="Arial" w:eastAsia="Arial" w:hAnsi="Arial"/>
          <w:sz w:val="19"/>
          <w:szCs w:val="19"/>
          <w:color w:val="auto"/>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6" w:name="page87"/>
    <w:bookmarkEnd w:id="86"/>
    <w:p>
      <w:pPr>
        <w:ind w:left="880" w:hanging="872"/>
        <w:spacing w:after="0"/>
        <w:tabs>
          <w:tab w:leader="none" w:pos="88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RSUs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During the RSU Restriction Period and until such time as the RSUs are settled as provided herein or on the website of the Plan Administrator, the RSUs shall not be transferable by the Eligible Individual by means of sale, assignment, exchange, encumbrance, pledge, hedge or otherwise.</w:t>
      </w:r>
    </w:p>
    <w:p>
      <w:pPr>
        <w:spacing w:after="0" w:line="180" w:lineRule="exact"/>
        <w:rPr>
          <w:sz w:val="20"/>
          <w:szCs w:val="20"/>
          <w:color w:val="auto"/>
        </w:rPr>
      </w:pPr>
    </w:p>
    <w:p>
      <w:pPr>
        <w:ind w:left="880" w:hanging="872"/>
        <w:spacing w:after="0"/>
        <w:tabs>
          <w:tab w:leader="none" w:pos="8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6 below, rather than under this Section 5.</w:t>
      </w:r>
    </w:p>
    <w:p>
      <w:pPr>
        <w:spacing w:after="0" w:line="368" w:lineRule="exact"/>
        <w:rPr>
          <w:sz w:val="20"/>
          <w:szCs w:val="20"/>
          <w:color w:val="auto"/>
        </w:rPr>
      </w:pPr>
    </w:p>
    <w:p>
      <w:pPr>
        <w:ind w:left="880" w:hanging="872"/>
        <w:spacing w:after="0"/>
        <w:tabs>
          <w:tab w:leader="none" w:pos="88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firstLine="885"/>
        <w:spacing w:after="0" w:line="279" w:lineRule="auto"/>
        <w:tabs>
          <w:tab w:leader="none" w:pos="1765"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50" w:lineRule="exact"/>
        <w:rPr>
          <w:rFonts w:ascii="Arial" w:cs="Arial" w:eastAsia="Arial" w:hAnsi="Arial"/>
          <w:sz w:val="19"/>
          <w:szCs w:val="19"/>
          <w:color w:val="auto"/>
        </w:rPr>
      </w:pPr>
    </w:p>
    <w:p>
      <w:pPr>
        <w:jc w:val="both"/>
        <w:ind w:firstLine="885"/>
        <w:spacing w:after="0" w:line="245" w:lineRule="auto"/>
        <w:tabs>
          <w:tab w:leader="none" w:pos="1778" w:val="left"/>
        </w:tabs>
        <w:numPr>
          <w:ilvl w:val="1"/>
          <w:numId w:val="79"/>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85" w:lineRule="exact"/>
        <w:rPr>
          <w:rFonts w:ascii="Arial" w:cs="Arial" w:eastAsia="Arial" w:hAnsi="Arial"/>
          <w:sz w:val="21"/>
          <w:szCs w:val="21"/>
          <w:color w:val="auto"/>
        </w:rPr>
      </w:pPr>
    </w:p>
    <w:p>
      <w:pPr>
        <w:ind w:firstLine="885"/>
        <w:spacing w:after="0" w:line="251" w:lineRule="auto"/>
        <w:tabs>
          <w:tab w:leader="none" w:pos="1765"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Eligible Individuals.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7" w:name="page88"/>
    <w:bookmarkEnd w:id="87"/>
    <w:p>
      <w:pPr>
        <w:ind w:left="880" w:hanging="872"/>
        <w:spacing w:after="0"/>
        <w:tabs>
          <w:tab w:leader="none" w:pos="8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b w:val="1"/>
          <w:bCs w:val="1"/>
          <w:color w:val="auto"/>
        </w:rPr>
      </w:pPr>
    </w:p>
    <w:p>
      <w:pPr>
        <w:jc w:val="both"/>
        <w:ind w:firstLine="885"/>
        <w:spacing w:after="0"/>
        <w:tabs>
          <w:tab w:leader="none" w:pos="1765"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firstLine="885"/>
        <w:spacing w:after="0" w:line="277" w:lineRule="auto"/>
        <w:tabs>
          <w:tab w:leader="none" w:pos="1778" w:val="left"/>
        </w:tabs>
        <w:numPr>
          <w:ilvl w:val="1"/>
          <w:numId w:val="80"/>
        </w:numPr>
        <w:rPr>
          <w:rFonts w:ascii="Arial" w:cs="Arial" w:eastAsia="Arial" w:hAnsi="Arial"/>
          <w:sz w:val="19"/>
          <w:szCs w:val="19"/>
          <w:color w:val="auto"/>
        </w:rPr>
      </w:pPr>
      <w:r>
        <w:rPr>
          <w:rFonts w:ascii="Arial" w:cs="Arial" w:eastAsia="Arial" w:hAnsi="Arial"/>
          <w:sz w:val="19"/>
          <w:szCs w:val="19"/>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spacing w:after="0" w:line="152" w:lineRule="exact"/>
        <w:rPr>
          <w:rFonts w:ascii="Arial" w:cs="Arial" w:eastAsia="Arial" w:hAnsi="Arial"/>
          <w:sz w:val="19"/>
          <w:szCs w:val="19"/>
          <w:color w:val="auto"/>
        </w:rPr>
      </w:pPr>
    </w:p>
    <w:p>
      <w:pPr>
        <w:jc w:val="both"/>
        <w:ind w:firstLine="885"/>
        <w:spacing w:after="0" w:line="270" w:lineRule="auto"/>
        <w:tabs>
          <w:tab w:leader="none" w:pos="1765" w:val="left"/>
        </w:tabs>
        <w:numPr>
          <w:ilvl w:val="1"/>
          <w:numId w:val="80"/>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or vesting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RSU if the Eligible Individual fails to comply with his or her obligations in connection with the Tax-Related Items as described in this Section.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885"/>
        <w:spacing w:after="0"/>
        <w:tabs>
          <w:tab w:leader="none" w:pos="1778" w:val="left"/>
        </w:tabs>
        <w:numPr>
          <w:ilvl w:val="1"/>
          <w:numId w:val="80"/>
        </w:numPr>
        <w:rPr>
          <w:rFonts w:ascii="Arial" w:cs="Arial" w:eastAsia="Arial" w:hAnsi="Arial"/>
          <w:sz w:val="22"/>
          <w:szCs w:val="22"/>
          <w:color w:val="auto"/>
        </w:rPr>
      </w:pPr>
      <w:r>
        <w:rPr>
          <w:rFonts w:ascii="Arial" w:cs="Arial" w:eastAsia="Arial" w:hAnsi="Arial"/>
          <w:sz w:val="22"/>
          <w:szCs w:val="22"/>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8" w:name="page89"/>
    <w:bookmarkEnd w:id="88"/>
    <w:p>
      <w:pPr>
        <w:jc w:val="both"/>
        <w:spacing w:after="0" w:line="247" w:lineRule="auto"/>
        <w:rPr>
          <w:sz w:val="20"/>
          <w:szCs w:val="20"/>
          <w:color w:val="auto"/>
        </w:rPr>
      </w:pPr>
      <w:r>
        <w:rPr>
          <w:rFonts w:ascii="Arial" w:cs="Arial" w:eastAsia="Arial" w:hAnsi="Arial"/>
          <w:sz w:val="21"/>
          <w:szCs w:val="21"/>
          <w:color w:val="auto"/>
        </w:rPr>
        <w:t>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72" w:lineRule="exact"/>
        <w:rPr>
          <w:sz w:val="20"/>
          <w:szCs w:val="20"/>
          <w:color w:val="auto"/>
        </w:rPr>
      </w:pPr>
    </w:p>
    <w:p>
      <w:pPr>
        <w:ind w:left="880" w:hanging="872"/>
        <w:spacing w:after="0"/>
        <w:tabs>
          <w:tab w:leader="none" w:pos="88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jc w:val="both"/>
        <w:ind w:firstLine="885"/>
        <w:spacing w:after="0" w:line="249" w:lineRule="auto"/>
        <w:tabs>
          <w:tab w:leader="none" w:pos="1765"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8" w:lineRule="exact"/>
        <w:rPr>
          <w:rFonts w:ascii="Arial" w:cs="Arial" w:eastAsia="Arial" w:hAnsi="Arial"/>
          <w:sz w:val="21"/>
          <w:szCs w:val="21"/>
          <w:color w:val="auto"/>
        </w:rPr>
      </w:pPr>
    </w:p>
    <w:p>
      <w:pPr>
        <w:jc w:val="both"/>
        <w:ind w:firstLine="885"/>
        <w:spacing w:after="0" w:line="234" w:lineRule="auto"/>
        <w:tabs>
          <w:tab w:leader="none" w:pos="1778"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1" w:lineRule="exact"/>
        <w:rPr>
          <w:rFonts w:ascii="Arial" w:cs="Arial" w:eastAsia="Arial" w:hAnsi="Arial"/>
          <w:sz w:val="22"/>
          <w:szCs w:val="22"/>
          <w:color w:val="auto"/>
        </w:rPr>
      </w:pPr>
    </w:p>
    <w:p>
      <w:pPr>
        <w:ind w:left="880" w:hanging="872"/>
        <w:spacing w:after="0"/>
        <w:tabs>
          <w:tab w:leader="none" w:pos="88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color w:val="auto"/>
        </w:rPr>
      </w:pPr>
    </w:p>
    <w:p>
      <w:pPr>
        <w:ind w:firstLine="885"/>
        <w:spacing w:after="0" w:line="328" w:lineRule="auto"/>
        <w:tabs>
          <w:tab w:leader="none" w:pos="1765"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firstLine="885"/>
        <w:spacing w:after="0" w:line="251" w:lineRule="auto"/>
        <w:tabs>
          <w:tab w:leader="none" w:pos="1742"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made repeatedly in the past;</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9" w:name="page90"/>
    <w:bookmarkEnd w:id="89"/>
    <w:p>
      <w:pPr>
        <w:jc w:val="both"/>
        <w:ind w:firstLine="885"/>
        <w:spacing w:after="0"/>
        <w:tabs>
          <w:tab w:leader="none" w:pos="1778"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740" w:hanging="855"/>
        <w:spacing w:after="0"/>
        <w:tabs>
          <w:tab w:leader="none" w:pos="17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jc w:val="both"/>
        <w:ind w:firstLine="885"/>
        <w:spacing w:after="0"/>
        <w:tabs>
          <w:tab w:leader="none" w:pos="173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86"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firstLine="885"/>
        <w:spacing w:after="0" w:line="251" w:lineRule="auto"/>
        <w:tabs>
          <w:tab w:leader="none" w:pos="1730" w:val="left"/>
        </w:tabs>
        <w:numPr>
          <w:ilvl w:val="1"/>
          <w:numId w:val="83"/>
        </w:numPr>
        <w:rPr>
          <w:rFonts w:ascii="Arial" w:cs="Arial" w:eastAsia="Arial" w:hAnsi="Arial"/>
          <w:sz w:val="22"/>
          <w:szCs w:val="22"/>
          <w:color w:val="auto"/>
        </w:rPr>
      </w:pPr>
      <w:r>
        <w:rPr>
          <w:rFonts w:ascii="Arial" w:cs="Arial" w:eastAsia="Arial" w:hAnsi="Arial"/>
          <w:sz w:val="22"/>
          <w:szCs w:val="22"/>
          <w:color w:val="auto"/>
        </w:rPr>
        <w:t>in the event that the Eligible Individual is not an employee of the Company, a Subsidiary or an Affiliate, the Award will not be interpreted to form an employment contract or relationship with the Company; and</w:t>
      </w:r>
    </w:p>
    <w:p>
      <w:pPr>
        <w:spacing w:after="0" w:line="173" w:lineRule="exact"/>
        <w:rPr>
          <w:rFonts w:ascii="Arial" w:cs="Arial" w:eastAsia="Arial" w:hAnsi="Arial"/>
          <w:sz w:val="22"/>
          <w:szCs w:val="22"/>
          <w:color w:val="auto"/>
        </w:rPr>
      </w:pPr>
    </w:p>
    <w:p>
      <w:pPr>
        <w:jc w:val="both"/>
        <w:ind w:firstLine="885"/>
        <w:spacing w:after="0" w:line="279" w:lineRule="auto"/>
        <w:tabs>
          <w:tab w:leader="none" w:pos="1838"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880" w:hanging="872"/>
        <w:spacing w:after="0"/>
        <w:tabs>
          <w:tab w:leader="none" w:pos="88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0" w:name="page91"/>
    <w:bookmarkEnd w:id="90"/>
    <w:p>
      <w:pPr>
        <w:ind w:left="880" w:hanging="872"/>
        <w:spacing w:after="0"/>
        <w:tabs>
          <w:tab w:leader="none" w:pos="88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2"/>
        <w:spacing w:after="0"/>
        <w:tabs>
          <w:tab w:leader="none" w:pos="88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85" w:lineRule="exact"/>
        <w:rPr>
          <w:rFonts w:ascii="Arial" w:cs="Arial" w:eastAsia="Arial" w:hAnsi="Arial"/>
          <w:sz w:val="22"/>
          <w:szCs w:val="22"/>
          <w:color w:val="auto"/>
        </w:rPr>
      </w:pPr>
    </w:p>
    <w:p>
      <w:pPr>
        <w:jc w:val="both"/>
        <w:ind w:firstLine="885"/>
        <w:spacing w:after="0" w:line="249" w:lineRule="auto"/>
        <w:tabs>
          <w:tab w:leader="none" w:pos="1778" w:val="left"/>
        </w:tabs>
        <w:numPr>
          <w:ilvl w:val="1"/>
          <w:numId w:val="87"/>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2" w:lineRule="exact"/>
        <w:rPr>
          <w:rFonts w:ascii="Arial" w:cs="Arial" w:eastAsia="Arial" w:hAnsi="Arial"/>
          <w:sz w:val="21"/>
          <w:szCs w:val="21"/>
          <w:color w:val="auto"/>
        </w:rPr>
      </w:pPr>
    </w:p>
    <w:p>
      <w:pPr>
        <w:ind w:left="880" w:hanging="872"/>
        <w:spacing w:after="0"/>
        <w:tabs>
          <w:tab w:leader="none" w:pos="88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87"/>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rFonts w:ascii="Arial" w:cs="Arial" w:eastAsia="Arial" w:hAnsi="Arial"/>
          <w:sz w:val="22"/>
          <w:szCs w:val="22"/>
          <w:color w:val="auto"/>
        </w:rPr>
      </w:pPr>
    </w:p>
    <w:p>
      <w:pPr>
        <w:jc w:val="both"/>
        <w:ind w:firstLine="885"/>
        <w:spacing w:after="0" w:line="246" w:lineRule="auto"/>
        <w:tabs>
          <w:tab w:leader="none" w:pos="1778" w:val="left"/>
        </w:tabs>
        <w:numPr>
          <w:ilvl w:val="1"/>
          <w:numId w:val="87"/>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rFonts w:ascii="Arial" w:cs="Arial" w:eastAsia="Arial" w:hAnsi="Arial"/>
          <w:sz w:val="21"/>
          <w:szCs w:val="21"/>
          <w:color w:val="auto"/>
        </w:rPr>
      </w:pPr>
    </w:p>
    <w:p>
      <w:pPr>
        <w:jc w:val="both"/>
        <w:ind w:firstLine="885"/>
        <w:spacing w:after="0" w:line="238" w:lineRule="auto"/>
        <w:tabs>
          <w:tab w:leader="none" w:pos="1765" w:val="left"/>
        </w:tabs>
        <w:numPr>
          <w:ilvl w:val="1"/>
          <w:numId w:val="87"/>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1" w:name="page92"/>
    <w:bookmarkEnd w:id="91"/>
    <w:p>
      <w:pPr>
        <w:ind w:left="880" w:hanging="872"/>
        <w:spacing w:after="0"/>
        <w:tabs>
          <w:tab w:leader="none" w:pos="88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85"/>
        <w:spacing w:after="0" w:line="245" w:lineRule="auto"/>
        <w:tabs>
          <w:tab w:leader="none" w:pos="1765"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5" w:lineRule="exact"/>
        <w:rPr>
          <w:rFonts w:ascii="Arial" w:cs="Arial" w:eastAsia="Arial" w:hAnsi="Arial"/>
          <w:sz w:val="21"/>
          <w:szCs w:val="21"/>
          <w:color w:val="auto"/>
        </w:rPr>
      </w:pPr>
    </w:p>
    <w:p>
      <w:pPr>
        <w:jc w:val="both"/>
        <w:ind w:firstLine="885"/>
        <w:spacing w:after="0" w:line="275" w:lineRule="auto"/>
        <w:tabs>
          <w:tab w:leader="none" w:pos="1778"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8" w:lineRule="exact"/>
        <w:rPr>
          <w:rFonts w:ascii="Arial" w:cs="Arial" w:eastAsia="Arial" w:hAnsi="Arial"/>
          <w:sz w:val="19"/>
          <w:szCs w:val="19"/>
          <w:color w:val="auto"/>
        </w:rPr>
      </w:pPr>
    </w:p>
    <w:p>
      <w:pPr>
        <w:jc w:val="both"/>
        <w:ind w:firstLine="885"/>
        <w:spacing w:after="0" w:line="279" w:lineRule="auto"/>
        <w:tabs>
          <w:tab w:leader="none" w:pos="1765"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firstLine="885"/>
        <w:spacing w:after="0" w:line="249" w:lineRule="auto"/>
        <w:tabs>
          <w:tab w:leader="none" w:pos="1765"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2" w:name="page93"/>
    <w:bookmarkEnd w:id="92"/>
    <w:p>
      <w:pPr>
        <w:jc w:val="both"/>
        <w:ind w:firstLine="885"/>
        <w:spacing w:after="0" w:line="275" w:lineRule="auto"/>
        <w:tabs>
          <w:tab w:leader="none" w:pos="1778"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52" w:lineRule="exact"/>
        <w:rPr>
          <w:rFonts w:ascii="Arial" w:cs="Arial" w:eastAsia="Arial" w:hAnsi="Arial"/>
          <w:sz w:val="19"/>
          <w:szCs w:val="19"/>
          <w:color w:val="auto"/>
        </w:rPr>
      </w:pPr>
    </w:p>
    <w:p>
      <w:pPr>
        <w:ind w:left="880" w:hanging="872"/>
        <w:spacing w:after="0"/>
        <w:tabs>
          <w:tab w:leader="none" w:pos="88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19"/>
          <w:szCs w:val="19"/>
          <w:color w:val="auto"/>
        </w:rPr>
        <w:t>The Eligible Individual has received this Agreement and any other related communications and consents to having</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81" w:lineRule="exact"/>
        <w:rPr>
          <w:sz w:val="20"/>
          <w:szCs w:val="20"/>
          <w:color w:val="auto"/>
        </w:rPr>
      </w:pPr>
    </w:p>
    <w:p>
      <w:pPr>
        <w:ind w:left="880" w:hanging="872"/>
        <w:spacing w:after="0"/>
        <w:tabs>
          <w:tab w:leader="none" w:pos="88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3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10.4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RESTRICTED STOCK UNIT AGREEMENT (this “Agreement”), dated as of the grant date specified on the Grant Details referenced below (the “Grant Date”),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Company’s Amended and Restated 2011 Stock and Annual Incentive Plan or the Company’s 2018 Stock and Annual Incentive Plan, as appropriate (as either may be amended from time to time, the “Plan”).</w:t>
      </w:r>
    </w:p>
    <w:p>
      <w:pPr>
        <w:spacing w:after="0" w:line="180" w:lineRule="exact"/>
        <w:rPr>
          <w:sz w:val="20"/>
          <w:szCs w:val="20"/>
          <w:color w:val="auto"/>
        </w:rPr>
      </w:pPr>
    </w:p>
    <w:p>
      <w:pPr>
        <w:ind w:left="880" w:hanging="872"/>
        <w:spacing w:after="0"/>
        <w:tabs>
          <w:tab w:leader="none" w:pos="88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RSUs</w:t>
      </w:r>
    </w:p>
    <w:p>
      <w:pPr>
        <w:spacing w:after="0" w:line="212" w:lineRule="exact"/>
        <w:rPr>
          <w:rFonts w:ascii="Arial" w:cs="Arial" w:eastAsia="Arial" w:hAnsi="Arial"/>
          <w:sz w:val="22"/>
          <w:szCs w:val="22"/>
          <w:b w:val="1"/>
          <w:bCs w:val="1"/>
          <w:color w:val="auto"/>
        </w:rPr>
      </w:pPr>
    </w:p>
    <w:p>
      <w:pPr>
        <w:jc w:val="both"/>
        <w:ind w:firstLine="885"/>
        <w:spacing w:after="0" w:line="247" w:lineRule="auto"/>
        <w:tabs>
          <w:tab w:leader="none" w:pos="1765" w:val="left"/>
        </w:tabs>
        <w:numPr>
          <w:ilvl w:val="1"/>
          <w:numId w:val="92"/>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21"/>
          <w:szCs w:val="21"/>
          <w:u w:val="single" w:color="auto"/>
          <w:color w:val="auto"/>
        </w:rPr>
        <w:t>www.netbenefits.fidelity.com</w:t>
      </w:r>
      <w:r>
        <w:rPr>
          <w:rFonts w:ascii="Arial" w:cs="Arial" w:eastAsia="Arial" w:hAnsi="Arial"/>
          <w:sz w:val="21"/>
          <w:szCs w:val="21"/>
          <w:color w:val="auto"/>
        </w:rPr>
        <w:t xml:space="preserve"> (or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p>
    <w:p>
      <w:pPr>
        <w:spacing w:after="0" w:line="178" w:lineRule="exact"/>
        <w:rPr>
          <w:rFonts w:ascii="Arial" w:cs="Arial" w:eastAsia="Arial" w:hAnsi="Arial"/>
          <w:sz w:val="21"/>
          <w:szCs w:val="21"/>
          <w:color w:val="auto"/>
        </w:rPr>
      </w:pPr>
    </w:p>
    <w:p>
      <w:pPr>
        <w:jc w:val="both"/>
        <w:ind w:firstLine="885"/>
        <w:spacing w:after="0"/>
        <w:tabs>
          <w:tab w:leader="none" w:pos="1778" w:val="left"/>
        </w:tabs>
        <w:numPr>
          <w:ilvl w:val="1"/>
          <w:numId w:val="92"/>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Grant Details and the Plan, the RSUs shall vest and no longer be subject to any restriction (such period during which restrictions apply shall be referred to as the “RSU Restriction Period”) on the dates detailed in the Grant Details.</w:t>
      </w:r>
    </w:p>
    <w:p>
      <w:pPr>
        <w:spacing w:after="0" w:line="180" w:lineRule="exact"/>
        <w:rPr>
          <w:rFonts w:ascii="Arial" w:cs="Arial" w:eastAsia="Arial" w:hAnsi="Arial"/>
          <w:sz w:val="22"/>
          <w:szCs w:val="22"/>
          <w:color w:val="auto"/>
        </w:rPr>
      </w:pPr>
    </w:p>
    <w:p>
      <w:pPr>
        <w:ind w:left="880" w:hanging="872"/>
        <w:spacing w:after="0"/>
        <w:tabs>
          <w:tab w:leader="none" w:pos="88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RSUs</w:t>
      </w:r>
    </w:p>
    <w:p>
      <w:pPr>
        <w:spacing w:after="0" w:line="21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As soon as practicable after any RSUs have vested and are no longer subject to the RSU Restriction Period (but in no event later than sixty (60) days thereafter), such RSUs shall be settled. Subject to Section 7 (pertaining to the withholding of taxes), for each RSU settled pursuant to this Section 2, the Company shall issue one Share and cause to be delivered to the Eligible Individual one or more unlegended, freely-transferable stock certificates in respect of such Shares issued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4" w:name="page95"/>
    <w:bookmarkEnd w:id="94"/>
    <w:p>
      <w:pPr>
        <w:ind w:left="880" w:hanging="872"/>
        <w:spacing w:after="0"/>
        <w:tabs>
          <w:tab w:leader="none" w:pos="88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color w:val="auto"/>
        </w:rPr>
      </w:pPr>
    </w:p>
    <w:p>
      <w:pPr>
        <w:jc w:val="both"/>
        <w:ind w:firstLine="885"/>
        <w:spacing w:after="0" w:line="273" w:lineRule="auto"/>
        <w:tabs>
          <w:tab w:leader="none" w:pos="1765"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85"/>
        <w:spacing w:after="0" w:line="272" w:lineRule="auto"/>
        <w:tabs>
          <w:tab w:leader="none" w:pos="1778" w:val="left"/>
        </w:tabs>
        <w:numPr>
          <w:ilvl w:val="1"/>
          <w:numId w:val="93"/>
        </w:numPr>
        <w:rPr>
          <w:rFonts w:ascii="Arial" w:cs="Arial" w:eastAsia="Arial" w:hAnsi="Arial"/>
          <w:sz w:val="19"/>
          <w:szCs w:val="19"/>
          <w:color w:val="auto"/>
        </w:rPr>
      </w:pPr>
      <w:r>
        <w:rPr>
          <w:rFonts w:ascii="Arial" w:cs="Arial" w:eastAsia="Arial" w:hAnsi="Arial"/>
          <w:sz w:val="19"/>
          <w:szCs w:val="19"/>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1" w:lineRule="exact"/>
        <w:rPr>
          <w:rFonts w:ascii="Arial" w:cs="Arial" w:eastAsia="Arial" w:hAnsi="Arial"/>
          <w:sz w:val="19"/>
          <w:szCs w:val="19"/>
          <w:color w:val="auto"/>
        </w:rPr>
      </w:pPr>
    </w:p>
    <w:p>
      <w:pPr>
        <w:jc w:val="both"/>
        <w:ind w:firstLine="885"/>
        <w:spacing w:after="0" w:line="236" w:lineRule="auto"/>
        <w:tabs>
          <w:tab w:leader="none" w:pos="1765" w:val="left"/>
        </w:tabs>
        <w:numPr>
          <w:ilvl w:val="1"/>
          <w:numId w:val="93"/>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rFonts w:ascii="Arial" w:cs="Arial" w:eastAsia="Arial" w:hAnsi="Arial"/>
          <w:sz w:val="22"/>
          <w:szCs w:val="22"/>
          <w:color w:val="auto"/>
        </w:rPr>
      </w:pPr>
    </w:p>
    <w:p>
      <w:pPr>
        <w:jc w:val="both"/>
        <w:ind w:firstLine="885"/>
        <w:spacing w:after="0" w:line="297" w:lineRule="auto"/>
        <w:tabs>
          <w:tab w:leader="none" w:pos="1778" w:val="left"/>
        </w:tabs>
        <w:numPr>
          <w:ilvl w:val="1"/>
          <w:numId w:val="93"/>
        </w:numPr>
        <w:rPr>
          <w:rFonts w:ascii="Arial" w:cs="Arial" w:eastAsia="Arial" w:hAnsi="Arial"/>
          <w:sz w:val="19"/>
          <w:szCs w:val="19"/>
          <w:color w:val="auto"/>
        </w:rPr>
      </w:pPr>
      <w:r>
        <w:rPr>
          <w:rFonts w:ascii="Arial" w:cs="Arial" w:eastAsia="Arial" w:hAnsi="Arial"/>
          <w:sz w:val="19"/>
          <w:szCs w:val="19"/>
          <w:color w:val="auto"/>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5" w:name="page96"/>
    <w:bookmarkEnd w:id="95"/>
    <w:p>
      <w:pPr>
        <w:ind w:left="880" w:hanging="872"/>
        <w:spacing w:after="0"/>
        <w:tabs>
          <w:tab w:leader="none" w:pos="88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RSUs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During the RSU Restriction Period and until such time as the RSUs are settled as provided herein or on the website of the Plan Administrator, the RSUs shall not be transferable by the Eligible Individual by means of sale, assignment, exchange, encumbrance, pledge, hedge or otherwise.</w:t>
      </w:r>
    </w:p>
    <w:p>
      <w:pPr>
        <w:spacing w:after="0" w:line="180" w:lineRule="exact"/>
        <w:rPr>
          <w:sz w:val="20"/>
          <w:szCs w:val="20"/>
          <w:color w:val="auto"/>
        </w:rPr>
      </w:pPr>
    </w:p>
    <w:p>
      <w:pPr>
        <w:ind w:left="880" w:hanging="872"/>
        <w:spacing w:after="0"/>
        <w:tabs>
          <w:tab w:leader="none" w:pos="88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6 below, rather than under this Section 5.</w:t>
      </w:r>
    </w:p>
    <w:p>
      <w:pPr>
        <w:spacing w:after="0" w:line="152" w:lineRule="exact"/>
        <w:rPr>
          <w:sz w:val="20"/>
          <w:szCs w:val="20"/>
          <w:color w:val="auto"/>
        </w:rPr>
      </w:pPr>
    </w:p>
    <w:p>
      <w:pPr>
        <w:ind w:left="880" w:hanging="872"/>
        <w:spacing w:after="0"/>
        <w:tabs>
          <w:tab w:leader="none" w:pos="88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firstLine="885"/>
        <w:spacing w:after="0" w:line="279" w:lineRule="auto"/>
        <w:tabs>
          <w:tab w:leader="none" w:pos="1765" w:val="left"/>
        </w:tabs>
        <w:numPr>
          <w:ilvl w:val="1"/>
          <w:numId w:val="96"/>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50" w:lineRule="exact"/>
        <w:rPr>
          <w:rFonts w:ascii="Arial" w:cs="Arial" w:eastAsia="Arial" w:hAnsi="Arial"/>
          <w:sz w:val="19"/>
          <w:szCs w:val="19"/>
          <w:color w:val="auto"/>
        </w:rPr>
      </w:pPr>
    </w:p>
    <w:p>
      <w:pPr>
        <w:jc w:val="both"/>
        <w:ind w:firstLine="885"/>
        <w:spacing w:after="0" w:line="245" w:lineRule="auto"/>
        <w:tabs>
          <w:tab w:leader="none" w:pos="1778" w:val="left"/>
        </w:tabs>
        <w:numPr>
          <w:ilvl w:val="1"/>
          <w:numId w:val="96"/>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 ).</w:t>
      </w:r>
    </w:p>
    <w:p>
      <w:pPr>
        <w:spacing w:after="0" w:line="185" w:lineRule="exact"/>
        <w:rPr>
          <w:rFonts w:ascii="Arial" w:cs="Arial" w:eastAsia="Arial" w:hAnsi="Arial"/>
          <w:sz w:val="21"/>
          <w:szCs w:val="21"/>
          <w:color w:val="auto"/>
        </w:rPr>
      </w:pPr>
    </w:p>
    <w:p>
      <w:pPr>
        <w:ind w:firstLine="885"/>
        <w:spacing w:after="0" w:line="251" w:lineRule="auto"/>
        <w:tabs>
          <w:tab w:leader="none" w:pos="1765"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Eligible Individuals.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6" w:name="page97"/>
    <w:bookmarkEnd w:id="96"/>
    <w:p>
      <w:pPr>
        <w:ind w:left="880" w:hanging="872"/>
        <w:spacing w:after="0"/>
        <w:tabs>
          <w:tab w:leader="none" w:pos="88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b w:val="1"/>
          <w:bCs w:val="1"/>
          <w:color w:val="auto"/>
        </w:rPr>
      </w:pPr>
    </w:p>
    <w:p>
      <w:pPr>
        <w:jc w:val="both"/>
        <w:ind w:firstLine="885"/>
        <w:spacing w:after="0"/>
        <w:tabs>
          <w:tab w:leader="none" w:pos="1765"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firstLine="885"/>
        <w:spacing w:after="0" w:line="277" w:lineRule="auto"/>
        <w:tabs>
          <w:tab w:leader="none" w:pos="1778" w:val="left"/>
        </w:tabs>
        <w:numPr>
          <w:ilvl w:val="1"/>
          <w:numId w:val="97"/>
        </w:numPr>
        <w:rPr>
          <w:rFonts w:ascii="Arial" w:cs="Arial" w:eastAsia="Arial" w:hAnsi="Arial"/>
          <w:sz w:val="19"/>
          <w:szCs w:val="19"/>
          <w:color w:val="auto"/>
        </w:rPr>
      </w:pPr>
      <w:r>
        <w:rPr>
          <w:rFonts w:ascii="Arial" w:cs="Arial" w:eastAsia="Arial" w:hAnsi="Arial"/>
          <w:sz w:val="19"/>
          <w:szCs w:val="19"/>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spacing w:after="0" w:line="152" w:lineRule="exact"/>
        <w:rPr>
          <w:rFonts w:ascii="Arial" w:cs="Arial" w:eastAsia="Arial" w:hAnsi="Arial"/>
          <w:sz w:val="19"/>
          <w:szCs w:val="19"/>
          <w:color w:val="auto"/>
        </w:rPr>
      </w:pPr>
    </w:p>
    <w:p>
      <w:pPr>
        <w:jc w:val="both"/>
        <w:ind w:firstLine="885"/>
        <w:spacing w:after="0" w:line="270" w:lineRule="auto"/>
        <w:tabs>
          <w:tab w:leader="none" w:pos="1765"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vesting or exercise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7" w:name="page98"/>
    <w:bookmarkEnd w:id="97"/>
    <w:p>
      <w:pPr>
        <w:jc w:val="both"/>
        <w:ind w:firstLine="885"/>
        <w:spacing w:after="0" w:line="274" w:lineRule="auto"/>
        <w:tabs>
          <w:tab w:leader="none" w:pos="1778" w:val="left"/>
        </w:tabs>
        <w:numPr>
          <w:ilvl w:val="1"/>
          <w:numId w:val="98"/>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52" w:lineRule="exact"/>
        <w:rPr>
          <w:rFonts w:ascii="Arial" w:cs="Arial" w:eastAsia="Arial" w:hAnsi="Arial"/>
          <w:sz w:val="19"/>
          <w:szCs w:val="19"/>
          <w:color w:val="auto"/>
        </w:rPr>
      </w:pPr>
    </w:p>
    <w:p>
      <w:pPr>
        <w:ind w:left="880" w:hanging="872"/>
        <w:spacing w:after="0"/>
        <w:tabs>
          <w:tab w:leader="none" w:pos="88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jc w:val="both"/>
        <w:ind w:firstLine="885"/>
        <w:spacing w:after="0" w:line="249" w:lineRule="auto"/>
        <w:tabs>
          <w:tab w:leader="none" w:pos="1765"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8" w:lineRule="exact"/>
        <w:rPr>
          <w:rFonts w:ascii="Arial" w:cs="Arial" w:eastAsia="Arial" w:hAnsi="Arial"/>
          <w:sz w:val="21"/>
          <w:szCs w:val="21"/>
          <w:color w:val="auto"/>
        </w:rPr>
      </w:pPr>
    </w:p>
    <w:p>
      <w:pPr>
        <w:jc w:val="both"/>
        <w:ind w:firstLine="885"/>
        <w:spacing w:after="0" w:line="234" w:lineRule="auto"/>
        <w:tabs>
          <w:tab w:leader="none" w:pos="1778"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1" w:lineRule="exact"/>
        <w:rPr>
          <w:rFonts w:ascii="Arial" w:cs="Arial" w:eastAsia="Arial" w:hAnsi="Arial"/>
          <w:sz w:val="22"/>
          <w:szCs w:val="22"/>
          <w:color w:val="auto"/>
        </w:rPr>
      </w:pPr>
    </w:p>
    <w:p>
      <w:pPr>
        <w:ind w:left="880" w:hanging="872"/>
        <w:spacing w:after="0"/>
        <w:tabs>
          <w:tab w:leader="none" w:pos="88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color w:val="auto"/>
        </w:rPr>
      </w:pPr>
    </w:p>
    <w:p>
      <w:pPr>
        <w:ind w:firstLine="885"/>
        <w:spacing w:after="0" w:line="328" w:lineRule="auto"/>
        <w:tabs>
          <w:tab w:leader="none" w:pos="1765"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firstLine="885"/>
        <w:spacing w:after="0" w:line="251" w:lineRule="auto"/>
        <w:tabs>
          <w:tab w:leader="none" w:pos="1778"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made repeatedly in the past;</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8" w:name="page99"/>
    <w:bookmarkEnd w:id="98"/>
    <w:p>
      <w:pPr>
        <w:jc w:val="both"/>
        <w:ind w:firstLine="885"/>
        <w:spacing w:after="0"/>
        <w:tabs>
          <w:tab w:leader="none" w:pos="177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jc w:val="both"/>
        <w:ind w:firstLine="885"/>
        <w:spacing w:after="0"/>
        <w:tabs>
          <w:tab w:leader="none" w:pos="174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86"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firstLine="885"/>
        <w:spacing w:after="0" w:line="251" w:lineRule="auto"/>
        <w:tabs>
          <w:tab w:leader="none" w:pos="177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in the event that the Eligible Individual is not an employee of the Company, Subsidiary or Affiliate, the Award will not be interpreted to form an employment contract or relationship with the Company; and</w:t>
      </w:r>
    </w:p>
    <w:p>
      <w:pPr>
        <w:spacing w:after="0" w:line="173" w:lineRule="exact"/>
        <w:rPr>
          <w:rFonts w:ascii="Arial" w:cs="Arial" w:eastAsia="Arial" w:hAnsi="Arial"/>
          <w:sz w:val="22"/>
          <w:szCs w:val="22"/>
          <w:color w:val="auto"/>
        </w:rPr>
      </w:pPr>
    </w:p>
    <w:p>
      <w:pPr>
        <w:jc w:val="both"/>
        <w:ind w:firstLine="885"/>
        <w:spacing w:after="0" w:line="279" w:lineRule="auto"/>
        <w:tabs>
          <w:tab w:leader="none" w:pos="173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880" w:hanging="872"/>
        <w:spacing w:after="0"/>
        <w:tabs>
          <w:tab w:leader="none" w:pos="88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9" w:name="page100"/>
    <w:bookmarkEnd w:id="99"/>
    <w:p>
      <w:pPr>
        <w:ind w:left="880" w:hanging="872"/>
        <w:spacing w:after="0"/>
        <w:tabs>
          <w:tab w:leader="none" w:pos="88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2"/>
        <w:spacing w:after="0"/>
        <w:tabs>
          <w:tab w:leader="none" w:pos="88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85" w:lineRule="exact"/>
        <w:rPr>
          <w:rFonts w:ascii="Arial" w:cs="Arial" w:eastAsia="Arial" w:hAnsi="Arial"/>
          <w:sz w:val="22"/>
          <w:szCs w:val="22"/>
          <w:color w:val="auto"/>
        </w:rPr>
      </w:pPr>
    </w:p>
    <w:p>
      <w:pPr>
        <w:jc w:val="both"/>
        <w:ind w:firstLine="885"/>
        <w:spacing w:after="0" w:line="249" w:lineRule="auto"/>
        <w:tabs>
          <w:tab w:leader="none" w:pos="1778"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2" w:lineRule="exact"/>
        <w:rPr>
          <w:rFonts w:ascii="Arial" w:cs="Arial" w:eastAsia="Arial" w:hAnsi="Arial"/>
          <w:sz w:val="21"/>
          <w:szCs w:val="21"/>
          <w:color w:val="auto"/>
        </w:rPr>
      </w:pPr>
    </w:p>
    <w:p>
      <w:pPr>
        <w:ind w:left="880" w:hanging="872"/>
        <w:spacing w:after="0"/>
        <w:tabs>
          <w:tab w:leader="none" w:pos="88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rFonts w:ascii="Arial" w:cs="Arial" w:eastAsia="Arial" w:hAnsi="Arial"/>
          <w:sz w:val="22"/>
          <w:szCs w:val="22"/>
          <w:color w:val="auto"/>
        </w:rPr>
      </w:pPr>
    </w:p>
    <w:p>
      <w:pPr>
        <w:jc w:val="both"/>
        <w:ind w:firstLine="885"/>
        <w:spacing w:after="0" w:line="246" w:lineRule="auto"/>
        <w:tabs>
          <w:tab w:leader="none" w:pos="1778" w:val="left"/>
        </w:tabs>
        <w:numPr>
          <w:ilvl w:val="1"/>
          <w:numId w:val="104"/>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rFonts w:ascii="Arial" w:cs="Arial" w:eastAsia="Arial" w:hAnsi="Arial"/>
          <w:sz w:val="21"/>
          <w:szCs w:val="21"/>
          <w:color w:val="auto"/>
        </w:rPr>
      </w:pPr>
    </w:p>
    <w:p>
      <w:pPr>
        <w:jc w:val="both"/>
        <w:ind w:firstLine="885"/>
        <w:spacing w:after="0" w:line="238" w:lineRule="auto"/>
        <w:tabs>
          <w:tab w:leader="none" w:pos="176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0" w:name="page101"/>
    <w:bookmarkEnd w:id="100"/>
    <w:p>
      <w:pPr>
        <w:ind w:left="880" w:hanging="872"/>
        <w:spacing w:after="0"/>
        <w:tabs>
          <w:tab w:leader="none" w:pos="88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85"/>
        <w:spacing w:after="0" w:line="233" w:lineRule="auto"/>
        <w:tabs>
          <w:tab w:leader="none" w:pos="1765"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93" w:lineRule="exact"/>
        <w:rPr>
          <w:rFonts w:ascii="Arial" w:cs="Arial" w:eastAsia="Arial" w:hAnsi="Arial"/>
          <w:sz w:val="22"/>
          <w:szCs w:val="22"/>
          <w:color w:val="auto"/>
        </w:rPr>
      </w:pPr>
    </w:p>
    <w:p>
      <w:pPr>
        <w:jc w:val="both"/>
        <w:ind w:firstLine="885"/>
        <w:spacing w:after="0" w:line="275" w:lineRule="auto"/>
        <w:tabs>
          <w:tab w:leader="none" w:pos="177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8" w:lineRule="exact"/>
        <w:rPr>
          <w:rFonts w:ascii="Arial" w:cs="Arial" w:eastAsia="Arial" w:hAnsi="Arial"/>
          <w:sz w:val="19"/>
          <w:szCs w:val="19"/>
          <w:color w:val="auto"/>
        </w:rPr>
      </w:pPr>
    </w:p>
    <w:p>
      <w:pPr>
        <w:jc w:val="both"/>
        <w:ind w:firstLine="885"/>
        <w:spacing w:after="0" w:line="279" w:lineRule="auto"/>
        <w:tabs>
          <w:tab w:leader="none" w:pos="1765" w:val="left"/>
        </w:tabs>
        <w:numPr>
          <w:ilvl w:val="1"/>
          <w:numId w:val="105"/>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1" w:name="page102"/>
    <w:bookmarkEnd w:id="101"/>
    <w:p>
      <w:pPr>
        <w:ind w:left="880" w:hanging="872"/>
        <w:spacing w:after="0"/>
        <w:tabs>
          <w:tab w:leader="none" w:pos="88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880" w:hanging="872"/>
        <w:spacing w:after="0"/>
        <w:tabs>
          <w:tab w:leader="none" w:pos="88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p>
    <w:p>
      <w:pPr>
        <w:spacing w:after="0" w:line="182" w:lineRule="exact"/>
        <w:rPr>
          <w:sz w:val="20"/>
          <w:szCs w:val="20"/>
          <w:color w:val="auto"/>
        </w:rPr>
      </w:pPr>
    </w:p>
    <w:p>
      <w:pPr>
        <w:ind w:left="880" w:hanging="872"/>
        <w:spacing w:after="0"/>
        <w:tabs>
          <w:tab w:leader="none" w:pos="88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Exchange Risk</w:t>
      </w:r>
    </w:p>
    <w:p>
      <w:pPr>
        <w:spacing w:after="0" w:line="212"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Exchange Risk”). Eligible Individual waives and releases the Company, its Subsidiaries and Affiliates and the Plan Administrator from any potential claims arising out of the Currency Exchange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2" w:name="page103"/>
    <w:bookmarkEnd w:id="102"/>
    <w:p>
      <w:pPr>
        <w:ind w:left="880" w:hanging="872"/>
        <w:spacing w:after="0"/>
        <w:tabs>
          <w:tab w:leader="none" w:pos="88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p>
    <w:p>
      <w:pPr>
        <w:spacing w:after="0" w:line="212"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Notwithstanding any provisions in this Agreement to the contrary, the RSUs shall be subject to any special terms and conditions set forth in the Appendix to the Agreement for Eligible Individual’s country.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 of this Agreement and is incorporated by reference as fully as though set forth herein.</w:t>
      </w:r>
    </w:p>
    <w:p>
      <w:pPr>
        <w:spacing w:after="0" w:line="172" w:lineRule="exact"/>
        <w:rPr>
          <w:sz w:val="20"/>
          <w:szCs w:val="20"/>
          <w:color w:val="auto"/>
        </w:rPr>
      </w:pPr>
    </w:p>
    <w:p>
      <w:pPr>
        <w:ind w:left="880" w:hanging="872"/>
        <w:spacing w:after="0"/>
        <w:tabs>
          <w:tab w:leader="none" w:pos="88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28" w:lineRule="exact"/>
        <w:rPr>
          <w:sz w:val="20"/>
          <w:szCs w:val="20"/>
          <w:color w:val="auto"/>
        </w:rPr>
      </w:pPr>
    </w:p>
    <w:p>
      <w:pPr>
        <w:ind w:left="880" w:hanging="872"/>
        <w:spacing w:after="0"/>
        <w:tabs>
          <w:tab w:leader="none" w:pos="88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auto"/>
        </w:rPr>
        <w:t>APPENDIX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OF THE TRIPADVISOR, INC.</w:t>
      </w:r>
    </w:p>
    <w:p>
      <w:pPr>
        <w:ind w:left="4840"/>
        <w:spacing w:after="0"/>
        <w:rPr>
          <w:sz w:val="20"/>
          <w:szCs w:val="20"/>
          <w:color w:val="auto"/>
        </w:rPr>
      </w:pPr>
      <w:r>
        <w:rPr>
          <w:rFonts w:ascii="Arial" w:cs="Arial" w:eastAsia="Arial" w:hAnsi="Arial"/>
          <w:sz w:val="20"/>
          <w:szCs w:val="20"/>
          <w:b w:val="1"/>
          <w:bCs w:val="1"/>
          <w:color w:val="auto"/>
        </w:rPr>
        <w:t>RSU AGREEMENT</w:t>
      </w:r>
    </w:p>
    <w:p>
      <w:pPr>
        <w:ind w:left="4800"/>
        <w:spacing w:after="0"/>
        <w:rPr>
          <w:sz w:val="20"/>
          <w:szCs w:val="20"/>
          <w:color w:val="auto"/>
        </w:rPr>
      </w:pPr>
      <w:r>
        <w:rPr>
          <w:rFonts w:ascii="Arial" w:cs="Arial" w:eastAsia="Arial" w:hAnsi="Arial"/>
          <w:sz w:val="20"/>
          <w:szCs w:val="20"/>
          <w:b w:val="1"/>
          <w:bCs w:val="1"/>
          <w:color w:val="auto"/>
        </w:rPr>
        <w:t>(INTERNATIONAL)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Notifications</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March 2018.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Notwithstanding any other provision of this Agreement, (a) the RSUs may not be settled in cash; and (b) the vesting of RSUs may be accelerated by the Plan Administrator only upon the death or total permanent disablement of Eligible Individual, and to the extent permitted by applicable law.</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RSUs; (b) a holding company (within the meaning of the </w:t>
      </w:r>
      <w:r>
        <w:rPr>
          <w:rFonts w:ascii="Arial" w:cs="Arial" w:eastAsia="Arial" w:hAnsi="Arial"/>
          <w:sz w:val="18"/>
          <w:szCs w:val="18"/>
          <w:i w:val="1"/>
          <w:iCs w:val="1"/>
          <w:color w:val="auto"/>
        </w:rPr>
        <w:t xml:space="preserve">Corporations Act 2001 </w:t>
      </w:r>
      <w:r>
        <w:rPr>
          <w:rFonts w:ascii="Arial" w:cs="Arial" w:eastAsia="Arial" w:hAnsi="Arial"/>
          <w:sz w:val="18"/>
          <w:szCs w:val="18"/>
          <w:color w:val="auto"/>
        </w:rPr>
        <w:t>(Cth)) of Eligible Individual’s employer in the employment in respect of which Eligible Individual acquired the RSUs;</w:t>
      </w:r>
    </w:p>
    <w:p>
      <w:pPr>
        <w:spacing w:after="0" w:line="3" w:lineRule="exact"/>
        <w:rPr>
          <w:sz w:val="20"/>
          <w:szCs w:val="20"/>
          <w:color w:val="auto"/>
        </w:rPr>
      </w:pPr>
    </w:p>
    <w:p>
      <w:pPr>
        <w:jc w:val="both"/>
        <w:ind w:firstLine="8"/>
        <w:spacing w:after="0" w:line="241" w:lineRule="auto"/>
        <w:tabs>
          <w:tab w:leader="none" w:pos="28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a subsidiary (within the meaning of the </w:t>
      </w:r>
      <w:r>
        <w:rPr>
          <w:rFonts w:ascii="Arial" w:cs="Arial" w:eastAsia="Arial" w:hAnsi="Arial"/>
          <w:sz w:val="20"/>
          <w:szCs w:val="20"/>
          <w:i w:val="1"/>
          <w:iCs w:val="1"/>
          <w:color w:val="auto"/>
        </w:rPr>
        <w:t>Income Tax Assessment Act 1997</w:t>
      </w:r>
      <w:r>
        <w:rPr>
          <w:rFonts w:ascii="Arial" w:cs="Arial" w:eastAsia="Arial" w:hAnsi="Arial"/>
          <w:sz w:val="20"/>
          <w:szCs w:val="20"/>
          <w:color w:val="auto"/>
        </w:rPr>
        <w:t xml:space="preserve"> (Cth)) of Eligible Individual’s employer in the employment in respect of which Eligible Individual acquired the RSUs; or (d) a subsidiary (within the meaning of the </w:t>
      </w:r>
      <w:r>
        <w:rPr>
          <w:rFonts w:ascii="Arial" w:cs="Arial" w:eastAsia="Arial" w:hAnsi="Arial"/>
          <w:sz w:val="20"/>
          <w:szCs w:val="20"/>
          <w:i w:val="1"/>
          <w:iCs w:val="1"/>
          <w:color w:val="auto"/>
        </w:rPr>
        <w:t>Income Tax Assessment Act 1997</w:t>
      </w:r>
      <w:r>
        <w:rPr>
          <w:rFonts w:ascii="Arial" w:cs="Arial" w:eastAsia="Arial" w:hAnsi="Arial"/>
          <w:sz w:val="20"/>
          <w:szCs w:val="20"/>
          <w:color w:val="auto"/>
        </w:rPr>
        <w:t xml:space="preserve"> (Cth) of a holding company (within the meaning of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 xml:space="preserve"> (Cth)) of Eligible Individual’s employer in the employment in respect of which Eligible Individual acquired the RSUs.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Eligible Individual is required to report any securities (</w:t>
      </w:r>
      <w:r>
        <w:rPr>
          <w:rFonts w:ascii="Arial" w:cs="Arial" w:eastAsia="Arial" w:hAnsi="Arial"/>
          <w:sz w:val="20"/>
          <w:szCs w:val="20"/>
          <w:i w:val="1"/>
          <w:iCs w:val="1"/>
          <w:color w:val="auto"/>
        </w:rPr>
        <w:t>e.g.</w:t>
      </w:r>
      <w:r>
        <w:rPr>
          <w:rFonts w:ascii="Arial" w:cs="Arial" w:eastAsia="Arial" w:hAnsi="Arial"/>
          <w:sz w:val="20"/>
          <w:szCs w:val="20"/>
          <w:color w:val="auto"/>
        </w:rPr>
        <w:t>, Shares) or bank accounts opened and maintained outside Belgium on his or her annual tax return.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of the RSUs, Eligible Individual agrees that he or she is making an investment decision, the Shares</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issued to Eligible Individual only if the vesting conditions are met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Compliance with the Law</w:t>
      </w:r>
      <w:r>
        <w:rPr>
          <w:rFonts w:ascii="Arial" w:cs="Arial" w:eastAsia="Arial" w:hAnsi="Arial"/>
          <w:sz w:val="20"/>
          <w:szCs w:val="20"/>
          <w:color w:val="auto"/>
        </w:rPr>
        <w:t>. In accepting the grant of the RSUs, the Eligible Individual acknowledges his or her agreement to comply with</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Brazilian laws and to pay any and all applicable tax associated with the RSUs, the sale of the Shares acquired under the Plan and the receipt of any cash dividends paid on such Shares.</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Labor Law Acknowledgment. </w:t>
      </w:r>
      <w:r>
        <w:rPr>
          <w:rFonts w:ascii="Arial" w:cs="Arial" w:eastAsia="Arial" w:hAnsi="Arial"/>
          <w:sz w:val="20"/>
          <w:szCs w:val="20"/>
          <w:color w:val="auto"/>
        </w:rPr>
        <w:t>The Eligible Individual agrees, for all legal purposes, (i) the benefits provided under the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are the result of commercial transactions unrelated to the Eligible Individual’s employment; (ii) the Agreement and the Plan are not a part of the terms and conditions of the Employee’s employment; and (iii) the income from the RSUs, if any, is not part of the Employee’s remuneration from employment.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Eligible Individual is a resident or domiciled in Brazil, he or she will be required to submit an annual</w:t>
      </w:r>
      <w:r>
        <w:rPr>
          <w:rFonts w:ascii="Arial" w:cs="Arial" w:eastAsia="Arial" w:hAnsi="Arial"/>
          <w:sz w:val="20"/>
          <w:szCs w:val="20"/>
          <w:b w:val="1"/>
          <w:bCs w:val="1"/>
          <w:color w:val="auto"/>
        </w:rPr>
        <w:t xml:space="preserve"> </w:t>
      </w:r>
      <w:r>
        <w:rPr>
          <w:rFonts w:ascii="Arial" w:cs="Arial" w:eastAsia="Arial" w:hAnsi="Arial"/>
          <w:sz w:val="20"/>
          <w:szCs w:val="20"/>
          <w:color w:val="auto"/>
        </w:rPr>
        <w:t>declaration of assets and rights held outside of Brazil to the Central Bank of Brazil if the aggregate value of such assets and rights is equal to or greater than US$100,000. Assets and rights that must be reported include Shares.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Settlement of RSUs. </w:t>
      </w:r>
      <w:r>
        <w:rPr>
          <w:rFonts w:ascii="Arial" w:cs="Arial" w:eastAsia="Arial" w:hAnsi="Arial"/>
          <w:sz w:val="20"/>
          <w:szCs w:val="20"/>
          <w:color w:val="auto"/>
        </w:rPr>
        <w:t>Notwithstanding any discretion or anything to the contrary in the Plan, the grant of the RSUs does not provide any right</w:t>
      </w:r>
      <w:r>
        <w:rPr>
          <w:rFonts w:ascii="Arial" w:cs="Arial" w:eastAsia="Arial" w:hAnsi="Arial"/>
          <w:sz w:val="20"/>
          <w:szCs w:val="20"/>
          <w:b w:val="1"/>
          <w:bCs w:val="1"/>
          <w:color w:val="auto"/>
        </w:rPr>
        <w:t xml:space="preserve"> </w:t>
      </w:r>
      <w:r>
        <w:rPr>
          <w:rFonts w:ascii="Arial" w:cs="Arial" w:eastAsia="Arial" w:hAnsi="Arial"/>
          <w:sz w:val="20"/>
          <w:szCs w:val="20"/>
          <w:color w:val="auto"/>
        </w:rPr>
        <w:t>for Eligible Individual to receive a cash payment and the Awards will be settled in Shares only.</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Taxes, Fees and Withholding. </w:t>
      </w:r>
      <w:r>
        <w:rPr>
          <w:rFonts w:ascii="Arial" w:cs="Arial" w:eastAsia="Arial" w:hAnsi="Arial"/>
          <w:sz w:val="20"/>
          <w:szCs w:val="20"/>
          <w:color w:val="auto"/>
        </w:rPr>
        <w:t>This provision supplements Section 7 of the Agreement. Any share withholding by the Company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consent of the Eligible Individual at the time of vesting.</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Authorization to Release and Transfer Necessary Personal Information. </w:t>
      </w:r>
      <w:r>
        <w:rPr>
          <w:rFonts w:ascii="Arial" w:cs="Arial" w:eastAsia="Arial" w:hAnsi="Arial"/>
          <w:sz w:val="19"/>
          <w:szCs w:val="19"/>
          <w:color w:val="auto"/>
        </w:rPr>
        <w:t>This provision supplements Section 15 of the Agreement:</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Foreign Exchange Control Laws</w:t>
      </w:r>
      <w:r>
        <w:rPr>
          <w:rFonts w:ascii="Arial" w:cs="Arial" w:eastAsia="Arial" w:hAnsi="Arial"/>
          <w:sz w:val="20"/>
          <w:szCs w:val="20"/>
          <w:color w:val="auto"/>
        </w:rPr>
        <w:t>. The following provisions shall govern the Eligible Individual’s participation in the Program if the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 is a national of the People’s Republic of China (“China”) resident in mainland China, or if determined to be necessary or appropriate by the Company in its sole discretion:</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Eligible Individual agrees to hold the Shares received upon settlement of the RSUs with the Company’s designated broker. Upon a Termination, the Eligible Individual shall be required to sell all Shares issued pursuant to the RSUs within 90 days (or such shorter period as may be required by the State Administration of Foreign Exchange) of the Termination date and repatriate the sales proceeds to China in the manner designated by the Company. For purposes of the foregoing, the Company shall establish procedures for effectuating the forced sale of the Shares (including procedures whereby the Company may issue sell instructions on behalf of the Eligible Individual), and the Eligible Individual hereby agrees to comply with such procedures and take any and all actions as the Company determines, in its sole discretion, are necessary or advisable for purposes of complying with local laws, rules and regulations in China.</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Eligible Individual understands and agrees that the repatriation of sales proceeds may need to be effected through a special exchange control account established by the Company or its Subsidiaries, and the Eligible Individual hereby consents and agrees that sales proceeds from the sale of Shares acquired under the Program may be transferred to such account by the Company on the Eligible Individual’s behalf prior to being delivered to the Eligible Individual. The sales proceeds may be paid to the Eligible Individual in U.S. dollars or local currency at the Company’s discretion. If the sales proceeds are paid to the Eligible Individual in U.S. dollars, the Eligible Individual understands that the Eligible Individual will be required to set up a U.S. dollar bank account in China so that the proceeds may be deposited into this account. If the sales proceeds are paid to the Eligible Individual in local currency, the Eligible Individual acknowledges that the Company is under no obligation to secure any particular exchange conversion rate and that the Company may face delays in converting the dividends and proceeds to local currency due to exchange control restrictions. The Eligible Individual agrees to bear any currency fluctuation risk between the time the Shares are sold and the net proceeds are converted into local currency and distributed to the Eligible Individual. The Eligible Individual further agrees to comply with any other requirements that may be imposed by the Company or its Subsidiaries in China in the future in order to facilitate compliance with exchange control requirements in China. The Eligible Individual agrees to be subject to these restrictions even after Termination.</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Neither the Company nor any of its Subsidiaries shall be liable for any costs, fees, lost interest or dividends or other losses the Eligible Individual may incur or suffer resulting from the enforcement of the terms of this Addendum or otherwise from the Company’s operation and enforcement of the Program, the Agreement and the Units in accordance with Chinese law including, without limitation, any applicable State Administration of Foreign Exchange rules, regulations and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Bundesbank</w:t>
      </w:r>
      <w:r>
        <w:rPr>
          <w:rFonts w:ascii="Arial" w:cs="Arial" w:eastAsia="Arial" w:hAnsi="Arial"/>
          <w:sz w:val="20"/>
          <w:szCs w:val="20"/>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20"/>
          <w:szCs w:val="20"/>
          <w:i w:val="1"/>
          <w:iCs w:val="1"/>
          <w:color w:val="auto"/>
        </w:rPr>
        <w:t>Allgemeine Meldeportal Statistik</w:t>
      </w:r>
      <w:r>
        <w:rPr>
          <w:rFonts w:ascii="Arial" w:cs="Arial" w:eastAsia="Arial" w:hAnsi="Arial"/>
          <w:sz w:val="20"/>
          <w:szCs w:val="20"/>
          <w:color w:val="auto"/>
        </w:rPr>
        <w:t>”) can be accessed via the Bundesbank’s website (www.bundesbank.de) and is available in both German and English.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The Award and Shares issued upon vesting (if any) do not constitute a public offering of securities under Hong Kong</w:t>
      </w:r>
      <w:r>
        <w:rPr>
          <w:rFonts w:ascii="Arial" w:cs="Arial" w:eastAsia="Arial" w:hAnsi="Arial"/>
          <w:sz w:val="18"/>
          <w:szCs w:val="18"/>
          <w:b w:val="1"/>
          <w:bCs w:val="1"/>
          <w:color w:val="auto"/>
        </w:rPr>
        <w:t xml:space="preserve"> </w:t>
      </w:r>
      <w:r>
        <w:rPr>
          <w:rFonts w:ascii="Arial" w:cs="Arial" w:eastAsia="Arial" w:hAnsi="Arial"/>
          <w:sz w:val="18"/>
          <w:szCs w:val="18"/>
          <w:color w:val="auto"/>
        </w:rPr>
        <w:t>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Vesting of Stock Awards and Sale of Shares. </w:t>
      </w:r>
      <w:r>
        <w:rPr>
          <w:rFonts w:ascii="Arial" w:cs="Arial" w:eastAsia="Arial" w:hAnsi="Arial"/>
          <w:sz w:val="20"/>
          <w:szCs w:val="20"/>
          <w:color w:val="auto"/>
        </w:rPr>
        <w:t>In the event the Eligible Individual’s Awards vest and Shares are issued to the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 within six months of the date of grant, the Eligible Individual agrees that he or she will not dispose of any of such Shares prior to the six-month anniversary of the date of grant.</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Nature of the Plan. </w:t>
      </w:r>
      <w:r>
        <w:rPr>
          <w:rFonts w:ascii="Arial" w:cs="Arial" w:eastAsia="Arial" w:hAnsi="Arial"/>
          <w:sz w:val="18"/>
          <w:szCs w:val="18"/>
          <w:color w:val="auto"/>
        </w:rPr>
        <w:t>The Company specifically intends that the Plan will not be tread as an occupational retirement scheme for purposes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Occupational Retirement Scheme Ordinance (“ORSO”). To the extent that any court, tribunal or legal/regulatory body in Hong Kong determines that the Plan constitutes an occupational retirement scheme for the purpose of ORSO, the grant of RSUs shall be null and void.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Tax Information. </w:t>
      </w:r>
      <w:r>
        <w:rPr>
          <w:rFonts w:ascii="Arial" w:cs="Arial" w:eastAsia="Arial" w:hAnsi="Arial"/>
          <w:sz w:val="20"/>
          <w:szCs w:val="20"/>
          <w:color w:val="auto"/>
        </w:rPr>
        <w:t>The amount subject to tax at vesting may be dependent upon a valuation of Shares from a Merchant Banker in India.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has no responsibility or obligation to obtain the most favorable valuation possible nor obtain valuations more frequently than required under Indian tax law.</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 xml:space="preserve">Exchange Control Obligations. </w:t>
      </w:r>
      <w:r>
        <w:rPr>
          <w:rFonts w:ascii="Arial" w:cs="Arial" w:eastAsia="Arial" w:hAnsi="Arial"/>
          <w:sz w:val="20"/>
          <w:szCs w:val="20"/>
          <w:color w:val="auto"/>
        </w:rPr>
        <w:t>Eligible Individual understands that he or she must repatriate any proceeds from the sale of Shares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under the Plan and any dividends received in relation to the Shares to India </w:t>
      </w:r>
      <w:r>
        <w:rPr>
          <w:rFonts w:ascii="Arial" w:cs="Arial" w:eastAsia="Arial" w:hAnsi="Arial"/>
          <w:sz w:val="21"/>
          <w:szCs w:val="21"/>
          <w:color w:val="auto"/>
        </w:rPr>
        <w:t>in accordance with local foreign exchange rules and</w:t>
      </w:r>
      <w:r>
        <w:rPr>
          <w:rFonts w:ascii="Arial" w:cs="Arial" w:eastAsia="Arial" w:hAnsi="Arial"/>
          <w:sz w:val="20"/>
          <w:szCs w:val="20"/>
          <w:color w:val="auto"/>
        </w:rPr>
        <w:t xml:space="preserve"> </w:t>
      </w:r>
      <w:r>
        <w:rPr>
          <w:rFonts w:ascii="Arial" w:cs="Arial" w:eastAsia="Arial" w:hAnsi="Arial"/>
          <w:sz w:val="21"/>
          <w:szCs w:val="21"/>
          <w:color w:val="auto"/>
        </w:rPr>
        <w:t>regulations. Neither the Company nor any of its Subsidiaries shall be liable for any fines or penalties resulting from the Employee’s failure to comply with applicable laws.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Director Notification Obligation</w:t>
      </w:r>
      <w:r>
        <w:rPr>
          <w:rFonts w:ascii="Arial" w:cs="Arial" w:eastAsia="Arial" w:hAnsi="Arial"/>
          <w:sz w:val="18"/>
          <w:szCs w:val="18"/>
          <w:color w:val="auto"/>
        </w:rPr>
        <w:t>. Directors, shadow directors and secretaries of the Company’s Irish Affiliates are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requirements under the Irish Companies Act. Directors, shadow directors and secretaries must notify the Irish Affiliates in writing of their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This provision replaces in its entirety the “Data Privacy” section of the Award Agreement:</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The Eligible Individual understands that the Employer and/or the Company may hold certain personal information about the Eligible Individual, including, but not limited to, the Eligible Individual’s name, home address and telephone number, date of birth, social security number (or any other social or national identification number), salary, nationality, job title, number of Shares held and the details of any RSUs or any other entitlement to Stock awarded, cancelled, exercised, vested, unvested or outstanding (the “Data”)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1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The Controller of personal Data processing is TripAdvisor, Inc., 400 1</w:t>
      </w:r>
      <w:r>
        <w:rPr>
          <w:rFonts w:ascii="Arial" w:cs="Arial" w:eastAsia="Arial" w:hAnsi="Arial"/>
          <w:sz w:val="13"/>
          <w:szCs w:val="13"/>
          <w:b w:val="1"/>
          <w:bCs w:val="1"/>
          <w:i w:val="1"/>
          <w:iCs w:val="1"/>
          <w:color w:val="auto"/>
        </w:rPr>
        <w:t>st</w:t>
      </w:r>
      <w:r>
        <w:rPr>
          <w:rFonts w:ascii="Arial" w:cs="Arial" w:eastAsia="Arial" w:hAnsi="Arial"/>
          <w:sz w:val="16"/>
          <w:szCs w:val="16"/>
          <w:b w:val="1"/>
          <w:bCs w:val="1"/>
          <w:i w:val="1"/>
          <w:iCs w:val="1"/>
          <w:color w:val="auto"/>
        </w:rPr>
        <w:t xml:space="preserve"> Avenue, Needham, MA 02494, U.S.A., and, pursuant to D.lgs 196/2003, its representative in Italy is TripAdvisor Italy, S.r.l., with its registered offices at Corso Garibaldi, n 86 6th Floor, 20121 Milan MI 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the Eligible Individual’s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3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 Furthermore, the Eligible Individual is aware that the Eligible Individual’s Data will not be used for direct marketing purposes. In addition, Data provided can be reviewed and questions or complaints can be addressed by contacting the Eligible Individuals local human representative.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08" w:name="page109"/>
    <w:bookmarkEnd w:id="108"/>
    <w:p>
      <w:pPr>
        <w:jc w:val="both"/>
        <w:spacing w:after="0" w:line="262" w:lineRule="auto"/>
        <w:rPr>
          <w:sz w:val="20"/>
          <w:szCs w:val="20"/>
          <w:color w:val="auto"/>
        </w:rPr>
      </w:pPr>
      <w:r>
        <w:rPr>
          <w:rFonts w:ascii="Arial" w:cs="Arial" w:eastAsia="Arial" w:hAnsi="Arial"/>
          <w:sz w:val="19"/>
          <w:szCs w:val="19"/>
          <w:b w:val="1"/>
          <w:bCs w:val="1"/>
          <w:color w:val="auto"/>
        </w:rPr>
        <w:t>Grant Terms Acknowledgment</w:t>
      </w:r>
      <w:r>
        <w:rPr>
          <w:rFonts w:ascii="Arial" w:cs="Arial" w:eastAsia="Arial" w:hAnsi="Arial"/>
          <w:sz w:val="19"/>
          <w:szCs w:val="19"/>
          <w:color w:val="auto"/>
        </w:rPr>
        <w:t>. By accepting the RSUs, the Eligible Individual acknowledges that the Eligible Individual has received a copy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If the Eligible Individual holds investments abroad or foreign financial assets (</w:t>
      </w:r>
      <w:r>
        <w:rPr>
          <w:rFonts w:ascii="Arial" w:cs="Arial" w:eastAsia="Arial" w:hAnsi="Arial"/>
          <w:sz w:val="20"/>
          <w:szCs w:val="20"/>
          <w:i w:val="1"/>
          <w:iCs w:val="1"/>
          <w:color w:val="auto"/>
        </w:rPr>
        <w:t>e.g.</w:t>
      </w:r>
      <w:r>
        <w:rPr>
          <w:rFonts w:ascii="Arial" w:cs="Arial" w:eastAsia="Arial" w:hAnsi="Arial"/>
          <w:sz w:val="20"/>
          <w:szCs w:val="20"/>
          <w:color w:val="auto"/>
        </w:rPr>
        <w:t>, cash,</w:t>
      </w:r>
      <w:r>
        <w:rPr>
          <w:rFonts w:ascii="Arial" w:cs="Arial" w:eastAsia="Arial" w:hAnsi="Arial"/>
          <w:sz w:val="20"/>
          <w:szCs w:val="20"/>
          <w:b w:val="1"/>
          <w:bCs w:val="1"/>
          <w:color w:val="auto"/>
        </w:rPr>
        <w:t xml:space="preserve"> </w:t>
      </w:r>
      <w:r>
        <w:rPr>
          <w:rFonts w:ascii="Arial" w:cs="Arial" w:eastAsia="Arial" w:hAnsi="Arial"/>
          <w:sz w:val="20"/>
          <w:szCs w:val="20"/>
          <w:color w:val="auto"/>
        </w:rPr>
        <w:t>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u w:val="single" w:color="auto"/>
          <w:color w:val="auto"/>
        </w:rPr>
        <w:t>Foreign Asset Tax</w:t>
      </w:r>
      <w:r>
        <w:rPr>
          <w:rFonts w:ascii="Arial" w:cs="Arial" w:eastAsia="Arial" w:hAnsi="Arial"/>
          <w:sz w:val="19"/>
          <w:szCs w:val="19"/>
          <w:color w:val="auto"/>
        </w:rPr>
        <w:t>. The value of the financial assets held outside of Italy by individuals resident of Italy is subject to a foreign asset tax. The</w:t>
      </w:r>
      <w:r>
        <w:rPr>
          <w:rFonts w:ascii="Arial" w:cs="Arial" w:eastAsia="Arial" w:hAnsi="Arial"/>
          <w:sz w:val="19"/>
          <w:szCs w:val="19"/>
          <w:b w:val="1"/>
          <w:bCs w:val="1"/>
          <w:color w:val="auto"/>
        </w:rPr>
        <w:t xml:space="preserve"> </w:t>
      </w:r>
      <w:r>
        <w:rPr>
          <w:rFonts w:ascii="Arial" w:cs="Arial" w:eastAsia="Arial" w:hAnsi="Arial"/>
          <w:sz w:val="19"/>
          <w:szCs w:val="19"/>
          <w:color w:val="auto"/>
        </w:rPr>
        <w:t>taxable amount will be the fair market value of the financial assets (</w:t>
      </w:r>
      <w:r>
        <w:rPr>
          <w:rFonts w:ascii="Arial" w:cs="Arial" w:eastAsia="Arial" w:hAnsi="Arial"/>
          <w:sz w:val="19"/>
          <w:szCs w:val="19"/>
          <w:i w:val="1"/>
          <w:iCs w:val="1"/>
          <w:color w:val="auto"/>
        </w:rPr>
        <w:t>e.g.</w:t>
      </w:r>
      <w:r>
        <w:rPr>
          <w:rFonts w:ascii="Arial" w:cs="Arial" w:eastAsia="Arial" w:hAnsi="Arial"/>
          <w:sz w:val="19"/>
          <w:szCs w:val="19"/>
          <w:color w:val="auto"/>
        </w:rPr>
        <w:t>, Shares) assessed at the end of the calendar year.</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Eligible Individual will be required to report details of any assets held outside of Japan</w:t>
      </w:r>
      <w:r>
        <w:rPr>
          <w:rFonts w:ascii="Arial" w:cs="Arial" w:eastAsia="Arial" w:hAnsi="Arial"/>
          <w:sz w:val="20"/>
          <w:szCs w:val="20"/>
          <w:b w:val="1"/>
          <w:bCs w:val="1"/>
          <w:color w:val="auto"/>
        </w:rPr>
        <w:t xml:space="preserve"> </w:t>
      </w:r>
      <w:r>
        <w:rPr>
          <w:rFonts w:ascii="Arial" w:cs="Arial" w:eastAsia="Arial" w:hAnsi="Arial"/>
          <w:sz w:val="20"/>
          <w:szCs w:val="20"/>
          <w:color w:val="auto"/>
        </w:rPr>
        <w:t>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RSUs, as well as Shares, in the report.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81"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Language Consent. The Eligible Individual hereby express declares that he or she has full knowledge of the English language and has read, understood and fully accepted and agreed with the terms and conditions established in the Plan and the Agreement.</w:t>
      </w:r>
    </w:p>
    <w:p>
      <w:pPr>
        <w:spacing w:after="0" w:line="9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Exchange Control Notification. If the Eligible Individual holds Shares issued upon settlement of the RSUs, the acquisition of Shares would be reported to the Banco de Portugal for statistical purposes. If the Shares are deposited with a commercial bank or financial intermediary in Portugal, such bank or financial intermediary will submit the report on Participant’s behalf. If the Shares are not deposited with a commercial bank or financial intermediary in Portugal, the Eligible Individual is responsible for submitting the report to the Banco de Portugal.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this Award is made in reliance on section 273(1)(f) of the Securities and Futures Act (Cap. 289) (“SFA”)</w:t>
      </w:r>
      <w:r>
        <w:rPr>
          <w:rFonts w:ascii="Arial" w:cs="Arial" w:eastAsia="Arial" w:hAnsi="Arial"/>
          <w:sz w:val="20"/>
          <w:szCs w:val="20"/>
          <w:b w:val="1"/>
          <w:bCs w:val="1"/>
          <w:color w:val="auto"/>
        </w:rPr>
        <w:t xml:space="preserve"> </w:t>
      </w:r>
      <w:r>
        <w:rPr>
          <w:rFonts w:ascii="Arial" w:cs="Arial" w:eastAsia="Arial" w:hAnsi="Arial"/>
          <w:sz w:val="20"/>
          <w:szCs w:val="20"/>
          <w:color w:val="auto"/>
        </w:rPr>
        <w:t>for which it is exempt from the prospectus and registration requirements under the SFA.</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Director Notification Obligation. </w:t>
      </w:r>
      <w:r>
        <w:rPr>
          <w:rFonts w:ascii="Arial" w:cs="Arial" w:eastAsia="Arial" w:hAnsi="Arial"/>
          <w:sz w:val="18"/>
          <w:szCs w:val="18"/>
          <w:color w:val="auto"/>
        </w:rPr>
        <w:t>If Eligible Individual is a director, associate director or shadow director (i.e., a non-director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This provision supplements the “Nature of Grant” section of the Award Agreement:</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accepting the RSUs, the Eligible Individual consents to participation in the Plan and acknowledges that he or she has received a copy of the Plan.</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Further, the Eligible Individual understands that the Company has unilaterally, gratuitously and in its sole discretion decided to grant RSUs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RSUs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10" w:name="page111"/>
    <w:bookmarkEnd w:id="110"/>
    <w:p>
      <w:pPr>
        <w:jc w:val="both"/>
        <w:spacing w:after="0" w:line="271" w:lineRule="auto"/>
        <w:rPr>
          <w:sz w:val="20"/>
          <w:szCs w:val="20"/>
          <w:color w:val="auto"/>
        </w:rPr>
      </w:pPr>
      <w:r>
        <w:rPr>
          <w:rFonts w:ascii="Arial" w:cs="Arial" w:eastAsia="Arial" w:hAnsi="Arial"/>
          <w:sz w:val="18"/>
          <w:szCs w:val="18"/>
          <w:color w:val="auto"/>
        </w:rPr>
        <w:t>The Eligible Individual also understands and agrees that, as a condition of the grant and vesting of the RSUs, the termination of the Eligible Individual’s employment for any reason (including the reasons listed below), the RSUs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Grant” sections of the Award Agreement. “Cause” shall be as defined in the Agreement, regardless of whether the termination is considered a fair termination (i.e. despido procedente”) under Spanish legislation.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The grant of the RSUs and the Shares issued pursuant to the vesting of the RSUs are considered a private</w:t>
      </w:r>
      <w:r>
        <w:rPr>
          <w:rFonts w:ascii="Arial" w:cs="Arial" w:eastAsia="Arial" w:hAnsi="Arial"/>
          <w:sz w:val="20"/>
          <w:szCs w:val="20"/>
          <w:b w:val="1"/>
          <w:bCs w:val="1"/>
          <w:color w:val="auto"/>
        </w:rPr>
        <w:t xml:space="preserve"> </w:t>
      </w:r>
      <w:r>
        <w:rPr>
          <w:rFonts w:ascii="Arial" w:cs="Arial" w:eastAsia="Arial" w:hAnsi="Arial"/>
          <w:sz w:val="20"/>
          <w:szCs w:val="20"/>
          <w:color w:val="auto"/>
        </w:rPr>
        <w:t>placement outside of the scope of Spanish laws on public offerings and issuances of securities.</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To participate in the Plan, the Eligible Individual must comply with exchange control regulations in Spain.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acquisition of Shares upon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of the RSUs and the sale of Shares must be declared on Form D-6, for statistical purposes, to the </w:t>
      </w:r>
      <w:r>
        <w:rPr>
          <w:rFonts w:ascii="Arial" w:cs="Arial" w:eastAsia="Arial" w:hAnsi="Arial"/>
          <w:sz w:val="20"/>
          <w:szCs w:val="20"/>
          <w:i w:val="1"/>
          <w:iCs w:val="1"/>
          <w:color w:val="auto"/>
        </w:rPr>
        <w:t xml:space="preserve">Dirección General de Comercio e Inversiones </w:t>
      </w:r>
      <w:r>
        <w:rPr>
          <w:rFonts w:ascii="Arial" w:cs="Arial" w:eastAsia="Arial" w:hAnsi="Arial"/>
          <w:sz w:val="20"/>
          <w:szCs w:val="20"/>
          <w:color w:val="auto"/>
        </w:rPr>
        <w:t>(the “DGCI”) of the Ministry of Industry, Tourism and Commerce. Generally, the D-6 form must</w:t>
      </w:r>
      <w:r>
        <w:rPr>
          <w:rFonts w:ascii="Arial" w:cs="Arial" w:eastAsia="Arial" w:hAnsi="Arial"/>
          <w:sz w:val="20"/>
          <w:szCs w:val="20"/>
          <w:i w:val="1"/>
          <w:iCs w:val="1"/>
          <w:color w:val="auto"/>
        </w:rPr>
        <w:t xml:space="preserve"> </w:t>
      </w:r>
      <w:r>
        <w:rPr>
          <w:rFonts w:ascii="Arial" w:cs="Arial" w:eastAsia="Arial" w:hAnsi="Arial"/>
          <w:sz w:val="20"/>
          <w:szCs w:val="20"/>
          <w:color w:val="auto"/>
        </w:rPr>
        <w:t>be filed each January while the shares are owned or to report the sale of Shares.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Whenever receiving foreign currency payments derived from the ownership of Stock (</w:t>
      </w:r>
      <w:r>
        <w:rPr>
          <w:rFonts w:ascii="Arial" w:cs="Arial" w:eastAsia="Arial" w:hAnsi="Arial"/>
          <w:sz w:val="19"/>
          <w:szCs w:val="19"/>
          <w:i w:val="1"/>
          <w:iCs w:val="1"/>
          <w:color w:val="auto"/>
        </w:rPr>
        <w:t>i.e</w:t>
      </w:r>
      <w:r>
        <w:rPr>
          <w:rFonts w:ascii="Arial" w:cs="Arial" w:eastAsia="Arial" w:hAnsi="Arial"/>
          <w:sz w:val="19"/>
          <w:szCs w:val="19"/>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To the extent that the Eligible Individual holds rights or assets (</w:t>
      </w:r>
      <w:r>
        <w:rPr>
          <w:rFonts w:ascii="Arial" w:cs="Arial" w:eastAsia="Arial" w:hAnsi="Arial"/>
          <w:sz w:val="19"/>
          <w:szCs w:val="19"/>
          <w:i w:val="1"/>
          <w:iCs w:val="1"/>
          <w:color w:val="auto"/>
        </w:rPr>
        <w:t>e.g.</w:t>
      </w:r>
      <w:r>
        <w:rPr>
          <w:rFonts w:ascii="Arial" w:cs="Arial" w:eastAsia="Arial" w:hAnsi="Arial"/>
          <w:sz w:val="19"/>
          <w:szCs w:val="19"/>
          <w:color w:val="auto"/>
        </w:rPr>
        <w:t>, Shares or cash held in a</w:t>
      </w:r>
      <w:r>
        <w:rPr>
          <w:rFonts w:ascii="Arial" w:cs="Arial" w:eastAsia="Arial" w:hAnsi="Arial"/>
          <w:sz w:val="19"/>
          <w:szCs w:val="19"/>
          <w:b w:val="1"/>
          <w:bCs w:val="1"/>
          <w:color w:val="auto"/>
        </w:rPr>
        <w:t xml:space="preserve"> </w:t>
      </w:r>
      <w:r>
        <w:rPr>
          <w:rFonts w:ascii="Arial" w:cs="Arial" w:eastAsia="Arial" w:hAnsi="Arial"/>
          <w:sz w:val="19"/>
          <w:szCs w:val="19"/>
          <w:color w:val="auto"/>
        </w:rPr>
        <w:t>bank or brokerage account)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The Award is considered a private offering in Switzerland and is therefore not subject to registration.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this document nor any other materials relating to the RSUs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Settlement of Stock Awards. </w:t>
      </w:r>
      <w:r>
        <w:rPr>
          <w:rFonts w:ascii="Arial" w:cs="Arial" w:eastAsia="Arial" w:hAnsi="Arial"/>
          <w:sz w:val="20"/>
          <w:szCs w:val="20"/>
          <w:color w:val="auto"/>
        </w:rPr>
        <w:t>Notwithstanding any discretion or anything to the contrary in the Plan, the grant of the Award does not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any right for Eligible Individual to receive a cash payment and the Awards will be settled in Shares only.</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and National Insurance Contributions Acknowledgment. </w:t>
      </w:r>
      <w:r>
        <w:rPr>
          <w:rFonts w:ascii="Arial" w:cs="Arial" w:eastAsia="Arial" w:hAnsi="Arial"/>
          <w:sz w:val="19"/>
          <w:szCs w:val="19"/>
          <w:color w:val="auto"/>
        </w:rPr>
        <w:t>The following provision supplements Section 7 of the Agreement:</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 Award (the “</w:t>
      </w:r>
      <w:r>
        <w:rPr>
          <w:rFonts w:ascii="Arial" w:cs="Arial" w:eastAsia="Arial" w:hAnsi="Arial"/>
          <w:sz w:val="18"/>
          <w:szCs w:val="18"/>
          <w:i w:val="1"/>
          <w:iCs w:val="1"/>
          <w:color w:val="auto"/>
        </w:rPr>
        <w:t>Taxable Event</w:t>
      </w:r>
      <w:r>
        <w:rPr>
          <w:rFonts w:ascii="Arial" w:cs="Arial" w:eastAsia="Arial" w:hAnsi="Arial"/>
          <w:sz w:val="18"/>
          <w:szCs w:val="18"/>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3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10.5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(French)</w:t>
      </w:r>
    </w:p>
    <w:p>
      <w:pPr>
        <w:spacing w:after="0" w:line="188"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THIS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qualified for favorable income tax and social security treatment in France as set out in Article 135 of the Macron Law (“Qualified RSUs”) to the Eligible Individual by the Company (the “Award”).</w:t>
      </w:r>
    </w:p>
    <w:p>
      <w:pPr>
        <w:spacing w:after="0" w:line="14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Amended and Restated 2011 Stock and Annual Incentive Plan or the Company’s 2018 Stock and Annual Incentive Plan, as appropriate (as either may be amended from time to time, the “Plan”) or the French Schedule attached hereto.</w:t>
      </w:r>
    </w:p>
    <w:p>
      <w:pPr>
        <w:spacing w:after="0" w:line="161" w:lineRule="exact"/>
        <w:rPr>
          <w:sz w:val="20"/>
          <w:szCs w:val="20"/>
          <w:color w:val="auto"/>
        </w:rPr>
      </w:pPr>
    </w:p>
    <w:p>
      <w:pPr>
        <w:ind w:left="880" w:hanging="872"/>
        <w:spacing w:after="0"/>
        <w:tabs>
          <w:tab w:leader="none" w:pos="88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Qualified RSUs</w:t>
      </w:r>
    </w:p>
    <w:p>
      <w:pPr>
        <w:spacing w:after="0" w:line="212" w:lineRule="exact"/>
        <w:rPr>
          <w:rFonts w:ascii="Arial" w:cs="Arial" w:eastAsia="Arial" w:hAnsi="Arial"/>
          <w:sz w:val="22"/>
          <w:szCs w:val="22"/>
          <w:b w:val="1"/>
          <w:bCs w:val="1"/>
          <w:color w:val="auto"/>
        </w:rPr>
      </w:pPr>
    </w:p>
    <w:p>
      <w:pPr>
        <w:jc w:val="both"/>
        <w:ind w:firstLine="885"/>
        <w:spacing w:after="0" w:line="247" w:lineRule="auto"/>
        <w:tabs>
          <w:tab w:leader="none" w:pos="1765" w:val="left"/>
        </w:tabs>
        <w:numPr>
          <w:ilvl w:val="1"/>
          <w:numId w:val="113"/>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of this Agreement, the Plan and the Grant Details, the Company hereby grants Qualified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21"/>
          <w:szCs w:val="21"/>
          <w:u w:val="single" w:color="auto"/>
          <w:color w:val="auto"/>
        </w:rPr>
        <w:t>www.netbenefits.fidelity.com</w:t>
      </w:r>
      <w:r>
        <w:rPr>
          <w:rFonts w:ascii="Arial" w:cs="Arial" w:eastAsia="Arial" w:hAnsi="Arial"/>
          <w:sz w:val="21"/>
          <w:szCs w:val="21"/>
          <w:color w:val="auto"/>
        </w:rPr>
        <w:t xml:space="preserve"> (or any successor equity administration system selected by the Company to manage the Plan from time to time). The Grant Details, which set forth the number of Qualified RSUs granted to the Eligible Individual by the Company, the Grant Date and the vesting schedule of the Qualified RSUs (among other information), are hereby incorporated by reference into, and shall be read as part and parcel of, this Agreement.</w:t>
      </w:r>
    </w:p>
    <w:p>
      <w:pPr>
        <w:spacing w:after="0" w:line="178" w:lineRule="exact"/>
        <w:rPr>
          <w:rFonts w:ascii="Arial" w:cs="Arial" w:eastAsia="Arial" w:hAnsi="Arial"/>
          <w:sz w:val="21"/>
          <w:szCs w:val="21"/>
          <w:color w:val="auto"/>
        </w:rPr>
      </w:pPr>
    </w:p>
    <w:p>
      <w:pPr>
        <w:jc w:val="both"/>
        <w:ind w:firstLine="885"/>
        <w:spacing w:after="0"/>
        <w:tabs>
          <w:tab w:leader="none" w:pos="1778" w:val="left"/>
        </w:tabs>
        <w:numPr>
          <w:ilvl w:val="1"/>
          <w:numId w:val="113"/>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Grant Details and the Plan, the Qualified RSUs shall vest and no longer be subject to any restriction (such period during which restrictions apply shall be referred to as the “RSU Restriction Period”) on the dates detailed in the Grant Details.</w:t>
      </w:r>
    </w:p>
    <w:p>
      <w:pPr>
        <w:spacing w:after="0" w:line="180" w:lineRule="exact"/>
        <w:rPr>
          <w:rFonts w:ascii="Arial" w:cs="Arial" w:eastAsia="Arial" w:hAnsi="Arial"/>
          <w:sz w:val="22"/>
          <w:szCs w:val="22"/>
          <w:color w:val="auto"/>
        </w:rPr>
      </w:pPr>
    </w:p>
    <w:p>
      <w:pPr>
        <w:ind w:left="880" w:hanging="872"/>
        <w:spacing w:after="0"/>
        <w:tabs>
          <w:tab w:leader="none" w:pos="88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Qualified RSUs</w:t>
      </w:r>
    </w:p>
    <w:p>
      <w:pPr>
        <w:spacing w:after="0" w:line="212"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As soon as practicable after any Qualified RSUs have vested and are no longer subject to any restrictions (but in no event later than sixty (60) days thereafter), the Company will arrange for the transfer or issue to, or to the order of, the Eligible Individual, of the number of Shares in respect of which the Qualified RSUs have Vested. The Shares issued or transferred shall be recorded in the name of the Eligible Individual in an account controlled by the Company or Broker, or in such other manner as the Company or the empowered corporate body may otherwise determine, to ensure compliance with applicable restrictions provided under French law. Notwithstanding the foregoing, the Company shall be entitled to hold the Shares issuable upon settlement of Qualified RSUs that have Vested until the Company or Plan Administrator has received from the Eligible Individual a duly executed Form W-9 or Form W-8, as applicable, as well as such other documents as may be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3" w:name="page114"/>
    <w:bookmarkEnd w:id="113"/>
    <w:p>
      <w:pPr>
        <w:ind w:left="880" w:hanging="872"/>
        <w:spacing w:after="0"/>
        <w:tabs>
          <w:tab w:leader="none" w:pos="88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color w:val="auto"/>
        </w:rPr>
      </w:pPr>
    </w:p>
    <w:p>
      <w:pPr>
        <w:jc w:val="both"/>
        <w:ind w:firstLine="885"/>
        <w:spacing w:after="0" w:line="273" w:lineRule="auto"/>
        <w:tabs>
          <w:tab w:leader="none" w:pos="1778" w:val="left"/>
        </w:tabs>
        <w:numPr>
          <w:ilvl w:val="1"/>
          <w:numId w:val="114"/>
        </w:numPr>
        <w:rPr>
          <w:rFonts w:ascii="Arial" w:cs="Arial" w:eastAsia="Arial" w:hAnsi="Arial"/>
          <w:sz w:val="19"/>
          <w:szCs w:val="19"/>
          <w:color w:val="auto"/>
        </w:rPr>
      </w:pPr>
      <w:r>
        <w:rPr>
          <w:rFonts w:ascii="Arial" w:cs="Arial" w:eastAsia="Arial" w:hAnsi="Arial"/>
          <w:sz w:val="19"/>
          <w:szCs w:val="19"/>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85"/>
        <w:spacing w:after="0" w:line="272" w:lineRule="auto"/>
        <w:tabs>
          <w:tab w:leader="none" w:pos="176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2" w:lineRule="exact"/>
        <w:rPr>
          <w:sz w:val="20"/>
          <w:szCs w:val="20"/>
          <w:color w:val="auto"/>
        </w:rPr>
      </w:pPr>
    </w:p>
    <w:p>
      <w:pPr>
        <w:jc w:val="both"/>
        <w:ind w:firstLine="885"/>
        <w:spacing w:after="0" w:line="236" w:lineRule="auto"/>
        <w:tabs>
          <w:tab w:leader="none" w:pos="177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rFonts w:ascii="Arial" w:cs="Arial" w:eastAsia="Arial" w:hAnsi="Arial"/>
          <w:sz w:val="22"/>
          <w:szCs w:val="22"/>
          <w:color w:val="auto"/>
        </w:rPr>
      </w:pPr>
    </w:p>
    <w:p>
      <w:pPr>
        <w:jc w:val="both"/>
        <w:ind w:firstLine="885"/>
        <w:spacing w:after="0" w:line="297" w:lineRule="auto"/>
        <w:tabs>
          <w:tab w:leader="none" w:pos="176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4" w:name="page115"/>
    <w:bookmarkEnd w:id="114"/>
    <w:p>
      <w:pPr>
        <w:ind w:left="880" w:hanging="872"/>
        <w:spacing w:after="0"/>
        <w:tabs>
          <w:tab w:leader="none" w:pos="88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French Qualified RSUs</w:t>
      </w:r>
    </w:p>
    <w:p>
      <w:pPr>
        <w:spacing w:after="0" w:line="212" w:lineRule="exact"/>
        <w:rPr>
          <w:rFonts w:ascii="Arial" w:cs="Arial" w:eastAsia="Arial" w:hAnsi="Arial"/>
          <w:sz w:val="22"/>
          <w:szCs w:val="22"/>
          <w:b w:val="1"/>
          <w:bCs w:val="1"/>
          <w:color w:val="auto"/>
        </w:rPr>
      </w:pPr>
    </w:p>
    <w:p>
      <w:pPr>
        <w:ind w:firstLine="885"/>
        <w:spacing w:after="0" w:line="251" w:lineRule="auto"/>
        <w:tabs>
          <w:tab w:leader="none" w:pos="176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following additional terms and conditions are also applicable to Awards of Qualified RSUs granted pursuant to this Agreement and the French Schedule attached hereto.</w:t>
      </w:r>
    </w:p>
    <w:p>
      <w:pPr>
        <w:spacing w:after="0" w:line="173" w:lineRule="exact"/>
        <w:rPr>
          <w:rFonts w:ascii="Arial" w:cs="Arial" w:eastAsia="Arial" w:hAnsi="Arial"/>
          <w:sz w:val="22"/>
          <w:szCs w:val="22"/>
          <w:color w:val="auto"/>
        </w:rPr>
      </w:pPr>
    </w:p>
    <w:p>
      <w:pPr>
        <w:jc w:val="both"/>
        <w:ind w:right="20" w:firstLine="885"/>
        <w:spacing w:after="0" w:line="238" w:lineRule="auto"/>
        <w:tabs>
          <w:tab w:leader="none" w:pos="1794" w:val="left"/>
        </w:tabs>
        <w:numPr>
          <w:ilvl w:val="1"/>
          <w:numId w:val="116"/>
        </w:numPr>
        <w:rPr>
          <w:rFonts w:ascii="Arial" w:cs="Arial" w:eastAsia="Arial" w:hAnsi="Arial"/>
          <w:sz w:val="22"/>
          <w:szCs w:val="22"/>
          <w:color w:val="auto"/>
        </w:rPr>
      </w:pPr>
      <w:r>
        <w:rPr>
          <w:rFonts w:ascii="Arial" w:cs="Arial" w:eastAsia="Arial" w:hAnsi="Arial"/>
          <w:sz w:val="22"/>
          <w:szCs w:val="22"/>
          <w:color w:val="auto"/>
        </w:rPr>
        <w:t>For purposes of this Agreement, Eligible Individuals are officers or employees of the Company or a company in which the Company owns directly or indirectly at least 10% of the equity or voting rights, who are located in France. Eligible Individuals are selected by their employer and approved by the Company or the empowered corporate body. No Qualified RSU Unit can be granted to an Eligible Individual who:</w:t>
      </w:r>
    </w:p>
    <w:p>
      <w:pPr>
        <w:spacing w:after="0" w:line="185" w:lineRule="exact"/>
        <w:rPr>
          <w:rFonts w:ascii="Arial" w:cs="Arial" w:eastAsia="Arial" w:hAnsi="Arial"/>
          <w:sz w:val="22"/>
          <w:szCs w:val="22"/>
          <w:color w:val="auto"/>
        </w:rPr>
      </w:pPr>
    </w:p>
    <w:p>
      <w:pPr>
        <w:ind w:left="2620" w:right="20" w:hanging="870"/>
        <w:spacing w:after="0" w:line="251" w:lineRule="auto"/>
        <w:tabs>
          <w:tab w:leader="none" w:pos="262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holds directly or indirectly, more than ten percent (10%) of the outstanding Shares of the Company; or</w:t>
      </w:r>
    </w:p>
    <w:p>
      <w:pPr>
        <w:spacing w:after="0" w:line="173" w:lineRule="exact"/>
        <w:rPr>
          <w:rFonts w:ascii="Arial" w:cs="Arial" w:eastAsia="Arial" w:hAnsi="Arial"/>
          <w:sz w:val="22"/>
          <w:szCs w:val="22"/>
          <w:color w:val="auto"/>
        </w:rPr>
      </w:pPr>
    </w:p>
    <w:p>
      <w:pPr>
        <w:ind w:left="2620" w:right="20" w:hanging="870"/>
        <w:spacing w:after="0" w:line="251" w:lineRule="auto"/>
        <w:tabs>
          <w:tab w:leader="none" w:pos="262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would, as a result of a grant of a Qualified RSU, hold more than ten percent (10%) of the outstanding Shares of the Company.</w:t>
      </w:r>
    </w:p>
    <w:p>
      <w:pPr>
        <w:spacing w:after="0" w:line="173"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22"/>
          <w:szCs w:val="22"/>
          <w:color w:val="auto"/>
        </w:rPr>
        <w:t xml:space="preserve">Any Eligible Individual who, on the Grant Date of a Qualified RSU,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RSUs under the Plan as adjusted to meet the requirements of the French </w:t>
      </w:r>
      <w:r>
        <w:rPr>
          <w:rFonts w:ascii="Arial" w:cs="Arial" w:eastAsia="Arial" w:hAnsi="Arial"/>
          <w:sz w:val="22"/>
          <w:szCs w:val="22"/>
          <w:i w:val="1"/>
          <w:iCs w:val="1"/>
          <w:color w:val="auto"/>
        </w:rPr>
        <w:t>Code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w:t>
      </w:r>
    </w:p>
    <w:p>
      <w:pPr>
        <w:spacing w:after="0" w:line="188" w:lineRule="exact"/>
        <w:rPr>
          <w:sz w:val="20"/>
          <w:szCs w:val="20"/>
          <w:color w:val="auto"/>
        </w:rPr>
      </w:pPr>
    </w:p>
    <w:p>
      <w:pPr>
        <w:jc w:val="both"/>
        <w:ind w:right="20" w:firstLine="885"/>
        <w:spacing w:after="0"/>
        <w:tabs>
          <w:tab w:leader="none" w:pos="178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w:t>
      </w:r>
    </w:p>
    <w:p>
      <w:pPr>
        <w:spacing w:after="0" w:line="186" w:lineRule="exact"/>
        <w:rPr>
          <w:rFonts w:ascii="Arial" w:cs="Arial" w:eastAsia="Arial" w:hAnsi="Arial"/>
          <w:sz w:val="22"/>
          <w:szCs w:val="22"/>
          <w:color w:val="auto"/>
        </w:rPr>
      </w:pPr>
    </w:p>
    <w:p>
      <w:pPr>
        <w:jc w:val="both"/>
        <w:ind w:left="2620" w:right="20" w:hanging="870"/>
        <w:spacing w:after="0" w:line="235" w:lineRule="auto"/>
        <w:tabs>
          <w:tab w:leader="none" w:pos="262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where an Eligible Individual leaves employment for reason of death during the Vesting Period or any Holding Period, his or her personal representatives may require, within six months from the date of death, Vesting of the deceased’s Qualified RSUs (if not already Vested) and the transfer of the underlying Shares (the Shares will be transferred to the personal representatives of the Eligible Individual as soon as practicably possible following their request); and</w:t>
      </w:r>
    </w:p>
    <w:p>
      <w:pPr>
        <w:spacing w:after="0" w:line="188" w:lineRule="exact"/>
        <w:rPr>
          <w:rFonts w:ascii="Arial" w:cs="Arial" w:eastAsia="Arial" w:hAnsi="Arial"/>
          <w:sz w:val="22"/>
          <w:szCs w:val="22"/>
          <w:color w:val="auto"/>
        </w:rPr>
      </w:pPr>
    </w:p>
    <w:p>
      <w:pPr>
        <w:jc w:val="both"/>
        <w:ind w:left="2620" w:hanging="870"/>
        <w:spacing w:after="0" w:line="252" w:lineRule="auto"/>
        <w:tabs>
          <w:tab w:leader="none" w:pos="2620" w:val="left"/>
        </w:tabs>
        <w:numPr>
          <w:ilvl w:val="1"/>
          <w:numId w:val="117"/>
        </w:numPr>
        <w:rPr>
          <w:rFonts w:ascii="Arial" w:cs="Arial" w:eastAsia="Arial" w:hAnsi="Arial"/>
          <w:sz w:val="21"/>
          <w:szCs w:val="21"/>
          <w:color w:val="auto"/>
        </w:rPr>
      </w:pPr>
      <w:r>
        <w:rPr>
          <w:rFonts w:ascii="Arial" w:cs="Arial" w:eastAsia="Arial" w:hAnsi="Arial"/>
          <w:sz w:val="21"/>
          <w:szCs w:val="21"/>
          <w:color w:val="auto"/>
        </w:rPr>
        <w:t xml:space="preserve">in the event of disability (as defined under the second or third category of Article L.341-4 of the French </w:t>
      </w:r>
      <w:r>
        <w:rPr>
          <w:rFonts w:ascii="Arial" w:cs="Arial" w:eastAsia="Arial" w:hAnsi="Arial"/>
          <w:sz w:val="21"/>
          <w:szCs w:val="21"/>
          <w:i w:val="1"/>
          <w:iCs w:val="1"/>
          <w:color w:val="auto"/>
        </w:rPr>
        <w:t>Code de la sécurité sociale</w:t>
      </w:r>
      <w:r>
        <w:rPr>
          <w:rFonts w:ascii="Arial" w:cs="Arial" w:eastAsia="Arial" w:hAnsi="Arial"/>
          <w:sz w:val="21"/>
          <w:szCs w:val="21"/>
          <w:color w:val="auto"/>
        </w:rPr>
        <w:t>), Vesting of the Eligible Individual’s Qualified RSUs may be accelerated at the discretion of the empowered corporate body (and the underlying Shares shall then be transferred to the Eligible Individual as soon as practicably possible).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5" w:name="page116"/>
    <w:bookmarkEnd w:id="115"/>
    <w:p>
      <w:pPr>
        <w:jc w:val="both"/>
        <w:ind w:firstLine="885"/>
        <w:spacing w:after="0" w:line="244" w:lineRule="auto"/>
        <w:tabs>
          <w:tab w:leader="none" w:pos="1799" w:val="left"/>
        </w:tabs>
        <w:numPr>
          <w:ilvl w:val="1"/>
          <w:numId w:val="118"/>
        </w:numPr>
        <w:rPr>
          <w:rFonts w:ascii="Arial" w:cs="Arial" w:eastAsia="Arial" w:hAnsi="Arial"/>
          <w:sz w:val="21"/>
          <w:szCs w:val="21"/>
          <w:color w:val="auto"/>
        </w:rPr>
      </w:pPr>
      <w:r>
        <w:rPr>
          <w:rFonts w:ascii="Arial" w:cs="Arial" w:eastAsia="Arial" w:hAnsi="Arial"/>
          <w:sz w:val="21"/>
          <w:szCs w:val="21"/>
          <w:color w:val="auto"/>
        </w:rPr>
        <w:t>In relation to the first 25% of the Award which Vests after one year, there will be a Holding Period, so that a minimum two-year period is observed between the Grant Date and the end of the compulsory Holding Period. The Holding Period shall therefore mean the period of at least one year following Vesting during which the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84" w:lineRule="exact"/>
        <w:rPr>
          <w:rFonts w:ascii="Arial" w:cs="Arial" w:eastAsia="Arial" w:hAnsi="Arial"/>
          <w:sz w:val="21"/>
          <w:szCs w:val="21"/>
          <w:color w:val="auto"/>
        </w:rPr>
      </w:pPr>
    </w:p>
    <w:p>
      <w:pPr>
        <w:ind w:left="1780" w:hanging="895"/>
        <w:spacing w:after="0"/>
        <w:tabs>
          <w:tab w:leader="none" w:pos="17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award price of a Qualified RSU cannot exceed 5% of the nominal value of the Share.</w:t>
      </w:r>
    </w:p>
    <w:p>
      <w:pPr>
        <w:spacing w:after="0" w:line="200" w:lineRule="exact"/>
        <w:rPr>
          <w:rFonts w:ascii="Arial" w:cs="Arial" w:eastAsia="Arial" w:hAnsi="Arial"/>
          <w:sz w:val="22"/>
          <w:szCs w:val="22"/>
          <w:color w:val="auto"/>
        </w:rPr>
      </w:pPr>
    </w:p>
    <w:p>
      <w:pPr>
        <w:ind w:left="880" w:hanging="872"/>
        <w:spacing w:after="0"/>
        <w:tabs>
          <w:tab w:leader="none" w:pos="88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Qualified RSUs</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During the RSU Restriction Period and until such time as the Qualified RSUs are settled as provided herein or on the website of the Plan Administrator, the Qualified RSUs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Arial" w:cs="Arial" w:eastAsia="Arial" w:hAnsi="Arial"/>
          <w:sz w:val="22"/>
          <w:szCs w:val="22"/>
          <w:i w:val="1"/>
          <w:iCs w:val="1"/>
          <w:color w:val="auto"/>
        </w:rPr>
        <w:t>Code de la sécurité sociale</w:t>
      </w:r>
      <w:r>
        <w:rPr>
          <w:rFonts w:ascii="Arial" w:cs="Arial" w:eastAsia="Arial" w:hAnsi="Arial"/>
          <w:sz w:val="22"/>
          <w:szCs w:val="22"/>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Shares also cannot be sold or transferred during the Closed Period.</w:t>
      </w:r>
    </w:p>
    <w:p>
      <w:pPr>
        <w:spacing w:after="0" w:line="200" w:lineRule="exact"/>
        <w:rPr>
          <w:sz w:val="20"/>
          <w:szCs w:val="20"/>
          <w:color w:val="auto"/>
        </w:rPr>
      </w:pPr>
    </w:p>
    <w:p>
      <w:pPr>
        <w:ind w:left="880" w:hanging="872"/>
        <w:spacing w:after="0"/>
        <w:tabs>
          <w:tab w:leader="none" w:pos="88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An Eligible Individual shall not be entitled to any dividends (or other distributions) and shall have no right to vote in respect of the Shares subject to Awards of Qualified RSUs under the French Schedule until the Shares have vested. After Vesting and during the Holding Period, the Eligible Individual shall be entitled to the dividends, distributions or other rights attached to his Vested Shares as they arise.</w:t>
      </w:r>
    </w:p>
    <w:p>
      <w:pPr>
        <w:spacing w:after="0" w:line="179" w:lineRule="exact"/>
        <w:rPr>
          <w:sz w:val="20"/>
          <w:szCs w:val="20"/>
          <w:color w:val="auto"/>
        </w:rPr>
      </w:pPr>
    </w:p>
    <w:p>
      <w:pPr>
        <w:ind w:left="880" w:hanging="872"/>
        <w:spacing w:after="0"/>
        <w:tabs>
          <w:tab w:leader="none" w:pos="88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sz w:val="20"/>
          <w:szCs w:val="20"/>
          <w:color w:val="auto"/>
        </w:rPr>
      </w:pPr>
    </w:p>
    <w:p>
      <w:pPr>
        <w:jc w:val="both"/>
        <w:ind w:firstLine="829"/>
        <w:spacing w:after="0" w:line="236" w:lineRule="auto"/>
        <w:rPr>
          <w:sz w:val="20"/>
          <w:szCs w:val="20"/>
          <w:color w:val="auto"/>
        </w:rPr>
      </w:pPr>
      <w:r>
        <w:rPr>
          <w:rFonts w:ascii="Arial" w:cs="Arial" w:eastAsia="Arial" w:hAnsi="Arial"/>
          <w:sz w:val="22"/>
          <w:szCs w:val="22"/>
          <w:color w:val="auto"/>
        </w:rPr>
        <w:t xml:space="preserve">On the occurrence of one of the events specified under Article L.225-181 of the French </w:t>
      </w:r>
      <w:r>
        <w:rPr>
          <w:rFonts w:ascii="Arial" w:cs="Arial" w:eastAsia="Arial" w:hAnsi="Arial"/>
          <w:sz w:val="22"/>
          <w:szCs w:val="22"/>
          <w:i w:val="1"/>
          <w:iCs w:val="1"/>
          <w:color w:val="auto"/>
        </w:rPr>
        <w:t>Code de commerce</w:t>
      </w:r>
      <w:r>
        <w:rPr>
          <w:rFonts w:ascii="Arial" w:cs="Arial" w:eastAsia="Arial" w:hAnsi="Arial"/>
          <w:sz w:val="22"/>
          <w:szCs w:val="22"/>
          <w:color w:val="auto"/>
        </w:rPr>
        <w:t xml:space="preserve">, the Company or the empowered corporate body may make such adjustments as it considers appropriate to restore the value of the Qualified RSUs. An adjustment made under this rule shall only be permissible to the extent that it is intended to, and that its sole effect is to, restore the value of the Qualified RSUs and it is made in compliance with the rules set out in the French </w:t>
      </w:r>
      <w:r>
        <w:rPr>
          <w:rFonts w:ascii="Arial" w:cs="Arial" w:eastAsia="Arial" w:hAnsi="Arial"/>
          <w:sz w:val="22"/>
          <w:szCs w:val="22"/>
          <w:i w:val="1"/>
          <w:iCs w:val="1"/>
          <w:color w:val="auto"/>
        </w:rPr>
        <w:t>Code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6" w:name="page117"/>
    <w:bookmarkEnd w:id="116"/>
    <w:p>
      <w:pPr>
        <w:ind w:left="880" w:hanging="872"/>
        <w:spacing w:after="0"/>
        <w:tabs>
          <w:tab w:leader="none" w:pos="88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b w:val="1"/>
          <w:bCs w:val="1"/>
          <w:color w:val="auto"/>
        </w:rPr>
      </w:pPr>
    </w:p>
    <w:p>
      <w:pPr>
        <w:jc w:val="both"/>
        <w:ind w:firstLine="885"/>
        <w:spacing w:after="0"/>
        <w:tabs>
          <w:tab w:leader="none" w:pos="1765"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Qualified RSUs,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firstLine="885"/>
        <w:spacing w:after="0" w:line="277" w:lineRule="auto"/>
        <w:tabs>
          <w:tab w:leader="none" w:pos="1778" w:val="left"/>
        </w:tabs>
        <w:numPr>
          <w:ilvl w:val="1"/>
          <w:numId w:val="122"/>
        </w:numPr>
        <w:rPr>
          <w:rFonts w:ascii="Arial" w:cs="Arial" w:eastAsia="Arial" w:hAnsi="Arial"/>
          <w:sz w:val="19"/>
          <w:szCs w:val="19"/>
          <w:color w:val="auto"/>
        </w:rPr>
      </w:pPr>
      <w:r>
        <w:rPr>
          <w:rFonts w:ascii="Arial" w:cs="Arial" w:eastAsia="Arial" w:hAnsi="Arial"/>
          <w:sz w:val="19"/>
          <w:szCs w:val="19"/>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Qualified RSUs, the receipt of cash or any dividends or dividend equivalents; and (ii) do not commit to structure the terms of the Award or any aspect of the Qualified RSUs to reduce or eliminate the Eligible Individual’s liability for Tax-Related Items.</w:t>
      </w:r>
    </w:p>
    <w:p>
      <w:pPr>
        <w:spacing w:after="0" w:line="152" w:lineRule="exact"/>
        <w:rPr>
          <w:rFonts w:ascii="Arial" w:cs="Arial" w:eastAsia="Arial" w:hAnsi="Arial"/>
          <w:sz w:val="19"/>
          <w:szCs w:val="19"/>
          <w:color w:val="auto"/>
        </w:rPr>
      </w:pPr>
    </w:p>
    <w:p>
      <w:pPr>
        <w:jc w:val="both"/>
        <w:ind w:firstLine="885"/>
        <w:spacing w:after="0" w:line="270" w:lineRule="auto"/>
        <w:tabs>
          <w:tab w:leader="none" w:pos="1765"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vesting or exercise of the Qualified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7" w:name="page118"/>
    <w:bookmarkEnd w:id="117"/>
    <w:p>
      <w:pPr>
        <w:jc w:val="both"/>
        <w:ind w:firstLine="885"/>
        <w:spacing w:after="0" w:line="274" w:lineRule="auto"/>
        <w:tabs>
          <w:tab w:leader="none" w:pos="177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58" w:lineRule="exact"/>
        <w:rPr>
          <w:rFonts w:ascii="Arial" w:cs="Arial" w:eastAsia="Arial" w:hAnsi="Arial"/>
          <w:sz w:val="19"/>
          <w:szCs w:val="19"/>
          <w:color w:val="auto"/>
        </w:rPr>
      </w:pPr>
    </w:p>
    <w:p>
      <w:pPr>
        <w:ind w:firstLine="885"/>
        <w:spacing w:after="0" w:line="251" w:lineRule="auto"/>
        <w:tabs>
          <w:tab w:leader="none" w:pos="1765"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Eligible Individuals (or beneficiaries, if applicable) are responsible for reporting the receipt of any income under the Plan, however received, to the appropriate tax authorities.</w:t>
      </w:r>
    </w:p>
    <w:p>
      <w:pPr>
        <w:spacing w:after="0" w:line="167" w:lineRule="exact"/>
        <w:rPr>
          <w:rFonts w:ascii="Arial" w:cs="Arial" w:eastAsia="Arial" w:hAnsi="Arial"/>
          <w:sz w:val="22"/>
          <w:szCs w:val="22"/>
          <w:color w:val="auto"/>
        </w:rPr>
      </w:pPr>
    </w:p>
    <w:p>
      <w:pPr>
        <w:ind w:left="880" w:hanging="872"/>
        <w:spacing w:after="0"/>
        <w:tabs>
          <w:tab w:leader="none" w:pos="88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jc w:val="both"/>
        <w:ind w:firstLine="885"/>
        <w:spacing w:after="0" w:line="249" w:lineRule="auto"/>
        <w:tabs>
          <w:tab w:leader="none" w:pos="1765" w:val="left"/>
        </w:tabs>
        <w:numPr>
          <w:ilvl w:val="1"/>
          <w:numId w:val="124"/>
        </w:numPr>
        <w:rPr>
          <w:rFonts w:ascii="Arial" w:cs="Arial" w:eastAsia="Arial" w:hAnsi="Arial"/>
          <w:sz w:val="21"/>
          <w:szCs w:val="21"/>
          <w:color w:val="auto"/>
        </w:rPr>
      </w:pPr>
      <w:r>
        <w:rPr>
          <w:rFonts w:ascii="Arial" w:cs="Arial" w:eastAsia="Arial" w:hAnsi="Arial"/>
          <w:sz w:val="21"/>
          <w:szCs w:val="21"/>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8" w:lineRule="exact"/>
        <w:rPr>
          <w:rFonts w:ascii="Arial" w:cs="Arial" w:eastAsia="Arial" w:hAnsi="Arial"/>
          <w:sz w:val="21"/>
          <w:szCs w:val="21"/>
          <w:color w:val="auto"/>
        </w:rPr>
      </w:pPr>
    </w:p>
    <w:p>
      <w:pPr>
        <w:jc w:val="both"/>
        <w:ind w:firstLine="885"/>
        <w:spacing w:after="0" w:line="246" w:lineRule="auto"/>
        <w:tabs>
          <w:tab w:leader="none" w:pos="1778" w:val="left"/>
        </w:tabs>
        <w:numPr>
          <w:ilvl w:val="1"/>
          <w:numId w:val="124"/>
        </w:numPr>
        <w:rPr>
          <w:rFonts w:ascii="Arial" w:cs="Arial" w:eastAsia="Arial" w:hAnsi="Arial"/>
          <w:sz w:val="21"/>
          <w:szCs w:val="21"/>
          <w:color w:val="auto"/>
        </w:rPr>
      </w:pPr>
      <w:r>
        <w:rPr>
          <w:rFonts w:ascii="Arial" w:cs="Arial" w:eastAsia="Arial" w:hAnsi="Arial"/>
          <w:sz w:val="21"/>
          <w:szCs w:val="21"/>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Qualified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0" w:lineRule="exact"/>
        <w:rPr>
          <w:rFonts w:ascii="Arial" w:cs="Arial" w:eastAsia="Arial" w:hAnsi="Arial"/>
          <w:sz w:val="21"/>
          <w:szCs w:val="21"/>
          <w:color w:val="auto"/>
        </w:rPr>
      </w:pPr>
    </w:p>
    <w:p>
      <w:pPr>
        <w:jc w:val="both"/>
        <w:ind w:firstLine="885"/>
        <w:spacing w:after="0"/>
        <w:tabs>
          <w:tab w:leader="none" w:pos="1765"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xml:space="preserve">Notwithstanding any other rule of the Plan, this Agreement or the Schedule, the total number of Qualified Restricted Stock Units granted under the Plan or any other plan subject to provisions of Articles L.225-197-1 et seq. of the French </w:t>
      </w:r>
      <w:r>
        <w:rPr>
          <w:rFonts w:ascii="Arial" w:cs="Arial" w:eastAsia="Arial" w:hAnsi="Arial"/>
          <w:sz w:val="22"/>
          <w:szCs w:val="22"/>
          <w:i w:val="1"/>
          <w:iCs w:val="1"/>
          <w:color w:val="auto"/>
        </w:rPr>
        <w:t xml:space="preserve">Code de commerce </w:t>
      </w:r>
      <w:r>
        <w:rPr>
          <w:rFonts w:ascii="Arial" w:cs="Arial" w:eastAsia="Arial" w:hAnsi="Arial"/>
          <w:sz w:val="22"/>
          <w:szCs w:val="22"/>
          <w:color w:val="auto"/>
        </w:rPr>
        <w:t>shall not exceed 10 per cent of the Shares in issue at the Grant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8" w:name="page119"/>
    <w:bookmarkEnd w:id="118"/>
    <w:p>
      <w:pPr>
        <w:ind w:left="880" w:hanging="872"/>
        <w:spacing w:after="0"/>
        <w:tabs>
          <w:tab w:leader="none" w:pos="88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color w:val="auto"/>
        </w:rPr>
      </w:pPr>
    </w:p>
    <w:p>
      <w:pPr>
        <w:ind w:firstLine="885"/>
        <w:spacing w:after="0" w:line="328" w:lineRule="auto"/>
        <w:tabs>
          <w:tab w:leader="none" w:pos="176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firstLine="885"/>
        <w:spacing w:after="0" w:line="251" w:lineRule="auto"/>
        <w:tabs>
          <w:tab w:leader="none" w:pos="177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made repeatedly in the past;</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rFonts w:ascii="Arial" w:cs="Arial" w:eastAsia="Arial" w:hAnsi="Arial"/>
          <w:sz w:val="22"/>
          <w:szCs w:val="22"/>
          <w:color w:val="auto"/>
        </w:rPr>
      </w:pPr>
    </w:p>
    <w:p>
      <w:pPr>
        <w:jc w:val="both"/>
        <w:ind w:firstLine="885"/>
        <w:spacing w:after="0"/>
        <w:tabs>
          <w:tab w:leader="none" w:pos="177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jc w:val="both"/>
        <w:ind w:firstLine="885"/>
        <w:spacing w:after="0"/>
        <w:tabs>
          <w:tab w:leader="none" w:pos="1742"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86"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firstLine="885"/>
        <w:spacing w:after="0" w:line="251" w:lineRule="auto"/>
        <w:tabs>
          <w:tab w:leader="none" w:pos="177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in the event that the Eligible Individual is not an employee of the Company, Subsidiary or Affiliate, the Award will not be interpreted to form an employment contract or relationship with the Company; and</w:t>
      </w:r>
    </w:p>
    <w:p>
      <w:pPr>
        <w:spacing w:after="0" w:line="173" w:lineRule="exact"/>
        <w:rPr>
          <w:rFonts w:ascii="Arial" w:cs="Arial" w:eastAsia="Arial" w:hAnsi="Arial"/>
          <w:sz w:val="22"/>
          <w:szCs w:val="22"/>
          <w:color w:val="auto"/>
        </w:rPr>
      </w:pPr>
    </w:p>
    <w:p>
      <w:pPr>
        <w:jc w:val="both"/>
        <w:ind w:firstLine="885"/>
        <w:spacing w:after="0" w:line="279" w:lineRule="auto"/>
        <w:tabs>
          <w:tab w:leader="none" w:pos="173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9" w:name="page120"/>
    <w:bookmarkEnd w:id="119"/>
    <w:p>
      <w:pPr>
        <w:ind w:left="880" w:hanging="872"/>
        <w:spacing w:after="0"/>
        <w:tabs>
          <w:tab w:leader="none" w:pos="88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880" w:hanging="872"/>
        <w:spacing w:after="0"/>
        <w:tabs>
          <w:tab w:leader="none" w:pos="88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w:t>
      </w:r>
    </w:p>
    <w:p>
      <w:pPr>
        <w:spacing w:after="0" w:line="180" w:lineRule="exact"/>
        <w:rPr>
          <w:sz w:val="20"/>
          <w:szCs w:val="20"/>
          <w:color w:val="auto"/>
        </w:rPr>
      </w:pPr>
    </w:p>
    <w:p>
      <w:pPr>
        <w:ind w:left="880" w:hanging="872"/>
        <w:spacing w:after="0"/>
        <w:tabs>
          <w:tab w:leader="none" w:pos="88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2"/>
        <w:spacing w:after="0"/>
        <w:tabs>
          <w:tab w:leader="none" w:pos="88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RSUs are subject to the terms and conditions of the Plan, which are hereby incorporated by reference.</w:t>
      </w:r>
    </w:p>
    <w:p>
      <w:pPr>
        <w:spacing w:after="0" w:line="185" w:lineRule="exact"/>
        <w:rPr>
          <w:rFonts w:ascii="Arial" w:cs="Arial" w:eastAsia="Arial" w:hAnsi="Arial"/>
          <w:sz w:val="22"/>
          <w:szCs w:val="22"/>
          <w:color w:val="auto"/>
        </w:rPr>
      </w:pPr>
    </w:p>
    <w:p>
      <w:pPr>
        <w:jc w:val="both"/>
        <w:ind w:firstLine="885"/>
        <w:spacing w:after="0" w:line="249" w:lineRule="auto"/>
        <w:tabs>
          <w:tab w:leader="none" w:pos="1778"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2" w:lineRule="exact"/>
        <w:rPr>
          <w:rFonts w:ascii="Arial" w:cs="Arial" w:eastAsia="Arial" w:hAnsi="Arial"/>
          <w:sz w:val="21"/>
          <w:szCs w:val="21"/>
          <w:color w:val="auto"/>
        </w:rPr>
      </w:pPr>
    </w:p>
    <w:p>
      <w:pPr>
        <w:ind w:left="880" w:hanging="872"/>
        <w:spacing w:after="0"/>
        <w:tabs>
          <w:tab w:leader="none" w:pos="88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0" w:name="page121"/>
    <w:bookmarkEnd w:id="120"/>
    <w:p>
      <w:pPr>
        <w:jc w:val="both"/>
        <w:ind w:left="-8" w:firstLine="885"/>
        <w:spacing w:after="0" w:line="246" w:lineRule="auto"/>
        <w:tabs>
          <w:tab w:leader="none" w:pos="177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rFonts w:ascii="Arial" w:cs="Arial" w:eastAsia="Arial" w:hAnsi="Arial"/>
          <w:sz w:val="21"/>
          <w:szCs w:val="21"/>
          <w:color w:val="auto"/>
        </w:rPr>
      </w:pPr>
    </w:p>
    <w:p>
      <w:pPr>
        <w:jc w:val="both"/>
        <w:ind w:left="-8" w:firstLine="885"/>
        <w:spacing w:after="0" w:line="248" w:lineRule="auto"/>
        <w:tabs>
          <w:tab w:leader="none" w:pos="1757"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It is intended that the Qualified RSUs shall qualify for the special tax and social security treatment applicable to free shares granted under sections L. 225-197-1 to L.225-197-6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77" w:lineRule="exact"/>
        <w:rPr>
          <w:rFonts w:ascii="Arial" w:cs="Arial" w:eastAsia="Arial" w:hAnsi="Arial"/>
          <w:sz w:val="21"/>
          <w:szCs w:val="21"/>
          <w:color w:val="auto"/>
        </w:rPr>
      </w:pPr>
    </w:p>
    <w:p>
      <w:pPr>
        <w:jc w:val="both"/>
        <w:ind w:left="-8" w:firstLine="885"/>
        <w:spacing w:after="0" w:line="238" w:lineRule="auto"/>
        <w:tabs>
          <w:tab w:leader="none" w:pos="177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9" w:lineRule="exact"/>
        <w:rPr>
          <w:rFonts w:ascii="Arial" w:cs="Arial" w:eastAsia="Arial" w:hAnsi="Arial"/>
          <w:sz w:val="22"/>
          <w:szCs w:val="22"/>
          <w:color w:val="auto"/>
        </w:rPr>
      </w:pPr>
    </w:p>
    <w:p>
      <w:pPr>
        <w:ind w:left="872" w:hanging="872"/>
        <w:spacing w:after="0"/>
        <w:tabs>
          <w:tab w:leader="none" w:pos="872"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left="-8" w:firstLine="885"/>
        <w:spacing w:after="0" w:line="245" w:lineRule="auto"/>
        <w:tabs>
          <w:tab w:leader="none" w:pos="1757" w:val="left"/>
        </w:tabs>
        <w:numPr>
          <w:ilvl w:val="1"/>
          <w:numId w:val="131"/>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5" w:lineRule="exact"/>
        <w:rPr>
          <w:rFonts w:ascii="Arial" w:cs="Arial" w:eastAsia="Arial" w:hAnsi="Arial"/>
          <w:sz w:val="21"/>
          <w:szCs w:val="21"/>
          <w:color w:val="auto"/>
        </w:rPr>
      </w:pPr>
    </w:p>
    <w:p>
      <w:pPr>
        <w:jc w:val="both"/>
        <w:ind w:left="-8" w:firstLine="885"/>
        <w:spacing w:after="0" w:line="252" w:lineRule="auto"/>
        <w:tabs>
          <w:tab w:leader="none" w:pos="177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121" w:name="page122"/>
    <w:bookmarkEnd w:id="121"/>
    <w:p>
      <w:pPr>
        <w:jc w:val="both"/>
        <w:spacing w:after="0" w:line="236" w:lineRule="auto"/>
        <w:rPr>
          <w:sz w:val="20"/>
          <w:szCs w:val="20"/>
          <w:color w:val="auto"/>
        </w:rPr>
      </w:pPr>
      <w:r>
        <w:rPr>
          <w:rFonts w:ascii="Arial" w:cs="Arial" w:eastAsia="Arial" w:hAnsi="Arial"/>
          <w:sz w:val="22"/>
          <w:szCs w:val="22"/>
          <w:color w:val="auto"/>
        </w:rPr>
        <w:t>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8" w:lineRule="exact"/>
        <w:rPr>
          <w:sz w:val="20"/>
          <w:szCs w:val="20"/>
          <w:color w:val="auto"/>
        </w:rPr>
      </w:pPr>
    </w:p>
    <w:p>
      <w:pPr>
        <w:jc w:val="both"/>
        <w:ind w:firstLine="885"/>
        <w:spacing w:after="0" w:line="279" w:lineRule="auto"/>
        <w:tabs>
          <w:tab w:leader="none" w:pos="1765"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1"/>
          <w:szCs w:val="21"/>
          <w:color w:val="auto"/>
        </w:rPr>
        <w:t>The Company may modify, amend or waive the terms of the Award, prospectively or retroactively, but no such</w:t>
      </w:r>
    </w:p>
    <w:p>
      <w:pPr>
        <w:spacing w:after="0" w:line="2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2" w:lineRule="exact"/>
        <w:rPr>
          <w:sz w:val="20"/>
          <w:szCs w:val="20"/>
          <w:color w:val="auto"/>
        </w:rPr>
      </w:pPr>
    </w:p>
    <w:p>
      <w:pPr>
        <w:ind w:left="880" w:hanging="872"/>
        <w:spacing w:after="0"/>
        <w:tabs>
          <w:tab w:leader="none" w:pos="88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Exchange Risk</w:t>
      </w:r>
    </w:p>
    <w:p>
      <w:pPr>
        <w:spacing w:after="0" w:line="212"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Exchange Risk”). Eligible Individual waives and releases the Company, its Subsidiaries and Affiliates and the Plan Administrator from any potential claims arising out of the Currency Exchange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45" w:lineRule="exact"/>
        <w:rPr>
          <w:sz w:val="20"/>
          <w:szCs w:val="20"/>
          <w:color w:val="auto"/>
        </w:rPr>
      </w:pPr>
    </w:p>
    <w:p>
      <w:pPr>
        <w:ind w:left="880" w:hanging="872"/>
        <w:spacing w:after="0"/>
        <w:tabs>
          <w:tab w:leader="none" w:pos="88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2" w:name="page123"/>
    <w:bookmarkEnd w:id="122"/>
    <w:p>
      <w:pPr>
        <w:jc w:val="both"/>
        <w:ind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and Schedule.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Schedule.</w:t>
      </w:r>
    </w:p>
    <w:p>
      <w:pPr>
        <w:spacing w:after="0" w:line="182" w:lineRule="exact"/>
        <w:rPr>
          <w:sz w:val="20"/>
          <w:szCs w:val="20"/>
          <w:color w:val="auto"/>
        </w:rPr>
      </w:pPr>
    </w:p>
    <w:p>
      <w:pPr>
        <w:ind w:left="880" w:hanging="872"/>
        <w:spacing w:after="0"/>
        <w:tabs>
          <w:tab w:leader="none" w:pos="88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Schedule</w:t>
      </w:r>
    </w:p>
    <w:p>
      <w:pPr>
        <w:spacing w:after="0" w:line="212" w:lineRule="exact"/>
        <w:rPr>
          <w:sz w:val="20"/>
          <w:szCs w:val="20"/>
          <w:color w:val="auto"/>
        </w:rPr>
      </w:pPr>
    </w:p>
    <w:p>
      <w:pPr>
        <w:ind w:right="20" w:firstLine="877"/>
        <w:spacing w:after="0" w:line="328" w:lineRule="auto"/>
        <w:rPr>
          <w:sz w:val="20"/>
          <w:szCs w:val="20"/>
          <w:color w:val="auto"/>
        </w:rPr>
      </w:pPr>
      <w:r>
        <w:rPr>
          <w:rFonts w:ascii="Arial" w:cs="Arial" w:eastAsia="Arial" w:hAnsi="Arial"/>
          <w:sz w:val="19"/>
          <w:szCs w:val="19"/>
          <w:color w:val="auto"/>
        </w:rPr>
        <w:t>Notwithstanding any provisions in this Agreement to the contrary, the Qualified RSUs shall be subject to any special terms and conditions set forth in the French Schedule to the Agreement. The Schedule constitutes a part of this Agreement.</w:t>
      </w:r>
    </w:p>
    <w:p>
      <w:pPr>
        <w:spacing w:after="0" w:line="99" w:lineRule="exact"/>
        <w:rPr>
          <w:sz w:val="20"/>
          <w:szCs w:val="20"/>
          <w:color w:val="auto"/>
        </w:rPr>
      </w:pPr>
    </w:p>
    <w:p>
      <w:pPr>
        <w:ind w:left="880" w:hanging="872"/>
        <w:spacing w:after="0"/>
        <w:tabs>
          <w:tab w:leader="none" w:pos="88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p>
    <w:p>
      <w:pPr>
        <w:spacing w:after="0" w:line="137" w:lineRule="exact"/>
        <w:rPr>
          <w:sz w:val="20"/>
          <w:szCs w:val="20"/>
          <w:color w:val="auto"/>
        </w:rPr>
      </w:pPr>
    </w:p>
    <w:p>
      <w:pPr>
        <w:ind w:left="880" w:hanging="872"/>
        <w:spacing w:after="0"/>
        <w:tabs>
          <w:tab w:leader="none" w:pos="88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28" w:lineRule="exact"/>
        <w:rPr>
          <w:sz w:val="20"/>
          <w:szCs w:val="20"/>
          <w:color w:val="auto"/>
        </w:rPr>
      </w:pPr>
    </w:p>
    <w:p>
      <w:pPr>
        <w:ind w:left="880" w:hanging="872"/>
        <w:spacing w:after="0"/>
        <w:tabs>
          <w:tab w:leader="none" w:pos="88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3" w:name="page124"/>
    <w:bookmarkEnd w:id="123"/>
    <w:p>
      <w:pPr>
        <w:jc w:val="center"/>
        <w:ind w:left="260" w:right="2420"/>
        <w:spacing w:after="0" w:line="257" w:lineRule="auto"/>
        <w:rPr>
          <w:sz w:val="20"/>
          <w:szCs w:val="20"/>
          <w:color w:val="auto"/>
        </w:rPr>
      </w:pPr>
      <w:r>
        <w:rPr>
          <w:rFonts w:ascii="Arial" w:cs="Arial" w:eastAsia="Arial" w:hAnsi="Arial"/>
          <w:sz w:val="20"/>
          <w:szCs w:val="20"/>
          <w:b w:val="1"/>
          <w:bCs w:val="1"/>
          <w:color w:val="auto"/>
        </w:rPr>
        <w:t>ADDITIONAL TERMS AND CONDITIONS OF THE TRIPADVISOR, INC. RESTRICTED STOCK UNIT AGREEMENT (FRANCE)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FRENCH SCHEDULE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8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Arial" w:cs="Arial" w:eastAsia="Arial" w:hAnsi="Arial"/>
          <w:sz w:val="20"/>
          <w:szCs w:val="20"/>
          <w:i w:val="1"/>
          <w:iCs w:val="1"/>
          <w:color w:val="auto"/>
        </w:rPr>
        <w:t>Code de</w:t>
      </w:r>
      <w:r>
        <w:rPr>
          <w:rFonts w:ascii="Arial" w:cs="Arial" w:eastAsia="Arial" w:hAnsi="Arial"/>
          <w:sz w:val="20"/>
          <w:szCs w:val="20"/>
          <w:color w:val="auto"/>
        </w:rPr>
        <w:t xml:space="preserve"> </w:t>
      </w:r>
      <w:r>
        <w:rPr>
          <w:rFonts w:ascii="Arial" w:cs="Arial" w:eastAsia="Arial" w:hAnsi="Arial"/>
          <w:sz w:val="20"/>
          <w:szCs w:val="20"/>
          <w:i w:val="1"/>
          <w:iCs w:val="1"/>
          <w:color w:val="auto"/>
        </w:rPr>
        <w:t>commerce</w:t>
      </w:r>
      <w:r>
        <w:rPr>
          <w:rFonts w:ascii="Arial" w:cs="Arial" w:eastAsia="Arial" w:hAnsi="Arial"/>
          <w:sz w:val="20"/>
          <w:szCs w:val="20"/>
          <w:color w:val="auto"/>
        </w:rPr>
        <w:t>) to qualify Awards of Restricted Stock Units for favourable income tax and social security treatment in France as set out in Article</w:t>
      </w:r>
      <w:r>
        <w:rPr>
          <w:rFonts w:ascii="Arial" w:cs="Arial" w:eastAsia="Arial" w:hAnsi="Arial"/>
          <w:sz w:val="20"/>
          <w:szCs w:val="20"/>
          <w:i w:val="1"/>
          <w:iCs w:val="1"/>
          <w:color w:val="auto"/>
        </w:rPr>
        <w:t xml:space="preserve"> </w:t>
      </w:r>
      <w:r>
        <w:rPr>
          <w:rFonts w:ascii="Arial" w:cs="Arial" w:eastAsia="Arial" w:hAnsi="Arial"/>
          <w:sz w:val="20"/>
          <w:szCs w:val="20"/>
          <w:color w:val="auto"/>
        </w:rPr>
        <w:t>135 of the Macron Law (</w:t>
      </w:r>
      <w:r>
        <w:rPr>
          <w:rFonts w:ascii="Arial" w:cs="Arial" w:eastAsia="Arial" w:hAnsi="Arial"/>
          <w:sz w:val="20"/>
          <w:szCs w:val="20"/>
          <w:i w:val="1"/>
          <w:iCs w:val="1"/>
          <w:color w:val="auto"/>
        </w:rPr>
        <w:t>loi n° 2015-990 du 6 août 2015 pour la croissance, l'activité et l'égalité des chances économiques</w:t>
      </w:r>
      <w:r>
        <w:rPr>
          <w:rFonts w:ascii="Arial" w:cs="Arial" w:eastAsia="Arial" w:hAnsi="Arial"/>
          <w:sz w:val="20"/>
          <w:szCs w:val="20"/>
          <w:color w:val="auto"/>
        </w:rPr>
        <w:t>) (“Qualified Restricted Stock Units”).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French Schedule has been approved by the Committee (as the empowered foreign corporate body) on February 3, 2016, as required by the French tax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8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Unless provided otherwise or unless the context requires otherwise, capitalized terms used but not defined in this French Schedule shall have the meaning assigned to them in the Plan, the Agreement and/or the Appendix.</w:t>
      </w:r>
    </w:p>
    <w:p>
      <w:pPr>
        <w:spacing w:after="0" w:line="16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terms of a “Restricted Stock Unit” under this French Schedule shall be on similar terms to the equivalent “Restricted Stock Unit” under the Agreement, except to the extent that this French Schedule provides to the contrary.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this French Schedule only, the following additional definitions shall be used:</w:t>
      </w:r>
    </w:p>
    <w:p>
      <w:pPr>
        <w:spacing w:after="0" w:line="202" w:lineRule="exact"/>
        <w:rPr>
          <w:sz w:val="20"/>
          <w:szCs w:val="20"/>
          <w:color w:val="auto"/>
        </w:rPr>
      </w:pPr>
    </w:p>
    <w:p>
      <w:pPr>
        <w:ind w:left="1860" w:hanging="975"/>
        <w:spacing w:after="0"/>
        <w:tabs>
          <w:tab w:leader="none" w:pos="186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Closed Period</w:t>
      </w:r>
      <w:r>
        <w:rPr>
          <w:rFonts w:ascii="Arial" w:cs="Arial" w:eastAsia="Arial" w:hAnsi="Arial"/>
          <w:sz w:val="20"/>
          <w:szCs w:val="20"/>
          <w:color w:val="auto"/>
        </w:rPr>
        <w:t xml:space="preserve">” will have the meaning defined in Section L. 225-197-1 of the French </w:t>
      </w:r>
      <w:r>
        <w:rPr>
          <w:rFonts w:ascii="Arial" w:cs="Arial" w:eastAsia="Arial" w:hAnsi="Arial"/>
          <w:sz w:val="20"/>
          <w:szCs w:val="20"/>
          <w:i w:val="1"/>
          <w:iCs w:val="1"/>
          <w:color w:val="auto"/>
        </w:rPr>
        <w:t>Code de commerce</w:t>
      </w:r>
      <w:r>
        <w:rPr>
          <w:rFonts w:ascii="Arial" w:cs="Arial" w:eastAsia="Arial" w:hAnsi="Arial"/>
          <w:sz w:val="20"/>
          <w:szCs w:val="20"/>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being:</w:t>
      </w:r>
    </w:p>
    <w:p>
      <w:pPr>
        <w:spacing w:after="0" w:line="186" w:lineRule="exact"/>
        <w:rPr>
          <w:sz w:val="20"/>
          <w:szCs w:val="20"/>
          <w:color w:val="auto"/>
        </w:rPr>
      </w:pPr>
    </w:p>
    <w:p>
      <w:pPr>
        <w:ind w:left="2620" w:right="20" w:hanging="870"/>
        <w:spacing w:after="0" w:line="260" w:lineRule="auto"/>
        <w:tabs>
          <w:tab w:leader="none" w:pos="26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ten quotation days preceding and three quotation days following disclosure to the public of the consolidated financial statements or the annual statements of the Company;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4" w:name="page125"/>
    <w:bookmarkEnd w:id="124"/>
    <w:p>
      <w:pPr>
        <w:jc w:val="both"/>
        <w:ind w:left="2620" w:right="20" w:hanging="870"/>
        <w:spacing w:after="0" w:line="250" w:lineRule="auto"/>
        <w:tabs>
          <w:tab w:leader="none" w:pos="262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72" w:lineRule="exact"/>
        <w:rPr>
          <w:rFonts w:ascii="Arial" w:cs="Arial" w:eastAsia="Arial" w:hAnsi="Arial"/>
          <w:sz w:val="20"/>
          <w:szCs w:val="20"/>
          <w:color w:val="auto"/>
        </w:rPr>
      </w:pPr>
    </w:p>
    <w:p>
      <w:pPr>
        <w:ind w:left="1780" w:hanging="895"/>
        <w:spacing w:after="0"/>
        <w:tabs>
          <w:tab w:leader="none" w:pos="17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 Date</w:t>
      </w:r>
      <w:r>
        <w:rPr>
          <w:rFonts w:ascii="Arial" w:cs="Arial" w:eastAsia="Arial" w:hAnsi="Arial"/>
          <w:sz w:val="20"/>
          <w:szCs w:val="20"/>
          <w:color w:val="auto"/>
        </w:rPr>
        <w:t>” shall be the date on which the Committee:</w:t>
      </w:r>
    </w:p>
    <w:p>
      <w:pPr>
        <w:spacing w:after="0" w:line="202" w:lineRule="exact"/>
        <w:rPr>
          <w:rFonts w:ascii="Arial" w:cs="Arial" w:eastAsia="Arial" w:hAnsi="Arial"/>
          <w:sz w:val="20"/>
          <w:szCs w:val="20"/>
          <w:color w:val="auto"/>
        </w:rPr>
      </w:pPr>
    </w:p>
    <w:p>
      <w:pPr>
        <w:ind w:left="2620" w:hanging="870"/>
        <w:spacing w:after="0"/>
        <w:tabs>
          <w:tab w:leader="none" w:pos="26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designates the Eligible Individuals; and</w:t>
      </w:r>
    </w:p>
    <w:p>
      <w:pPr>
        <w:spacing w:after="0" w:line="202" w:lineRule="exact"/>
        <w:rPr>
          <w:sz w:val="20"/>
          <w:szCs w:val="20"/>
          <w:color w:val="auto"/>
        </w:rPr>
      </w:pPr>
    </w:p>
    <w:p>
      <w:pPr>
        <w:jc w:val="both"/>
        <w:ind w:left="2620" w:hanging="870"/>
        <w:spacing w:after="0" w:line="246" w:lineRule="auto"/>
        <w:tabs>
          <w:tab w:leader="none" w:pos="262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78" w:lineRule="exact"/>
        <w:rPr>
          <w:rFonts w:ascii="Arial" w:cs="Arial" w:eastAsia="Arial" w:hAnsi="Arial"/>
          <w:sz w:val="20"/>
          <w:szCs w:val="20"/>
          <w:color w:val="auto"/>
        </w:rPr>
      </w:pPr>
    </w:p>
    <w:p>
      <w:pPr>
        <w:jc w:val="both"/>
        <w:ind w:firstLine="885"/>
        <w:spacing w:after="0" w:line="244" w:lineRule="auto"/>
        <w:tabs>
          <w:tab w:leader="none" w:pos="176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 Period</w:t>
      </w:r>
      <w:r>
        <w:rPr>
          <w:rFonts w:ascii="Arial" w:cs="Arial" w:eastAsia="Arial" w:hAnsi="Arial"/>
          <w:sz w:val="20"/>
          <w:szCs w:val="20"/>
          <w:color w:val="auto"/>
        </w:rPr>
        <w:t xml:space="preserve">” means the period (applicable under Article L. 225-197-1 of the French </w:t>
      </w:r>
      <w:r>
        <w:rPr>
          <w:rFonts w:ascii="Arial" w:cs="Arial" w:eastAsia="Arial" w:hAnsi="Arial"/>
          <w:sz w:val="20"/>
          <w:szCs w:val="20"/>
          <w:i w:val="1"/>
          <w:iCs w:val="1"/>
          <w:color w:val="auto"/>
        </w:rPr>
        <w:t>Code de commerce</w:t>
      </w:r>
      <w:r>
        <w:rPr>
          <w:rFonts w:ascii="Arial" w:cs="Arial" w:eastAsia="Arial" w:hAnsi="Arial"/>
          <w:sz w:val="20"/>
          <w:szCs w:val="20"/>
          <w:color w:val="auto"/>
        </w:rPr>
        <w:t>) following the relevant Vesting date of an Award during which the Vested Shares shall either be held by the 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81" w:lineRule="exact"/>
        <w:rPr>
          <w:rFonts w:ascii="Arial" w:cs="Arial" w:eastAsia="Arial" w:hAnsi="Arial"/>
          <w:sz w:val="20"/>
          <w:szCs w:val="20"/>
          <w:color w:val="auto"/>
        </w:rPr>
      </w:pPr>
    </w:p>
    <w:p>
      <w:pPr>
        <w:ind w:right="20" w:firstLine="885"/>
        <w:spacing w:after="0" w:line="260" w:lineRule="auto"/>
        <w:tabs>
          <w:tab w:leader="none" w:pos="177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Broker</w:t>
      </w:r>
      <w:r>
        <w:rPr>
          <w:rFonts w:ascii="Arial" w:cs="Arial" w:eastAsia="Arial" w:hAnsi="Arial"/>
          <w:sz w:val="20"/>
          <w:szCs w:val="20"/>
          <w:color w:val="auto"/>
        </w:rPr>
        <w:t>” means such person or persons designated by the Company or the empowered corporate body to hold Vested Shares as nominee on behalf of an Eligible Individual during the Holding Period.</w:t>
      </w:r>
    </w:p>
    <w:p>
      <w:pPr>
        <w:spacing w:after="0" w:line="163" w:lineRule="exact"/>
        <w:rPr>
          <w:rFonts w:ascii="Arial" w:cs="Arial" w:eastAsia="Arial" w:hAnsi="Arial"/>
          <w:sz w:val="20"/>
          <w:szCs w:val="20"/>
          <w:color w:val="auto"/>
        </w:rPr>
      </w:pPr>
    </w:p>
    <w:p>
      <w:pPr>
        <w:ind w:firstLine="885"/>
        <w:spacing w:after="0" w:line="260" w:lineRule="auto"/>
        <w:tabs>
          <w:tab w:leader="none" w:pos="176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Vesting</w:t>
      </w:r>
      <w:r>
        <w:rPr>
          <w:rFonts w:ascii="Arial" w:cs="Arial" w:eastAsia="Arial" w:hAnsi="Arial"/>
          <w:sz w:val="20"/>
          <w:szCs w:val="20"/>
          <w:color w:val="auto"/>
        </w:rPr>
        <w:t>” in relation to Qualified Restricted Stock Units, means an Eligible Individual becoming entitled to have the Shares transferred to him subject to the Plan, and the terms “Vest” and “Vested” shall be construed accordingly.</w:t>
      </w:r>
    </w:p>
    <w:p>
      <w:pPr>
        <w:spacing w:after="0" w:line="163" w:lineRule="exact"/>
        <w:rPr>
          <w:rFonts w:ascii="Arial" w:cs="Arial" w:eastAsia="Arial" w:hAnsi="Arial"/>
          <w:sz w:val="20"/>
          <w:szCs w:val="20"/>
          <w:color w:val="auto"/>
        </w:rPr>
      </w:pPr>
    </w:p>
    <w:p>
      <w:pPr>
        <w:ind w:left="1760" w:hanging="875"/>
        <w:spacing w:after="0"/>
        <w:tabs>
          <w:tab w:leader="none" w:pos="176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Period</w:t>
      </w:r>
      <w:r>
        <w:rPr>
          <w:rFonts w:ascii="Arial" w:cs="Arial" w:eastAsia="Arial" w:hAnsi="Arial"/>
          <w:sz w:val="19"/>
          <w:szCs w:val="19"/>
          <w:color w:val="auto"/>
        </w:rPr>
        <w:t>” means the period from the Grant Date to the date of Vesting of an Award, such period lasting</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at least one year.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Notifications</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2018.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5" w:name="page126"/>
    <w:bookmarkEnd w:id="125"/>
    <w:p>
      <w:pPr>
        <w:jc w:val="both"/>
        <w:ind w:right="20"/>
        <w:spacing w:after="0" w:line="267" w:lineRule="auto"/>
        <w:rPr>
          <w:sz w:val="20"/>
          <w:szCs w:val="20"/>
          <w:color w:val="auto"/>
        </w:rPr>
      </w:pPr>
      <w:r>
        <w:rPr>
          <w:rFonts w:ascii="Arial" w:cs="Arial" w:eastAsia="Arial" w:hAnsi="Arial"/>
          <w:sz w:val="20"/>
          <w:szCs w:val="20"/>
          <w:b w:val="1"/>
          <w:bCs w:val="1"/>
          <w:color w:val="auto"/>
        </w:rPr>
        <w:t xml:space="preserve">Taxation of Award. </w:t>
      </w:r>
      <w:r>
        <w:rPr>
          <w:rFonts w:ascii="Arial" w:cs="Arial" w:eastAsia="Arial" w:hAnsi="Arial"/>
          <w:sz w:val="20"/>
          <w:szCs w:val="20"/>
          <w:color w:val="auto"/>
        </w:rPr>
        <w:t>This Award is intended to be French tax-qualified and is subject to the special terms and conditions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French Schedule to this Schedule.”</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Eligible Individual may hold Shares acquired under the Plan outside of France provided he or she</w:t>
      </w:r>
      <w:r>
        <w:rPr>
          <w:rFonts w:ascii="Arial" w:cs="Arial" w:eastAsia="Arial" w:hAnsi="Arial"/>
          <w:sz w:val="19"/>
          <w:szCs w:val="19"/>
          <w:b w:val="1"/>
          <w:bCs w:val="1"/>
          <w:color w:val="auto"/>
        </w:rPr>
        <w:t xml:space="preserve"> </w:t>
      </w:r>
      <w:r>
        <w:rPr>
          <w:rFonts w:ascii="Arial" w:cs="Arial" w:eastAsia="Arial" w:hAnsi="Arial"/>
          <w:sz w:val="19"/>
          <w:szCs w:val="19"/>
          <w:color w:val="auto"/>
        </w:rPr>
        <w:t>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16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40"/>
          </w:cols>
          <w:pgMar w:left="1120" w:top="49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PERFORMANCE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(TSR - Based)</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PERFORMANCE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performance restricted stock units (“PSUs”) to the Eligible Individual by the Company (the “Award”).</w:t>
      </w:r>
    </w:p>
    <w:p>
      <w:pPr>
        <w:spacing w:after="0" w:line="200" w:lineRule="exact"/>
        <w:rPr>
          <w:sz w:val="20"/>
          <w:szCs w:val="20"/>
          <w:color w:val="auto"/>
        </w:rPr>
      </w:pPr>
    </w:p>
    <w:p>
      <w:pPr>
        <w:spacing w:after="0" w:line="204"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Company’s Amended and Restated 2011 Stock and Annual Incentive Plan or the Company’s 2018 Stock and Annual Incentive Plan, as appropriate (as either may be amended from time to time, the “Plan”).</w:t>
      </w:r>
    </w:p>
    <w:p>
      <w:pPr>
        <w:spacing w:after="0" w:line="180" w:lineRule="exact"/>
        <w:rPr>
          <w:sz w:val="20"/>
          <w:szCs w:val="20"/>
          <w:color w:val="auto"/>
        </w:rPr>
      </w:pPr>
    </w:p>
    <w:p>
      <w:pPr>
        <w:ind w:left="880" w:hanging="872"/>
        <w:spacing w:after="0"/>
        <w:tabs>
          <w:tab w:leader="none" w:pos="88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PSUs</w:t>
      </w:r>
    </w:p>
    <w:p>
      <w:pPr>
        <w:spacing w:after="0" w:line="212" w:lineRule="exact"/>
        <w:rPr>
          <w:rFonts w:ascii="Arial" w:cs="Arial" w:eastAsia="Arial" w:hAnsi="Arial"/>
          <w:sz w:val="22"/>
          <w:szCs w:val="22"/>
          <w:b w:val="1"/>
          <w:bCs w:val="1"/>
          <w:color w:val="auto"/>
        </w:rPr>
      </w:pPr>
    </w:p>
    <w:p>
      <w:pPr>
        <w:jc w:val="both"/>
        <w:ind w:firstLine="885"/>
        <w:spacing w:after="0" w:line="245" w:lineRule="auto"/>
        <w:tabs>
          <w:tab w:leader="none" w:pos="1765" w:val="left"/>
        </w:tabs>
        <w:numPr>
          <w:ilvl w:val="1"/>
          <w:numId w:val="146"/>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and the Plan and the Grant Details, the Company hereby grants PSUs to the Eligible Individual in the target amount set forth in the Grant Details (“Target PSUs”), assuming target performance, and up to a maximum of 200% of the Target PSUs, with the actual number of PSUs earned to be based on actual performance as more specifically described below.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The Grant Details, which sets forth the target number of PSUs granted to the Eligible Individual by the Company, the Grant Date and the vesting schedule of the PSUs (among other information), are hereby incorporated by reference into, and shall be read as part and parcel of, this Agreement.</w:t>
      </w:r>
    </w:p>
    <w:p>
      <w:pPr>
        <w:spacing w:after="0" w:line="185" w:lineRule="exact"/>
        <w:rPr>
          <w:rFonts w:ascii="Arial" w:cs="Arial" w:eastAsia="Arial" w:hAnsi="Arial"/>
          <w:sz w:val="21"/>
          <w:szCs w:val="21"/>
          <w:color w:val="auto"/>
        </w:rPr>
      </w:pPr>
    </w:p>
    <w:p>
      <w:pPr>
        <w:jc w:val="both"/>
        <w:ind w:firstLine="885"/>
        <w:spacing w:after="0" w:line="282" w:lineRule="auto"/>
        <w:tabs>
          <w:tab w:leader="none" w:pos="1778"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amount of PSUs earned under this Award will be based on the Company’s TSR (as defined below) performance over the period commencing January 1, 2018 through December 31, 2020 (the “Performance Period”) relative to the TSR performance of the Nasdaq Composite Total Return Index (the “Index”) over the Performance Period. The amount of PSUs earned under this Award shall be determined based on the calculation of the applicable percentile ranking of the Company relative to the Index in accordance with Schedule I attached hereto and the terms provided in this Agreement.</w:t>
      </w:r>
    </w:p>
    <w:p>
      <w:pPr>
        <w:spacing w:after="0" w:line="147" w:lineRule="exact"/>
        <w:rPr>
          <w:rFonts w:ascii="Arial" w:cs="Arial" w:eastAsia="Arial" w:hAnsi="Arial"/>
          <w:sz w:val="19"/>
          <w:szCs w:val="19"/>
          <w:color w:val="auto"/>
        </w:rPr>
      </w:pPr>
    </w:p>
    <w:p>
      <w:pPr>
        <w:jc w:val="both"/>
        <w:ind w:firstLine="885"/>
        <w:spacing w:after="0" w:line="238" w:lineRule="auto"/>
        <w:tabs>
          <w:tab w:leader="none" w:pos="1765" w:val="left"/>
        </w:tabs>
        <w:numPr>
          <w:ilvl w:val="1"/>
          <w:numId w:val="146"/>
        </w:numPr>
        <w:rPr>
          <w:rFonts w:ascii="Arial" w:cs="Arial" w:eastAsia="Arial" w:hAnsi="Arial"/>
          <w:sz w:val="22"/>
          <w:szCs w:val="22"/>
          <w:color w:val="auto"/>
        </w:rPr>
      </w:pPr>
      <w:r>
        <w:rPr>
          <w:rFonts w:ascii="Arial" w:cs="Arial" w:eastAsia="Arial" w:hAnsi="Arial"/>
          <w:sz w:val="22"/>
          <w:szCs w:val="22"/>
          <w:color w:val="auto"/>
        </w:rPr>
        <w:t>For purposes of this Agreement, “TSR” means the change in fair market value over the specified period of time, expressed as a percentage, of an initial investment in specified common stock, including the effect of any dividends actually paid as if the dividends were reinvested in the stock of the Company or the Index, as the case may be, and proportionately adjusted for stock splits, reorganizations or similar transactions occurring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7" w:name="page128"/>
    <w:bookmarkEnd w:id="127"/>
    <w:p>
      <w:pPr>
        <w:jc w:val="both"/>
        <w:spacing w:after="0" w:line="282" w:lineRule="auto"/>
        <w:rPr>
          <w:sz w:val="20"/>
          <w:szCs w:val="20"/>
          <w:color w:val="auto"/>
        </w:rPr>
      </w:pPr>
      <w:r>
        <w:rPr>
          <w:rFonts w:ascii="Arial" w:cs="Arial" w:eastAsia="Arial" w:hAnsi="Arial"/>
          <w:sz w:val="19"/>
          <w:szCs w:val="19"/>
          <w:color w:val="auto"/>
        </w:rPr>
        <w:t>Performance Period, as provided herein or as determined utilizing such methodology as the Committee, or its delegate, shall have approved. Notwithstanding the foregoing, the Committee, or its delegate, shall have the discretion to make appropriate and equitable adjustments of the TSR of any company (including the Company) whose shares trade ex-dividend as of December 31, 2020. The TSR shall be based on the trailing 30-trading day average closing stock prices of the Company and the Index measured as of (and including the 30th day) the first and last trading days of the Performance Period.</w:t>
      </w:r>
    </w:p>
    <w:p>
      <w:pPr>
        <w:spacing w:after="0" w:line="142" w:lineRule="exact"/>
        <w:rPr>
          <w:sz w:val="20"/>
          <w:szCs w:val="20"/>
          <w:color w:val="auto"/>
        </w:rPr>
      </w:pPr>
    </w:p>
    <w:p>
      <w:pPr>
        <w:ind w:left="880" w:hanging="872"/>
        <w:spacing w:after="0"/>
        <w:tabs>
          <w:tab w:leader="none" w:pos="8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PSUs</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As soon as practicable after any PSUs have vested and are no longer subject to the Performance Period (but in no event later than sixty (60) days thereafter), such PSUs shall be settled. Subject to Section 8 (pertaining to the withholding of taxes), for each PSU settled pursuant to this Section 2, the Company shall issue one Share and cause to be delivered to the Eligible Individual one or more unlegended, freely-transferable stock certificates in respect of such Shares issued upon settlement of the vested PSUs.</w:t>
      </w:r>
    </w:p>
    <w:p>
      <w:pPr>
        <w:spacing w:after="0" w:line="137" w:lineRule="exact"/>
        <w:rPr>
          <w:sz w:val="20"/>
          <w:szCs w:val="20"/>
          <w:color w:val="auto"/>
        </w:rPr>
      </w:pPr>
    </w:p>
    <w:p>
      <w:pPr>
        <w:ind w:left="880" w:hanging="872"/>
        <w:spacing w:after="0"/>
        <w:tabs>
          <w:tab w:leader="none" w:pos="88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PSUs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During the Performance Period and until such time as the PSUs are settled as provided herein or on the website of the Plan Administrator, the PSUs shall not be transferable by the Eligible Individual by means of sale, assignment, exchange, encumbrance, pledge, hedge or otherwise.</w:t>
      </w:r>
    </w:p>
    <w:p>
      <w:pPr>
        <w:spacing w:after="0" w:line="180" w:lineRule="exact"/>
        <w:rPr>
          <w:sz w:val="20"/>
          <w:szCs w:val="20"/>
          <w:color w:val="auto"/>
        </w:rPr>
      </w:pPr>
    </w:p>
    <w:p>
      <w:pPr>
        <w:ind w:left="880" w:hanging="872"/>
        <w:spacing w:after="0"/>
        <w:tabs>
          <w:tab w:leader="none" w:pos="88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Except as otherwise specifically provided in this Agreement, during the Performance Period the Eligible Individual shall not be entitled to any rights of a stockholder with respect to the PSUs. Notwithstanding the foregoing, if the Company declares and pays dividends on the Common Stock during the Performance Period, the Eligible Individual will be credited with additional amounts for each PSU equal to the dividend that would have been paid with respect to such PSU if it had been an actual share of Common Stock, which amount shall remain subject to restrictions (and as determined by the Committee may be reinvested in PSU or may be held in kind as restricted property) and shall vest concurrently with the vesting of the PSU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52" w:lineRule="exact"/>
        <w:rPr>
          <w:sz w:val="20"/>
          <w:szCs w:val="20"/>
          <w:color w:val="auto"/>
        </w:rPr>
      </w:pPr>
    </w:p>
    <w:p>
      <w:pPr>
        <w:ind w:left="880" w:hanging="872"/>
        <w:spacing w:after="0"/>
        <w:tabs>
          <w:tab w:leader="none" w:pos="88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firstLine="885"/>
        <w:spacing w:after="0" w:line="279" w:lineRule="auto"/>
        <w:tabs>
          <w:tab w:leader="none" w:pos="176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PSUs and the number and kind of shares of Common Stock underlying the PSUs.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8" w:name="page129"/>
    <w:bookmarkEnd w:id="128"/>
    <w:p>
      <w:pPr>
        <w:jc w:val="both"/>
        <w:ind w:firstLine="885"/>
        <w:spacing w:after="0" w:line="245" w:lineRule="auto"/>
        <w:tabs>
          <w:tab w:leader="none" w:pos="1778"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the PSUs in exchange for payments of cash, property or a combination thereof having an aggregate value equal to the value of such PSUs, as determined by the Committee or the Board in its sole discretion, (ii) the substitution of other property (including, without limitation, cash or other securities of the Company and securities of entities other than the Company) for the shares of Common Stock underlying the PSUs and (iii) in connection with any Disaffiliation, arranging for the assumption of the PSUs, or the replacement of the PSUs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PSUs that remain based upon securities of the Company).</w:t>
      </w:r>
    </w:p>
    <w:p>
      <w:pPr>
        <w:spacing w:after="0" w:line="185" w:lineRule="exact"/>
        <w:rPr>
          <w:rFonts w:ascii="Arial" w:cs="Arial" w:eastAsia="Arial" w:hAnsi="Arial"/>
          <w:sz w:val="21"/>
          <w:szCs w:val="21"/>
          <w:color w:val="auto"/>
        </w:rPr>
      </w:pPr>
    </w:p>
    <w:p>
      <w:pPr>
        <w:ind w:firstLine="885"/>
        <w:spacing w:after="0" w:line="251" w:lineRule="auto"/>
        <w:tabs>
          <w:tab w:leader="none" w:pos="176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In the event of a Change in Control before the end of the Performance Period, upon consummation of the closing of the Change in Control, then:</w:t>
      </w:r>
    </w:p>
    <w:p>
      <w:pPr>
        <w:spacing w:after="0" w:line="173" w:lineRule="exact"/>
        <w:rPr>
          <w:rFonts w:ascii="Arial" w:cs="Arial" w:eastAsia="Arial" w:hAnsi="Arial"/>
          <w:sz w:val="22"/>
          <w:szCs w:val="22"/>
          <w:color w:val="auto"/>
        </w:rPr>
      </w:pPr>
    </w:p>
    <w:p>
      <w:pPr>
        <w:jc w:val="both"/>
        <w:ind w:left="2620" w:hanging="870"/>
        <w:spacing w:after="0" w:line="238" w:lineRule="auto"/>
        <w:tabs>
          <w:tab w:leader="none" w:pos="262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Performance Period shall end on the closing date of the Change in Control (for purposes of this section, the “Adjusted Performance Period”) for purposes of determining TSR for the Company and the Index and the number of PSUs that shall be earned for purposes of Section 1 of this Agreement (“Earned PSUs”);</w:t>
      </w:r>
    </w:p>
    <w:p>
      <w:pPr>
        <w:spacing w:after="0" w:line="185" w:lineRule="exact"/>
        <w:rPr>
          <w:rFonts w:ascii="Arial" w:cs="Arial" w:eastAsia="Arial" w:hAnsi="Arial"/>
          <w:sz w:val="22"/>
          <w:szCs w:val="22"/>
          <w:color w:val="auto"/>
        </w:rPr>
      </w:pPr>
    </w:p>
    <w:p>
      <w:pPr>
        <w:jc w:val="both"/>
        <w:ind w:left="2620" w:hanging="870"/>
        <w:spacing w:after="0" w:line="282" w:lineRule="auto"/>
        <w:tabs>
          <w:tab w:leader="none" w:pos="262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Earned PSUs that would have vested through the date of the Change in Control, assuming daily pro rata vesting over the Performance Period (determined based on the numerator being the number of days during the period commencing as of the first day of the Performance Period through the date of such Change in Control, and the denominator being the number of days during the Performance Period), shall accelerate and vest and those PSUs shall settle as of the date of the Change in Control;</w:t>
      </w:r>
    </w:p>
    <w:p>
      <w:pPr>
        <w:spacing w:after="0" w:line="147" w:lineRule="exact"/>
        <w:rPr>
          <w:rFonts w:ascii="Arial" w:cs="Arial" w:eastAsia="Arial" w:hAnsi="Arial"/>
          <w:sz w:val="19"/>
          <w:szCs w:val="19"/>
          <w:color w:val="auto"/>
        </w:rPr>
      </w:pPr>
    </w:p>
    <w:p>
      <w:pPr>
        <w:jc w:val="both"/>
        <w:ind w:left="2620" w:hanging="870"/>
        <w:spacing w:after="0" w:line="236" w:lineRule="auto"/>
        <w:tabs>
          <w:tab w:leader="none" w:pos="262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Any remaining Earned PSUs (i.e. the positive difference, if any, between Earned PSUs calculated pursuant to Section 6(c)(i) above and those for which vesting was accelerated pursuant to Section 6(c)(ii) above) shall vest and no longer be subject to any restriction on a pro rata basis on each anniversary, as the case may be, of December 31</w:t>
      </w:r>
      <w:r>
        <w:rPr>
          <w:rFonts w:ascii="Arial" w:cs="Arial" w:eastAsia="Arial" w:hAnsi="Arial"/>
          <w:sz w:val="18"/>
          <w:szCs w:val="18"/>
          <w:color w:val="auto"/>
        </w:rPr>
        <w:t>st</w:t>
      </w:r>
      <w:r>
        <w:rPr>
          <w:rFonts w:ascii="Arial" w:cs="Arial" w:eastAsia="Arial" w:hAnsi="Arial"/>
          <w:sz w:val="22"/>
          <w:szCs w:val="22"/>
          <w:color w:val="auto"/>
        </w:rPr>
        <w:t xml:space="preserve"> that follows the last date of the Adjusted Performance Period through December 31, 2020.</w:t>
      </w:r>
    </w:p>
    <w:p>
      <w:pPr>
        <w:spacing w:after="0" w:line="187" w:lineRule="exact"/>
        <w:rPr>
          <w:rFonts w:ascii="Arial" w:cs="Arial" w:eastAsia="Arial" w:hAnsi="Arial"/>
          <w:sz w:val="22"/>
          <w:szCs w:val="22"/>
          <w:color w:val="auto"/>
        </w:rPr>
      </w:pPr>
    </w:p>
    <w:p>
      <w:pPr>
        <w:ind w:firstLine="885"/>
        <w:spacing w:after="0" w:line="251" w:lineRule="auto"/>
        <w:tabs>
          <w:tab w:leader="none" w:pos="177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73" w:lineRule="exact"/>
        <w:rPr>
          <w:rFonts w:ascii="Arial" w:cs="Arial" w:eastAsia="Arial" w:hAnsi="Arial"/>
          <w:sz w:val="22"/>
          <w:szCs w:val="22"/>
          <w:color w:val="auto"/>
        </w:rPr>
      </w:pPr>
    </w:p>
    <w:p>
      <w:pPr>
        <w:jc w:val="both"/>
        <w:ind w:firstLine="885"/>
        <w:spacing w:after="0"/>
        <w:tabs>
          <w:tab w:leader="none" w:pos="176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In the event of a Termination of Employment during the two-year period following a Change in Control, the provisions of Section 10(b) of the Plan shall apply; provided, that the Committee in its discretion may provide for earlier accelerated vesting.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129" w:name="page130"/>
    <w:bookmarkEnd w:id="129"/>
    <w:p>
      <w:pPr>
        <w:ind w:left="880" w:hanging="872"/>
        <w:spacing w:after="0"/>
        <w:tabs>
          <w:tab w:leader="none" w:pos="880" w:val="left"/>
        </w:tabs>
        <w:numPr>
          <w:ilvl w:val="0"/>
          <w:numId w:val="15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a Termination of Employment without Cause or Resignation for Good Reason</w:t>
      </w:r>
    </w:p>
    <w:p>
      <w:pPr>
        <w:spacing w:after="0" w:line="223" w:lineRule="exact"/>
        <w:rPr>
          <w:rFonts w:ascii="Arial" w:cs="Arial" w:eastAsia="Arial" w:hAnsi="Arial"/>
          <w:sz w:val="21"/>
          <w:szCs w:val="21"/>
          <w:b w:val="1"/>
          <w:bCs w:val="1"/>
          <w:color w:val="auto"/>
        </w:rPr>
      </w:pPr>
    </w:p>
    <w:p>
      <w:pPr>
        <w:ind w:right="20" w:firstLine="885"/>
        <w:spacing w:after="0" w:line="251" w:lineRule="auto"/>
        <w:tabs>
          <w:tab w:leader="none" w:pos="176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In the event of a Termination of Employment without Cause or resignation for Good Reason, before the end of the Performance Period, in each case, not in connection with a Change in Control, then:</w:t>
      </w:r>
    </w:p>
    <w:p>
      <w:pPr>
        <w:spacing w:after="0" w:line="173" w:lineRule="exact"/>
        <w:rPr>
          <w:rFonts w:ascii="Arial" w:cs="Arial" w:eastAsia="Arial" w:hAnsi="Arial"/>
          <w:sz w:val="22"/>
          <w:szCs w:val="22"/>
          <w:color w:val="auto"/>
        </w:rPr>
      </w:pPr>
    </w:p>
    <w:p>
      <w:pPr>
        <w:jc w:val="both"/>
        <w:ind w:left="2620" w:hanging="870"/>
        <w:spacing w:after="0" w:line="238" w:lineRule="auto"/>
        <w:tabs>
          <w:tab w:leader="none" w:pos="262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The Performance Period shall end on the date of the Termination of Employment (for purposes of this section, the “Adjusted Performance Period”) for purposes of determining TSR for the Company and the Index and the number of PSUs that shall be earned for purposes of Section 1 of this Agreement (“Earned PSUs”);</w:t>
      </w:r>
    </w:p>
    <w:p>
      <w:pPr>
        <w:spacing w:after="0" w:line="185" w:lineRule="exact"/>
        <w:rPr>
          <w:rFonts w:ascii="Arial" w:cs="Arial" w:eastAsia="Arial" w:hAnsi="Arial"/>
          <w:sz w:val="22"/>
          <w:szCs w:val="22"/>
          <w:color w:val="auto"/>
        </w:rPr>
      </w:pPr>
    </w:p>
    <w:p>
      <w:pPr>
        <w:jc w:val="both"/>
        <w:ind w:left="2620" w:hanging="870"/>
        <w:spacing w:after="0" w:line="235" w:lineRule="auto"/>
        <w:tabs>
          <w:tab w:leader="none" w:pos="262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The Earned PSUs that would have vested through the one-year anniversary of the date of the Termination of Employment, assuming daily pro rata vesting over this period (determined based on the numerator being the number of days the Participant is employed by, or providing services to, the Company, its Subsidiaries or Affiliates, and the denominator being the number of days during the Performance Period), shall accelerate and vest and those PSUs shall settle as of the date of the Termination of Employment;</w:t>
      </w:r>
    </w:p>
    <w:p>
      <w:pPr>
        <w:spacing w:after="0" w:line="188" w:lineRule="exact"/>
        <w:rPr>
          <w:rFonts w:ascii="Arial" w:cs="Arial" w:eastAsia="Arial" w:hAnsi="Arial"/>
          <w:sz w:val="22"/>
          <w:szCs w:val="22"/>
          <w:color w:val="auto"/>
        </w:rPr>
      </w:pPr>
    </w:p>
    <w:p>
      <w:pPr>
        <w:ind w:left="2620" w:hanging="870"/>
        <w:spacing w:after="0" w:line="328" w:lineRule="auto"/>
        <w:tabs>
          <w:tab w:leader="none" w:pos="2620" w:val="left"/>
        </w:tabs>
        <w:numPr>
          <w:ilvl w:val="2"/>
          <w:numId w:val="152"/>
        </w:numPr>
        <w:rPr>
          <w:rFonts w:ascii="Arial" w:cs="Arial" w:eastAsia="Arial" w:hAnsi="Arial"/>
          <w:sz w:val="19"/>
          <w:szCs w:val="19"/>
          <w:color w:val="auto"/>
        </w:rPr>
      </w:pPr>
      <w:r>
        <w:rPr>
          <w:rFonts w:ascii="Arial" w:cs="Arial" w:eastAsia="Arial" w:hAnsi="Arial"/>
          <w:sz w:val="19"/>
          <w:szCs w:val="19"/>
          <w:color w:val="auto"/>
        </w:rPr>
        <w:t>Any PSUs for which acceleration did not vest (i.e. the positive difference, if any, between Target PSUs and PSUs for which vesting accelerated pursuant to Section 7(a)(ii) above) shall expire.</w:t>
      </w:r>
    </w:p>
    <w:p>
      <w:pPr>
        <w:spacing w:after="0" w:line="105" w:lineRule="exact"/>
        <w:rPr>
          <w:rFonts w:ascii="Arial" w:cs="Arial" w:eastAsia="Arial" w:hAnsi="Arial"/>
          <w:sz w:val="19"/>
          <w:szCs w:val="19"/>
          <w:color w:val="auto"/>
        </w:rPr>
      </w:pPr>
    </w:p>
    <w:p>
      <w:pPr>
        <w:ind w:firstLine="885"/>
        <w:spacing w:after="0" w:line="251" w:lineRule="auto"/>
        <w:tabs>
          <w:tab w:leader="none" w:pos="1778"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94" w:lineRule="exact"/>
        <w:rPr>
          <w:rFonts w:ascii="Arial" w:cs="Arial" w:eastAsia="Arial" w:hAnsi="Arial"/>
          <w:sz w:val="22"/>
          <w:szCs w:val="22"/>
          <w:color w:val="auto"/>
        </w:rPr>
      </w:pPr>
    </w:p>
    <w:p>
      <w:pPr>
        <w:ind w:left="880" w:hanging="872"/>
        <w:spacing w:after="0"/>
        <w:tabs>
          <w:tab w:leader="none" w:pos="88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Recovery in the Event of a Financial Restatement; Claw-back Policy</w:t>
      </w:r>
    </w:p>
    <w:p>
      <w:pPr>
        <w:spacing w:after="0" w:line="21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Notwithstanding the provisions of Section 1 above, in the event that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PSUs (whether or not vested) shall be forfeited and canceled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PSUs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PSUs that vested during the two-year period after the events or circumstances giving rise to or constituting grounds for such Termination of Employment for Cause (i.e., the value of the PSUs upon vesting), in each case including any dividend equivalents or other distributions received in respect of any such PSUs.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0" w:name="page131"/>
    <w:bookmarkEnd w:id="130"/>
    <w:p>
      <w:pPr>
        <w:ind w:left="880" w:hanging="872"/>
        <w:spacing w:after="0"/>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 Fees and Withholding</w:t>
      </w:r>
    </w:p>
    <w:p>
      <w:pPr>
        <w:spacing w:after="0" w:line="104" w:lineRule="exact"/>
        <w:rPr>
          <w:rFonts w:ascii="Arial" w:cs="Arial" w:eastAsia="Arial" w:hAnsi="Arial"/>
          <w:sz w:val="22"/>
          <w:szCs w:val="22"/>
          <w:color w:val="auto"/>
        </w:rPr>
      </w:pPr>
    </w:p>
    <w:p>
      <w:pPr>
        <w:jc w:val="both"/>
        <w:ind w:firstLine="885"/>
        <w:spacing w:after="0"/>
        <w:tabs>
          <w:tab w:leader="none" w:pos="1765"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PSUs,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firstLine="885"/>
        <w:spacing w:after="0" w:line="277" w:lineRule="auto"/>
        <w:tabs>
          <w:tab w:leader="none" w:pos="1778" w:val="left"/>
        </w:tabs>
        <w:numPr>
          <w:ilvl w:val="1"/>
          <w:numId w:val="153"/>
        </w:numPr>
        <w:rPr>
          <w:rFonts w:ascii="Arial" w:cs="Arial" w:eastAsia="Arial" w:hAnsi="Arial"/>
          <w:sz w:val="19"/>
          <w:szCs w:val="19"/>
          <w:color w:val="auto"/>
        </w:rPr>
      </w:pPr>
      <w:r>
        <w:rPr>
          <w:rFonts w:ascii="Arial" w:cs="Arial" w:eastAsia="Arial" w:hAnsi="Arial"/>
          <w:sz w:val="19"/>
          <w:szCs w:val="19"/>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the Eligible Individual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PSUs, the receipt of cash or any dividends or dividend equivalents; and (ii) do not commit to structure the terms of the Award or any aspect of the PSUs to reduce or eliminate the Eligible Individual’s liability for Tax-Related Items.</w:t>
      </w:r>
    </w:p>
    <w:p>
      <w:pPr>
        <w:spacing w:after="0" w:line="152" w:lineRule="exact"/>
        <w:rPr>
          <w:rFonts w:ascii="Arial" w:cs="Arial" w:eastAsia="Arial" w:hAnsi="Arial"/>
          <w:sz w:val="19"/>
          <w:szCs w:val="19"/>
          <w:color w:val="auto"/>
        </w:rPr>
      </w:pPr>
    </w:p>
    <w:p>
      <w:pPr>
        <w:jc w:val="both"/>
        <w:ind w:firstLine="885"/>
        <w:spacing w:after="0" w:line="270" w:lineRule="auto"/>
        <w:tabs>
          <w:tab w:leader="none" w:pos="1765" w:val="left"/>
        </w:tabs>
        <w:numPr>
          <w:ilvl w:val="1"/>
          <w:numId w:val="153"/>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or vesting of the PSUs,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Award if the Eligible Individual fails to comply with his or her obligations in connection with the Tax-Related Items as described in this Section.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885"/>
        <w:spacing w:after="0"/>
        <w:tabs>
          <w:tab w:leader="none" w:pos="177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1" w:name="page132"/>
    <w:bookmarkEnd w:id="131"/>
    <w:p>
      <w:pPr>
        <w:jc w:val="both"/>
        <w:spacing w:after="0" w:line="247" w:lineRule="auto"/>
        <w:rPr>
          <w:sz w:val="20"/>
          <w:szCs w:val="20"/>
          <w:color w:val="auto"/>
        </w:rPr>
      </w:pPr>
      <w:r>
        <w:rPr>
          <w:rFonts w:ascii="Arial" w:cs="Arial" w:eastAsia="Arial" w:hAnsi="Arial"/>
          <w:sz w:val="21"/>
          <w:szCs w:val="21"/>
          <w:color w:val="auto"/>
        </w:rPr>
        <w:t>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72" w:lineRule="exact"/>
        <w:rPr>
          <w:sz w:val="20"/>
          <w:szCs w:val="20"/>
          <w:color w:val="auto"/>
        </w:rPr>
      </w:pPr>
    </w:p>
    <w:p>
      <w:pPr>
        <w:ind w:left="880" w:hanging="872"/>
        <w:spacing w:after="0"/>
        <w:tabs>
          <w:tab w:leader="none" w:pos="88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jc w:val="both"/>
        <w:ind w:firstLine="885"/>
        <w:spacing w:after="0" w:line="249" w:lineRule="auto"/>
        <w:tabs>
          <w:tab w:leader="none" w:pos="1765"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8" w:lineRule="exact"/>
        <w:rPr>
          <w:rFonts w:ascii="Arial" w:cs="Arial" w:eastAsia="Arial" w:hAnsi="Arial"/>
          <w:sz w:val="21"/>
          <w:szCs w:val="21"/>
          <w:color w:val="auto"/>
        </w:rPr>
      </w:pPr>
    </w:p>
    <w:p>
      <w:pPr>
        <w:jc w:val="both"/>
        <w:ind w:firstLine="885"/>
        <w:spacing w:after="0" w:line="234" w:lineRule="auto"/>
        <w:tabs>
          <w:tab w:leader="none" w:pos="1778"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PSUs,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208" w:lineRule="exact"/>
        <w:rPr>
          <w:rFonts w:ascii="Arial" w:cs="Arial" w:eastAsia="Arial" w:hAnsi="Arial"/>
          <w:sz w:val="22"/>
          <w:szCs w:val="22"/>
          <w:color w:val="auto"/>
        </w:rPr>
      </w:pPr>
    </w:p>
    <w:p>
      <w:pPr>
        <w:ind w:left="880" w:hanging="872"/>
        <w:spacing w:after="0"/>
        <w:tabs>
          <w:tab w:leader="none" w:pos="88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39"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color w:val="auto"/>
        </w:rPr>
      </w:pPr>
    </w:p>
    <w:p>
      <w:pPr>
        <w:ind w:firstLine="885"/>
        <w:spacing w:after="0" w:line="328" w:lineRule="auto"/>
        <w:tabs>
          <w:tab w:leader="none" w:pos="1765"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firstLine="885"/>
        <w:spacing w:after="0" w:line="251" w:lineRule="auto"/>
        <w:tabs>
          <w:tab w:leader="none" w:pos="1778"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granted repeatedly in the past;</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2" w:name="page133"/>
    <w:bookmarkEnd w:id="132"/>
    <w:p>
      <w:pPr>
        <w:jc w:val="both"/>
        <w:ind w:firstLine="885"/>
        <w:spacing w:after="0"/>
        <w:tabs>
          <w:tab w:leader="none" w:pos="1778"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ind w:firstLine="885"/>
        <w:spacing w:after="0" w:line="251" w:lineRule="auto"/>
        <w:tabs>
          <w:tab w:leader="none" w:pos="174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regular compensation of any kind for services of any kind rendered to the Company, Subsidiary, or Affiliate;</w:t>
      </w:r>
    </w:p>
    <w:p>
      <w:pPr>
        <w:spacing w:after="0" w:line="173"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right="20" w:firstLine="885"/>
        <w:spacing w:after="0" w:line="251" w:lineRule="auto"/>
        <w:tabs>
          <w:tab w:leader="none" w:pos="1778" w:val="left"/>
        </w:tabs>
        <w:numPr>
          <w:ilvl w:val="1"/>
          <w:numId w:val="155"/>
        </w:numPr>
        <w:rPr>
          <w:rFonts w:ascii="Arial" w:cs="Arial" w:eastAsia="Arial" w:hAnsi="Arial"/>
          <w:sz w:val="22"/>
          <w:szCs w:val="22"/>
          <w:color w:val="auto"/>
        </w:rPr>
      </w:pPr>
      <w:r>
        <w:rPr>
          <w:rFonts w:ascii="Arial" w:cs="Arial" w:eastAsia="Arial" w:hAnsi="Arial"/>
          <w:sz w:val="22"/>
          <w:szCs w:val="22"/>
          <w:color w:val="auto"/>
        </w:rPr>
        <w:t>in the event that the Eligible Individual is not an employee of the Company, a Subsidiary or an Affiliate, the Award will not be interpreted to form an employment contract or relationship with the Company; and</w:t>
      </w:r>
    </w:p>
    <w:p>
      <w:pPr>
        <w:spacing w:after="0" w:line="173" w:lineRule="exact"/>
        <w:rPr>
          <w:rFonts w:ascii="Arial" w:cs="Arial" w:eastAsia="Arial" w:hAnsi="Arial"/>
          <w:sz w:val="22"/>
          <w:szCs w:val="22"/>
          <w:color w:val="auto"/>
        </w:rPr>
      </w:pPr>
    </w:p>
    <w:p>
      <w:pPr>
        <w:jc w:val="both"/>
        <w:ind w:firstLine="885"/>
        <w:spacing w:after="0" w:line="277" w:lineRule="auto"/>
        <w:tabs>
          <w:tab w:leader="none" w:pos="173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6" w:lineRule="exact"/>
        <w:rPr>
          <w:rFonts w:ascii="Arial" w:cs="Arial" w:eastAsia="Arial" w:hAnsi="Arial"/>
          <w:sz w:val="19"/>
          <w:szCs w:val="19"/>
          <w:color w:val="auto"/>
        </w:rPr>
      </w:pPr>
    </w:p>
    <w:p>
      <w:pPr>
        <w:ind w:left="880" w:hanging="872"/>
        <w:spacing w:after="0"/>
        <w:tabs>
          <w:tab w:leader="none" w:pos="88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880" w:hanging="872"/>
        <w:spacing w:after="0"/>
        <w:tabs>
          <w:tab w:leader="none" w:pos="88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3" w:name="page134"/>
    <w:bookmarkEnd w:id="133"/>
    <w:p>
      <w:pPr>
        <w:ind w:left="880" w:hanging="872"/>
        <w:spacing w:after="0"/>
        <w:tabs>
          <w:tab w:leader="none" w:pos="88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2"/>
        <w:spacing w:after="0"/>
        <w:tabs>
          <w:tab w:leader="none" w:pos="88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PSUs are subject to the terms and conditions of the Plan, which are hereby incorporated by reference.</w:t>
      </w:r>
    </w:p>
    <w:p>
      <w:pPr>
        <w:spacing w:after="0" w:line="185" w:lineRule="exact"/>
        <w:rPr>
          <w:rFonts w:ascii="Arial" w:cs="Arial" w:eastAsia="Arial" w:hAnsi="Arial"/>
          <w:sz w:val="22"/>
          <w:szCs w:val="22"/>
          <w:color w:val="auto"/>
        </w:rPr>
      </w:pPr>
    </w:p>
    <w:p>
      <w:pPr>
        <w:jc w:val="both"/>
        <w:ind w:firstLine="885"/>
        <w:spacing w:after="0" w:line="236" w:lineRule="auto"/>
        <w:tabs>
          <w:tab w:leader="none" w:pos="1778" w:val="left"/>
        </w:tabs>
        <w:numPr>
          <w:ilvl w:val="1"/>
          <w:numId w:val="159"/>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rFonts w:ascii="Arial" w:cs="Arial" w:eastAsia="Arial" w:hAnsi="Arial"/>
          <w:sz w:val="22"/>
          <w:szCs w:val="22"/>
          <w:color w:val="auto"/>
        </w:rPr>
      </w:pPr>
    </w:p>
    <w:p>
      <w:pPr>
        <w:ind w:right="20" w:firstLine="885"/>
        <w:spacing w:after="0" w:line="251" w:lineRule="auto"/>
        <w:tabs>
          <w:tab w:leader="none" w:pos="1765"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Committee shall have the exclusive discretion to determine whether there has been any Termination of Employment and/or whether there existed Cause.</w:t>
      </w:r>
    </w:p>
    <w:p>
      <w:pPr>
        <w:spacing w:after="0" w:line="173" w:lineRule="exact"/>
        <w:rPr>
          <w:rFonts w:ascii="Arial" w:cs="Arial" w:eastAsia="Arial" w:hAnsi="Arial"/>
          <w:sz w:val="22"/>
          <w:szCs w:val="22"/>
          <w:color w:val="auto"/>
        </w:rPr>
      </w:pPr>
    </w:p>
    <w:p>
      <w:pPr>
        <w:jc w:val="both"/>
        <w:ind w:firstLine="885"/>
        <w:spacing w:after="0" w:line="249" w:lineRule="auto"/>
        <w:tabs>
          <w:tab w:leader="none" w:pos="1778" w:val="left"/>
        </w:tabs>
        <w:numPr>
          <w:ilvl w:val="1"/>
          <w:numId w:val="159"/>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2" w:lineRule="exact"/>
        <w:rPr>
          <w:rFonts w:ascii="Arial" w:cs="Arial" w:eastAsia="Arial" w:hAnsi="Arial"/>
          <w:sz w:val="21"/>
          <w:szCs w:val="21"/>
          <w:color w:val="auto"/>
        </w:rPr>
      </w:pPr>
    </w:p>
    <w:p>
      <w:pPr>
        <w:ind w:left="880" w:hanging="872"/>
        <w:spacing w:after="0"/>
        <w:tabs>
          <w:tab w:leader="none" w:pos="88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59"/>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rFonts w:ascii="Arial" w:cs="Arial" w:eastAsia="Arial" w:hAnsi="Arial"/>
          <w:sz w:val="22"/>
          <w:szCs w:val="22"/>
          <w:color w:val="auto"/>
        </w:rPr>
      </w:pPr>
    </w:p>
    <w:p>
      <w:pPr>
        <w:jc w:val="both"/>
        <w:ind w:firstLine="885"/>
        <w:spacing w:after="0" w:line="235" w:lineRule="auto"/>
        <w:tabs>
          <w:tab w:leader="none" w:pos="1778"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PSUs have vested). All actions taken and all interpretations and determinations made by the Committee in good faith shall be final and binding upon the Eligible Individual, the Company and all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4" w:name="page135"/>
    <w:bookmarkEnd w:id="134"/>
    <w:p>
      <w:pPr>
        <w:jc w:val="both"/>
        <w:spacing w:after="0"/>
        <w:rPr>
          <w:sz w:val="20"/>
          <w:szCs w:val="20"/>
          <w:color w:val="auto"/>
        </w:rPr>
      </w:pPr>
      <w:r>
        <w:rPr>
          <w:rFonts w:ascii="Arial" w:cs="Arial" w:eastAsia="Arial" w:hAnsi="Arial"/>
          <w:sz w:val="22"/>
          <w:szCs w:val="22"/>
          <w:color w:val="auto"/>
        </w:rPr>
        <w:t>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6" w:lineRule="exact"/>
        <w:rPr>
          <w:sz w:val="20"/>
          <w:szCs w:val="20"/>
          <w:color w:val="auto"/>
        </w:rPr>
      </w:pPr>
    </w:p>
    <w:p>
      <w:pPr>
        <w:jc w:val="both"/>
        <w:ind w:firstLine="885"/>
        <w:spacing w:after="0" w:line="238" w:lineRule="auto"/>
        <w:tabs>
          <w:tab w:leader="none" w:pos="1765"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9" w:lineRule="exact"/>
        <w:rPr>
          <w:rFonts w:ascii="Arial" w:cs="Arial" w:eastAsia="Arial" w:hAnsi="Arial"/>
          <w:sz w:val="22"/>
          <w:szCs w:val="22"/>
          <w:color w:val="auto"/>
        </w:rPr>
      </w:pPr>
    </w:p>
    <w:p>
      <w:pPr>
        <w:ind w:left="880" w:hanging="872"/>
        <w:spacing w:after="0"/>
        <w:tabs>
          <w:tab w:leader="none" w:pos="88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85"/>
        <w:spacing w:after="0" w:line="245" w:lineRule="auto"/>
        <w:tabs>
          <w:tab w:leader="none" w:pos="1765" w:val="left"/>
        </w:tabs>
        <w:numPr>
          <w:ilvl w:val="1"/>
          <w:numId w:val="161"/>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5" w:lineRule="exact"/>
        <w:rPr>
          <w:rFonts w:ascii="Arial" w:cs="Arial" w:eastAsia="Arial" w:hAnsi="Arial"/>
          <w:sz w:val="21"/>
          <w:szCs w:val="21"/>
          <w:color w:val="auto"/>
        </w:rPr>
      </w:pPr>
    </w:p>
    <w:p>
      <w:pPr>
        <w:jc w:val="both"/>
        <w:ind w:firstLine="885"/>
        <w:spacing w:after="0" w:line="275" w:lineRule="auto"/>
        <w:tabs>
          <w:tab w:leader="none" w:pos="1778"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8" w:lineRule="exact"/>
        <w:rPr>
          <w:rFonts w:ascii="Arial" w:cs="Arial" w:eastAsia="Arial" w:hAnsi="Arial"/>
          <w:sz w:val="19"/>
          <w:szCs w:val="19"/>
          <w:color w:val="auto"/>
        </w:rPr>
      </w:pPr>
    </w:p>
    <w:p>
      <w:pPr>
        <w:jc w:val="both"/>
        <w:ind w:firstLine="885"/>
        <w:spacing w:after="0" w:line="279" w:lineRule="auto"/>
        <w:tabs>
          <w:tab w:leader="none" w:pos="1765"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5" w:name="page136"/>
    <w:bookmarkEnd w:id="135"/>
    <w:p>
      <w:pPr>
        <w:ind w:left="880" w:hanging="872"/>
        <w:spacing w:after="0"/>
        <w:tabs>
          <w:tab w:leader="none" w:pos="88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firstLine="885"/>
        <w:spacing w:after="0"/>
        <w:tabs>
          <w:tab w:leader="none" w:pos="1765"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This Agreement, including Appendix A, constitutes the entire agreement between the parties with respect to the PSU award, and supersedes all prior agreements, understandings, and communications between the parties, whether oral or written, relating to the same subject matter.</w:t>
      </w:r>
    </w:p>
    <w:p>
      <w:pPr>
        <w:spacing w:after="0" w:line="186" w:lineRule="exact"/>
        <w:rPr>
          <w:rFonts w:ascii="Arial" w:cs="Arial" w:eastAsia="Arial" w:hAnsi="Arial"/>
          <w:sz w:val="22"/>
          <w:szCs w:val="22"/>
          <w:color w:val="auto"/>
        </w:rPr>
      </w:pPr>
    </w:p>
    <w:p>
      <w:pPr>
        <w:jc w:val="both"/>
        <w:ind w:firstLine="885"/>
        <w:spacing w:after="0" w:line="249" w:lineRule="auto"/>
        <w:tabs>
          <w:tab w:leader="none" w:pos="1778" w:val="left"/>
        </w:tabs>
        <w:numPr>
          <w:ilvl w:val="1"/>
          <w:numId w:val="162"/>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the PSU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8" w:lineRule="exact"/>
        <w:rPr>
          <w:rFonts w:ascii="Arial" w:cs="Arial" w:eastAsia="Arial" w:hAnsi="Arial"/>
          <w:sz w:val="21"/>
          <w:szCs w:val="21"/>
          <w:color w:val="auto"/>
        </w:rPr>
      </w:pPr>
    </w:p>
    <w:p>
      <w:pPr>
        <w:jc w:val="both"/>
        <w:ind w:firstLine="885"/>
        <w:spacing w:after="0" w:line="275" w:lineRule="auto"/>
        <w:tabs>
          <w:tab w:leader="none" w:pos="1765"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52" w:lineRule="exact"/>
        <w:rPr>
          <w:rFonts w:ascii="Arial" w:cs="Arial" w:eastAsia="Arial" w:hAnsi="Arial"/>
          <w:sz w:val="19"/>
          <w:szCs w:val="19"/>
          <w:color w:val="auto"/>
        </w:rPr>
      </w:pPr>
    </w:p>
    <w:p>
      <w:pPr>
        <w:ind w:left="880" w:hanging="872"/>
        <w:spacing w:after="0"/>
        <w:tabs>
          <w:tab w:leader="none" w:pos="88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880" w:hanging="872"/>
        <w:spacing w:after="0"/>
        <w:tabs>
          <w:tab w:leader="none" w:pos="88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22"/>
          <w:szCs w:val="22"/>
          <w:b w:val="1"/>
          <w:bCs w:val="1"/>
          <w:color w:val="auto"/>
        </w:rPr>
        <w:t>SCHEDULE I</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DETAILS OF RELATIVE RETURN FACTOR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jc w:val="center"/>
        <w:ind w:right="20"/>
        <w:spacing w:after="0"/>
        <w:rPr>
          <w:sz w:val="20"/>
          <w:szCs w:val="20"/>
          <w:color w:val="auto"/>
        </w:rPr>
      </w:pPr>
      <w:r>
        <w:rPr>
          <w:rFonts w:ascii="Arial" w:cs="Arial" w:eastAsia="Arial" w:hAnsi="Arial"/>
          <w:sz w:val="22"/>
          <w:szCs w:val="22"/>
          <w:b w:val="1"/>
          <w:bCs w:val="1"/>
          <w:color w:val="auto"/>
        </w:rPr>
        <w:t>ILLUSTRATIONS OF RESULTING NUMBER OF EARNED PSUS</w:t>
      </w:r>
    </w:p>
    <w:p>
      <w:pPr>
        <w:spacing w:after="0" w:line="200" w:lineRule="exact"/>
        <w:rPr>
          <w:sz w:val="20"/>
          <w:szCs w:val="20"/>
          <w:color w:val="auto"/>
        </w:rPr>
      </w:pPr>
    </w:p>
    <w:p>
      <w:pPr>
        <w:spacing w:after="0" w:line="391"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TSR Calculation:</w:t>
            </w:r>
          </w:p>
        </w:tc>
        <w:tc>
          <w:tcPr>
            <w:tcW w:w="1020" w:type="dxa"/>
            <w:vAlign w:val="bottom"/>
          </w:tcPr>
          <w:p>
            <w:pPr>
              <w:spacing w:after="0"/>
              <w:rPr>
                <w:sz w:val="21"/>
                <w:szCs w:val="21"/>
                <w:color w:val="auto"/>
              </w:rPr>
            </w:pPr>
          </w:p>
        </w:tc>
        <w:tc>
          <w:tcPr>
            <w:tcW w:w="8520" w:type="dxa"/>
            <w:vAlign w:val="bottom"/>
          </w:tcPr>
          <w:p>
            <w:pPr>
              <w:spacing w:after="0"/>
              <w:rPr>
                <w:sz w:val="21"/>
                <w:szCs w:val="21"/>
                <w:color w:val="auto"/>
              </w:rPr>
            </w:pPr>
          </w:p>
        </w:tc>
      </w:tr>
      <w:tr>
        <w:trPr>
          <w:trHeight w:val="458"/>
        </w:trPr>
        <w:tc>
          <w:tcPr>
            <w:tcW w:w="2640" w:type="dxa"/>
            <w:vAlign w:val="bottom"/>
            <w:gridSpan w:val="2"/>
          </w:tcPr>
          <w:p>
            <w:pPr>
              <w:ind w:left="760"/>
              <w:spacing w:after="0"/>
              <w:rPr>
                <w:sz w:val="20"/>
                <w:szCs w:val="20"/>
                <w:color w:val="auto"/>
              </w:rPr>
            </w:pPr>
            <w:r>
              <w:rPr>
                <w:rFonts w:ascii="Arial" w:cs="Arial" w:eastAsia="Arial" w:hAnsi="Arial"/>
                <w:sz w:val="22"/>
                <w:szCs w:val="22"/>
                <w:color w:val="auto"/>
              </w:rPr>
              <w:t>Company TSR =</w:t>
            </w:r>
          </w:p>
        </w:tc>
        <w:tc>
          <w:tcPr>
            <w:tcW w:w="8520" w:type="dxa"/>
            <w:vAlign w:val="bottom"/>
          </w:tcPr>
          <w:p>
            <w:pPr>
              <w:ind w:left="400"/>
              <w:spacing w:after="0"/>
              <w:rPr>
                <w:sz w:val="20"/>
                <w:szCs w:val="20"/>
                <w:color w:val="auto"/>
              </w:rPr>
            </w:pPr>
            <w:r>
              <w:rPr>
                <w:rFonts w:ascii="Arial" w:cs="Arial" w:eastAsia="Arial" w:hAnsi="Arial"/>
                <w:sz w:val="22"/>
                <w:szCs w:val="22"/>
                <w:color w:val="auto"/>
                <w:w w:val="92"/>
              </w:rPr>
              <w:t>((Average closing stock price* of the Company for the last 30 trading days of Performance</w:t>
            </w:r>
          </w:p>
        </w:tc>
      </w:tr>
      <w:tr>
        <w:trPr>
          <w:trHeight w:val="243"/>
        </w:trPr>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520" w:type="dxa"/>
            <w:vAlign w:val="bottom"/>
          </w:tcPr>
          <w:p>
            <w:pPr>
              <w:ind w:left="400"/>
              <w:spacing w:after="0" w:line="243" w:lineRule="exact"/>
              <w:rPr>
                <w:sz w:val="20"/>
                <w:szCs w:val="20"/>
                <w:color w:val="auto"/>
              </w:rPr>
            </w:pPr>
            <w:r>
              <w:rPr>
                <w:rFonts w:ascii="Arial" w:cs="Arial" w:eastAsia="Arial" w:hAnsi="Arial"/>
                <w:sz w:val="22"/>
                <w:szCs w:val="22"/>
                <w:color w:val="auto"/>
                <w:w w:val="90"/>
              </w:rPr>
              <w:t>Period /Average closing stock price* of the Company for the last 30 trading days prior to the</w:t>
            </w:r>
          </w:p>
        </w:tc>
      </w:tr>
      <w:tr>
        <w:trPr>
          <w:trHeight w:val="275"/>
        </w:trPr>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520" w:type="dxa"/>
            <w:vAlign w:val="bottom"/>
          </w:tcPr>
          <w:p>
            <w:pPr>
              <w:ind w:left="400"/>
              <w:spacing w:after="0"/>
              <w:rPr>
                <w:sz w:val="20"/>
                <w:szCs w:val="20"/>
                <w:color w:val="auto"/>
              </w:rPr>
            </w:pPr>
            <w:r>
              <w:rPr>
                <w:rFonts w:ascii="Arial" w:cs="Arial" w:eastAsia="Arial" w:hAnsi="Arial"/>
                <w:sz w:val="22"/>
                <w:szCs w:val="22"/>
                <w:color w:val="auto"/>
              </w:rPr>
              <w:t>commencement of the Performance Period) - 1)</w:t>
            </w:r>
          </w:p>
        </w:tc>
      </w:tr>
      <w:tr>
        <w:trPr>
          <w:trHeight w:val="428"/>
        </w:trPr>
        <w:tc>
          <w:tcPr>
            <w:tcW w:w="2640" w:type="dxa"/>
            <w:vAlign w:val="bottom"/>
            <w:gridSpan w:val="2"/>
          </w:tcPr>
          <w:p>
            <w:pPr>
              <w:ind w:left="760"/>
              <w:spacing w:after="0"/>
              <w:rPr>
                <w:sz w:val="20"/>
                <w:szCs w:val="20"/>
                <w:color w:val="auto"/>
              </w:rPr>
            </w:pPr>
            <w:r>
              <w:rPr>
                <w:rFonts w:ascii="Arial" w:cs="Arial" w:eastAsia="Arial" w:hAnsi="Arial"/>
                <w:sz w:val="22"/>
                <w:szCs w:val="22"/>
                <w:color w:val="auto"/>
              </w:rPr>
              <w:t>Index TSR =</w:t>
            </w:r>
          </w:p>
        </w:tc>
        <w:tc>
          <w:tcPr>
            <w:tcW w:w="8520" w:type="dxa"/>
            <w:vAlign w:val="bottom"/>
          </w:tcPr>
          <w:p>
            <w:pPr>
              <w:ind w:left="400"/>
              <w:spacing w:after="0"/>
              <w:rPr>
                <w:sz w:val="20"/>
                <w:szCs w:val="20"/>
                <w:color w:val="auto"/>
              </w:rPr>
            </w:pPr>
            <w:r>
              <w:rPr>
                <w:rFonts w:ascii="Arial" w:cs="Arial" w:eastAsia="Arial" w:hAnsi="Arial"/>
                <w:sz w:val="22"/>
                <w:szCs w:val="22"/>
                <w:color w:val="auto"/>
                <w:w w:val="89"/>
              </w:rPr>
              <w:t>((Average closing stock price* of the Index for the last 30 trading days of Performance Period</w:t>
            </w:r>
          </w:p>
        </w:tc>
      </w:tr>
      <w:tr>
        <w:trPr>
          <w:trHeight w:val="243"/>
        </w:trPr>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520" w:type="dxa"/>
            <w:vAlign w:val="bottom"/>
          </w:tcPr>
          <w:p>
            <w:pPr>
              <w:ind w:left="400"/>
              <w:spacing w:after="0" w:line="243" w:lineRule="exact"/>
              <w:rPr>
                <w:sz w:val="20"/>
                <w:szCs w:val="20"/>
                <w:color w:val="auto"/>
              </w:rPr>
            </w:pPr>
            <w:r>
              <w:rPr>
                <w:rFonts w:ascii="Arial" w:cs="Arial" w:eastAsia="Arial" w:hAnsi="Arial"/>
                <w:sz w:val="22"/>
                <w:szCs w:val="22"/>
                <w:color w:val="auto"/>
              </w:rPr>
              <w:t>/Average closing stock price* of the Index for the last 30 trading days prior to the</w:t>
            </w:r>
          </w:p>
        </w:tc>
      </w:tr>
      <w:tr>
        <w:trPr>
          <w:trHeight w:val="275"/>
        </w:trPr>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520" w:type="dxa"/>
            <w:vAlign w:val="bottom"/>
          </w:tcPr>
          <w:p>
            <w:pPr>
              <w:ind w:left="400"/>
              <w:spacing w:after="0"/>
              <w:rPr>
                <w:sz w:val="20"/>
                <w:szCs w:val="20"/>
                <w:color w:val="auto"/>
              </w:rPr>
            </w:pPr>
            <w:r>
              <w:rPr>
                <w:rFonts w:ascii="Arial" w:cs="Arial" w:eastAsia="Arial" w:hAnsi="Arial"/>
                <w:sz w:val="22"/>
                <w:szCs w:val="22"/>
                <w:color w:val="auto"/>
              </w:rPr>
              <w:t>commencement of the Performance Period) - 1)</w:t>
            </w:r>
          </w:p>
        </w:tc>
      </w:tr>
    </w:tbl>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Average closing stock price adjusted to reflect reinvested dividends.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Metric Details: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shall apply:</w:t>
      </w:r>
    </w:p>
    <w:p>
      <w:pPr>
        <w:spacing w:after="0" w:line="206" w:lineRule="exact"/>
        <w:rPr>
          <w:sz w:val="20"/>
          <w:szCs w:val="20"/>
          <w:color w:val="auto"/>
        </w:rPr>
      </w:pPr>
    </w:p>
    <w:p>
      <w:pPr>
        <w:ind w:left="1480" w:hanging="608"/>
        <w:spacing w:after="0"/>
        <w:tabs>
          <w:tab w:leader="none" w:pos="1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Formula:</w:t>
      </w:r>
    </w:p>
    <w:p>
      <w:pPr>
        <w:spacing w:after="0" w:line="206" w:lineRule="exact"/>
        <w:rPr>
          <w:rFonts w:ascii="Arial" w:cs="Arial" w:eastAsia="Arial" w:hAnsi="Arial"/>
          <w:sz w:val="22"/>
          <w:szCs w:val="22"/>
          <w:color w:val="auto"/>
        </w:rPr>
      </w:pPr>
    </w:p>
    <w:p>
      <w:pPr>
        <w:ind w:left="1480" w:hanging="608"/>
        <w:spacing w:after="0"/>
        <w:tabs>
          <w:tab w:leader="none" w:pos="1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100% + ((Company TSR – Index TSR) X 2) = Payout Factor</w:t>
      </w:r>
    </w:p>
    <w:p>
      <w:pPr>
        <w:spacing w:after="0" w:line="206" w:lineRule="exact"/>
        <w:rPr>
          <w:rFonts w:ascii="Arial" w:cs="Arial" w:eastAsia="Arial" w:hAnsi="Arial"/>
          <w:sz w:val="22"/>
          <w:szCs w:val="22"/>
          <w:color w:val="auto"/>
        </w:rPr>
      </w:pPr>
    </w:p>
    <w:p>
      <w:pPr>
        <w:ind w:left="1480" w:hanging="608"/>
        <w:spacing w:after="0"/>
        <w:tabs>
          <w:tab w:leader="none" w:pos="1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100% of the Target PSUs are earned when the Company’s TSR is equal to Index TSR.</w:t>
      </w:r>
    </w:p>
    <w:p>
      <w:pPr>
        <w:spacing w:after="0" w:line="206" w:lineRule="exact"/>
        <w:rPr>
          <w:rFonts w:ascii="Arial" w:cs="Arial" w:eastAsia="Arial" w:hAnsi="Arial"/>
          <w:sz w:val="22"/>
          <w:szCs w:val="22"/>
          <w:color w:val="auto"/>
        </w:rPr>
      </w:pPr>
    </w:p>
    <w:p>
      <w:pPr>
        <w:ind w:left="1480" w:right="980" w:hanging="608"/>
        <w:spacing w:after="0" w:line="251" w:lineRule="auto"/>
        <w:tabs>
          <w:tab w:leader="none" w:pos="1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number of PSUs earned is increased (or decreased) by 2% of the Target PSUs for every 1% that the Company’s TSR exceeds (or trails) the Index TSR.</w:t>
      </w:r>
    </w:p>
    <w:p>
      <w:pPr>
        <w:spacing w:after="0" w:line="173" w:lineRule="exact"/>
        <w:rPr>
          <w:rFonts w:ascii="Arial" w:cs="Arial" w:eastAsia="Arial" w:hAnsi="Arial"/>
          <w:sz w:val="22"/>
          <w:szCs w:val="22"/>
          <w:color w:val="auto"/>
        </w:rPr>
      </w:pPr>
    </w:p>
    <w:p>
      <w:pPr>
        <w:ind w:left="1480" w:hanging="608"/>
        <w:spacing w:after="0"/>
        <w:tabs>
          <w:tab w:leader="none" w:pos="1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Implied payout range / performance requirement: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73"/>
        </w:trPr>
        <w:tc>
          <w:tcPr>
            <w:tcW w:w="1400" w:type="dxa"/>
            <w:vAlign w:val="bottom"/>
            <w:tcBorders>
              <w:right w:val="single" w:sz="8" w:color="auto"/>
            </w:tcBorders>
          </w:tcPr>
          <w:p>
            <w:pPr>
              <w:spacing w:after="0"/>
              <w:rPr>
                <w:sz w:val="24"/>
                <w:szCs w:val="24"/>
                <w:color w:val="auto"/>
              </w:rPr>
            </w:pPr>
          </w:p>
        </w:tc>
        <w:tc>
          <w:tcPr>
            <w:tcW w:w="1500" w:type="dxa"/>
            <w:vAlign w:val="bottom"/>
            <w:tcBorders>
              <w:top w:val="single" w:sz="8" w:color="auto"/>
              <w:bottom w:val="single" w:sz="8" w:color="auto"/>
              <w:right w:val="single" w:sz="8" w:color="auto"/>
            </w:tcBorders>
          </w:tcPr>
          <w:p>
            <w:pPr>
              <w:spacing w:after="0"/>
              <w:rPr>
                <w:sz w:val="24"/>
                <w:szCs w:val="24"/>
                <w:color w:val="auto"/>
              </w:rPr>
            </w:pP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Performance v. Index</w:t>
            </w:r>
          </w:p>
        </w:tc>
        <w:tc>
          <w:tcPr>
            <w:tcW w:w="358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22"/>
                <w:szCs w:val="22"/>
                <w:color w:val="auto"/>
              </w:rPr>
              <w:t>Payout (% of Target PSUs)</w:t>
            </w:r>
          </w:p>
        </w:tc>
      </w:tr>
      <w:tr>
        <w:trPr>
          <w:trHeight w:val="453"/>
        </w:trPr>
        <w:tc>
          <w:tcPr>
            <w:tcW w:w="1400" w:type="dxa"/>
            <w:vAlign w:val="bottom"/>
            <w:tcBorders>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Max</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 TSR = Index TSR + 50%</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453"/>
        </w:trPr>
        <w:tc>
          <w:tcPr>
            <w:tcW w:w="1400" w:type="dxa"/>
            <w:vAlign w:val="bottom"/>
            <w:tcBorders>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Company TSR = Index TSR</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453"/>
        </w:trPr>
        <w:tc>
          <w:tcPr>
            <w:tcW w:w="1400" w:type="dxa"/>
            <w:vAlign w:val="bottom"/>
            <w:tcBorders>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Threshold</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Company TSR = Index TSR – 50%</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r>
        <w:trPr>
          <w:trHeight w:val="679"/>
        </w:trPr>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960" w:type="dxa"/>
            <w:vAlign w:val="bottom"/>
          </w:tcPr>
          <w:p>
            <w:pPr>
              <w:jc w:val="right"/>
              <w:ind w:right="1932"/>
              <w:spacing w:after="0"/>
              <w:rPr>
                <w:sz w:val="20"/>
                <w:szCs w:val="20"/>
                <w:color w:val="auto"/>
              </w:rPr>
            </w:pPr>
            <w:r>
              <w:rPr>
                <w:rFonts w:ascii="Arial" w:cs="Arial" w:eastAsia="Arial" w:hAnsi="Arial"/>
                <w:sz w:val="22"/>
                <w:szCs w:val="22"/>
                <w:color w:val="auto"/>
              </w:rPr>
              <w:t>11</w:t>
            </w:r>
          </w:p>
        </w:tc>
        <w:tc>
          <w:tcPr>
            <w:tcW w:w="3580" w:type="dxa"/>
            <w:vAlign w:val="bottom"/>
          </w:tcPr>
          <w:p>
            <w:pPr>
              <w:spacing w:after="0"/>
              <w:rPr>
                <w:sz w:val="24"/>
                <w:szCs w:val="24"/>
                <w:color w:val="auto"/>
              </w:rPr>
            </w:pPr>
          </w:p>
        </w:tc>
      </w:tr>
      <w:tr>
        <w:trPr>
          <w:trHeight w:val="105"/>
        </w:trPr>
        <w:tc>
          <w:tcPr>
            <w:tcW w:w="14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3"/>
        </w:trPr>
        <w:tc>
          <w:tcPr>
            <w:tcW w:w="10140" w:type="dxa"/>
            <w:vAlign w:val="bottom"/>
            <w:gridSpan w:val="2"/>
          </w:tcPr>
          <w:p>
            <w:pPr>
              <w:spacing w:after="0"/>
              <w:rPr>
                <w:sz w:val="20"/>
                <w:szCs w:val="20"/>
                <w:color w:val="auto"/>
              </w:rPr>
            </w:pPr>
            <w:r>
              <w:rPr>
                <w:rFonts w:ascii="Arial" w:cs="Arial" w:eastAsia="Arial" w:hAnsi="Arial"/>
                <w:sz w:val="22"/>
                <w:szCs w:val="22"/>
                <w:b w:val="1"/>
                <w:bCs w:val="1"/>
                <w:color w:val="auto"/>
              </w:rPr>
              <w:t>Illustration 1:</w:t>
            </w:r>
          </w:p>
        </w:tc>
        <w:tc>
          <w:tcPr>
            <w:tcW w:w="1280" w:type="dxa"/>
            <w:vAlign w:val="bottom"/>
          </w:tcPr>
          <w:p>
            <w:pPr>
              <w:spacing w:after="0"/>
              <w:rPr>
                <w:sz w:val="21"/>
                <w:szCs w:val="2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8"/>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Assumptions</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Company:</w:t>
            </w:r>
          </w:p>
        </w:tc>
        <w:tc>
          <w:tcPr>
            <w:tcW w:w="128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$43.00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$7,237.00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28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((43.00 / 37.57) – 1)</w:t>
            </w:r>
          </w:p>
        </w:tc>
        <w:tc>
          <w:tcPr>
            <w:tcW w:w="128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((7,237.00 / 6,477.77) -1)</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11.7%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((14.5% - 11.7%) X 2)</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105.6%</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 Target PSUs (1,000) multiplied by payout factor:</w:t>
            </w:r>
          </w:p>
        </w:tc>
        <w:tc>
          <w:tcPr>
            <w:tcW w:w="1280" w:type="dxa"/>
            <w:vAlign w:val="bottom"/>
          </w:tcPr>
          <w:p>
            <w:pPr>
              <w:jc w:val="right"/>
              <w:spacing w:after="0"/>
              <w:rPr>
                <w:sz w:val="20"/>
                <w:szCs w:val="20"/>
                <w:color w:val="auto"/>
              </w:rPr>
            </w:pPr>
            <w:r>
              <w:rPr>
                <w:rFonts w:ascii="Arial" w:cs="Arial" w:eastAsia="Arial" w:hAnsi="Arial"/>
                <w:sz w:val="22"/>
                <w:szCs w:val="22"/>
                <w:color w:val="auto"/>
              </w:rPr>
              <w:t>1,056</w:t>
            </w:r>
          </w:p>
        </w:tc>
      </w:tr>
      <w:tr>
        <w:trPr>
          <w:trHeight w:val="625"/>
        </w:trPr>
        <w:tc>
          <w:tcPr>
            <w:tcW w:w="10140" w:type="dxa"/>
            <w:vAlign w:val="bottom"/>
            <w:gridSpan w:val="2"/>
          </w:tcPr>
          <w:p>
            <w:pPr>
              <w:spacing w:after="0"/>
              <w:rPr>
                <w:sz w:val="20"/>
                <w:szCs w:val="20"/>
                <w:color w:val="auto"/>
              </w:rPr>
            </w:pPr>
            <w:r>
              <w:rPr>
                <w:rFonts w:ascii="Arial" w:cs="Arial" w:eastAsia="Arial" w:hAnsi="Arial"/>
                <w:sz w:val="22"/>
                <w:szCs w:val="22"/>
                <w:b w:val="1"/>
                <w:bCs w:val="1"/>
                <w:color w:val="auto"/>
              </w:rPr>
              <w:t>Illustration 2:</w:t>
            </w:r>
          </w:p>
        </w:tc>
        <w:tc>
          <w:tcPr>
            <w:tcW w:w="128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8"/>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Assumptions</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Company:</w:t>
            </w:r>
          </w:p>
        </w:tc>
        <w:tc>
          <w:tcPr>
            <w:tcW w:w="128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$60.00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$6,932.00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28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((60.00 / 37.57) - 1)</w:t>
            </w:r>
          </w:p>
        </w:tc>
        <w:tc>
          <w:tcPr>
            <w:tcW w:w="1280" w:type="dxa"/>
            <w:vAlign w:val="bottom"/>
          </w:tcPr>
          <w:p>
            <w:pPr>
              <w:jc w:val="right"/>
              <w:spacing w:after="0"/>
              <w:rPr>
                <w:sz w:val="20"/>
                <w:szCs w:val="20"/>
                <w:color w:val="auto"/>
              </w:rPr>
            </w:pPr>
            <w:r>
              <w:rPr>
                <w:rFonts w:ascii="Arial" w:cs="Arial" w:eastAsia="Arial" w:hAnsi="Arial"/>
                <w:sz w:val="22"/>
                <w:szCs w:val="22"/>
                <w:color w:val="auto"/>
              </w:rPr>
              <w:t>59.7%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((6,932.00 / 6,477.77) -1)</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((59.7% - 7%) X 2)</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205.4%</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 Target PSUs (1,000) multiplied by payout factor (subject to 200% max):</w:t>
            </w:r>
          </w:p>
        </w:tc>
        <w:tc>
          <w:tcPr>
            <w:tcW w:w="1280" w:type="dxa"/>
            <w:vAlign w:val="bottom"/>
          </w:tcPr>
          <w:p>
            <w:pPr>
              <w:jc w:val="right"/>
              <w:spacing w:after="0"/>
              <w:rPr>
                <w:sz w:val="20"/>
                <w:szCs w:val="20"/>
                <w:color w:val="auto"/>
              </w:rPr>
            </w:pPr>
            <w:r>
              <w:rPr>
                <w:rFonts w:ascii="Arial" w:cs="Arial" w:eastAsia="Arial" w:hAnsi="Arial"/>
                <w:sz w:val="22"/>
                <w:szCs w:val="22"/>
                <w:color w:val="auto"/>
              </w:rPr>
              <w:t>2,000</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Illustration 3:</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Assumptions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53"/>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rPr>
                <w:sz w:val="20"/>
                <w:szCs w:val="20"/>
                <w:color w:val="auto"/>
              </w:rPr>
            </w:pPr>
            <w:r>
              <w:rPr>
                <w:rFonts w:ascii="Arial" w:cs="Arial" w:eastAsia="Arial" w:hAnsi="Arial"/>
                <w:sz w:val="22"/>
                <w:szCs w:val="22"/>
                <w:color w:val="auto"/>
              </w:rPr>
              <w:t>$37.57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$35.00</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$6,932.00</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28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((37.57 / 35.00) - 1)</w:t>
            </w:r>
          </w:p>
        </w:tc>
        <w:tc>
          <w:tcPr>
            <w:tcW w:w="12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((6,477.77 / 6,932.00) -1)</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((7.3% – (6.6%)) X 2)</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127.8%</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w:t>
            </w:r>
          </w:p>
        </w:tc>
        <w:tc>
          <w:tcPr>
            <w:tcW w:w="1280" w:type="dxa"/>
            <w:vAlign w:val="bottom"/>
          </w:tcPr>
          <w:p>
            <w:pPr>
              <w:jc w:val="right"/>
              <w:spacing w:after="0"/>
              <w:rPr>
                <w:sz w:val="20"/>
                <w:szCs w:val="20"/>
                <w:color w:val="auto"/>
              </w:rPr>
            </w:pPr>
            <w:r>
              <w:rPr>
                <w:rFonts w:ascii="Arial" w:cs="Arial" w:eastAsia="Arial" w:hAnsi="Arial"/>
                <w:sz w:val="22"/>
                <w:szCs w:val="22"/>
                <w:color w:val="auto"/>
              </w:rPr>
              <w:t>1,278</w:t>
            </w:r>
          </w:p>
        </w:tc>
      </w:tr>
      <w:tr>
        <w:trPr>
          <w:trHeight w:val="625"/>
        </w:trPr>
        <w:tc>
          <w:tcPr>
            <w:tcW w:w="10140" w:type="dxa"/>
            <w:vAlign w:val="bottom"/>
            <w:gridSpan w:val="2"/>
          </w:tcPr>
          <w:p>
            <w:pPr>
              <w:spacing w:after="0"/>
              <w:rPr>
                <w:sz w:val="20"/>
                <w:szCs w:val="20"/>
                <w:color w:val="auto"/>
              </w:rPr>
            </w:pPr>
            <w:r>
              <w:rPr>
                <w:rFonts w:ascii="Arial" w:cs="Arial" w:eastAsia="Arial" w:hAnsi="Arial"/>
                <w:sz w:val="22"/>
                <w:szCs w:val="22"/>
                <w:b w:val="1"/>
                <w:bCs w:val="1"/>
                <w:color w:val="auto"/>
              </w:rPr>
              <w:t>Illustration 4:</w:t>
            </w:r>
          </w:p>
        </w:tc>
        <w:tc>
          <w:tcPr>
            <w:tcW w:w="128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8"/>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Assumptions</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Company:</w:t>
            </w:r>
          </w:p>
        </w:tc>
        <w:tc>
          <w:tcPr>
            <w:tcW w:w="128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$35.00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$6,932.00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28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((35.00 / 37.57) – 1)</w:t>
            </w:r>
          </w:p>
        </w:tc>
        <w:tc>
          <w:tcPr>
            <w:tcW w:w="12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((6,932.00 / 6,477.77) -1)</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(((6.8%) – 7%) X 2)</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72.4%</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w:t>
            </w:r>
          </w:p>
        </w:tc>
        <w:tc>
          <w:tcPr>
            <w:tcW w:w="1280" w:type="dxa"/>
            <w:vAlign w:val="bottom"/>
          </w:tcPr>
          <w:p>
            <w:pPr>
              <w:jc w:val="right"/>
              <w:spacing w:after="0"/>
              <w:rPr>
                <w:sz w:val="20"/>
                <w:szCs w:val="20"/>
                <w:color w:val="auto"/>
              </w:rPr>
            </w:pPr>
            <w:r>
              <w:rPr>
                <w:rFonts w:ascii="Arial" w:cs="Arial" w:eastAsia="Arial" w:hAnsi="Arial"/>
                <w:sz w:val="22"/>
                <w:szCs w:val="22"/>
                <w:color w:val="auto"/>
              </w:rPr>
              <w:t>724</w:t>
            </w:r>
          </w:p>
        </w:tc>
      </w:tr>
      <w:tr>
        <w:trPr>
          <w:trHeight w:val="675"/>
        </w:trPr>
        <w:tc>
          <w:tcPr>
            <w:tcW w:w="10140" w:type="dxa"/>
            <w:vAlign w:val="bottom"/>
            <w:gridSpan w:val="2"/>
          </w:tcPr>
          <w:p>
            <w:pPr>
              <w:ind w:left="5600"/>
              <w:spacing w:after="0"/>
              <w:rPr>
                <w:sz w:val="20"/>
                <w:szCs w:val="20"/>
                <w:color w:val="auto"/>
              </w:rPr>
            </w:pPr>
            <w:r>
              <w:rPr>
                <w:rFonts w:ascii="Arial" w:cs="Arial" w:eastAsia="Arial" w:hAnsi="Arial"/>
                <w:sz w:val="22"/>
                <w:szCs w:val="22"/>
                <w:color w:val="auto"/>
              </w:rPr>
              <w:t>13</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PERFORMANCE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(TSR - Based)</w:t>
      </w:r>
    </w:p>
    <w:p>
      <w:pPr>
        <w:spacing w:after="0" w:line="188"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THIS PERFORMANCE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performance restricted stock units qualified for favorable income tax and social security treatment in France as set out in Article 135 of the Macron Law (“Qualified PSUs”) to the Eligible Individual by the Company (the “Award”).</w:t>
      </w:r>
    </w:p>
    <w:p>
      <w:pPr>
        <w:spacing w:after="0" w:line="18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Amended and Restated 2011 Stock and Annual Incentive Plan or the Company’s 2018 Stock and Annual Incentive Plan, as appropriate (as either may be amended from time to time, the “Plan”) or the French Schedule attached hereto.</w:t>
      </w:r>
    </w:p>
    <w:p>
      <w:pPr>
        <w:spacing w:after="0" w:line="377" w:lineRule="exact"/>
        <w:rPr>
          <w:sz w:val="20"/>
          <w:szCs w:val="20"/>
          <w:color w:val="auto"/>
        </w:rPr>
      </w:pPr>
    </w:p>
    <w:p>
      <w:pPr>
        <w:ind w:left="880" w:hanging="872"/>
        <w:spacing w:after="0"/>
        <w:tabs>
          <w:tab w:leader="none" w:pos="88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Qualified PSUs</w:t>
      </w:r>
    </w:p>
    <w:p>
      <w:pPr>
        <w:spacing w:after="0" w:line="212" w:lineRule="exact"/>
        <w:rPr>
          <w:rFonts w:ascii="Arial" w:cs="Arial" w:eastAsia="Arial" w:hAnsi="Arial"/>
          <w:sz w:val="22"/>
          <w:szCs w:val="22"/>
          <w:b w:val="1"/>
          <w:bCs w:val="1"/>
          <w:color w:val="auto"/>
        </w:rPr>
      </w:pPr>
    </w:p>
    <w:p>
      <w:pPr>
        <w:jc w:val="both"/>
        <w:ind w:firstLine="885"/>
        <w:spacing w:after="0" w:line="274" w:lineRule="auto"/>
        <w:tabs>
          <w:tab w:leader="none" w:pos="1765" w:val="left"/>
        </w:tabs>
        <w:numPr>
          <w:ilvl w:val="1"/>
          <w:numId w:val="165"/>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Plan and the Grant Details, the Company hereby grants Qualified PSUs to the Eligible Individual in the target amount set forth in the Grant Details (“Target PSUs”), assuming target performance, and up to a maximum of 200% of the Target PSUs, with the actual number of Qualified PSUs earned to be based on actual performance as more specifically described below.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The Grant Details, which sets forth the target number of Qualified PSUs granted to the Eligible Individual by the Company, the Grant Date and the vesting schedule of the Qualified PSUs (among other information), are hereby incorporated by reference into, and shall be read as part and parcel of, this Agreement.</w:t>
      </w:r>
    </w:p>
    <w:p>
      <w:pPr>
        <w:spacing w:after="0" w:line="158" w:lineRule="exact"/>
        <w:rPr>
          <w:rFonts w:ascii="Arial" w:cs="Arial" w:eastAsia="Arial" w:hAnsi="Arial"/>
          <w:sz w:val="19"/>
          <w:szCs w:val="19"/>
          <w:color w:val="auto"/>
        </w:rPr>
      </w:pPr>
    </w:p>
    <w:p>
      <w:pPr>
        <w:jc w:val="both"/>
        <w:ind w:firstLine="885"/>
        <w:spacing w:after="0" w:line="282" w:lineRule="auto"/>
        <w:tabs>
          <w:tab w:leader="none" w:pos="1778"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The amount of Qualified PSUs earned under this Award will be based on the Company’s TSR (as defined below) performance over the period commencing January 1, 2018 through December 31, 2020 (the “Performance Period”) relative to the TSR performance of the Nasdaq Composite Total Return Index (the “Index”) over the Performance Period. The amount of Qualified PSUs earned under this Award shall be determined based on the calculation of the applicable percentile ranking of the Company relative to the Index in accordance with Schedule I attached hereto and the terms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0" w:name="page141"/>
    <w:bookmarkEnd w:id="140"/>
    <w:p>
      <w:pPr>
        <w:jc w:val="both"/>
        <w:ind w:firstLine="885"/>
        <w:spacing w:after="0" w:line="245" w:lineRule="auto"/>
        <w:tabs>
          <w:tab w:leader="none" w:pos="1765" w:val="left"/>
        </w:tabs>
        <w:numPr>
          <w:ilvl w:val="1"/>
          <w:numId w:val="166"/>
        </w:numPr>
        <w:rPr>
          <w:rFonts w:ascii="Arial" w:cs="Arial" w:eastAsia="Arial" w:hAnsi="Arial"/>
          <w:sz w:val="21"/>
          <w:szCs w:val="21"/>
          <w:color w:val="auto"/>
        </w:rPr>
      </w:pPr>
      <w:r>
        <w:rPr>
          <w:rFonts w:ascii="Arial" w:cs="Arial" w:eastAsia="Arial" w:hAnsi="Arial"/>
          <w:sz w:val="21"/>
          <w:szCs w:val="21"/>
          <w:color w:val="auto"/>
        </w:rPr>
        <w:t>For purposes of this Agreement, “TSR” means the change in fair market value over the specified period of time, expressed as a percentage, of an initial investment in specified common stock, including the effect of any dividends actually paid as if the dividends were reinvested in the stock of the Company or the Index, as the case may be, and proportionately adjusted for stock splits, reorganizations or similar transactions occurring during the Performance Period, as provided herein or as determined utilizing such methodology as the Committee, or its delegate, shall have approved. Notwithstanding the foregoing, the Committee, or its delegate, shall have the discretion to make appropriate and equitable adjustments of the TSR of any company (including the Company) whose shares trade ex-dividend as of December 31, 2020. The TSR shall be based on the trailing 30-trading day average closing stock prices of the Company and the Index measured as of (and including the 30th day) the first and last trading days of the Performance Period.</w:t>
      </w:r>
    </w:p>
    <w:p>
      <w:pPr>
        <w:spacing w:after="0" w:line="179" w:lineRule="exact"/>
        <w:rPr>
          <w:rFonts w:ascii="Arial" w:cs="Arial" w:eastAsia="Arial" w:hAnsi="Arial"/>
          <w:sz w:val="21"/>
          <w:szCs w:val="21"/>
          <w:color w:val="auto"/>
        </w:rPr>
      </w:pPr>
    </w:p>
    <w:p>
      <w:pPr>
        <w:ind w:left="880" w:hanging="872"/>
        <w:spacing w:after="0"/>
        <w:tabs>
          <w:tab w:leader="none" w:pos="88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Qualified PSUs</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19"/>
          <w:szCs w:val="19"/>
          <w:color w:val="auto"/>
        </w:rPr>
        <w:t>As soon as practicable after any Qualified PSUs have vested and are no longer subject to any restrictions (but in no event</w:t>
      </w:r>
    </w:p>
    <w:p>
      <w:pPr>
        <w:spacing w:after="0" w:line="4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later than sixty (60) days thereafter), the Company will arrange for the transfer or issue to the order of the Eligible Individual, of the number of Shares in respect of which the Qualified PSUs have vested. The Shares issued or transferred will be recorded in the name of the Eligible Individual in an account controlled by the Company or Broker, or in such other manner as the Company or the empowered corporate body may otherwise determine to ensure compliance with applicable restrictions provided under French law.</w:t>
      </w:r>
    </w:p>
    <w:p>
      <w:pPr>
        <w:spacing w:after="0" w:line="388" w:lineRule="exact"/>
        <w:rPr>
          <w:sz w:val="20"/>
          <w:szCs w:val="20"/>
          <w:color w:val="auto"/>
        </w:rPr>
      </w:pPr>
    </w:p>
    <w:p>
      <w:pPr>
        <w:ind w:left="880" w:hanging="872"/>
        <w:spacing w:after="0"/>
        <w:tabs>
          <w:tab w:leader="none" w:pos="880"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French Qualified PSUs</w:t>
      </w:r>
    </w:p>
    <w:p>
      <w:pPr>
        <w:spacing w:after="0" w:line="212" w:lineRule="exact"/>
        <w:rPr>
          <w:rFonts w:ascii="Arial" w:cs="Arial" w:eastAsia="Arial" w:hAnsi="Arial"/>
          <w:sz w:val="22"/>
          <w:szCs w:val="22"/>
          <w:color w:val="auto"/>
        </w:rPr>
      </w:pPr>
    </w:p>
    <w:p>
      <w:pPr>
        <w:ind w:right="20" w:firstLine="885"/>
        <w:spacing w:after="0" w:line="251" w:lineRule="auto"/>
        <w:tabs>
          <w:tab w:leader="none" w:pos="176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following additional terms and conditions are also applicable to Awards of Qualified PSUs granted pursuant to this Agreement and the French Schedule attached hereto.</w:t>
      </w:r>
    </w:p>
    <w:p>
      <w:pPr>
        <w:spacing w:after="0" w:line="389"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68"/>
        </w:numPr>
        <w:rPr>
          <w:rFonts w:ascii="Arial" w:cs="Arial" w:eastAsia="Arial" w:hAnsi="Arial"/>
          <w:sz w:val="22"/>
          <w:szCs w:val="22"/>
          <w:color w:val="auto"/>
        </w:rPr>
      </w:pPr>
      <w:r>
        <w:rPr>
          <w:rFonts w:ascii="Arial" w:cs="Arial" w:eastAsia="Arial" w:hAnsi="Arial"/>
          <w:sz w:val="22"/>
          <w:szCs w:val="22"/>
          <w:color w:val="auto"/>
        </w:rPr>
        <w:t>For purposes of this Agreement, Eligible Individuals are officers or employees of the Company or a company in which the Company owns directly or indirectly at least 10% of the equity or voting rights, who are located in France. Eligible Individuals are selected by their employer and approved by the Company or the empowered corporate body. No Qualified PSU Unit can be granted to an Eligible Individual who:</w:t>
      </w:r>
    </w:p>
    <w:p>
      <w:pPr>
        <w:spacing w:after="0" w:line="185" w:lineRule="exact"/>
        <w:rPr>
          <w:rFonts w:ascii="Arial" w:cs="Arial" w:eastAsia="Arial" w:hAnsi="Arial"/>
          <w:sz w:val="22"/>
          <w:szCs w:val="22"/>
          <w:color w:val="auto"/>
        </w:rPr>
      </w:pPr>
    </w:p>
    <w:p>
      <w:pPr>
        <w:ind w:left="2620" w:right="20" w:hanging="870"/>
        <w:spacing w:after="0" w:line="251" w:lineRule="auto"/>
        <w:tabs>
          <w:tab w:leader="none" w:pos="262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holds directly or indirectly, more than ten percent (10%) of the outstanding Shares of the Company; or</w:t>
      </w:r>
    </w:p>
    <w:p>
      <w:pPr>
        <w:spacing w:after="0" w:line="173" w:lineRule="exact"/>
        <w:rPr>
          <w:rFonts w:ascii="Arial" w:cs="Arial" w:eastAsia="Arial" w:hAnsi="Arial"/>
          <w:sz w:val="22"/>
          <w:szCs w:val="22"/>
          <w:color w:val="auto"/>
        </w:rPr>
      </w:pPr>
    </w:p>
    <w:p>
      <w:pPr>
        <w:ind w:left="2620" w:right="20" w:hanging="870"/>
        <w:spacing w:after="0" w:line="251" w:lineRule="auto"/>
        <w:tabs>
          <w:tab w:leader="none" w:pos="262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would, as a result of a grant of a Qualified PSU, hold more than ten percent (10%) of the outstanding Shares of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1" w:name="page142"/>
    <w:bookmarkEnd w:id="141"/>
    <w:p>
      <w:pPr>
        <w:jc w:val="both"/>
        <w:ind w:right="20" w:firstLine="877"/>
        <w:spacing w:after="0" w:line="236" w:lineRule="auto"/>
        <w:rPr>
          <w:sz w:val="20"/>
          <w:szCs w:val="20"/>
          <w:color w:val="auto"/>
        </w:rPr>
      </w:pPr>
      <w:r>
        <w:rPr>
          <w:rFonts w:ascii="Arial" w:cs="Arial" w:eastAsia="Arial" w:hAnsi="Arial"/>
          <w:sz w:val="22"/>
          <w:szCs w:val="22"/>
          <w:color w:val="auto"/>
        </w:rPr>
        <w:t xml:space="preserve">Any Eligible Individual who, on the Grant Date of a Qualified PSU,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PSUs under the Plan as adjusted to meet the requirements of the French </w:t>
      </w:r>
      <w:r>
        <w:rPr>
          <w:rFonts w:ascii="Arial" w:cs="Arial" w:eastAsia="Arial" w:hAnsi="Arial"/>
          <w:sz w:val="22"/>
          <w:szCs w:val="22"/>
          <w:i w:val="1"/>
          <w:iCs w:val="1"/>
          <w:color w:val="auto"/>
        </w:rPr>
        <w:t>Code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w:t>
      </w:r>
    </w:p>
    <w:p>
      <w:pPr>
        <w:spacing w:after="0" w:line="188" w:lineRule="exact"/>
        <w:rPr>
          <w:sz w:val="20"/>
          <w:szCs w:val="20"/>
          <w:color w:val="auto"/>
        </w:rPr>
      </w:pPr>
    </w:p>
    <w:p>
      <w:pPr>
        <w:jc w:val="both"/>
        <w:ind w:firstLine="885"/>
        <w:spacing w:after="0"/>
        <w:tabs>
          <w:tab w:leader="none" w:pos="176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Schedules:</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jc w:val="both"/>
        <w:ind w:left="2620" w:right="20" w:hanging="870"/>
        <w:spacing w:after="0" w:line="235" w:lineRule="auto"/>
        <w:tabs>
          <w:tab w:leader="none" w:pos="262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where an Eligible Individual leaves employment for reason of death during the Vesting Period or any Holding Period, his or her personal representatives may require, within six months from the date of death, Vesting of the deceased’s Qualified PSUs (if not already Vested) and the transfer of the underlying Shares (the Shares will be transferred to the personal representatives of the Eligible Individual as soon as practicably possible following their request); and</w:t>
      </w:r>
    </w:p>
    <w:p>
      <w:pPr>
        <w:spacing w:after="0" w:line="188" w:lineRule="exact"/>
        <w:rPr>
          <w:rFonts w:ascii="Arial" w:cs="Arial" w:eastAsia="Arial" w:hAnsi="Arial"/>
          <w:sz w:val="22"/>
          <w:szCs w:val="22"/>
          <w:color w:val="auto"/>
        </w:rPr>
      </w:pPr>
    </w:p>
    <w:p>
      <w:pPr>
        <w:jc w:val="both"/>
        <w:ind w:left="2620" w:hanging="870"/>
        <w:spacing w:after="0" w:line="252" w:lineRule="auto"/>
        <w:tabs>
          <w:tab w:leader="none" w:pos="262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in the event of disability (as defined under the second or third category of Article L.341-4 of the French </w:t>
      </w:r>
      <w:r>
        <w:rPr>
          <w:rFonts w:ascii="Arial" w:cs="Arial" w:eastAsia="Arial" w:hAnsi="Arial"/>
          <w:sz w:val="21"/>
          <w:szCs w:val="21"/>
          <w:i w:val="1"/>
          <w:iCs w:val="1"/>
          <w:color w:val="auto"/>
        </w:rPr>
        <w:t>Code de la sécurité sociale</w:t>
      </w:r>
      <w:r>
        <w:rPr>
          <w:rFonts w:ascii="Arial" w:cs="Arial" w:eastAsia="Arial" w:hAnsi="Arial"/>
          <w:sz w:val="21"/>
          <w:szCs w:val="21"/>
          <w:color w:val="auto"/>
        </w:rPr>
        <w:t>), Vesting of the Eligible Individual’s Qualified PSUs may be accelerated at the discretion of the empowered corporate body (and the underlying Shares shall then be transferred to the Eligible Individual as soon as practicably possible).</w:t>
      </w:r>
    </w:p>
    <w:p>
      <w:pPr>
        <w:spacing w:after="0" w:line="174" w:lineRule="exact"/>
        <w:rPr>
          <w:rFonts w:ascii="Arial" w:cs="Arial" w:eastAsia="Arial" w:hAnsi="Arial"/>
          <w:sz w:val="21"/>
          <w:szCs w:val="21"/>
          <w:color w:val="auto"/>
        </w:rPr>
      </w:pPr>
    </w:p>
    <w:p>
      <w:pPr>
        <w:jc w:val="both"/>
        <w:ind w:firstLine="885"/>
        <w:spacing w:after="0" w:line="272" w:lineRule="auto"/>
        <w:tabs>
          <w:tab w:leader="none" w:pos="177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With respect to any portion of the Award which Vests after one year, there will be a Holding Period, so that a minimum two-year period is observed between the Grant Date and the end of the compulsory Holding Period. During the Holding Period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61" w:lineRule="exact"/>
        <w:rPr>
          <w:rFonts w:ascii="Arial" w:cs="Arial" w:eastAsia="Arial" w:hAnsi="Arial"/>
          <w:sz w:val="19"/>
          <w:szCs w:val="19"/>
          <w:color w:val="auto"/>
        </w:rPr>
      </w:pPr>
    </w:p>
    <w:p>
      <w:pPr>
        <w:ind w:left="1780" w:hanging="895"/>
        <w:spacing w:after="0"/>
        <w:tabs>
          <w:tab w:leader="none" w:pos="17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award price of a Qualified PSU cannot exceed 5% of the nominal value of the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2" w:name="page143"/>
    <w:bookmarkEnd w:id="142"/>
    <w:p>
      <w:pPr>
        <w:ind w:left="880" w:hanging="872"/>
        <w:spacing w:after="0"/>
        <w:tabs>
          <w:tab w:leader="none" w:pos="88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Qualified PSUs</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During the Performance Period and until such time as the Qualified PSUs are settled as provided herein or on the website of the Plan Administrator, the Qualified PSUs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Arial" w:cs="Arial" w:eastAsia="Arial" w:hAnsi="Arial"/>
          <w:sz w:val="22"/>
          <w:szCs w:val="22"/>
          <w:i w:val="1"/>
          <w:iCs w:val="1"/>
          <w:color w:val="auto"/>
        </w:rPr>
        <w:t>Code de la sécurité sociale</w:t>
      </w:r>
      <w:r>
        <w:rPr>
          <w:rFonts w:ascii="Arial" w:cs="Arial" w:eastAsia="Arial" w:hAnsi="Arial"/>
          <w:sz w:val="22"/>
          <w:szCs w:val="22"/>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Shares also cannot be sold or transferred during the Closed Period.</w:t>
      </w:r>
    </w:p>
    <w:p>
      <w:pPr>
        <w:spacing w:after="0" w:line="200" w:lineRule="exact"/>
        <w:rPr>
          <w:sz w:val="20"/>
          <w:szCs w:val="20"/>
          <w:color w:val="auto"/>
        </w:rPr>
      </w:pPr>
    </w:p>
    <w:p>
      <w:pPr>
        <w:ind w:left="880" w:hanging="872"/>
        <w:spacing w:after="0"/>
        <w:tabs>
          <w:tab w:leader="none" w:pos="88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An Eligible Individual shall not be entitled to any dividends (or other distributions) and shall have no right to vote in respect of the Shares subject to Awards of Qualified PSUs under the French Schedule until the Shares have vested. After Vesting and during the Holding Period, the Eligible Individual shall be entitled to the dividends, distributions or other rights attached to his Vested Shares as they arise.</w:t>
      </w:r>
    </w:p>
    <w:p>
      <w:pPr>
        <w:spacing w:after="0" w:line="395" w:lineRule="exact"/>
        <w:rPr>
          <w:sz w:val="20"/>
          <w:szCs w:val="20"/>
          <w:color w:val="auto"/>
        </w:rPr>
      </w:pPr>
    </w:p>
    <w:p>
      <w:pPr>
        <w:ind w:left="880" w:hanging="872"/>
        <w:spacing w:after="0"/>
        <w:tabs>
          <w:tab w:leader="none" w:pos="88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sz w:val="20"/>
          <w:szCs w:val="20"/>
          <w:color w:val="auto"/>
        </w:rPr>
      </w:pPr>
    </w:p>
    <w:p>
      <w:pPr>
        <w:jc w:val="both"/>
        <w:ind w:firstLine="829"/>
        <w:spacing w:after="0" w:line="236" w:lineRule="auto"/>
        <w:rPr>
          <w:sz w:val="20"/>
          <w:szCs w:val="20"/>
          <w:color w:val="auto"/>
        </w:rPr>
      </w:pPr>
      <w:r>
        <w:rPr>
          <w:rFonts w:ascii="Arial" w:cs="Arial" w:eastAsia="Arial" w:hAnsi="Arial"/>
          <w:sz w:val="22"/>
          <w:szCs w:val="22"/>
          <w:color w:val="auto"/>
        </w:rPr>
        <w:t xml:space="preserve">On the occurrence of one of the events specified under Article L.225-181 of the French </w:t>
      </w:r>
      <w:r>
        <w:rPr>
          <w:rFonts w:ascii="Arial" w:cs="Arial" w:eastAsia="Arial" w:hAnsi="Arial"/>
          <w:sz w:val="22"/>
          <w:szCs w:val="22"/>
          <w:i w:val="1"/>
          <w:iCs w:val="1"/>
          <w:color w:val="auto"/>
        </w:rPr>
        <w:t>Code de commerce</w:t>
      </w:r>
      <w:r>
        <w:rPr>
          <w:rFonts w:ascii="Arial" w:cs="Arial" w:eastAsia="Arial" w:hAnsi="Arial"/>
          <w:sz w:val="22"/>
          <w:szCs w:val="22"/>
          <w:color w:val="auto"/>
        </w:rPr>
        <w:t xml:space="preserve">, the Company or the empowered corporate body may make such adjustments as it considers appropriate to restore the value of the Qualified PSUs. An adjustment made under this rule shall only be permissible to the extent that it is intended to, and that its sole effect is to, restore the value of the Qualified PSUs and it is made in compliance with the rules set out in the French </w:t>
      </w:r>
      <w:r>
        <w:rPr>
          <w:rFonts w:ascii="Arial" w:cs="Arial" w:eastAsia="Arial" w:hAnsi="Arial"/>
          <w:sz w:val="22"/>
          <w:szCs w:val="22"/>
          <w:i w:val="1"/>
          <w:iCs w:val="1"/>
          <w:color w:val="auto"/>
        </w:rPr>
        <w:t>Code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w:t>
      </w:r>
    </w:p>
    <w:p>
      <w:pPr>
        <w:spacing w:after="0" w:line="182" w:lineRule="exact"/>
        <w:rPr>
          <w:sz w:val="20"/>
          <w:szCs w:val="20"/>
          <w:color w:val="auto"/>
        </w:rPr>
      </w:pPr>
    </w:p>
    <w:p>
      <w:pPr>
        <w:ind w:left="880" w:hanging="872"/>
        <w:spacing w:after="0"/>
        <w:tabs>
          <w:tab w:leader="none" w:pos="880" w:val="left"/>
        </w:tabs>
        <w:numPr>
          <w:ilvl w:val="0"/>
          <w:numId w:val="1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a Termination of Employment without Cause or Resignation for Good Reason</w:t>
      </w:r>
    </w:p>
    <w:p>
      <w:pPr>
        <w:spacing w:after="0" w:line="223" w:lineRule="exact"/>
        <w:rPr>
          <w:rFonts w:ascii="Arial" w:cs="Arial" w:eastAsia="Arial" w:hAnsi="Arial"/>
          <w:sz w:val="21"/>
          <w:szCs w:val="21"/>
          <w:b w:val="1"/>
          <w:bCs w:val="1"/>
          <w:color w:val="auto"/>
        </w:rPr>
      </w:pPr>
    </w:p>
    <w:p>
      <w:pPr>
        <w:ind w:right="20" w:firstLine="885"/>
        <w:spacing w:after="0" w:line="251" w:lineRule="auto"/>
        <w:tabs>
          <w:tab w:leader="none" w:pos="1765" w:val="left"/>
        </w:tabs>
        <w:numPr>
          <w:ilvl w:val="1"/>
          <w:numId w:val="173"/>
        </w:numPr>
        <w:rPr>
          <w:rFonts w:ascii="Arial" w:cs="Arial" w:eastAsia="Arial" w:hAnsi="Arial"/>
          <w:sz w:val="22"/>
          <w:szCs w:val="22"/>
          <w:color w:val="auto"/>
        </w:rPr>
      </w:pPr>
      <w:r>
        <w:rPr>
          <w:rFonts w:ascii="Arial" w:cs="Arial" w:eastAsia="Arial" w:hAnsi="Arial"/>
          <w:sz w:val="22"/>
          <w:szCs w:val="22"/>
          <w:color w:val="auto"/>
        </w:rPr>
        <w:t>In the event of a Termination of Employment without Cause or resignation for Good Reason, before the end of the Performance Period, in each case, not in connection with a Change in Control, then:</w:t>
      </w:r>
    </w:p>
    <w:p>
      <w:pPr>
        <w:spacing w:after="0" w:line="173" w:lineRule="exact"/>
        <w:rPr>
          <w:rFonts w:ascii="Arial" w:cs="Arial" w:eastAsia="Arial" w:hAnsi="Arial"/>
          <w:sz w:val="22"/>
          <w:szCs w:val="22"/>
          <w:color w:val="auto"/>
        </w:rPr>
      </w:pPr>
    </w:p>
    <w:p>
      <w:pPr>
        <w:jc w:val="both"/>
        <w:ind w:left="2620" w:hanging="870"/>
        <w:spacing w:after="0" w:line="238" w:lineRule="auto"/>
        <w:tabs>
          <w:tab w:leader="none" w:pos="262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The Performance Period shall end on the date of the Termination of Employment (for purposes of this section, the “Adjusted Performance Period”) for purposes of determining TSR for the Company and the Index and the number of Qualified PSUs that shall be earned for purposes of Section 1 of this Agreement (“Earned PSUs”);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3" w:name="page144"/>
    <w:bookmarkEnd w:id="143"/>
    <w:p>
      <w:pPr>
        <w:jc w:val="both"/>
        <w:ind w:left="2620" w:hanging="870"/>
        <w:spacing w:after="0" w:line="248" w:lineRule="auto"/>
        <w:tabs>
          <w:tab w:leader="none" w:pos="2620" w:val="left"/>
        </w:tabs>
        <w:numPr>
          <w:ilvl w:val="2"/>
          <w:numId w:val="174"/>
        </w:numPr>
        <w:rPr>
          <w:rFonts w:ascii="Arial" w:cs="Arial" w:eastAsia="Arial" w:hAnsi="Arial"/>
          <w:sz w:val="21"/>
          <w:szCs w:val="21"/>
          <w:color w:val="auto"/>
        </w:rPr>
      </w:pPr>
      <w:r>
        <w:rPr>
          <w:rFonts w:ascii="Arial" w:cs="Arial" w:eastAsia="Arial" w:hAnsi="Arial"/>
          <w:sz w:val="21"/>
          <w:szCs w:val="21"/>
          <w:color w:val="auto"/>
        </w:rPr>
        <w:t>The Earned PSUs that would have vested through the one-year anniversary of the date of the Termination of Employment, assuming daily pro rata vesting over this period (determined based on the numerator being the number of days the Participant is employed by, or providing services to, the Company, its Subsidiaries or Affiliates, and the denominator being the number of days during the Performance Period), shall accelerate and vest and those Qualified PSUs shall settle as of the date of the Termination of Employment;</w:t>
      </w:r>
    </w:p>
    <w:p>
      <w:pPr>
        <w:spacing w:after="0" w:line="177" w:lineRule="exact"/>
        <w:rPr>
          <w:rFonts w:ascii="Arial" w:cs="Arial" w:eastAsia="Arial" w:hAnsi="Arial"/>
          <w:sz w:val="21"/>
          <w:szCs w:val="21"/>
          <w:color w:val="auto"/>
        </w:rPr>
      </w:pPr>
    </w:p>
    <w:p>
      <w:pPr>
        <w:jc w:val="both"/>
        <w:ind w:left="2620" w:hanging="870"/>
        <w:spacing w:after="0"/>
        <w:tabs>
          <w:tab w:leader="none" w:pos="2620" w:val="left"/>
        </w:tabs>
        <w:numPr>
          <w:ilvl w:val="2"/>
          <w:numId w:val="174"/>
        </w:numPr>
        <w:rPr>
          <w:rFonts w:ascii="Arial" w:cs="Arial" w:eastAsia="Arial" w:hAnsi="Arial"/>
          <w:sz w:val="22"/>
          <w:szCs w:val="22"/>
          <w:color w:val="auto"/>
        </w:rPr>
      </w:pPr>
      <w:r>
        <w:rPr>
          <w:rFonts w:ascii="Arial" w:cs="Arial" w:eastAsia="Arial" w:hAnsi="Arial"/>
          <w:sz w:val="22"/>
          <w:szCs w:val="22"/>
          <w:color w:val="auto"/>
        </w:rPr>
        <w:t>Any Qualified PSUs for which acceleration did not vest (i.e. the positive difference, if any, between Target PSUs and Qualified PSUs for which vesting accelerated pursuant to Section 7(a)(ii) above) shall expire.</w:t>
      </w:r>
    </w:p>
    <w:p>
      <w:pPr>
        <w:spacing w:after="0" w:line="186" w:lineRule="exact"/>
        <w:rPr>
          <w:rFonts w:ascii="Arial" w:cs="Arial" w:eastAsia="Arial" w:hAnsi="Arial"/>
          <w:sz w:val="22"/>
          <w:szCs w:val="22"/>
          <w:color w:val="auto"/>
        </w:rPr>
      </w:pPr>
    </w:p>
    <w:p>
      <w:pPr>
        <w:ind w:firstLine="885"/>
        <w:spacing w:after="0" w:line="251" w:lineRule="auto"/>
        <w:tabs>
          <w:tab w:leader="none" w:pos="1778"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302" w:lineRule="exact"/>
        <w:rPr>
          <w:rFonts w:ascii="Arial" w:cs="Arial" w:eastAsia="Arial" w:hAnsi="Arial"/>
          <w:sz w:val="22"/>
          <w:szCs w:val="22"/>
          <w:color w:val="auto"/>
        </w:rPr>
      </w:pPr>
    </w:p>
    <w:p>
      <w:pPr>
        <w:ind w:left="880" w:hanging="872"/>
        <w:spacing w:after="0"/>
        <w:tabs>
          <w:tab w:leader="none" w:pos="88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Recovery in the Event of a Financial Restatement; Claw-back Policy</w:t>
      </w:r>
    </w:p>
    <w:p>
      <w:pPr>
        <w:spacing w:after="0" w:line="21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Notwithstanding the provisions of Section 1 above, in the event that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Qualified PSUs (whether or not vested) shall be forfeited and canceled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Qualified PSUs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Qualified PSUs that vested during the two-year period after the events or circumstances giving rise to or constituting grounds for such Termination of Employment for Cause (i.e., the value of the Qualified PSUs upon vesting), in each case including any dividend equivalents or other distributions received in respect of any such Qualified PSUs.</w:t>
      </w:r>
    </w:p>
    <w:p>
      <w:pPr>
        <w:spacing w:after="0" w:line="156" w:lineRule="exact"/>
        <w:rPr>
          <w:sz w:val="20"/>
          <w:szCs w:val="20"/>
          <w:color w:val="auto"/>
        </w:rPr>
      </w:pPr>
    </w:p>
    <w:p>
      <w:pPr>
        <w:ind w:left="880" w:hanging="872"/>
        <w:spacing w:after="0"/>
        <w:tabs>
          <w:tab w:leader="none" w:pos="880" w:val="left"/>
        </w:tabs>
        <w:numPr>
          <w:ilvl w:val="0"/>
          <w:numId w:val="177"/>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color w:val="auto"/>
        </w:rPr>
      </w:pPr>
    </w:p>
    <w:p>
      <w:pPr>
        <w:jc w:val="both"/>
        <w:ind w:firstLine="885"/>
        <w:spacing w:after="0"/>
        <w:tabs>
          <w:tab w:leader="none" w:pos="1765"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Qualified PSUs,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firstLine="885"/>
        <w:spacing w:after="0"/>
        <w:tabs>
          <w:tab w:leader="none" w:pos="1778" w:val="left"/>
        </w:tabs>
        <w:numPr>
          <w:ilvl w:val="1"/>
          <w:numId w:val="177"/>
        </w:numPr>
        <w:rPr>
          <w:rFonts w:ascii="Arial" w:cs="Arial" w:eastAsia="Arial" w:hAnsi="Arial"/>
          <w:sz w:val="22"/>
          <w:szCs w:val="22"/>
          <w:color w:val="auto"/>
        </w:rPr>
      </w:pPr>
      <w:r>
        <w:rPr>
          <w:rFonts w:ascii="Arial" w:cs="Arial" w:eastAsia="Arial" w:hAnsi="Arial"/>
          <w:sz w:val="22"/>
          <w:szCs w:val="22"/>
          <w:color w:val="auto"/>
        </w:rPr>
        <w:t>Regardless of any action the Company, its Affiliate or Subsidiary takes with respect to any or all income tax, social insurance, payroll tax, payment on account or other tax-related withholding (“Tax-Related Items”), the Eligible Individual acknowledges that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4" w:name="page145"/>
    <w:bookmarkEnd w:id="144"/>
    <w:p>
      <w:pPr>
        <w:jc w:val="both"/>
        <w:spacing w:after="0" w:line="282" w:lineRule="auto"/>
        <w:rPr>
          <w:sz w:val="20"/>
          <w:szCs w:val="20"/>
          <w:color w:val="auto"/>
        </w:rPr>
      </w:pPr>
      <w:r>
        <w:rPr>
          <w:rFonts w:ascii="Arial" w:cs="Arial" w:eastAsia="Arial" w:hAnsi="Arial"/>
          <w:sz w:val="19"/>
          <w:szCs w:val="19"/>
          <w:color w:val="auto"/>
        </w:rPr>
        <w:t>ultimate liability for all Tax-Related Items legally due by the Eligible Individual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Qualified PSUs, the receipt of cash or any dividends or dividend equivalents; and (ii) do not commit to structure the terms of the Award or any aspect of the Qualified PSUs to reduce or eliminate the Eligible Individual’s liability for Tax-Related Items.</w:t>
      </w:r>
    </w:p>
    <w:p>
      <w:pPr>
        <w:spacing w:after="0" w:line="148" w:lineRule="exact"/>
        <w:rPr>
          <w:sz w:val="20"/>
          <w:szCs w:val="20"/>
          <w:color w:val="auto"/>
        </w:rPr>
      </w:pPr>
    </w:p>
    <w:p>
      <w:pPr>
        <w:jc w:val="both"/>
        <w:ind w:firstLine="885"/>
        <w:spacing w:after="0" w:line="270" w:lineRule="auto"/>
        <w:tabs>
          <w:tab w:leader="none" w:pos="176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vesting or exercise of the Qualified PSUs,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885"/>
        <w:spacing w:after="0" w:line="274" w:lineRule="auto"/>
        <w:tabs>
          <w:tab w:leader="none" w:pos="177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5" w:name="page146"/>
    <w:bookmarkEnd w:id="145"/>
    <w:p>
      <w:pPr>
        <w:ind w:firstLine="885"/>
        <w:spacing w:after="0" w:line="251" w:lineRule="auto"/>
        <w:tabs>
          <w:tab w:leader="none" w:pos="1765" w:val="left"/>
        </w:tabs>
        <w:numPr>
          <w:ilvl w:val="1"/>
          <w:numId w:val="179"/>
        </w:numPr>
        <w:rPr>
          <w:rFonts w:ascii="Arial" w:cs="Arial" w:eastAsia="Arial" w:hAnsi="Arial"/>
          <w:sz w:val="22"/>
          <w:szCs w:val="22"/>
          <w:color w:val="auto"/>
        </w:rPr>
      </w:pPr>
      <w:r>
        <w:rPr>
          <w:rFonts w:ascii="Arial" w:cs="Arial" w:eastAsia="Arial" w:hAnsi="Arial"/>
          <w:sz w:val="22"/>
          <w:szCs w:val="22"/>
          <w:color w:val="auto"/>
        </w:rPr>
        <w:t>The Eligible Individuals (or beneficiaries, if applicable) are responsible for reporting the receipt of any income under the Plan, however received, to the appropriate tax authorities.</w:t>
      </w:r>
    </w:p>
    <w:p>
      <w:pPr>
        <w:spacing w:after="0" w:line="167" w:lineRule="exact"/>
        <w:rPr>
          <w:rFonts w:ascii="Arial" w:cs="Arial" w:eastAsia="Arial" w:hAnsi="Arial"/>
          <w:sz w:val="22"/>
          <w:szCs w:val="22"/>
          <w:color w:val="auto"/>
        </w:rPr>
      </w:pPr>
    </w:p>
    <w:p>
      <w:pPr>
        <w:ind w:left="880" w:hanging="872"/>
        <w:spacing w:after="0"/>
        <w:tabs>
          <w:tab w:leader="none" w:pos="88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jc w:val="both"/>
        <w:ind w:firstLine="885"/>
        <w:spacing w:after="0" w:line="249" w:lineRule="auto"/>
        <w:tabs>
          <w:tab w:leader="none" w:pos="1765" w:val="left"/>
        </w:tabs>
        <w:numPr>
          <w:ilvl w:val="1"/>
          <w:numId w:val="180"/>
        </w:numPr>
        <w:rPr>
          <w:rFonts w:ascii="Arial" w:cs="Arial" w:eastAsia="Arial" w:hAnsi="Arial"/>
          <w:sz w:val="21"/>
          <w:szCs w:val="21"/>
          <w:color w:val="auto"/>
        </w:rPr>
      </w:pPr>
      <w:r>
        <w:rPr>
          <w:rFonts w:ascii="Arial" w:cs="Arial" w:eastAsia="Arial" w:hAnsi="Arial"/>
          <w:sz w:val="21"/>
          <w:szCs w:val="21"/>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394" w:lineRule="exact"/>
        <w:rPr>
          <w:rFonts w:ascii="Arial" w:cs="Arial" w:eastAsia="Arial" w:hAnsi="Arial"/>
          <w:sz w:val="21"/>
          <w:szCs w:val="21"/>
          <w:color w:val="auto"/>
        </w:rPr>
      </w:pPr>
    </w:p>
    <w:p>
      <w:pPr>
        <w:jc w:val="both"/>
        <w:ind w:firstLine="885"/>
        <w:spacing w:after="0" w:line="246" w:lineRule="auto"/>
        <w:tabs>
          <w:tab w:leader="none" w:pos="1778" w:val="left"/>
        </w:tabs>
        <w:numPr>
          <w:ilvl w:val="1"/>
          <w:numId w:val="180"/>
        </w:numPr>
        <w:rPr>
          <w:rFonts w:ascii="Arial" w:cs="Arial" w:eastAsia="Arial" w:hAnsi="Arial"/>
          <w:sz w:val="21"/>
          <w:szCs w:val="21"/>
          <w:color w:val="auto"/>
        </w:rPr>
      </w:pPr>
      <w:r>
        <w:rPr>
          <w:rFonts w:ascii="Arial" w:cs="Arial" w:eastAsia="Arial" w:hAnsi="Arial"/>
          <w:sz w:val="21"/>
          <w:szCs w:val="21"/>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Qualified PSUs,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0" w:lineRule="exact"/>
        <w:rPr>
          <w:rFonts w:ascii="Arial" w:cs="Arial" w:eastAsia="Arial" w:hAnsi="Arial"/>
          <w:sz w:val="21"/>
          <w:szCs w:val="21"/>
          <w:color w:val="auto"/>
        </w:rPr>
      </w:pPr>
    </w:p>
    <w:p>
      <w:pPr>
        <w:jc w:val="both"/>
        <w:ind w:firstLine="885"/>
        <w:spacing w:after="0"/>
        <w:tabs>
          <w:tab w:leader="none" w:pos="1765" w:val="left"/>
        </w:tabs>
        <w:numPr>
          <w:ilvl w:val="1"/>
          <w:numId w:val="180"/>
        </w:numPr>
        <w:rPr>
          <w:rFonts w:ascii="Arial" w:cs="Arial" w:eastAsia="Arial" w:hAnsi="Arial"/>
          <w:sz w:val="22"/>
          <w:szCs w:val="22"/>
          <w:color w:val="auto"/>
        </w:rPr>
      </w:pPr>
      <w:r>
        <w:rPr>
          <w:rFonts w:ascii="Arial" w:cs="Arial" w:eastAsia="Arial" w:hAnsi="Arial"/>
          <w:sz w:val="22"/>
          <w:szCs w:val="22"/>
          <w:color w:val="auto"/>
        </w:rPr>
        <w:t>Notwithstanding any other rule of the Plan, this Agreement or the Schedules, the total number of Qualified Restricted Stock Units granted under the Plan or any other plan subject to provisions of Articles L.225-197-1 et seq. of the French Code de commerce shall not exceed 10 per cent of the Shares in issue at the Grant Date.</w:t>
      </w:r>
    </w:p>
    <w:p>
      <w:pPr>
        <w:spacing w:after="0" w:line="207" w:lineRule="exact"/>
        <w:rPr>
          <w:rFonts w:ascii="Arial" w:cs="Arial" w:eastAsia="Arial" w:hAnsi="Arial"/>
          <w:sz w:val="22"/>
          <w:szCs w:val="22"/>
          <w:color w:val="auto"/>
        </w:rPr>
      </w:pPr>
    </w:p>
    <w:p>
      <w:pPr>
        <w:ind w:left="880" w:hanging="872"/>
        <w:spacing w:after="0"/>
        <w:tabs>
          <w:tab w:leader="none" w:pos="88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39"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color w:val="auto"/>
        </w:rPr>
      </w:pPr>
    </w:p>
    <w:p>
      <w:pPr>
        <w:ind w:firstLine="885"/>
        <w:spacing w:after="0" w:line="328" w:lineRule="auto"/>
        <w:tabs>
          <w:tab w:leader="none" w:pos="1765" w:val="left"/>
        </w:tabs>
        <w:numPr>
          <w:ilvl w:val="1"/>
          <w:numId w:val="180"/>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5" w:lineRule="exact"/>
        <w:rPr>
          <w:rFonts w:ascii="Arial" w:cs="Arial" w:eastAsia="Arial" w:hAnsi="Arial"/>
          <w:sz w:val="19"/>
          <w:szCs w:val="19"/>
          <w:color w:val="auto"/>
        </w:rPr>
      </w:pPr>
    </w:p>
    <w:p>
      <w:pPr>
        <w:ind w:firstLine="885"/>
        <w:spacing w:after="0" w:line="251" w:lineRule="auto"/>
        <w:tabs>
          <w:tab w:leader="none" w:pos="1778"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granted repeatedly in the past;</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6" w:name="page147"/>
    <w:bookmarkEnd w:id="146"/>
    <w:p>
      <w:pPr>
        <w:jc w:val="both"/>
        <w:ind w:firstLine="885"/>
        <w:spacing w:after="0"/>
        <w:tabs>
          <w:tab w:leader="none" w:pos="1778"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Affiliated or Subsidiary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ind w:firstLine="885"/>
        <w:spacing w:after="0" w:line="251" w:lineRule="auto"/>
        <w:tabs>
          <w:tab w:leader="none" w:pos="174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regular compensation of any kind for services of any kind rendered to the Company, Subsidiary, or Affiliate;</w:t>
      </w:r>
    </w:p>
    <w:p>
      <w:pPr>
        <w:spacing w:after="0" w:line="173"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rFonts w:ascii="Arial" w:cs="Arial" w:eastAsia="Arial" w:hAnsi="Arial"/>
          <w:sz w:val="22"/>
          <w:szCs w:val="22"/>
          <w:color w:val="auto"/>
        </w:rPr>
      </w:pPr>
    </w:p>
    <w:p>
      <w:pPr>
        <w:ind w:right="20" w:firstLine="885"/>
        <w:spacing w:after="0" w:line="251" w:lineRule="auto"/>
        <w:tabs>
          <w:tab w:leader="none" w:pos="1778" w:val="left"/>
        </w:tabs>
        <w:numPr>
          <w:ilvl w:val="1"/>
          <w:numId w:val="181"/>
        </w:numPr>
        <w:rPr>
          <w:rFonts w:ascii="Arial" w:cs="Arial" w:eastAsia="Arial" w:hAnsi="Arial"/>
          <w:sz w:val="22"/>
          <w:szCs w:val="22"/>
          <w:color w:val="auto"/>
        </w:rPr>
      </w:pPr>
      <w:r>
        <w:rPr>
          <w:rFonts w:ascii="Arial" w:cs="Arial" w:eastAsia="Arial" w:hAnsi="Arial"/>
          <w:sz w:val="22"/>
          <w:szCs w:val="22"/>
          <w:color w:val="auto"/>
        </w:rPr>
        <w:t>in the event that the Eligible Individual is not an employee of the Company, a Subsidiary or an Affiliate, the Award will not be interpreted to form an employment contract or relationship with the Company; and</w:t>
      </w:r>
    </w:p>
    <w:p>
      <w:pPr>
        <w:spacing w:after="0" w:line="173" w:lineRule="exact"/>
        <w:rPr>
          <w:rFonts w:ascii="Arial" w:cs="Arial" w:eastAsia="Arial" w:hAnsi="Arial"/>
          <w:sz w:val="22"/>
          <w:szCs w:val="22"/>
          <w:color w:val="auto"/>
        </w:rPr>
      </w:pPr>
    </w:p>
    <w:p>
      <w:pPr>
        <w:jc w:val="both"/>
        <w:ind w:firstLine="885"/>
        <w:spacing w:after="0" w:line="277" w:lineRule="auto"/>
        <w:tabs>
          <w:tab w:leader="none" w:pos="173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6" w:lineRule="exact"/>
        <w:rPr>
          <w:rFonts w:ascii="Arial" w:cs="Arial" w:eastAsia="Arial" w:hAnsi="Arial"/>
          <w:sz w:val="19"/>
          <w:szCs w:val="19"/>
          <w:color w:val="auto"/>
        </w:rPr>
      </w:pPr>
    </w:p>
    <w:p>
      <w:pPr>
        <w:ind w:left="880" w:hanging="872"/>
        <w:spacing w:after="0"/>
        <w:tabs>
          <w:tab w:leader="none" w:pos="88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2" w:lineRule="exact"/>
        <w:rPr>
          <w:sz w:val="20"/>
          <w:szCs w:val="20"/>
          <w:color w:val="auto"/>
        </w:rPr>
      </w:pPr>
    </w:p>
    <w:p>
      <w:pPr>
        <w:ind w:left="880" w:hanging="872"/>
        <w:spacing w:after="0"/>
        <w:tabs>
          <w:tab w:leader="none" w:pos="88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7" w:name="page148"/>
    <w:bookmarkEnd w:id="147"/>
    <w:p>
      <w:pPr>
        <w:ind w:left="880" w:hanging="872"/>
        <w:spacing w:after="0"/>
        <w:tabs>
          <w:tab w:leader="none" w:pos="88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2"/>
        <w:spacing w:after="0"/>
        <w:tabs>
          <w:tab w:leader="none" w:pos="88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PSUs are subject to the terms and conditions of the Plan, which are hereby incorporated by reference.</w:t>
      </w:r>
    </w:p>
    <w:p>
      <w:pPr>
        <w:spacing w:after="0" w:line="185" w:lineRule="exact"/>
        <w:rPr>
          <w:rFonts w:ascii="Arial" w:cs="Arial" w:eastAsia="Arial" w:hAnsi="Arial"/>
          <w:sz w:val="22"/>
          <w:szCs w:val="22"/>
          <w:color w:val="auto"/>
        </w:rPr>
      </w:pPr>
    </w:p>
    <w:p>
      <w:pPr>
        <w:jc w:val="both"/>
        <w:ind w:firstLine="885"/>
        <w:spacing w:after="0" w:line="236" w:lineRule="auto"/>
        <w:tabs>
          <w:tab w:leader="none" w:pos="1778" w:val="left"/>
        </w:tabs>
        <w:numPr>
          <w:ilvl w:val="1"/>
          <w:numId w:val="18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rFonts w:ascii="Arial" w:cs="Arial" w:eastAsia="Arial" w:hAnsi="Arial"/>
          <w:sz w:val="22"/>
          <w:szCs w:val="22"/>
          <w:color w:val="auto"/>
        </w:rPr>
      </w:pPr>
    </w:p>
    <w:p>
      <w:pPr>
        <w:ind w:right="20" w:firstLine="885"/>
        <w:spacing w:after="0" w:line="251" w:lineRule="auto"/>
        <w:tabs>
          <w:tab w:leader="none" w:pos="1765"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Committee shall have the exclusive discretion to determine whether there has been any Termination of Employment and/or whether there existed Cause.</w:t>
      </w:r>
    </w:p>
    <w:p>
      <w:pPr>
        <w:spacing w:after="0" w:line="173" w:lineRule="exact"/>
        <w:rPr>
          <w:rFonts w:ascii="Arial" w:cs="Arial" w:eastAsia="Arial" w:hAnsi="Arial"/>
          <w:sz w:val="22"/>
          <w:szCs w:val="22"/>
          <w:color w:val="auto"/>
        </w:rPr>
      </w:pPr>
    </w:p>
    <w:p>
      <w:pPr>
        <w:jc w:val="both"/>
        <w:ind w:firstLine="885"/>
        <w:spacing w:after="0" w:line="249" w:lineRule="auto"/>
        <w:tabs>
          <w:tab w:leader="none" w:pos="1778" w:val="left"/>
        </w:tabs>
        <w:numPr>
          <w:ilvl w:val="1"/>
          <w:numId w:val="185"/>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2" w:lineRule="exact"/>
        <w:rPr>
          <w:rFonts w:ascii="Arial" w:cs="Arial" w:eastAsia="Arial" w:hAnsi="Arial"/>
          <w:sz w:val="21"/>
          <w:szCs w:val="21"/>
          <w:color w:val="auto"/>
        </w:rPr>
      </w:pPr>
    </w:p>
    <w:p>
      <w:pPr>
        <w:ind w:left="880" w:hanging="872"/>
        <w:spacing w:after="0"/>
        <w:tabs>
          <w:tab w:leader="none" w:pos="88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85"/>
        <w:spacing w:after="0" w:line="238" w:lineRule="auto"/>
        <w:tabs>
          <w:tab w:leader="none" w:pos="1765"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rFonts w:ascii="Arial" w:cs="Arial" w:eastAsia="Arial" w:hAnsi="Arial"/>
          <w:sz w:val="22"/>
          <w:szCs w:val="22"/>
          <w:color w:val="auto"/>
        </w:rPr>
      </w:pPr>
    </w:p>
    <w:p>
      <w:pPr>
        <w:jc w:val="both"/>
        <w:ind w:firstLine="885"/>
        <w:spacing w:after="0" w:line="235" w:lineRule="auto"/>
        <w:tabs>
          <w:tab w:leader="none" w:pos="1778"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PSUs have vested). All actions taken and all interpretations and determinations made by the Committee in good faith shall be final and binding upon the Eligible Individual,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8" w:name="page149"/>
    <w:bookmarkEnd w:id="148"/>
    <w:p>
      <w:pPr>
        <w:jc w:val="both"/>
        <w:spacing w:after="0"/>
        <w:rPr>
          <w:sz w:val="20"/>
          <w:szCs w:val="20"/>
          <w:color w:val="auto"/>
        </w:rPr>
      </w:pPr>
      <w:r>
        <w:rPr>
          <w:rFonts w:ascii="Arial" w:cs="Arial" w:eastAsia="Arial" w:hAnsi="Arial"/>
          <w:sz w:val="22"/>
          <w:szCs w:val="22"/>
          <w:color w:val="auto"/>
        </w:rPr>
        <w:t>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6" w:lineRule="exact"/>
        <w:rPr>
          <w:sz w:val="20"/>
          <w:szCs w:val="20"/>
          <w:color w:val="auto"/>
        </w:rPr>
      </w:pPr>
    </w:p>
    <w:p>
      <w:pPr>
        <w:jc w:val="both"/>
        <w:ind w:firstLine="885"/>
        <w:spacing w:after="0" w:line="248" w:lineRule="auto"/>
        <w:tabs>
          <w:tab w:leader="none" w:pos="1765" w:val="left"/>
        </w:tabs>
        <w:numPr>
          <w:ilvl w:val="1"/>
          <w:numId w:val="186"/>
        </w:numPr>
        <w:rPr>
          <w:rFonts w:ascii="Arial" w:cs="Arial" w:eastAsia="Arial" w:hAnsi="Arial"/>
          <w:sz w:val="21"/>
          <w:szCs w:val="21"/>
          <w:color w:val="auto"/>
        </w:rPr>
      </w:pPr>
      <w:r>
        <w:rPr>
          <w:rFonts w:ascii="Arial" w:cs="Arial" w:eastAsia="Arial" w:hAnsi="Arial"/>
          <w:sz w:val="21"/>
          <w:szCs w:val="21"/>
          <w:color w:val="auto"/>
        </w:rPr>
        <w:t xml:space="preserve">It is intended that the Qualified PSUs shall qualify for the special tax and social security treatment applicable to free shares granted under sections L. 225-197-1 to L.225-197-6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77" w:lineRule="exact"/>
        <w:rPr>
          <w:rFonts w:ascii="Arial" w:cs="Arial" w:eastAsia="Arial" w:hAnsi="Arial"/>
          <w:sz w:val="21"/>
          <w:szCs w:val="21"/>
          <w:color w:val="auto"/>
        </w:rPr>
      </w:pPr>
    </w:p>
    <w:p>
      <w:pPr>
        <w:jc w:val="both"/>
        <w:ind w:firstLine="885"/>
        <w:spacing w:after="0" w:line="238" w:lineRule="auto"/>
        <w:tabs>
          <w:tab w:leader="none" w:pos="1778" w:val="left"/>
        </w:tabs>
        <w:numPr>
          <w:ilvl w:val="1"/>
          <w:numId w:val="186"/>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9" w:lineRule="exact"/>
        <w:rPr>
          <w:rFonts w:ascii="Arial" w:cs="Arial" w:eastAsia="Arial" w:hAnsi="Arial"/>
          <w:sz w:val="22"/>
          <w:szCs w:val="22"/>
          <w:color w:val="auto"/>
        </w:rPr>
      </w:pPr>
    </w:p>
    <w:p>
      <w:pPr>
        <w:ind w:left="880" w:hanging="872"/>
        <w:spacing w:after="0"/>
        <w:tabs>
          <w:tab w:leader="none" w:pos="880"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85"/>
        <w:spacing w:after="0" w:line="245" w:lineRule="auto"/>
        <w:tabs>
          <w:tab w:leader="none" w:pos="1765" w:val="left"/>
        </w:tabs>
        <w:numPr>
          <w:ilvl w:val="1"/>
          <w:numId w:val="187"/>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5" w:lineRule="exact"/>
        <w:rPr>
          <w:rFonts w:ascii="Arial" w:cs="Arial" w:eastAsia="Arial" w:hAnsi="Arial"/>
          <w:sz w:val="21"/>
          <w:szCs w:val="21"/>
          <w:color w:val="auto"/>
        </w:rPr>
      </w:pPr>
    </w:p>
    <w:p>
      <w:pPr>
        <w:jc w:val="both"/>
        <w:ind w:firstLine="885"/>
        <w:spacing w:after="0" w:line="275" w:lineRule="auto"/>
        <w:tabs>
          <w:tab w:leader="none" w:pos="1778"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9" w:name="page150"/>
    <w:bookmarkEnd w:id="149"/>
    <w:p>
      <w:pPr>
        <w:jc w:val="both"/>
        <w:ind w:firstLine="885"/>
        <w:spacing w:after="0" w:line="279" w:lineRule="auto"/>
        <w:tabs>
          <w:tab w:leader="none" w:pos="1765" w:val="left"/>
        </w:tabs>
        <w:numPr>
          <w:ilvl w:val="1"/>
          <w:numId w:val="188"/>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firstLine="885"/>
        <w:spacing w:after="0"/>
        <w:tabs>
          <w:tab w:leader="none" w:pos="1765"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This Agreement, including Appendix A, constitutes the entire agreement between the parties with respect to the Qualified PSU award, and supersedes all prior agreements, understandings, and communications between the parties, whether oral or written, relating to the same subject matter.</w:t>
      </w:r>
    </w:p>
    <w:p>
      <w:pPr>
        <w:spacing w:after="0" w:line="186" w:lineRule="exact"/>
        <w:rPr>
          <w:rFonts w:ascii="Arial" w:cs="Arial" w:eastAsia="Arial" w:hAnsi="Arial"/>
          <w:sz w:val="22"/>
          <w:szCs w:val="22"/>
          <w:color w:val="auto"/>
        </w:rPr>
      </w:pPr>
    </w:p>
    <w:p>
      <w:pPr>
        <w:jc w:val="both"/>
        <w:ind w:firstLine="885"/>
        <w:spacing w:after="0" w:line="249" w:lineRule="auto"/>
        <w:tabs>
          <w:tab w:leader="none" w:pos="1778" w:val="left"/>
        </w:tabs>
        <w:numPr>
          <w:ilvl w:val="1"/>
          <w:numId w:val="189"/>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the Qualified PSU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2" w:lineRule="exact"/>
        <w:rPr>
          <w:rFonts w:ascii="Arial" w:cs="Arial" w:eastAsia="Arial" w:hAnsi="Arial"/>
          <w:sz w:val="21"/>
          <w:szCs w:val="21"/>
          <w:color w:val="auto"/>
        </w:rPr>
      </w:pPr>
    </w:p>
    <w:p>
      <w:pPr>
        <w:ind w:left="880" w:hanging="872"/>
        <w:spacing w:after="0"/>
        <w:tabs>
          <w:tab w:leader="none" w:pos="88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Exchange Risk</w:t>
      </w:r>
    </w:p>
    <w:p>
      <w:pPr>
        <w:spacing w:after="0" w:line="212"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Exchange Risk”). Eligible Individual waives and releases the Company, its Subsidiaries and Affiliates and the Plan Administrator from any potential claims arising out of the Currency Exchange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0" w:name="page151"/>
    <w:bookmarkEnd w:id="150"/>
    <w:p>
      <w:pPr>
        <w:ind w:left="880" w:hanging="872"/>
        <w:spacing w:after="0"/>
        <w:tabs>
          <w:tab w:leader="none" w:pos="88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and Schedules.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82" w:lineRule="exact"/>
        <w:rPr>
          <w:sz w:val="20"/>
          <w:szCs w:val="20"/>
          <w:color w:val="auto"/>
        </w:rPr>
      </w:pPr>
    </w:p>
    <w:p>
      <w:pPr>
        <w:ind w:left="880" w:hanging="872"/>
        <w:spacing w:after="0"/>
        <w:tabs>
          <w:tab w:leader="none" w:pos="88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Schedules</w:t>
      </w:r>
    </w:p>
    <w:p>
      <w:pPr>
        <w:spacing w:after="0" w:line="212" w:lineRule="exact"/>
        <w:rPr>
          <w:sz w:val="20"/>
          <w:szCs w:val="20"/>
          <w:color w:val="auto"/>
        </w:rPr>
      </w:pPr>
    </w:p>
    <w:p>
      <w:pPr>
        <w:ind w:firstLine="877"/>
        <w:spacing w:after="0" w:line="328" w:lineRule="auto"/>
        <w:rPr>
          <w:sz w:val="20"/>
          <w:szCs w:val="20"/>
          <w:color w:val="auto"/>
        </w:rPr>
      </w:pPr>
      <w:r>
        <w:rPr>
          <w:rFonts w:ascii="Arial" w:cs="Arial" w:eastAsia="Arial" w:hAnsi="Arial"/>
          <w:sz w:val="19"/>
          <w:szCs w:val="19"/>
          <w:color w:val="auto"/>
        </w:rPr>
        <w:t>Notwithstanding any provisions in this Agreement to the contrary, the Qualified PSUs shall be subject to any special terms and conditions set forth in the Schedules to the Agreement. The Schedules constitute a part of this Agreement.</w:t>
      </w:r>
    </w:p>
    <w:p>
      <w:pPr>
        <w:spacing w:after="0" w:line="99" w:lineRule="exact"/>
        <w:rPr>
          <w:sz w:val="20"/>
          <w:szCs w:val="20"/>
          <w:color w:val="auto"/>
        </w:rPr>
      </w:pPr>
    </w:p>
    <w:p>
      <w:pPr>
        <w:ind w:left="880" w:hanging="872"/>
        <w:spacing w:after="0"/>
        <w:tabs>
          <w:tab w:leader="none" w:pos="88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p>
    <w:p>
      <w:pPr>
        <w:spacing w:after="0" w:line="137" w:lineRule="exact"/>
        <w:rPr>
          <w:sz w:val="20"/>
          <w:szCs w:val="20"/>
          <w:color w:val="auto"/>
        </w:rPr>
      </w:pPr>
    </w:p>
    <w:p>
      <w:pPr>
        <w:ind w:left="880" w:hanging="872"/>
        <w:spacing w:after="0"/>
        <w:tabs>
          <w:tab w:leader="none" w:pos="880"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28" w:lineRule="exact"/>
        <w:rPr>
          <w:sz w:val="20"/>
          <w:szCs w:val="20"/>
          <w:color w:val="auto"/>
        </w:rPr>
      </w:pPr>
    </w:p>
    <w:p>
      <w:pPr>
        <w:ind w:left="880" w:hanging="872"/>
        <w:spacing w:after="0"/>
        <w:tabs>
          <w:tab w:leader="none" w:pos="880"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1" w:name="page152"/>
    <w:bookmarkEnd w:id="151"/>
    <w:p>
      <w:pPr>
        <w:jc w:val="center"/>
        <w:ind w:right="20"/>
        <w:spacing w:after="0"/>
        <w:rPr>
          <w:sz w:val="20"/>
          <w:szCs w:val="20"/>
          <w:color w:val="auto"/>
        </w:rPr>
      </w:pPr>
      <w:r>
        <w:rPr>
          <w:rFonts w:ascii="Arial" w:cs="Arial" w:eastAsia="Arial" w:hAnsi="Arial"/>
          <w:sz w:val="22"/>
          <w:szCs w:val="22"/>
          <w:b w:val="1"/>
          <w:bCs w:val="1"/>
          <w:color w:val="auto"/>
        </w:rPr>
        <w:t>SCHEDULE I</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DETAILS OF RELATIVE RETURN FACTOR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jc w:val="center"/>
        <w:ind w:right="20"/>
        <w:spacing w:after="0"/>
        <w:rPr>
          <w:sz w:val="20"/>
          <w:szCs w:val="20"/>
          <w:color w:val="auto"/>
        </w:rPr>
      </w:pPr>
      <w:r>
        <w:rPr>
          <w:rFonts w:ascii="Arial" w:cs="Arial" w:eastAsia="Arial" w:hAnsi="Arial"/>
          <w:sz w:val="22"/>
          <w:szCs w:val="22"/>
          <w:b w:val="1"/>
          <w:bCs w:val="1"/>
          <w:color w:val="auto"/>
        </w:rPr>
        <w:t>ILLUSTRATIONS OF RESULTING NUMBER OF EARNED PSUS</w:t>
      </w:r>
    </w:p>
    <w:p>
      <w:pPr>
        <w:spacing w:after="0" w:line="200" w:lineRule="exact"/>
        <w:rPr>
          <w:sz w:val="20"/>
          <w:szCs w:val="20"/>
          <w:color w:val="auto"/>
        </w:rPr>
      </w:pPr>
    </w:p>
    <w:p>
      <w:pPr>
        <w:spacing w:after="0" w:line="391"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TSR Calculation:</w:t>
            </w:r>
          </w:p>
        </w:tc>
        <w:tc>
          <w:tcPr>
            <w:tcW w:w="1140" w:type="dxa"/>
            <w:vAlign w:val="bottom"/>
          </w:tcPr>
          <w:p>
            <w:pPr>
              <w:spacing w:after="0"/>
              <w:rPr>
                <w:sz w:val="21"/>
                <w:szCs w:val="21"/>
                <w:color w:val="auto"/>
              </w:rPr>
            </w:pPr>
          </w:p>
        </w:tc>
        <w:tc>
          <w:tcPr>
            <w:tcW w:w="8400" w:type="dxa"/>
            <w:vAlign w:val="bottom"/>
          </w:tcPr>
          <w:p>
            <w:pPr>
              <w:spacing w:after="0"/>
              <w:rPr>
                <w:sz w:val="21"/>
                <w:szCs w:val="21"/>
                <w:color w:val="auto"/>
              </w:rPr>
            </w:pPr>
          </w:p>
        </w:tc>
      </w:tr>
      <w:tr>
        <w:trPr>
          <w:trHeight w:val="458"/>
        </w:trPr>
        <w:tc>
          <w:tcPr>
            <w:tcW w:w="2760" w:type="dxa"/>
            <w:vAlign w:val="bottom"/>
            <w:gridSpan w:val="2"/>
          </w:tcPr>
          <w:p>
            <w:pPr>
              <w:ind w:left="760"/>
              <w:spacing w:after="0"/>
              <w:rPr>
                <w:sz w:val="20"/>
                <w:szCs w:val="20"/>
                <w:color w:val="auto"/>
              </w:rPr>
            </w:pPr>
            <w:r>
              <w:rPr>
                <w:rFonts w:ascii="Arial" w:cs="Arial" w:eastAsia="Arial" w:hAnsi="Arial"/>
                <w:sz w:val="22"/>
                <w:szCs w:val="22"/>
                <w:color w:val="auto"/>
              </w:rPr>
              <w:t>Company TSR =</w:t>
            </w:r>
          </w:p>
        </w:tc>
        <w:tc>
          <w:tcPr>
            <w:tcW w:w="8400" w:type="dxa"/>
            <w:vAlign w:val="bottom"/>
          </w:tcPr>
          <w:p>
            <w:pPr>
              <w:ind w:left="540"/>
              <w:spacing w:after="0"/>
              <w:rPr>
                <w:sz w:val="20"/>
                <w:szCs w:val="20"/>
                <w:color w:val="auto"/>
              </w:rPr>
            </w:pPr>
            <w:r>
              <w:rPr>
                <w:rFonts w:ascii="Arial" w:cs="Arial" w:eastAsia="Arial" w:hAnsi="Arial"/>
                <w:sz w:val="22"/>
                <w:szCs w:val="22"/>
                <w:color w:val="auto"/>
                <w:w w:val="89"/>
              </w:rPr>
              <w:t>((Average closing stock price* of the Company for the last 30 trading days of Performance</w:t>
            </w:r>
          </w:p>
        </w:tc>
      </w:tr>
      <w:tr>
        <w:trPr>
          <w:trHeight w:val="243"/>
        </w:trPr>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0" w:type="dxa"/>
            <w:vAlign w:val="bottom"/>
          </w:tcPr>
          <w:p>
            <w:pPr>
              <w:ind w:left="540"/>
              <w:spacing w:after="0" w:line="243" w:lineRule="exact"/>
              <w:rPr>
                <w:sz w:val="20"/>
                <w:szCs w:val="20"/>
                <w:color w:val="auto"/>
              </w:rPr>
            </w:pPr>
            <w:r>
              <w:rPr>
                <w:rFonts w:ascii="Arial" w:cs="Arial" w:eastAsia="Arial" w:hAnsi="Arial"/>
                <w:sz w:val="22"/>
                <w:szCs w:val="22"/>
                <w:color w:val="auto"/>
                <w:w w:val="91"/>
              </w:rPr>
              <w:t>Period /Average closing stock price* of the Company for the last 30 trading days prior to</w:t>
            </w:r>
          </w:p>
        </w:tc>
      </w:tr>
      <w:tr>
        <w:trPr>
          <w:trHeight w:val="275"/>
        </w:trPr>
        <w:tc>
          <w:tcPr>
            <w:tcW w:w="1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0" w:type="dxa"/>
            <w:vAlign w:val="bottom"/>
          </w:tcPr>
          <w:p>
            <w:pPr>
              <w:ind w:left="540"/>
              <w:spacing w:after="0"/>
              <w:rPr>
                <w:sz w:val="20"/>
                <w:szCs w:val="20"/>
                <w:color w:val="auto"/>
              </w:rPr>
            </w:pPr>
            <w:r>
              <w:rPr>
                <w:rFonts w:ascii="Arial" w:cs="Arial" w:eastAsia="Arial" w:hAnsi="Arial"/>
                <w:sz w:val="22"/>
                <w:szCs w:val="22"/>
                <w:color w:val="auto"/>
              </w:rPr>
              <w:t>the commencement of the Performance Period) - 1)</w:t>
            </w:r>
          </w:p>
        </w:tc>
      </w:tr>
      <w:tr>
        <w:trPr>
          <w:trHeight w:val="428"/>
        </w:trPr>
        <w:tc>
          <w:tcPr>
            <w:tcW w:w="2760" w:type="dxa"/>
            <w:vAlign w:val="bottom"/>
            <w:gridSpan w:val="2"/>
          </w:tcPr>
          <w:p>
            <w:pPr>
              <w:ind w:left="760"/>
              <w:spacing w:after="0"/>
              <w:rPr>
                <w:sz w:val="20"/>
                <w:szCs w:val="20"/>
                <w:color w:val="auto"/>
              </w:rPr>
            </w:pPr>
            <w:r>
              <w:rPr>
                <w:rFonts w:ascii="Arial" w:cs="Arial" w:eastAsia="Arial" w:hAnsi="Arial"/>
                <w:sz w:val="22"/>
                <w:szCs w:val="22"/>
                <w:color w:val="auto"/>
              </w:rPr>
              <w:t>Index TSR =</w:t>
            </w:r>
          </w:p>
        </w:tc>
        <w:tc>
          <w:tcPr>
            <w:tcW w:w="8400" w:type="dxa"/>
            <w:vAlign w:val="bottom"/>
          </w:tcPr>
          <w:p>
            <w:pPr>
              <w:ind w:left="540"/>
              <w:spacing w:after="0"/>
              <w:rPr>
                <w:sz w:val="20"/>
                <w:szCs w:val="20"/>
                <w:color w:val="auto"/>
              </w:rPr>
            </w:pPr>
            <w:r>
              <w:rPr>
                <w:rFonts w:ascii="Arial" w:cs="Arial" w:eastAsia="Arial" w:hAnsi="Arial"/>
                <w:sz w:val="22"/>
                <w:szCs w:val="22"/>
                <w:color w:val="auto"/>
                <w:w w:val="94"/>
              </w:rPr>
              <w:t>((Average closing stock price* of the Index for the last 30 trading days of Performance</w:t>
            </w:r>
          </w:p>
        </w:tc>
      </w:tr>
      <w:tr>
        <w:trPr>
          <w:trHeight w:val="243"/>
        </w:trPr>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0" w:type="dxa"/>
            <w:vAlign w:val="bottom"/>
          </w:tcPr>
          <w:p>
            <w:pPr>
              <w:ind w:left="540"/>
              <w:spacing w:after="0" w:line="243" w:lineRule="exact"/>
              <w:rPr>
                <w:sz w:val="20"/>
                <w:szCs w:val="20"/>
                <w:color w:val="auto"/>
              </w:rPr>
            </w:pPr>
            <w:r>
              <w:rPr>
                <w:rFonts w:ascii="Arial" w:cs="Arial" w:eastAsia="Arial" w:hAnsi="Arial"/>
                <w:sz w:val="22"/>
                <w:szCs w:val="22"/>
                <w:color w:val="auto"/>
                <w:w w:val="92"/>
              </w:rPr>
              <w:t>Period /Average closing stock price* of the Index for the last 30 trading days prior to the</w:t>
            </w:r>
          </w:p>
        </w:tc>
      </w:tr>
      <w:tr>
        <w:trPr>
          <w:trHeight w:val="275"/>
        </w:trPr>
        <w:tc>
          <w:tcPr>
            <w:tcW w:w="1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0" w:type="dxa"/>
            <w:vAlign w:val="bottom"/>
          </w:tcPr>
          <w:p>
            <w:pPr>
              <w:ind w:left="540"/>
              <w:spacing w:after="0"/>
              <w:rPr>
                <w:sz w:val="20"/>
                <w:szCs w:val="20"/>
                <w:color w:val="auto"/>
              </w:rPr>
            </w:pPr>
            <w:r>
              <w:rPr>
                <w:rFonts w:ascii="Arial" w:cs="Arial" w:eastAsia="Arial" w:hAnsi="Arial"/>
                <w:sz w:val="22"/>
                <w:szCs w:val="22"/>
                <w:color w:val="auto"/>
              </w:rPr>
              <w:t>commencement of the Performance Period) - 1)</w:t>
            </w:r>
          </w:p>
        </w:tc>
      </w:tr>
    </w:tbl>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Average closing stock price adjusted to reflect reinvested dividends.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Metric Details: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shall apply:</w:t>
      </w:r>
    </w:p>
    <w:p>
      <w:pPr>
        <w:spacing w:after="0" w:line="206" w:lineRule="exact"/>
        <w:rPr>
          <w:sz w:val="20"/>
          <w:szCs w:val="20"/>
          <w:color w:val="auto"/>
        </w:rPr>
      </w:pPr>
    </w:p>
    <w:p>
      <w:pPr>
        <w:ind w:left="1480" w:hanging="608"/>
        <w:spacing w:after="0"/>
        <w:tabs>
          <w:tab w:leader="none" w:pos="14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Formula:</w:t>
      </w:r>
    </w:p>
    <w:p>
      <w:pPr>
        <w:spacing w:after="0" w:line="206" w:lineRule="exact"/>
        <w:rPr>
          <w:rFonts w:ascii="Arial" w:cs="Arial" w:eastAsia="Arial" w:hAnsi="Arial"/>
          <w:sz w:val="22"/>
          <w:szCs w:val="22"/>
          <w:color w:val="auto"/>
        </w:rPr>
      </w:pPr>
    </w:p>
    <w:p>
      <w:pPr>
        <w:ind w:left="1480" w:hanging="608"/>
        <w:spacing w:after="0"/>
        <w:tabs>
          <w:tab w:leader="none" w:pos="14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100% + ((Company TSR – Index TSR) X 2) = Payout Factor</w:t>
      </w:r>
    </w:p>
    <w:p>
      <w:pPr>
        <w:spacing w:after="0" w:line="206" w:lineRule="exact"/>
        <w:rPr>
          <w:rFonts w:ascii="Arial" w:cs="Arial" w:eastAsia="Arial" w:hAnsi="Arial"/>
          <w:sz w:val="22"/>
          <w:szCs w:val="22"/>
          <w:color w:val="auto"/>
        </w:rPr>
      </w:pPr>
    </w:p>
    <w:p>
      <w:pPr>
        <w:ind w:left="1480" w:hanging="608"/>
        <w:spacing w:after="0"/>
        <w:tabs>
          <w:tab w:leader="none" w:pos="14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100% of the Target PSUs are earned when the Company’s TSR is equal to Index TSR.</w:t>
      </w:r>
    </w:p>
    <w:p>
      <w:pPr>
        <w:spacing w:after="0" w:line="206" w:lineRule="exact"/>
        <w:rPr>
          <w:rFonts w:ascii="Arial" w:cs="Arial" w:eastAsia="Arial" w:hAnsi="Arial"/>
          <w:sz w:val="22"/>
          <w:szCs w:val="22"/>
          <w:color w:val="auto"/>
        </w:rPr>
      </w:pPr>
    </w:p>
    <w:p>
      <w:pPr>
        <w:ind w:left="1480" w:right="120" w:hanging="608"/>
        <w:spacing w:after="0" w:line="251" w:lineRule="auto"/>
        <w:tabs>
          <w:tab w:leader="none" w:pos="14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number of Qualified PSUs earned is increased (or decreased) by 2% of the Target PSUs for every 1% that the Company’s TSR exceeds (or trails) the Index TSR.</w:t>
      </w:r>
    </w:p>
    <w:p>
      <w:pPr>
        <w:spacing w:after="0" w:line="173" w:lineRule="exact"/>
        <w:rPr>
          <w:rFonts w:ascii="Arial" w:cs="Arial" w:eastAsia="Arial" w:hAnsi="Arial"/>
          <w:sz w:val="22"/>
          <w:szCs w:val="22"/>
          <w:color w:val="auto"/>
        </w:rPr>
      </w:pPr>
    </w:p>
    <w:p>
      <w:pPr>
        <w:ind w:left="1480" w:hanging="608"/>
        <w:spacing w:after="0"/>
        <w:tabs>
          <w:tab w:leader="none" w:pos="14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Implied payout range / performance requirement: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73"/>
        </w:trPr>
        <w:tc>
          <w:tcPr>
            <w:tcW w:w="1180" w:type="dxa"/>
            <w:vAlign w:val="bottom"/>
            <w:tcBorders>
              <w:right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spacing w:after="0"/>
              <w:rPr>
                <w:sz w:val="24"/>
                <w:szCs w:val="24"/>
                <w:color w:val="auto"/>
              </w:rPr>
            </w:pP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Performance v. Index</w:t>
            </w:r>
          </w:p>
        </w:tc>
        <w:tc>
          <w:tcPr>
            <w:tcW w:w="35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Payout (% of Target PSUs)</w:t>
            </w:r>
          </w:p>
        </w:tc>
      </w:tr>
      <w:tr>
        <w:trPr>
          <w:trHeight w:val="453"/>
        </w:trPr>
        <w:tc>
          <w:tcPr>
            <w:tcW w:w="1180" w:type="dxa"/>
            <w:vAlign w:val="bottom"/>
            <w:tcBorders>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Max</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Company TSR = Index TSR + 50%</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200%</w:t>
            </w:r>
          </w:p>
        </w:tc>
      </w:tr>
      <w:tr>
        <w:trPr>
          <w:trHeight w:val="453"/>
        </w:trPr>
        <w:tc>
          <w:tcPr>
            <w:tcW w:w="1180" w:type="dxa"/>
            <w:vAlign w:val="bottom"/>
            <w:tcBorders>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Target</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Company TSR = Index TSR</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w:t>
            </w:r>
          </w:p>
        </w:tc>
      </w:tr>
      <w:tr>
        <w:trPr>
          <w:trHeight w:val="453"/>
        </w:trPr>
        <w:tc>
          <w:tcPr>
            <w:tcW w:w="1180" w:type="dxa"/>
            <w:vAlign w:val="bottom"/>
            <w:tcBorders>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Threshold</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Company TSR = Index TSR – 50%</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463"/>
        </w:trPr>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22"/>
                <w:szCs w:val="22"/>
                <w:color w:val="auto"/>
              </w:rPr>
              <w:t>13</w:t>
            </w:r>
          </w:p>
        </w:tc>
        <w:tc>
          <w:tcPr>
            <w:tcW w:w="3520" w:type="dxa"/>
            <w:vAlign w:val="bottom"/>
          </w:tcPr>
          <w:p>
            <w:pPr>
              <w:spacing w:after="0"/>
              <w:rPr>
                <w:sz w:val="24"/>
                <w:szCs w:val="24"/>
                <w:color w:val="auto"/>
              </w:rPr>
            </w:pPr>
          </w:p>
        </w:tc>
      </w:tr>
      <w:tr>
        <w:trPr>
          <w:trHeight w:val="105"/>
        </w:trPr>
        <w:tc>
          <w:tcPr>
            <w:tcW w:w="1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3"/>
        </w:trPr>
        <w:tc>
          <w:tcPr>
            <w:tcW w:w="10140" w:type="dxa"/>
            <w:vAlign w:val="bottom"/>
            <w:gridSpan w:val="2"/>
          </w:tcPr>
          <w:p>
            <w:pPr>
              <w:spacing w:after="0"/>
              <w:rPr>
                <w:sz w:val="20"/>
                <w:szCs w:val="20"/>
                <w:color w:val="auto"/>
              </w:rPr>
            </w:pPr>
            <w:r>
              <w:rPr>
                <w:rFonts w:ascii="Arial" w:cs="Arial" w:eastAsia="Arial" w:hAnsi="Arial"/>
                <w:sz w:val="22"/>
                <w:szCs w:val="22"/>
                <w:b w:val="1"/>
                <w:bCs w:val="1"/>
                <w:color w:val="auto"/>
              </w:rPr>
              <w:t>Illustration 1:</w:t>
            </w:r>
          </w:p>
        </w:tc>
        <w:tc>
          <w:tcPr>
            <w:tcW w:w="1280" w:type="dxa"/>
            <w:vAlign w:val="bottom"/>
          </w:tcPr>
          <w:p>
            <w:pPr>
              <w:spacing w:after="0"/>
              <w:rPr>
                <w:sz w:val="21"/>
                <w:szCs w:val="2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8"/>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Assumptions</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Company:</w:t>
            </w:r>
          </w:p>
        </w:tc>
        <w:tc>
          <w:tcPr>
            <w:tcW w:w="128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$43.00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$7,237.00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28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((43.00 / 37.57) – 1)</w:t>
            </w:r>
          </w:p>
        </w:tc>
        <w:tc>
          <w:tcPr>
            <w:tcW w:w="128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((7,237.00/6,477.77) -1)</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11.7%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((14.5% - 11.7%) X 2)</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105.6%</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 Target PSUs (1,000) multiplied by payout factor:</w:t>
            </w:r>
          </w:p>
        </w:tc>
        <w:tc>
          <w:tcPr>
            <w:tcW w:w="1280" w:type="dxa"/>
            <w:vAlign w:val="bottom"/>
          </w:tcPr>
          <w:p>
            <w:pPr>
              <w:jc w:val="right"/>
              <w:spacing w:after="0"/>
              <w:rPr>
                <w:sz w:val="20"/>
                <w:szCs w:val="20"/>
                <w:color w:val="auto"/>
              </w:rPr>
            </w:pPr>
            <w:r>
              <w:rPr>
                <w:rFonts w:ascii="Arial" w:cs="Arial" w:eastAsia="Arial" w:hAnsi="Arial"/>
                <w:sz w:val="22"/>
                <w:szCs w:val="22"/>
                <w:color w:val="auto"/>
              </w:rPr>
              <w:t>1,056</w:t>
            </w:r>
          </w:p>
        </w:tc>
      </w:tr>
      <w:tr>
        <w:trPr>
          <w:trHeight w:val="625"/>
        </w:trPr>
        <w:tc>
          <w:tcPr>
            <w:tcW w:w="10140" w:type="dxa"/>
            <w:vAlign w:val="bottom"/>
            <w:gridSpan w:val="2"/>
          </w:tcPr>
          <w:p>
            <w:pPr>
              <w:spacing w:after="0"/>
              <w:rPr>
                <w:sz w:val="20"/>
                <w:szCs w:val="20"/>
                <w:color w:val="auto"/>
              </w:rPr>
            </w:pPr>
            <w:r>
              <w:rPr>
                <w:rFonts w:ascii="Arial" w:cs="Arial" w:eastAsia="Arial" w:hAnsi="Arial"/>
                <w:sz w:val="22"/>
                <w:szCs w:val="22"/>
                <w:b w:val="1"/>
                <w:bCs w:val="1"/>
                <w:color w:val="auto"/>
              </w:rPr>
              <w:t>Illustration 2:</w:t>
            </w:r>
          </w:p>
        </w:tc>
        <w:tc>
          <w:tcPr>
            <w:tcW w:w="128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8"/>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Assumptions</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Company:</w:t>
            </w:r>
          </w:p>
        </w:tc>
        <w:tc>
          <w:tcPr>
            <w:tcW w:w="128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$60.00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28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$6,932.00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28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28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((60.00 / 37.57) - 1)</w:t>
            </w:r>
          </w:p>
        </w:tc>
        <w:tc>
          <w:tcPr>
            <w:tcW w:w="1280" w:type="dxa"/>
            <w:vAlign w:val="bottom"/>
          </w:tcPr>
          <w:p>
            <w:pPr>
              <w:jc w:val="right"/>
              <w:spacing w:after="0"/>
              <w:rPr>
                <w:sz w:val="20"/>
                <w:szCs w:val="20"/>
                <w:color w:val="auto"/>
              </w:rPr>
            </w:pPr>
            <w:r>
              <w:rPr>
                <w:rFonts w:ascii="Arial" w:cs="Arial" w:eastAsia="Arial" w:hAnsi="Arial"/>
                <w:sz w:val="22"/>
                <w:szCs w:val="22"/>
                <w:color w:val="auto"/>
              </w:rPr>
              <w:t>59.7%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((6,932.00 / 6,477.77) -1)</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((59.7% - 7%) X 2)</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205.4%</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 Target PSUs (1,000) multiplied by payout factor (subject to 200% max):</w:t>
            </w:r>
          </w:p>
        </w:tc>
        <w:tc>
          <w:tcPr>
            <w:tcW w:w="1280" w:type="dxa"/>
            <w:vAlign w:val="bottom"/>
          </w:tcPr>
          <w:p>
            <w:pPr>
              <w:jc w:val="right"/>
              <w:spacing w:after="0"/>
              <w:rPr>
                <w:sz w:val="20"/>
                <w:szCs w:val="20"/>
                <w:color w:val="auto"/>
              </w:rPr>
            </w:pPr>
            <w:r>
              <w:rPr>
                <w:rFonts w:ascii="Arial" w:cs="Arial" w:eastAsia="Arial" w:hAnsi="Arial"/>
                <w:sz w:val="22"/>
                <w:szCs w:val="22"/>
                <w:color w:val="auto"/>
              </w:rPr>
              <w:t>2,000</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Illustration 3:</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37"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53"/>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Assumptions</w:t>
            </w:r>
          </w:p>
        </w:tc>
        <w:tc>
          <w:tcPr>
            <w:tcW w:w="130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Company:</w:t>
            </w:r>
          </w:p>
        </w:tc>
        <w:tc>
          <w:tcPr>
            <w:tcW w:w="130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$35.00</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30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30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$6,932.00</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30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30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((37.57 / 35.00) - 1)</w:t>
            </w:r>
          </w:p>
        </w:tc>
        <w:tc>
          <w:tcPr>
            <w:tcW w:w="13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((6,477.77 / 6,932.00) -1)</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((7.3% – (6.6%)) X 2)</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127.8%</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w:t>
            </w:r>
          </w:p>
        </w:tc>
        <w:tc>
          <w:tcPr>
            <w:tcW w:w="1300" w:type="dxa"/>
            <w:vAlign w:val="bottom"/>
          </w:tcPr>
          <w:p>
            <w:pPr>
              <w:jc w:val="right"/>
              <w:spacing w:after="0"/>
              <w:rPr>
                <w:sz w:val="20"/>
                <w:szCs w:val="20"/>
                <w:color w:val="auto"/>
              </w:rPr>
            </w:pPr>
            <w:r>
              <w:rPr>
                <w:rFonts w:ascii="Arial" w:cs="Arial" w:eastAsia="Arial" w:hAnsi="Arial"/>
                <w:sz w:val="22"/>
                <w:szCs w:val="22"/>
                <w:color w:val="auto"/>
              </w:rPr>
              <w:t>1,278</w:t>
            </w:r>
          </w:p>
        </w:tc>
      </w:tr>
      <w:tr>
        <w:trPr>
          <w:trHeight w:val="625"/>
        </w:trPr>
        <w:tc>
          <w:tcPr>
            <w:tcW w:w="10140" w:type="dxa"/>
            <w:vAlign w:val="bottom"/>
            <w:gridSpan w:val="2"/>
          </w:tcPr>
          <w:p>
            <w:pPr>
              <w:spacing w:after="0"/>
              <w:rPr>
                <w:sz w:val="20"/>
                <w:szCs w:val="20"/>
                <w:color w:val="auto"/>
              </w:rPr>
            </w:pPr>
            <w:r>
              <w:rPr>
                <w:rFonts w:ascii="Arial" w:cs="Arial" w:eastAsia="Arial" w:hAnsi="Arial"/>
                <w:sz w:val="22"/>
                <w:szCs w:val="22"/>
                <w:b w:val="1"/>
                <w:bCs w:val="1"/>
                <w:color w:val="auto"/>
              </w:rPr>
              <w:t>Illustration 4:</w:t>
            </w:r>
          </w:p>
        </w:tc>
        <w:tc>
          <w:tcPr>
            <w:tcW w:w="13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58"/>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Assumptions</w:t>
            </w:r>
          </w:p>
        </w:tc>
        <w:tc>
          <w:tcPr>
            <w:tcW w:w="130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Company:</w:t>
            </w:r>
          </w:p>
        </w:tc>
        <w:tc>
          <w:tcPr>
            <w:tcW w:w="1300" w:type="dxa"/>
            <w:vAlign w:val="bottom"/>
          </w:tcPr>
          <w:p>
            <w:pPr>
              <w:spacing w:after="0"/>
              <w:rPr>
                <w:sz w:val="21"/>
                <w:szCs w:val="21"/>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$35.00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300" w:type="dxa"/>
            <w:vAlign w:val="bottom"/>
          </w:tcPr>
          <w:p>
            <w:pPr>
              <w:spacing w:after="0"/>
              <w:rPr>
                <w:sz w:val="23"/>
                <w:szCs w:val="23"/>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Index:</w:t>
            </w:r>
          </w:p>
        </w:tc>
        <w:tc>
          <w:tcPr>
            <w:tcW w:w="1300" w:type="dxa"/>
            <w:vAlign w:val="bottom"/>
          </w:tcPr>
          <w:p>
            <w:pPr>
              <w:spacing w:after="0"/>
              <w:rPr>
                <w:sz w:val="24"/>
                <w:szCs w:val="24"/>
                <w:color w:val="auto"/>
              </w:rPr>
            </w:pP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Average closing stock price for last 30 trading days of Performance Period:</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$6,932.00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w w:val="93"/>
              </w:rPr>
              <w:t>Average closing stock price for last 30 trading days prior to the commencement of the Performance</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$6,477.77</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Period:</w:t>
            </w:r>
          </w:p>
        </w:tc>
        <w:tc>
          <w:tcPr>
            <w:tcW w:w="1300" w:type="dxa"/>
            <w:vAlign w:val="bottom"/>
          </w:tcPr>
          <w:p>
            <w:pPr>
              <w:spacing w:after="0"/>
              <w:rPr>
                <w:sz w:val="23"/>
                <w:szCs w:val="23"/>
                <w:color w:val="auto"/>
              </w:rPr>
            </w:pPr>
          </w:p>
        </w:tc>
      </w:tr>
      <w:tr>
        <w:trPr>
          <w:trHeight w:val="459"/>
        </w:trPr>
        <w:tc>
          <w:tcPr>
            <w:tcW w:w="101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Computations</w:t>
            </w:r>
          </w:p>
        </w:tc>
        <w:tc>
          <w:tcPr>
            <w:tcW w:w="1300" w:type="dxa"/>
            <w:vAlign w:val="bottom"/>
          </w:tcPr>
          <w:p>
            <w:pPr>
              <w:spacing w:after="0"/>
              <w:rPr>
                <w:sz w:val="24"/>
                <w:szCs w:val="24"/>
                <w:color w:val="auto"/>
              </w:rPr>
            </w:pPr>
          </w:p>
        </w:tc>
      </w:tr>
      <w:tr>
        <w:trPr>
          <w:trHeight w:val="428"/>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Company TSR: ((35.00 / 37.57) – 1)</w:t>
            </w:r>
          </w:p>
        </w:tc>
        <w:tc>
          <w:tcPr>
            <w:tcW w:w="130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Index TSR: ((6,932.00 / 6,477.77) -1)</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0140" w:type="dxa"/>
            <w:vAlign w:val="bottom"/>
            <w:gridSpan w:val="2"/>
          </w:tcPr>
          <w:p>
            <w:pPr>
              <w:ind w:left="1140"/>
              <w:spacing w:after="0" w:line="243" w:lineRule="exact"/>
              <w:rPr>
                <w:sz w:val="20"/>
                <w:szCs w:val="20"/>
                <w:color w:val="auto"/>
              </w:rPr>
            </w:pPr>
            <w:r>
              <w:rPr>
                <w:rFonts w:ascii="Arial" w:cs="Arial" w:eastAsia="Arial" w:hAnsi="Arial"/>
                <w:sz w:val="22"/>
                <w:szCs w:val="22"/>
                <w:color w:val="auto"/>
              </w:rPr>
              <w:t>Payout Factor: 100% + (((6.8%) – 7.0%) X 2)</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72.4%</w:t>
            </w:r>
          </w:p>
        </w:tc>
      </w:tr>
      <w:tr>
        <w:trPr>
          <w:trHeight w:val="275"/>
        </w:trPr>
        <w:tc>
          <w:tcPr>
            <w:tcW w:w="10140" w:type="dxa"/>
            <w:vAlign w:val="bottom"/>
            <w:gridSpan w:val="2"/>
          </w:tcPr>
          <w:p>
            <w:pPr>
              <w:ind w:left="1140"/>
              <w:spacing w:after="0"/>
              <w:rPr>
                <w:sz w:val="20"/>
                <w:szCs w:val="20"/>
                <w:color w:val="auto"/>
              </w:rPr>
            </w:pPr>
            <w:r>
              <w:rPr>
                <w:rFonts w:ascii="Arial" w:cs="Arial" w:eastAsia="Arial" w:hAnsi="Arial"/>
                <w:sz w:val="22"/>
                <w:szCs w:val="22"/>
                <w:color w:val="auto"/>
              </w:rPr>
              <w:t>Earned PSUs:</w:t>
            </w:r>
          </w:p>
        </w:tc>
        <w:tc>
          <w:tcPr>
            <w:tcW w:w="1300" w:type="dxa"/>
            <w:vAlign w:val="bottom"/>
          </w:tcPr>
          <w:p>
            <w:pPr>
              <w:jc w:val="right"/>
              <w:spacing w:after="0"/>
              <w:rPr>
                <w:sz w:val="20"/>
                <w:szCs w:val="20"/>
                <w:color w:val="auto"/>
              </w:rPr>
            </w:pPr>
            <w:r>
              <w:rPr>
                <w:rFonts w:ascii="Arial" w:cs="Arial" w:eastAsia="Arial" w:hAnsi="Arial"/>
                <w:sz w:val="22"/>
                <w:szCs w:val="22"/>
                <w:color w:val="auto"/>
              </w:rPr>
              <w:t>724</w:t>
            </w:r>
          </w:p>
        </w:tc>
      </w:tr>
      <w:tr>
        <w:trPr>
          <w:trHeight w:val="675"/>
        </w:trPr>
        <w:tc>
          <w:tcPr>
            <w:tcW w:w="10140" w:type="dxa"/>
            <w:vAlign w:val="bottom"/>
            <w:gridSpan w:val="2"/>
          </w:tcPr>
          <w:p>
            <w:pPr>
              <w:ind w:left="5600"/>
              <w:spacing w:after="0"/>
              <w:rPr>
                <w:sz w:val="20"/>
                <w:szCs w:val="20"/>
                <w:color w:val="auto"/>
              </w:rPr>
            </w:pPr>
            <w:r>
              <w:rPr>
                <w:rFonts w:ascii="Arial" w:cs="Arial" w:eastAsia="Arial" w:hAnsi="Arial"/>
                <w:sz w:val="22"/>
                <w:szCs w:val="22"/>
                <w:color w:val="auto"/>
              </w:rPr>
              <w:t>15</w:t>
            </w:r>
          </w:p>
        </w:tc>
        <w:tc>
          <w:tcPr>
            <w:tcW w:w="1300" w:type="dxa"/>
            <w:vAlign w:val="bottom"/>
          </w:tcPr>
          <w:p>
            <w:pPr>
              <w:spacing w:after="0"/>
              <w:rPr>
                <w:sz w:val="24"/>
                <w:szCs w:val="24"/>
                <w:color w:val="auto"/>
              </w:rPr>
            </w:pPr>
          </w:p>
        </w:tc>
      </w:tr>
      <w:tr>
        <w:trPr>
          <w:trHeight w:val="105"/>
        </w:trPr>
        <w:tc>
          <w:tcPr>
            <w:tcW w:w="1280" w:type="dxa"/>
            <w:vAlign w:val="bottom"/>
            <w:tcBorders>
              <w:bottom w:val="single" w:sz="8" w:color="9A9A9A"/>
            </w:tcBorders>
          </w:tcPr>
          <w:p>
            <w:pPr>
              <w:spacing w:after="0"/>
              <w:rPr>
                <w:sz w:val="9"/>
                <w:szCs w:val="9"/>
                <w:color w:val="auto"/>
              </w:rPr>
            </w:pPr>
          </w:p>
        </w:tc>
        <w:tc>
          <w:tcPr>
            <w:tcW w:w="88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2"/>
          <w:szCs w:val="22"/>
          <w:b w:val="1"/>
          <w:bCs w:val="1"/>
          <w:color w:val="auto"/>
        </w:rPr>
        <w:t>ADDITIONAL TERMS AND CONDITIONS OF THE TRIPADVISOR,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ind w:left="5160"/>
        <w:spacing w:after="0" w:line="230" w:lineRule="auto"/>
        <w:rPr>
          <w:sz w:val="20"/>
          <w:szCs w:val="20"/>
          <w:color w:val="auto"/>
        </w:rPr>
      </w:pPr>
      <w:r>
        <w:rPr>
          <w:rFonts w:ascii="Arial" w:cs="Arial" w:eastAsia="Arial" w:hAnsi="Arial"/>
          <w:sz w:val="22"/>
          <w:szCs w:val="22"/>
          <w:b w:val="1"/>
          <w:bCs w:val="1"/>
          <w:color w:val="auto"/>
        </w:rPr>
        <w:t>(TSR-Based</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(FRANCE)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FRENCH SCHEDULE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to qualify Awards of Restricted Stock Units for favourable income tax and social security treatment in France as set out in Article 135 of the Macron Law (</w:t>
      </w:r>
      <w:r>
        <w:rPr>
          <w:rFonts w:ascii="Arial" w:cs="Arial" w:eastAsia="Arial" w:hAnsi="Arial"/>
          <w:sz w:val="21"/>
          <w:szCs w:val="21"/>
          <w:i w:val="1"/>
          <w:iCs w:val="1"/>
          <w:color w:val="auto"/>
        </w:rPr>
        <w:t>loi n° 2015-990 du 6 août 2015 pour la croissance, l'activité et</w:t>
      </w:r>
      <w:r>
        <w:rPr>
          <w:rFonts w:ascii="Arial" w:cs="Arial" w:eastAsia="Arial" w:hAnsi="Arial"/>
          <w:sz w:val="21"/>
          <w:szCs w:val="21"/>
          <w:color w:val="auto"/>
        </w:rPr>
        <w:t xml:space="preserve"> </w:t>
      </w:r>
      <w:r>
        <w:rPr>
          <w:rFonts w:ascii="Arial" w:cs="Arial" w:eastAsia="Arial" w:hAnsi="Arial"/>
          <w:sz w:val="21"/>
          <w:szCs w:val="21"/>
          <w:i w:val="1"/>
          <w:iCs w:val="1"/>
          <w:color w:val="auto"/>
        </w:rPr>
        <w:t>l'égalité des chances économiques</w:t>
      </w:r>
      <w:r>
        <w:rPr>
          <w:rFonts w:ascii="Arial" w:cs="Arial" w:eastAsia="Arial" w:hAnsi="Arial"/>
          <w:sz w:val="21"/>
          <w:szCs w:val="21"/>
          <w:color w:val="auto"/>
        </w:rPr>
        <w:t>) (“Qualified Restricted Stock Units”).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This French Schedule has been approved by the Committee (as the empowered foreign corporate body) on February 3, 2016, as required by the French tax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Unless provided otherwise or unless the context requires otherwise, capitalized terms used but not defined in this French Schedule shall have the meaning assigned to them in the Plan, the Agreement and/or the Appendix.</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The terms of a “Restricted Stock Unit” under this French Schedule shall be on similar terms to the equivalent “Restricted Stock Unit” under the Agreement, except to the extent that this French Schedule provides to the contrary.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For the purposes of this French Schedule only, the following additional definitions shall be used:</w:t>
      </w:r>
    </w:p>
    <w:p>
      <w:pPr>
        <w:spacing w:after="0" w:line="206" w:lineRule="exact"/>
        <w:rPr>
          <w:sz w:val="20"/>
          <w:szCs w:val="20"/>
          <w:color w:val="auto"/>
        </w:rPr>
      </w:pPr>
    </w:p>
    <w:p>
      <w:pPr>
        <w:ind w:left="1860" w:hanging="1006"/>
        <w:spacing w:after="0"/>
        <w:tabs>
          <w:tab w:leader="none" w:pos="18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Closed Period</w:t>
      </w:r>
      <w:r>
        <w:rPr>
          <w:rFonts w:ascii="Arial" w:cs="Arial" w:eastAsia="Arial" w:hAnsi="Arial"/>
          <w:sz w:val="22"/>
          <w:szCs w:val="22"/>
          <w:color w:val="auto"/>
        </w:rPr>
        <w:t xml:space="preserve">” will have the meaning defined in Section L. 225-197-1 of the French </w:t>
      </w:r>
      <w:r>
        <w:rPr>
          <w:rFonts w:ascii="Arial" w:cs="Arial" w:eastAsia="Arial" w:hAnsi="Arial"/>
          <w:sz w:val="22"/>
          <w:szCs w:val="22"/>
          <w:i w:val="1"/>
          <w:iCs w:val="1"/>
          <w:color w:val="auto"/>
        </w:rPr>
        <w:t>Code de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i w:val="1"/>
          <w:iCs w:val="1"/>
          <w:color w:val="auto"/>
        </w:rPr>
        <w:t>commerce</w:t>
      </w:r>
      <w:r>
        <w:rPr>
          <w:rFonts w:ascii="Arial" w:cs="Arial" w:eastAsia="Arial" w:hAnsi="Arial"/>
          <w:sz w:val="22"/>
          <w:szCs w:val="22"/>
          <w:color w:val="auto"/>
        </w:rPr>
        <w:t>, being:</w:t>
      </w:r>
    </w:p>
    <w:p>
      <w:pPr>
        <w:spacing w:after="0" w:line="188" w:lineRule="exact"/>
        <w:rPr>
          <w:rFonts w:ascii="Arial" w:cs="Arial" w:eastAsia="Arial" w:hAnsi="Arial"/>
          <w:sz w:val="22"/>
          <w:szCs w:val="22"/>
          <w:color w:val="auto"/>
        </w:rPr>
      </w:pPr>
    </w:p>
    <w:p>
      <w:pPr>
        <w:ind w:left="2580" w:right="20" w:hanging="857"/>
        <w:spacing w:after="0" w:line="251" w:lineRule="auto"/>
        <w:tabs>
          <w:tab w:leader="none" w:pos="258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ten quotation days preceding and three quotation days following disclosure to the public of the consolidated financial statements or the annual statements of the Company; or</w:t>
      </w:r>
    </w:p>
    <w:p>
      <w:pPr>
        <w:spacing w:after="0" w:line="173" w:lineRule="exact"/>
        <w:rPr>
          <w:rFonts w:ascii="Arial" w:cs="Arial" w:eastAsia="Arial" w:hAnsi="Arial"/>
          <w:sz w:val="22"/>
          <w:szCs w:val="22"/>
          <w:color w:val="auto"/>
        </w:rPr>
      </w:pPr>
    </w:p>
    <w:p>
      <w:pPr>
        <w:jc w:val="both"/>
        <w:ind w:left="2580" w:hanging="857"/>
        <w:spacing w:after="0"/>
        <w:tabs>
          <w:tab w:leader="none" w:pos="258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86" w:lineRule="exact"/>
        <w:rPr>
          <w:rFonts w:ascii="Arial" w:cs="Arial" w:eastAsia="Arial" w:hAnsi="Arial"/>
          <w:sz w:val="22"/>
          <w:szCs w:val="22"/>
          <w:color w:val="auto"/>
        </w:rPr>
      </w:pPr>
    </w:p>
    <w:p>
      <w:pPr>
        <w:ind w:left="1780" w:hanging="926"/>
        <w:spacing w:after="0"/>
        <w:tabs>
          <w:tab w:leader="none" w:pos="17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Grant Date</w:t>
      </w:r>
      <w:r>
        <w:rPr>
          <w:rFonts w:ascii="Arial" w:cs="Arial" w:eastAsia="Arial" w:hAnsi="Arial"/>
          <w:sz w:val="22"/>
          <w:szCs w:val="22"/>
          <w:color w:val="auto"/>
        </w:rPr>
        <w:t>” shall be the date on which the Committee:</w:t>
      </w:r>
    </w:p>
    <w:p>
      <w:pPr>
        <w:spacing w:after="0" w:line="206" w:lineRule="exact"/>
        <w:rPr>
          <w:rFonts w:ascii="Arial" w:cs="Arial" w:eastAsia="Arial" w:hAnsi="Arial"/>
          <w:sz w:val="22"/>
          <w:szCs w:val="22"/>
          <w:color w:val="auto"/>
        </w:rPr>
      </w:pPr>
    </w:p>
    <w:p>
      <w:pPr>
        <w:ind w:left="2620" w:hanging="897"/>
        <w:spacing w:after="0"/>
        <w:tabs>
          <w:tab w:leader="none" w:pos="262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designates the Eligible Individuals; and</w:t>
      </w:r>
    </w:p>
    <w:p>
      <w:pPr>
        <w:spacing w:after="0" w:line="206" w:lineRule="exact"/>
        <w:rPr>
          <w:rFonts w:ascii="Arial" w:cs="Arial" w:eastAsia="Arial" w:hAnsi="Arial"/>
          <w:sz w:val="22"/>
          <w:szCs w:val="22"/>
          <w:color w:val="auto"/>
        </w:rPr>
      </w:pPr>
    </w:p>
    <w:p>
      <w:pPr>
        <w:jc w:val="both"/>
        <w:ind w:left="2620" w:right="20" w:hanging="897"/>
        <w:spacing w:after="0" w:line="238" w:lineRule="auto"/>
        <w:tabs>
          <w:tab w:leader="none" w:pos="262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85" w:lineRule="exact"/>
        <w:rPr>
          <w:rFonts w:ascii="Arial" w:cs="Arial" w:eastAsia="Arial" w:hAnsi="Arial"/>
          <w:sz w:val="22"/>
          <w:szCs w:val="22"/>
          <w:color w:val="auto"/>
        </w:rPr>
      </w:pPr>
    </w:p>
    <w:p>
      <w:pPr>
        <w:jc w:val="both"/>
        <w:ind w:right="20" w:firstLine="854"/>
        <w:spacing w:after="0" w:line="235" w:lineRule="auto"/>
        <w:tabs>
          <w:tab w:leader="none" w:pos="175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 Period</w:t>
      </w:r>
      <w:r>
        <w:rPr>
          <w:rFonts w:ascii="Arial" w:cs="Arial" w:eastAsia="Arial" w:hAnsi="Arial"/>
          <w:sz w:val="22"/>
          <w:szCs w:val="22"/>
          <w:color w:val="auto"/>
        </w:rPr>
        <w:t xml:space="preserve">” means the period (applicable under Article L. 225-197-1 of the French </w:t>
      </w:r>
      <w:r>
        <w:rPr>
          <w:rFonts w:ascii="Arial" w:cs="Arial" w:eastAsia="Arial" w:hAnsi="Arial"/>
          <w:sz w:val="22"/>
          <w:szCs w:val="22"/>
          <w:i w:val="1"/>
          <w:iCs w:val="1"/>
          <w:color w:val="auto"/>
        </w:rPr>
        <w:t>Code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 following the relevant Vesting date of an Award during which the Vested Shares shall either be held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88" w:lineRule="exact"/>
        <w:rPr>
          <w:rFonts w:ascii="Arial" w:cs="Arial" w:eastAsia="Arial" w:hAnsi="Arial"/>
          <w:sz w:val="22"/>
          <w:szCs w:val="22"/>
          <w:color w:val="auto"/>
        </w:rPr>
      </w:pPr>
    </w:p>
    <w:p>
      <w:pPr>
        <w:ind w:right="20" w:firstLine="854"/>
        <w:spacing w:after="0" w:line="251" w:lineRule="auto"/>
        <w:tabs>
          <w:tab w:leader="none" w:pos="176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w:t>
      </w:r>
      <w:r>
        <w:rPr>
          <w:rFonts w:ascii="Arial" w:cs="Arial" w:eastAsia="Arial" w:hAnsi="Arial"/>
          <w:sz w:val="22"/>
          <w:szCs w:val="22"/>
          <w:color w:val="auto"/>
        </w:rPr>
        <w:t>” means such person or persons designated by the Company or the empowered corporate body to hold Vested Shares as nominee on behalf of an Eligible Individual during the Holding Period.</w:t>
      </w:r>
    </w:p>
    <w:p>
      <w:pPr>
        <w:spacing w:after="0" w:line="173" w:lineRule="exact"/>
        <w:rPr>
          <w:rFonts w:ascii="Arial" w:cs="Arial" w:eastAsia="Arial" w:hAnsi="Arial"/>
          <w:sz w:val="22"/>
          <w:szCs w:val="22"/>
          <w:color w:val="auto"/>
        </w:rPr>
      </w:pPr>
    </w:p>
    <w:p>
      <w:pPr>
        <w:jc w:val="both"/>
        <w:ind w:right="20" w:firstLine="854"/>
        <w:spacing w:after="0"/>
        <w:tabs>
          <w:tab w:leader="none" w:pos="175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w:t>
      </w:r>
      <w:r>
        <w:rPr>
          <w:rFonts w:ascii="Arial" w:cs="Arial" w:eastAsia="Arial" w:hAnsi="Arial"/>
          <w:sz w:val="22"/>
          <w:szCs w:val="22"/>
          <w:color w:val="auto"/>
        </w:rPr>
        <w:t>” in relation to Qualified Restricted Stock Units, means an Eligible Individual becoming entitled to have the Shares transferred to him subject to the Plan, and the terms “Vest” and “Vested” shall be construed accordingly.</w:t>
      </w:r>
    </w:p>
    <w:p>
      <w:pPr>
        <w:spacing w:after="0" w:line="186" w:lineRule="exact"/>
        <w:rPr>
          <w:rFonts w:ascii="Arial" w:cs="Arial" w:eastAsia="Arial" w:hAnsi="Arial"/>
          <w:sz w:val="22"/>
          <w:szCs w:val="22"/>
          <w:color w:val="auto"/>
        </w:rPr>
      </w:pPr>
    </w:p>
    <w:p>
      <w:pPr>
        <w:ind w:right="20" w:firstLine="854"/>
        <w:spacing w:after="0" w:line="251" w:lineRule="auto"/>
        <w:tabs>
          <w:tab w:leader="none" w:pos="1732"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Period</w:t>
      </w:r>
      <w:r>
        <w:rPr>
          <w:rFonts w:ascii="Arial" w:cs="Arial" w:eastAsia="Arial" w:hAnsi="Arial"/>
          <w:sz w:val="22"/>
          <w:szCs w:val="22"/>
          <w:color w:val="auto"/>
        </w:rPr>
        <w:t>” means the period from the Grant Date to the date of Vesting of an Award, such period lasting at least one year.</w:t>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4" w:right="39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2018.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42"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22"/>
          <w:szCs w:val="22"/>
          <w:b w:val="1"/>
          <w:bCs w:val="1"/>
          <w:color w:val="auto"/>
        </w:rPr>
        <w:t xml:space="preserve">Taxation of Award. </w:t>
      </w:r>
      <w:r>
        <w:rPr>
          <w:rFonts w:ascii="Arial" w:cs="Arial" w:eastAsia="Arial" w:hAnsi="Arial"/>
          <w:sz w:val="22"/>
          <w:szCs w:val="22"/>
          <w:color w:val="auto"/>
        </w:rPr>
        <w:t>This Award is intended to be French tax-qualified and is subject to the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the French Schedule to this Schedule.”</w:t>
      </w:r>
    </w:p>
    <w:p>
      <w:pPr>
        <w:spacing w:after="0" w:line="109" w:lineRule="exact"/>
        <w:rPr>
          <w:sz w:val="20"/>
          <w:szCs w:val="20"/>
          <w:color w:val="auto"/>
        </w:rPr>
      </w:pPr>
    </w:p>
    <w:p>
      <w:pPr>
        <w:jc w:val="both"/>
        <w:ind w:left="660"/>
        <w:spacing w:after="0" w:line="237"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Eligible Individual may hold Shares acquired under the Plan outside of France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he 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4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2018,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2018,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1)"/>
      <w:numFmt w:val="decimal"/>
      <w:start w:val="1"/>
    </w:lvl>
  </w:abstractNum>
  <w:abstractNum w:abstractNumId="3">
    <w:nsid w:val="7DE67713"/>
    <w:multiLevelType w:val="hybridMultilevel"/>
    <w:lvl w:ilvl="0">
      <w:lvlJc w:val="left"/>
      <w:lvlText w:val="(%1)"/>
      <w:numFmt w:val="decimal"/>
      <w:start w:val="1"/>
    </w:lvl>
  </w:abstractNum>
  <w:abstractNum w:abstractNumId="4">
    <w:nsid w:val="555C55B5"/>
    <w:multiLevelType w:val="hybridMultilevel"/>
    <w:lvl w:ilvl="0">
      <w:lvlJc w:val="left"/>
      <w:lvlText w:val="(%1)"/>
      <w:numFmt w:val="decimal"/>
      <w:start w:val="1"/>
    </w:lvl>
  </w:abstractNum>
  <w:abstractNum w:abstractNumId="5">
    <w:nsid w:val="3FA62ACA"/>
    <w:multiLevelType w:val="hybridMultilevel"/>
    <w:lvl w:ilvl="0">
      <w:lvlJc w:val="left"/>
      <w:lvlText w:val="(%1)"/>
      <w:numFmt w:val="decimal"/>
      <w:start w:val="1"/>
    </w:lvl>
  </w:abstractNum>
  <w:abstractNum w:abstractNumId="6">
    <w:nsid w:val="14FCE74E"/>
    <w:multiLevelType w:val="hybridMultilevel"/>
    <w:lvl w:ilvl="0">
      <w:lvlJc w:val="left"/>
      <w:lvlText w:val="(%1)"/>
      <w:numFmt w:val="decimal"/>
      <w:start w:val="1"/>
    </w:lvl>
  </w:abstractNum>
  <w:abstractNum w:abstractNumId="7">
    <w:nsid w:val="6A3DD3E8"/>
    <w:multiLevelType w:val="hybridMultilevel"/>
    <w:lvl w:ilvl="0">
      <w:lvlJc w:val="left"/>
      <w:lvlText w:val="(%1)"/>
      <w:numFmt w:val="decimal"/>
      <w:start w:val="1"/>
    </w:lvl>
    <w:lvl w:ilvl="1">
      <w:lvlJc w:val="left"/>
      <w:lvlText w:val="(%2)"/>
      <w:numFmt w:val="decimal"/>
      <w:start w:val="2"/>
    </w:lvl>
  </w:abstractNum>
  <w:abstractNum w:abstractNumId="8">
    <w:nsid w:val="71C91298"/>
    <w:multiLevelType w:val="hybridMultilevel"/>
    <w:lvl w:ilvl="0">
      <w:lvlJc w:val="left"/>
      <w:lvlText w:val="(%1)"/>
      <w:numFmt w:val="decimal"/>
      <w:start w:val="1"/>
    </w:lvl>
  </w:abstractNum>
  <w:abstractNum w:abstractNumId="9">
    <w:nsid w:val="9DAF632"/>
    <w:multiLevelType w:val="hybridMultilevel"/>
    <w:lvl w:ilvl="0">
      <w:lvlJc w:val="left"/>
      <w:lvlText w:val="(%1)"/>
      <w:numFmt w:val="decimal"/>
      <w:start w:val="1"/>
    </w:lvl>
  </w:abstractNum>
  <w:abstractNum w:abstractNumId="10">
    <w:nsid w:val="53299938"/>
    <w:multiLevelType w:val="hybridMultilevel"/>
    <w:lvl w:ilvl="0">
      <w:lvlJc w:val="left"/>
      <w:lvlText w:val="(%1)"/>
      <w:numFmt w:val="decimal"/>
      <w:start w:val="3"/>
    </w:lvl>
  </w:abstractNum>
  <w:abstractNum w:abstractNumId="11">
    <w:nsid w:val="1FBFE8E0"/>
    <w:multiLevelType w:val="hybridMultilevel"/>
    <w:lvl w:ilvl="0">
      <w:lvlJc w:val="left"/>
      <w:lvlText w:val="(%1)"/>
      <w:numFmt w:val="decimal"/>
      <w:start w:val="5"/>
    </w:lvl>
  </w:abstractNum>
  <w:abstractNum w:abstractNumId="12">
    <w:nsid w:val="5092CA79"/>
    <w:multiLevelType w:val="hybridMultilevel"/>
    <w:lvl w:ilvl="0">
      <w:lvlJc w:val="left"/>
      <w:lvlText w:val="(%1)"/>
      <w:numFmt w:val="decimal"/>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1)"/>
      <w:numFmt w:val="decimal"/>
      <w:start w:val="1"/>
    </w:lvl>
  </w:abstractNum>
  <w:abstractNum w:abstractNumId="16">
    <w:nsid w:val="2A155DBC"/>
    <w:multiLevelType w:val="hybridMultilevel"/>
    <w:lvl w:ilvl="0">
      <w:lvlJc w:val="left"/>
      <w:lvlText w:val="(%1)"/>
      <w:numFmt w:val="decimal"/>
      <w:start w:val="1"/>
    </w:lvl>
  </w:abstractNum>
  <w:abstractNum w:abstractNumId="17">
    <w:nsid w:val="1D9F6E5F"/>
    <w:multiLevelType w:val="hybridMultilevel"/>
    <w:lvl w:ilvl="0">
      <w:lvlJc w:val="left"/>
      <w:lvlText w:val="(%1)"/>
      <w:numFmt w:val="decimal"/>
      <w:start w:val="3"/>
    </w:lvl>
  </w:abstractNum>
  <w:abstractNum w:abstractNumId="18">
    <w:nsid w:val="97E1B4E"/>
    <w:multiLevelType w:val="hybridMultilevel"/>
    <w:lvl w:ilvl="0">
      <w:lvlJc w:val="left"/>
      <w:lvlText w:val="(%1)"/>
      <w:numFmt w:val="decimal"/>
      <w:start w:val="5"/>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1)"/>
      <w:numFmt w:val="decimal"/>
      <w:start w:val="1"/>
    </w:lvl>
  </w:abstractNum>
  <w:abstractNum w:abstractNumId="31">
    <w:nsid w:val="39B7AAA2"/>
    <w:multiLevelType w:val="hybridMultilevel"/>
    <w:lvl w:ilvl="0">
      <w:lvlJc w:val="left"/>
      <w:lvlText w:val="%1"/>
      <w:numFmt w:val="decimal"/>
      <w:start w:val="101"/>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1."/>
      <w:numFmt w:val="decimal"/>
      <w:start w:val="1"/>
    </w:lvl>
    <w:lvl w:ilvl="1">
      <w:lvlJc w:val="left"/>
      <w:lvlText w:val="(%2)"/>
      <w:numFmt w:val="lowerLetter"/>
      <w:start w:val="1"/>
    </w:lvl>
  </w:abstractNum>
  <w:abstractNum w:abstractNumId="34">
    <w:nsid w:val="379E21B5"/>
    <w:multiLevelType w:val="hybridMultilevel"/>
    <w:lvl w:ilvl="0">
      <w:lvlJc w:val="left"/>
      <w:lvlText w:val="%1."/>
      <w:numFmt w:val="decimal"/>
      <w:start w:val="3"/>
    </w:lvl>
    <w:lvl w:ilvl="1">
      <w:lvlJc w:val="left"/>
      <w:lvlText w:val="(%2)"/>
      <w:numFmt w:val="lowerLetter"/>
      <w:start w:val="1"/>
    </w:lvl>
  </w:abstractNum>
  <w:abstractNum w:abstractNumId="35">
    <w:nsid w:val="69E373"/>
    <w:multiLevelType w:val="hybridMultilevel"/>
    <w:lvl w:ilvl="0">
      <w:lvlJc w:val="left"/>
      <w:lvlText w:val="%1"/>
      <w:numFmt w:val="decimal"/>
      <w:start w:val="1"/>
    </w:lvl>
    <w:lvl w:ilvl="1">
      <w:lvlJc w:val="left"/>
      <w:lvlText w:val="(%2)"/>
      <w:numFmt w:val="lowerLetter"/>
      <w:start w:val="3"/>
    </w:lvl>
  </w:abstractNum>
  <w:abstractNum w:abstractNumId="36">
    <w:nsid w:val="2C27173B"/>
    <w:multiLevelType w:val="hybridMultilevel"/>
    <w:lvl w:ilvl="0">
      <w:lvlJc w:val="left"/>
      <w:lvlText w:val="%1."/>
      <w:numFmt w:val="decimal"/>
      <w:start w:val="5"/>
    </w:lvl>
    <w:lvl w:ilvl="1">
      <w:lvlJc w:val="left"/>
      <w:lvlText w:val="%2"/>
      <w:numFmt w:val="lowerLetter"/>
      <w:start w:val="1"/>
    </w:lvl>
  </w:abstractNum>
  <w:abstractNum w:abstractNumId="37">
    <w:nsid w:val="4C9B0904"/>
    <w:multiLevelType w:val="hybridMultilevel"/>
    <w:lvl w:ilvl="0">
      <w:lvlJc w:val="left"/>
      <w:lvlText w:val="%1."/>
      <w:numFmt w:val="decimal"/>
      <w:start w:val="6"/>
    </w:lvl>
  </w:abstractNum>
  <w:abstractNum w:abstractNumId="38">
    <w:nsid w:val="6AA7B75C"/>
    <w:multiLevelType w:val="hybridMultilevel"/>
    <w:lvl w:ilvl="0">
      <w:lvlJc w:val="left"/>
      <w:lvlText w:val="%1."/>
      <w:numFmt w:val="decimal"/>
      <w:start w:val="7"/>
    </w:lvl>
    <w:lvl w:ilvl="1">
      <w:lvlJc w:val="left"/>
      <w:lvlText w:val="(%2)"/>
      <w:numFmt w:val="lowerLetter"/>
      <w:start w:val="1"/>
    </w:lvl>
  </w:abstractNum>
  <w:abstractNum w:abstractNumId="39">
    <w:nsid w:val="1DF029D3"/>
    <w:multiLevelType w:val="hybridMultilevel"/>
    <w:lvl w:ilvl="0">
      <w:lvlJc w:val="left"/>
      <w:lvlText w:val="%1."/>
      <w:numFmt w:val="decimal"/>
      <w:start w:val="8"/>
    </w:lvl>
    <w:lvl w:ilvl="1">
      <w:lvlJc w:val="left"/>
      <w:lvlText w:val="(%2)"/>
      <w:numFmt w:val="lowerLetter"/>
      <w:start w:val="1"/>
    </w:lvl>
  </w:abstractNum>
  <w:abstractNum w:abstractNumId="40">
    <w:nsid w:val="5675FF36"/>
    <w:multiLevelType w:val="hybridMultilevel"/>
    <w:lvl w:ilvl="0">
      <w:lvlJc w:val="left"/>
      <w:lvlText w:val="%1."/>
      <w:numFmt w:val="decimal"/>
      <w:start w:val="9"/>
    </w:lvl>
    <w:lvl w:ilvl="1">
      <w:lvlJc w:val="left"/>
      <w:lvlText w:val="(%2)"/>
      <w:numFmt w:val="lowerLetter"/>
      <w:start w:val="1"/>
    </w:lvl>
  </w:abstractNum>
  <w:abstractNum w:abstractNumId="41">
    <w:nsid w:val="3DD15094"/>
    <w:multiLevelType w:val="hybridMultilevel"/>
    <w:lvl w:ilvl="0">
      <w:lvlJc w:val="left"/>
      <w:lvlText w:val="%1"/>
      <w:numFmt w:val="decimal"/>
      <w:start w:val="1"/>
    </w:lvl>
    <w:lvl w:ilvl="1">
      <w:lvlJc w:val="left"/>
      <w:lvlText w:val="(%2)"/>
      <w:numFmt w:val="lowerLetter"/>
      <w:start w:val="7"/>
    </w:lvl>
  </w:abstractNum>
  <w:abstractNum w:abstractNumId="42">
    <w:nsid w:val="3DB012B3"/>
    <w:multiLevelType w:val="hybridMultilevel"/>
    <w:lvl w:ilvl="0">
      <w:lvlJc w:val="left"/>
      <w:lvlText w:val="%1."/>
      <w:numFmt w:val="decimal"/>
      <w:start w:val="11"/>
    </w:lvl>
    <w:lvl w:ilvl="1">
      <w:lvlJc w:val="left"/>
      <w:lvlText w:val="%2"/>
      <w:numFmt w:val="lowerLetter"/>
      <w:start w:val="1"/>
    </w:lvl>
  </w:abstractNum>
  <w:abstractNum w:abstractNumId="43">
    <w:nsid w:val="2708C9AF"/>
    <w:multiLevelType w:val="hybridMultilevel"/>
    <w:lvl w:ilvl="0">
      <w:lvlJc w:val="left"/>
      <w:lvlText w:val="%1."/>
      <w:numFmt w:val="decimal"/>
      <w:start w:val="12"/>
    </w:lvl>
  </w:abstractNum>
  <w:abstractNum w:abstractNumId="44">
    <w:nsid w:val="5B25ACE2"/>
    <w:multiLevelType w:val="hybridMultilevel"/>
    <w:lvl w:ilvl="0">
      <w:lvlJc w:val="left"/>
      <w:lvlText w:val="%1."/>
      <w:numFmt w:val="decimal"/>
      <w:start w:val="13"/>
    </w:lvl>
  </w:abstractNum>
  <w:abstractNum w:abstractNumId="45">
    <w:nsid w:val="175DFCF0"/>
    <w:multiLevelType w:val="hybridMultilevel"/>
    <w:lvl w:ilvl="0">
      <w:lvlJc w:val="left"/>
      <w:lvlText w:val="%1."/>
      <w:numFmt w:val="decimal"/>
      <w:start w:val="14"/>
    </w:lvl>
    <w:lvl w:ilvl="1">
      <w:lvlJc w:val="left"/>
      <w:lvlText w:val="(%2)"/>
      <w:numFmt w:val="lowerLetter"/>
      <w:start w:val="1"/>
    </w:lvl>
  </w:abstractNum>
  <w:abstractNum w:abstractNumId="46">
    <w:nsid w:val="4F97E3E4"/>
    <w:multiLevelType w:val="hybridMultilevel"/>
    <w:lvl w:ilvl="0">
      <w:lvlJc w:val="left"/>
      <w:lvlText w:val="%1"/>
      <w:numFmt w:val="decimal"/>
      <w:start w:val="1"/>
    </w:lvl>
    <w:lvl w:ilvl="1">
      <w:lvlJc w:val="left"/>
      <w:lvlText w:val="(%2)"/>
      <w:numFmt w:val="lowerLetter"/>
      <w:start w:val="2"/>
    </w:lvl>
  </w:abstractNum>
  <w:abstractNum w:abstractNumId="47">
    <w:nsid w:val="53B0A9E"/>
    <w:multiLevelType w:val="hybridMultilevel"/>
    <w:lvl w:ilvl="0">
      <w:lvlJc w:val="left"/>
      <w:lvlText w:val="%1."/>
      <w:numFmt w:val="decimal"/>
      <w:start w:val="15"/>
    </w:lvl>
    <w:lvl w:ilvl="1">
      <w:lvlJc w:val="left"/>
      <w:lvlText w:val="(%2)"/>
      <w:numFmt w:val="lowerLetter"/>
      <w:start w:val="1"/>
    </w:lvl>
  </w:abstractNum>
  <w:abstractNum w:abstractNumId="48">
    <w:nsid w:val="34FD6B4F"/>
    <w:multiLevelType w:val="hybridMultilevel"/>
    <w:lvl w:ilvl="0">
      <w:lvlJc w:val="left"/>
      <w:lvlText w:val="%1"/>
      <w:numFmt w:val="decimal"/>
      <w:start w:val="1"/>
    </w:lvl>
    <w:lvl w:ilvl="1">
      <w:lvlJc w:val="left"/>
      <w:lvlText w:val="(%2)"/>
      <w:numFmt w:val="lowerLetter"/>
      <w:start w:val="2"/>
    </w:lvl>
  </w:abstractNum>
  <w:abstractNum w:abstractNumId="49">
    <w:nsid w:val="5915FF32"/>
    <w:multiLevelType w:val="hybridMultilevel"/>
    <w:lvl w:ilvl="0">
      <w:lvlJc w:val="left"/>
      <w:lvlText w:val="%1."/>
      <w:numFmt w:val="decimal"/>
      <w:start w:val="17"/>
    </w:lvl>
    <w:lvl w:ilvl="1">
      <w:lvlJc w:val="left"/>
      <w:lvlText w:val="(%2)"/>
      <w:numFmt w:val="lowerLetter"/>
      <w:start w:val="1"/>
    </w:lvl>
  </w:abstractNum>
  <w:abstractNum w:abstractNumId="50">
    <w:nsid w:val="56438D15"/>
    <w:multiLevelType w:val="hybridMultilevel"/>
    <w:lvl w:ilvl="0">
      <w:lvlJc w:val="left"/>
      <w:lvlText w:val="%1."/>
      <w:numFmt w:val="decimal"/>
      <w:start w:val="18"/>
    </w:lvl>
  </w:abstractNum>
  <w:abstractNum w:abstractNumId="51">
    <w:nsid w:val="519E3149"/>
    <w:multiLevelType w:val="hybridMultilevel"/>
    <w:lvl w:ilvl="0">
      <w:lvlJc w:val="left"/>
      <w:lvlText w:val="%1."/>
      <w:numFmt w:val="decimal"/>
      <w:start w:val="19"/>
    </w:lvl>
  </w:abstractNum>
  <w:abstractNum w:abstractNumId="52">
    <w:nsid w:val="2C6E4AFD"/>
    <w:multiLevelType w:val="hybridMultilevel"/>
    <w:lvl w:ilvl="0">
      <w:lvlJc w:val="left"/>
      <w:lvlText w:val="%1."/>
      <w:numFmt w:val="decimal"/>
      <w:start w:val="1"/>
    </w:lvl>
    <w:lvl w:ilvl="1">
      <w:lvlJc w:val="left"/>
      <w:lvlText w:val="(%2)"/>
      <w:numFmt w:val="lowerLetter"/>
      <w:start w:val="1"/>
    </w:lvl>
  </w:abstractNum>
  <w:abstractNum w:abstractNumId="53">
    <w:nsid w:val="17A1B582"/>
    <w:multiLevelType w:val="hybridMultilevel"/>
    <w:lvl w:ilvl="0">
      <w:lvlJc w:val="left"/>
      <w:lvlText w:val="%1."/>
      <w:numFmt w:val="decimal"/>
      <w:start w:val="3"/>
    </w:lvl>
    <w:lvl w:ilvl="1">
      <w:lvlJc w:val="left"/>
      <w:lvlText w:val="(%2)"/>
      <w:numFmt w:val="lowerLetter"/>
      <w:start w:val="1"/>
    </w:lvl>
  </w:abstractNum>
  <w:abstractNum w:abstractNumId="54">
    <w:nsid w:val="4DF72E4E"/>
    <w:multiLevelType w:val="hybridMultilevel"/>
    <w:lvl w:ilvl="0">
      <w:lvlJc w:val="left"/>
      <w:lvlText w:val="%1."/>
      <w:numFmt w:val="decimal"/>
      <w:start w:val="5"/>
    </w:lvl>
  </w:abstractNum>
  <w:abstractNum w:abstractNumId="55">
    <w:nsid w:val="5046B5A9"/>
    <w:multiLevelType w:val="hybridMultilevel"/>
    <w:lvl w:ilvl="0">
      <w:lvlJc w:val="left"/>
      <w:lvlText w:val="%1."/>
      <w:numFmt w:val="decimal"/>
      <w:start w:val="6"/>
    </w:lvl>
  </w:abstractNum>
  <w:abstractNum w:abstractNumId="56">
    <w:nsid w:val="5D888A08"/>
    <w:multiLevelType w:val="hybridMultilevel"/>
    <w:lvl w:ilvl="0">
      <w:lvlJc w:val="left"/>
      <w:lvlText w:val="%1."/>
      <w:numFmt w:val="decimal"/>
      <w:start w:val="7"/>
    </w:lvl>
    <w:lvl w:ilvl="1">
      <w:lvlJc w:val="left"/>
      <w:lvlText w:val="(%2)"/>
      <w:numFmt w:val="lowerLetter"/>
      <w:start w:val="1"/>
    </w:lvl>
  </w:abstractNum>
  <w:abstractNum w:abstractNumId="57">
    <w:nsid w:val="2A082C70"/>
    <w:multiLevelType w:val="hybridMultilevel"/>
    <w:lvl w:ilvl="0">
      <w:lvlJc w:val="left"/>
      <w:lvlText w:val="(%1)"/>
      <w:numFmt w:val="lowerLetter"/>
      <w:start w:val="2"/>
    </w:lvl>
  </w:abstractNum>
  <w:abstractNum w:abstractNumId="58">
    <w:nsid w:val="5EC6AFD4"/>
    <w:multiLevelType w:val="hybridMultilevel"/>
    <w:lvl w:ilvl="0">
      <w:lvlJc w:val="left"/>
      <w:lvlText w:val="%1."/>
      <w:numFmt w:val="decimal"/>
      <w:start w:val="9"/>
    </w:lvl>
    <w:lvl w:ilvl="1">
      <w:lvlJc w:val="left"/>
      <w:lvlText w:val="(%2)"/>
      <w:numFmt w:val="lowerLetter"/>
      <w:start w:val="1"/>
    </w:lvl>
  </w:abstractNum>
  <w:abstractNum w:abstractNumId="59">
    <w:nsid w:val="19E21BB2"/>
    <w:multiLevelType w:val="hybridMultilevel"/>
    <w:lvl w:ilvl="0">
      <w:lvlJc w:val="left"/>
      <w:lvlText w:val="%1"/>
      <w:numFmt w:val="decimal"/>
      <w:start w:val="1"/>
    </w:lvl>
    <w:lvl w:ilvl="1">
      <w:lvlJc w:val="left"/>
      <w:lvlText w:val="(%2)"/>
      <w:numFmt w:val="lowerLetter"/>
      <w:start w:val="7"/>
    </w:lvl>
  </w:abstractNum>
  <w:abstractNum w:abstractNumId="60">
    <w:nsid w:val="75E0858A"/>
    <w:multiLevelType w:val="hybridMultilevel"/>
    <w:lvl w:ilvl="0">
      <w:lvlJc w:val="left"/>
      <w:lvlText w:val="%1."/>
      <w:numFmt w:val="decimal"/>
      <w:start w:val="11"/>
    </w:lvl>
    <w:lvl w:ilvl="1">
      <w:lvlJc w:val="left"/>
      <w:lvlText w:val="%2"/>
      <w:numFmt w:val="lowerLetter"/>
      <w:start w:val="1"/>
    </w:lvl>
  </w:abstractNum>
  <w:abstractNum w:abstractNumId="61">
    <w:nsid w:val="57A61A29"/>
    <w:multiLevelType w:val="hybridMultilevel"/>
    <w:lvl w:ilvl="0">
      <w:lvlJc w:val="left"/>
      <w:lvlText w:val="%1."/>
      <w:numFmt w:val="decimal"/>
      <w:start w:val="12"/>
    </w:lvl>
  </w:abstractNum>
  <w:abstractNum w:abstractNumId="62">
    <w:nsid w:val="5399C654"/>
    <w:multiLevelType w:val="hybridMultilevel"/>
    <w:lvl w:ilvl="0">
      <w:lvlJc w:val="left"/>
      <w:lvlText w:val="%1."/>
      <w:numFmt w:val="decimal"/>
      <w:start w:val="13"/>
    </w:lvl>
  </w:abstractNum>
  <w:abstractNum w:abstractNumId="63">
    <w:nsid w:val="20EE1348"/>
    <w:multiLevelType w:val="hybridMultilevel"/>
    <w:lvl w:ilvl="0">
      <w:lvlJc w:val="left"/>
      <w:lvlText w:val="%1."/>
      <w:numFmt w:val="decimal"/>
      <w:start w:val="14"/>
    </w:lvl>
    <w:lvl w:ilvl="1">
      <w:lvlJc w:val="left"/>
      <w:lvlText w:val="(%2)"/>
      <w:numFmt w:val="lowerLetter"/>
      <w:start w:val="1"/>
    </w:lvl>
  </w:abstractNum>
  <w:abstractNum w:abstractNumId="64">
    <w:nsid w:val="4427069A"/>
    <w:multiLevelType w:val="hybridMultilevel"/>
    <w:lvl w:ilvl="0">
      <w:lvlJc w:val="left"/>
      <w:lvlText w:val="%1"/>
      <w:numFmt w:val="decimal"/>
      <w:start w:val="1"/>
    </w:lvl>
    <w:lvl w:ilvl="1">
      <w:lvlJc w:val="left"/>
      <w:lvlText w:val="(%2)"/>
      <w:numFmt w:val="lowerLetter"/>
      <w:start w:val="2"/>
    </w:lvl>
  </w:abstractNum>
  <w:abstractNum w:abstractNumId="65">
    <w:nsid w:val="B37E80A"/>
    <w:multiLevelType w:val="hybridMultilevel"/>
    <w:lvl w:ilvl="0">
      <w:lvlJc w:val="left"/>
      <w:lvlText w:val="%1."/>
      <w:numFmt w:val="decimal"/>
      <w:start w:val="15"/>
    </w:lvl>
    <w:lvl w:ilvl="1">
      <w:lvlJc w:val="left"/>
      <w:lvlText w:val="(%2)"/>
      <w:numFmt w:val="lowerLetter"/>
      <w:start w:val="1"/>
    </w:lvl>
  </w:abstractNum>
  <w:abstractNum w:abstractNumId="66">
    <w:nsid w:val="2157F6BC"/>
    <w:multiLevelType w:val="hybridMultilevel"/>
    <w:lvl w:ilvl="0">
      <w:lvlJc w:val="left"/>
      <w:lvlText w:val="%1"/>
      <w:numFmt w:val="decimal"/>
      <w:start w:val="1"/>
    </w:lvl>
    <w:lvl w:ilvl="1">
      <w:lvlJc w:val="left"/>
      <w:lvlText w:val="(%2)"/>
      <w:numFmt w:val="lowerLetter"/>
      <w:start w:val="2"/>
    </w:lvl>
  </w:abstractNum>
  <w:abstractNum w:abstractNumId="67">
    <w:nsid w:val="704E1DD5"/>
    <w:multiLevelType w:val="hybridMultilevel"/>
    <w:lvl w:ilvl="0">
      <w:lvlJc w:val="left"/>
      <w:lvlText w:val="%1."/>
      <w:numFmt w:val="decimal"/>
      <w:start w:val="17"/>
    </w:lvl>
    <w:lvl w:ilvl="1">
      <w:lvlJc w:val="left"/>
      <w:lvlText w:val="%2"/>
      <w:numFmt w:val="lowerLetter"/>
      <w:start w:val="1"/>
    </w:lvl>
  </w:abstractNum>
  <w:abstractNum w:abstractNumId="68">
    <w:nsid w:val="57D2F10E"/>
    <w:multiLevelType w:val="hybridMultilevel"/>
    <w:lvl w:ilvl="0">
      <w:lvlJc w:val="left"/>
      <w:lvlText w:val="%1."/>
      <w:numFmt w:val="decimal"/>
      <w:start w:val="18"/>
    </w:lvl>
  </w:abstractNum>
  <w:abstractNum w:abstractNumId="69">
    <w:nsid w:val="BFFAE18"/>
    <w:multiLevelType w:val="hybridMultilevel"/>
    <w:lvl w:ilvl="0">
      <w:lvlJc w:val="left"/>
      <w:lvlText w:val="%1."/>
      <w:numFmt w:val="decimal"/>
      <w:start w:val="19"/>
    </w:lvl>
  </w:abstractNum>
  <w:abstractNum w:abstractNumId="70">
    <w:nsid w:val="E3E47A8"/>
    <w:multiLevelType w:val="hybridMultilevel"/>
    <w:lvl w:ilvl="0">
      <w:lvlJc w:val="left"/>
      <w:lvlText w:val="%1."/>
      <w:numFmt w:val="decimal"/>
      <w:start w:val="20"/>
    </w:lvl>
  </w:abstractNum>
  <w:abstractNum w:abstractNumId="71">
    <w:nsid w:val="2E48F044"/>
    <w:multiLevelType w:val="hybridMultilevel"/>
    <w:lvl w:ilvl="0">
      <w:lvlJc w:val="left"/>
      <w:lvlText w:val="%1."/>
      <w:numFmt w:val="decimal"/>
      <w:start w:val="21"/>
    </w:lvl>
  </w:abstractNum>
  <w:abstractNum w:abstractNumId="72">
    <w:nsid w:val="49D0FEAC"/>
    <w:multiLevelType w:val="hybridMultilevel"/>
    <w:lvl w:ilvl="0">
      <w:lvlJc w:val="left"/>
      <w:lvlText w:val="%1."/>
      <w:numFmt w:val="decimal"/>
      <w:start w:val="22"/>
    </w:lvl>
  </w:abstractNum>
  <w:abstractNum w:abstractNumId="73">
    <w:nsid w:val="4BEE5A5B"/>
    <w:multiLevelType w:val="hybridMultilevel"/>
    <w:lvl w:ilvl="0">
      <w:lvlJc w:val="left"/>
      <w:lvlText w:val="%1."/>
      <w:numFmt w:val="decimal"/>
      <w:start w:val="23"/>
    </w:lvl>
  </w:abstractNum>
  <w:abstractNum w:abstractNumId="74">
    <w:nsid w:val="5551B9F3"/>
    <w:multiLevelType w:val="hybridMultilevel"/>
    <w:lvl w:ilvl="0">
      <w:lvlJc w:val="left"/>
      <w:lvlText w:val="%1."/>
      <w:numFmt w:val="decimal"/>
      <w:start w:val="1"/>
    </w:lvl>
    <w:lvl w:ilvl="1">
      <w:lvlJc w:val="left"/>
      <w:lvlText w:val="(%2)"/>
      <w:numFmt w:val="lowerLetter"/>
      <w:start w:val="1"/>
    </w:lvl>
  </w:abstractNum>
  <w:abstractNum w:abstractNumId="75">
    <w:nsid w:val="24F6AB8E"/>
    <w:multiLevelType w:val="hybridMultilevel"/>
    <w:lvl w:ilvl="0">
      <w:lvlJc w:val="left"/>
      <w:lvlText w:val="%1."/>
      <w:numFmt w:val="decimal"/>
      <w:start w:val="3"/>
    </w:lvl>
    <w:lvl w:ilvl="1">
      <w:lvlJc w:val="left"/>
      <w:lvlText w:val="(%2)"/>
      <w:numFmt w:val="lowerLetter"/>
      <w:start w:val="1"/>
    </w:lvl>
  </w:abstractNum>
  <w:abstractNum w:abstractNumId="76">
    <w:nsid w:val="634C574C"/>
    <w:multiLevelType w:val="hybridMultilevel"/>
    <w:lvl w:ilvl="0">
      <w:lvlJc w:val="left"/>
      <w:lvlText w:val="%1."/>
      <w:numFmt w:val="decimal"/>
      <w:start w:val="4"/>
    </w:lvl>
  </w:abstractNum>
  <w:abstractNum w:abstractNumId="77">
    <w:nsid w:val="24E99DD7"/>
    <w:multiLevelType w:val="hybridMultilevel"/>
    <w:lvl w:ilvl="0">
      <w:lvlJc w:val="left"/>
      <w:lvlText w:val="%1."/>
      <w:numFmt w:val="decimal"/>
      <w:start w:val="5"/>
    </w:lvl>
  </w:abstractNum>
  <w:abstractNum w:abstractNumId="78">
    <w:nsid w:val="2A31B62D"/>
    <w:multiLevelType w:val="hybridMultilevel"/>
    <w:lvl w:ilvl="0">
      <w:lvlJc w:val="left"/>
      <w:lvlText w:val="%1."/>
      <w:numFmt w:val="decimal"/>
      <w:start w:val="6"/>
    </w:lvl>
    <w:lvl w:ilvl="1">
      <w:lvlJc w:val="left"/>
      <w:lvlText w:val="(%2)"/>
      <w:numFmt w:val="lowerLetter"/>
      <w:start w:val="1"/>
    </w:lvl>
  </w:abstractNum>
  <w:abstractNum w:abstractNumId="79">
    <w:nsid w:val="1849C29B"/>
    <w:multiLevelType w:val="hybridMultilevel"/>
    <w:lvl w:ilvl="0">
      <w:lvlJc w:val="left"/>
      <w:lvlText w:val="%1."/>
      <w:numFmt w:val="decimal"/>
      <w:start w:val="7"/>
    </w:lvl>
    <w:lvl w:ilvl="1">
      <w:lvlJc w:val="left"/>
      <w:lvlText w:val="(%2)"/>
      <w:numFmt w:val="lowerLetter"/>
      <w:start w:val="1"/>
    </w:lvl>
  </w:abstractNum>
  <w:abstractNum w:abstractNumId="80">
    <w:nsid w:val="7DFF9D09"/>
    <w:multiLevelType w:val="hybridMultilevel"/>
    <w:lvl w:ilvl="0">
      <w:lvlJc w:val="left"/>
      <w:lvlText w:val="%1."/>
      <w:numFmt w:val="decimal"/>
      <w:start w:val="8"/>
    </w:lvl>
    <w:lvl w:ilvl="1">
      <w:lvlJc w:val="left"/>
      <w:lvlText w:val="(%2)"/>
      <w:numFmt w:val="lowerLetter"/>
      <w:start w:val="1"/>
    </w:lvl>
  </w:abstractNum>
  <w:abstractNum w:abstractNumId="81">
    <w:nsid w:val="754342"/>
    <w:multiLevelType w:val="hybridMultilevel"/>
    <w:lvl w:ilvl="0">
      <w:lvlJc w:val="left"/>
      <w:lvlText w:val="%1"/>
      <w:numFmt w:val="decimal"/>
      <w:start w:val="1"/>
    </w:lvl>
    <w:lvl w:ilvl="1">
      <w:lvlJc w:val="left"/>
      <w:lvlText w:val="(%2)"/>
      <w:numFmt w:val="lowerLetter"/>
      <w:start w:val="5"/>
    </w:lvl>
  </w:abstractNum>
  <w:abstractNum w:abstractNumId="82">
    <w:nsid w:val="69E7F3E5"/>
    <w:multiLevelType w:val="hybridMultilevel"/>
    <w:lvl w:ilvl="0">
      <w:lvlJc w:val="left"/>
      <w:lvlText w:val="%1"/>
      <w:numFmt w:val="decimal"/>
      <w:start w:val="1"/>
    </w:lvl>
    <w:lvl w:ilvl="1">
      <w:lvlJc w:val="left"/>
      <w:lvlText w:val="(%2)"/>
      <w:numFmt w:val="lowerLetter"/>
      <w:start w:val="8"/>
    </w:lvl>
  </w:abstractNum>
  <w:abstractNum w:abstractNumId="83">
    <w:nsid w:val="2A6DE806"/>
    <w:multiLevelType w:val="hybridMultilevel"/>
    <w:lvl w:ilvl="0">
      <w:lvlJc w:val="left"/>
      <w:lvlText w:val="%1."/>
      <w:numFmt w:val="decimal"/>
      <w:start w:val="10"/>
    </w:lvl>
    <w:lvl w:ilvl="1">
      <w:lvlJc w:val="left"/>
      <w:lvlText w:val="%2"/>
      <w:numFmt w:val="lowerLetter"/>
      <w:start w:val="1"/>
    </w:lvl>
  </w:abstractNum>
  <w:abstractNum w:abstractNumId="84">
    <w:nsid w:val="1816F8C4"/>
    <w:multiLevelType w:val="hybridMultilevel"/>
    <w:lvl w:ilvl="0">
      <w:lvlJc w:val="left"/>
      <w:lvlText w:val="%1."/>
      <w:numFmt w:val="decimal"/>
      <w:start w:val="11"/>
    </w:lvl>
  </w:abstractNum>
  <w:abstractNum w:abstractNumId="85">
    <w:nsid w:val="37DF2233"/>
    <w:multiLevelType w:val="hybridMultilevel"/>
    <w:lvl w:ilvl="0">
      <w:lvlJc w:val="left"/>
      <w:lvlText w:val="%1."/>
      <w:numFmt w:val="decimal"/>
      <w:start w:val="12"/>
    </w:lvl>
  </w:abstractNum>
  <w:abstractNum w:abstractNumId="86">
    <w:nsid w:val="7AB49DAF"/>
    <w:multiLevelType w:val="hybridMultilevel"/>
    <w:lvl w:ilvl="0">
      <w:lvlJc w:val="left"/>
      <w:lvlText w:val="%1."/>
      <w:numFmt w:val="decimal"/>
      <w:start w:val="13"/>
    </w:lvl>
    <w:lvl w:ilvl="1">
      <w:lvlJc w:val="left"/>
      <w:lvlText w:val="(%2)"/>
      <w:numFmt w:val="lowerLetter"/>
      <w:start w:val="1"/>
    </w:lvl>
  </w:abstractNum>
  <w:abstractNum w:abstractNumId="87">
    <w:nsid w:val="759F82CD"/>
    <w:multiLevelType w:val="hybridMultilevel"/>
    <w:lvl w:ilvl="0">
      <w:lvlJc w:val="left"/>
      <w:lvlText w:val="%1."/>
      <w:numFmt w:val="decimal"/>
      <w:start w:val="15"/>
    </w:lvl>
    <w:lvl w:ilvl="1">
      <w:lvlJc w:val="left"/>
      <w:lvlText w:val="(%2)"/>
      <w:numFmt w:val="lowerLetter"/>
      <w:start w:val="1"/>
    </w:lvl>
  </w:abstractNum>
  <w:abstractNum w:abstractNumId="88">
    <w:nsid w:val="61E74EA3"/>
    <w:multiLevelType w:val="hybridMultilevel"/>
    <w:lvl w:ilvl="0">
      <w:lvlJc w:val="left"/>
      <w:lvlText w:val="%1"/>
      <w:numFmt w:val="decimal"/>
      <w:start w:val="1"/>
    </w:lvl>
    <w:lvl w:ilvl="1">
      <w:lvlJc w:val="left"/>
      <w:lvlText w:val="(%2)"/>
      <w:numFmt w:val="lowerLetter"/>
      <w:start w:val="2"/>
    </w:lvl>
  </w:abstractNum>
  <w:abstractNum w:abstractNumId="89">
    <w:nsid w:val="597B4D84"/>
    <w:multiLevelType w:val="hybridMultilevel"/>
    <w:lvl w:ilvl="0">
      <w:lvlJc w:val="left"/>
      <w:lvlText w:val="%1."/>
      <w:numFmt w:val="decimal"/>
      <w:start w:val="17"/>
    </w:lvl>
    <w:lvl w:ilvl="1">
      <w:lvlJc w:val="left"/>
      <w:lvlText w:val="%2"/>
      <w:numFmt w:val="lowerLetter"/>
      <w:start w:val="1"/>
    </w:lvl>
  </w:abstractNum>
  <w:abstractNum w:abstractNumId="90">
    <w:nsid w:val="F819E7F"/>
    <w:multiLevelType w:val="hybridMultilevel"/>
    <w:lvl w:ilvl="0">
      <w:lvlJc w:val="left"/>
      <w:lvlText w:val="%1."/>
      <w:numFmt w:val="decimal"/>
      <w:start w:val="18"/>
    </w:lvl>
  </w:abstractNum>
  <w:abstractNum w:abstractNumId="91">
    <w:nsid w:val="57C7D42D"/>
    <w:multiLevelType w:val="hybridMultilevel"/>
    <w:lvl w:ilvl="0">
      <w:lvlJc w:val="left"/>
      <w:lvlText w:val="%1."/>
      <w:numFmt w:val="decimal"/>
      <w:start w:val="1"/>
    </w:lvl>
    <w:lvl w:ilvl="1">
      <w:lvlJc w:val="left"/>
      <w:lvlText w:val="(%2)"/>
      <w:numFmt w:val="lowerLetter"/>
      <w:start w:val="1"/>
    </w:lvl>
  </w:abstractNum>
  <w:abstractNum w:abstractNumId="92">
    <w:nsid w:val="312167AD"/>
    <w:multiLevelType w:val="hybridMultilevel"/>
    <w:lvl w:ilvl="0">
      <w:lvlJc w:val="left"/>
      <w:lvlText w:val="%1."/>
      <w:numFmt w:val="decimal"/>
      <w:start w:val="3"/>
    </w:lvl>
    <w:lvl w:ilvl="1">
      <w:lvlJc w:val="left"/>
      <w:lvlText w:val="(%2)"/>
      <w:numFmt w:val="lowerLetter"/>
      <w:start w:val="1"/>
    </w:lvl>
  </w:abstractNum>
  <w:abstractNum w:abstractNumId="93">
    <w:nsid w:val="631B64D4"/>
    <w:multiLevelType w:val="hybridMultilevel"/>
    <w:lvl w:ilvl="0">
      <w:lvlJc w:val="left"/>
      <w:lvlText w:val="%1."/>
      <w:numFmt w:val="decimal"/>
      <w:start w:val="4"/>
    </w:lvl>
  </w:abstractNum>
  <w:abstractNum w:abstractNumId="94">
    <w:nsid w:val="78B5E776"/>
    <w:multiLevelType w:val="hybridMultilevel"/>
    <w:lvl w:ilvl="0">
      <w:lvlJc w:val="left"/>
      <w:lvlText w:val="%1."/>
      <w:numFmt w:val="decimal"/>
      <w:start w:val="5"/>
    </w:lvl>
  </w:abstractNum>
  <w:abstractNum w:abstractNumId="95">
    <w:nsid w:val="75486E47"/>
    <w:multiLevelType w:val="hybridMultilevel"/>
    <w:lvl w:ilvl="0">
      <w:lvlJc w:val="left"/>
      <w:lvlText w:val="%1."/>
      <w:numFmt w:val="decimal"/>
      <w:start w:val="6"/>
    </w:lvl>
    <w:lvl w:ilvl="1">
      <w:lvlJc w:val="left"/>
      <w:lvlText w:val="(%2)"/>
      <w:numFmt w:val="lowerLetter"/>
      <w:start w:val="1"/>
    </w:lvl>
  </w:abstractNum>
  <w:abstractNum w:abstractNumId="96">
    <w:nsid w:val="6E534CDE"/>
    <w:multiLevelType w:val="hybridMultilevel"/>
    <w:lvl w:ilvl="0">
      <w:lvlJc w:val="left"/>
      <w:lvlText w:val="%1."/>
      <w:numFmt w:val="decimal"/>
      <w:start w:val="7"/>
    </w:lvl>
    <w:lvl w:ilvl="1">
      <w:lvlJc w:val="left"/>
      <w:lvlText w:val="(%2)"/>
      <w:numFmt w:val="lowerLetter"/>
      <w:start w:val="1"/>
    </w:lvl>
  </w:abstractNum>
  <w:abstractNum w:abstractNumId="97">
    <w:nsid w:val="1A0DDE32"/>
    <w:multiLevelType w:val="hybridMultilevel"/>
    <w:lvl w:ilvl="0">
      <w:lvlJc w:val="left"/>
      <w:lvlText w:val="%1"/>
      <w:numFmt w:val="decimal"/>
      <w:start w:val="1"/>
    </w:lvl>
    <w:lvl w:ilvl="1">
      <w:lvlJc w:val="left"/>
      <w:lvlText w:val="(%2)"/>
      <w:numFmt w:val="lowerLetter"/>
      <w:start w:val="4"/>
    </w:lvl>
  </w:abstractNum>
  <w:abstractNum w:abstractNumId="98">
    <w:nsid w:val="65968C1C"/>
    <w:multiLevelType w:val="hybridMultilevel"/>
    <w:lvl w:ilvl="0">
      <w:lvlJc w:val="left"/>
      <w:lvlText w:val="%1."/>
      <w:numFmt w:val="decimal"/>
      <w:start w:val="8"/>
    </w:lvl>
    <w:lvl w:ilvl="1">
      <w:lvlJc w:val="left"/>
      <w:lvlText w:val="(%2)"/>
      <w:numFmt w:val="lowerLetter"/>
      <w:start w:val="1"/>
    </w:lvl>
  </w:abstractNum>
  <w:abstractNum w:abstractNumId="99">
    <w:nsid w:val="46263DEC"/>
    <w:multiLevelType w:val="hybridMultilevel"/>
    <w:lvl w:ilvl="0">
      <w:lvlJc w:val="left"/>
      <w:lvlText w:val="%1"/>
      <w:numFmt w:val="decimal"/>
      <w:start w:val="1"/>
    </w:lvl>
    <w:lvl w:ilvl="1">
      <w:lvlJc w:val="left"/>
      <w:lvlText w:val="(%2)"/>
      <w:numFmt w:val="lowerLetter"/>
      <w:start w:val="4"/>
    </w:lvl>
  </w:abstractNum>
  <w:abstractNum w:abstractNumId="100">
    <w:nsid w:val="260D8C4A"/>
    <w:multiLevelType w:val="hybridMultilevel"/>
    <w:lvl w:ilvl="0">
      <w:lvlJc w:val="left"/>
      <w:lvlText w:val="%1."/>
      <w:numFmt w:val="decimal"/>
      <w:start w:val="10"/>
    </w:lvl>
    <w:lvl w:ilvl="1">
      <w:lvlJc w:val="left"/>
      <w:lvlText w:val="%2"/>
      <w:numFmt w:val="lowerLetter"/>
      <w:start w:val="1"/>
    </w:lvl>
  </w:abstractNum>
  <w:abstractNum w:abstractNumId="101">
    <w:nsid w:val="73D4D3C4"/>
    <w:multiLevelType w:val="hybridMultilevel"/>
    <w:lvl w:ilvl="0">
      <w:lvlJc w:val="left"/>
      <w:lvlText w:val="%1."/>
      <w:numFmt w:val="decimal"/>
      <w:start w:val="11"/>
    </w:lvl>
  </w:abstractNum>
  <w:abstractNum w:abstractNumId="102">
    <w:nsid w:val="746F2E30"/>
    <w:multiLevelType w:val="hybridMultilevel"/>
    <w:lvl w:ilvl="0">
      <w:lvlJc w:val="left"/>
      <w:lvlText w:val="%1."/>
      <w:numFmt w:val="decimal"/>
      <w:start w:val="12"/>
    </w:lvl>
  </w:abstractNum>
  <w:abstractNum w:abstractNumId="103">
    <w:nsid w:val="6FDE8AF6"/>
    <w:multiLevelType w:val="hybridMultilevel"/>
    <w:lvl w:ilvl="0">
      <w:lvlJc w:val="left"/>
      <w:lvlText w:val="%1."/>
      <w:numFmt w:val="decimal"/>
      <w:start w:val="13"/>
    </w:lvl>
    <w:lvl w:ilvl="1">
      <w:lvlJc w:val="left"/>
      <w:lvlText w:val="(%2)"/>
      <w:numFmt w:val="lowerLetter"/>
      <w:start w:val="1"/>
    </w:lvl>
  </w:abstractNum>
  <w:abstractNum w:abstractNumId="104">
    <w:nsid w:val="3FC32E20"/>
    <w:multiLevelType w:val="hybridMultilevel"/>
    <w:lvl w:ilvl="0">
      <w:lvlJc w:val="left"/>
      <w:lvlText w:val="%1."/>
      <w:numFmt w:val="decimal"/>
      <w:start w:val="15"/>
    </w:lvl>
    <w:lvl w:ilvl="1">
      <w:lvlJc w:val="left"/>
      <w:lvlText w:val="(%2)"/>
      <w:numFmt w:val="lowerLetter"/>
      <w:start w:val="1"/>
    </w:lvl>
  </w:abstractNum>
  <w:abstractNum w:abstractNumId="105">
    <w:nsid w:val="49C0E823"/>
    <w:multiLevelType w:val="hybridMultilevel"/>
    <w:lvl w:ilvl="0">
      <w:lvlJc w:val="left"/>
      <w:lvlText w:val="%1."/>
      <w:numFmt w:val="decimal"/>
      <w:start w:val="17"/>
    </w:lvl>
  </w:abstractNum>
  <w:abstractNum w:abstractNumId="106">
    <w:nsid w:val="14D53685"/>
    <w:multiLevelType w:val="hybridMultilevel"/>
    <w:lvl w:ilvl="0">
      <w:lvlJc w:val="left"/>
      <w:lvlText w:val="%1."/>
      <w:numFmt w:val="decimal"/>
      <w:start w:val="18"/>
    </w:lvl>
  </w:abstractNum>
  <w:abstractNum w:abstractNumId="107">
    <w:nsid w:val="230F856C"/>
    <w:multiLevelType w:val="hybridMultilevel"/>
    <w:lvl w:ilvl="0">
      <w:lvlJc w:val="left"/>
      <w:lvlText w:val="%1."/>
      <w:numFmt w:val="decimal"/>
      <w:start w:val="19"/>
    </w:lvl>
  </w:abstractNum>
  <w:abstractNum w:abstractNumId="108">
    <w:nsid w:val="6EAA85FB"/>
    <w:multiLevelType w:val="hybridMultilevel"/>
    <w:lvl w:ilvl="0">
      <w:lvlJc w:val="left"/>
      <w:lvlText w:val="%1."/>
      <w:numFmt w:val="decimal"/>
      <w:start w:val="20"/>
    </w:lvl>
  </w:abstractNum>
  <w:abstractNum w:abstractNumId="109">
    <w:nsid w:val="3F06ECB2"/>
    <w:multiLevelType w:val="hybridMultilevel"/>
    <w:lvl w:ilvl="0">
      <w:lvlJc w:val="left"/>
      <w:lvlText w:val="%1."/>
      <w:numFmt w:val="decimal"/>
      <w:start w:val="21"/>
    </w:lvl>
  </w:abstractNum>
  <w:abstractNum w:abstractNumId="110">
    <w:nsid w:val="3B594807"/>
    <w:multiLevelType w:val="hybridMultilevel"/>
    <w:lvl w:ilvl="0">
      <w:lvlJc w:val="left"/>
      <w:lvlText w:val="%1."/>
      <w:numFmt w:val="decimal"/>
      <w:start w:val="22"/>
    </w:lvl>
  </w:abstractNum>
  <w:abstractNum w:abstractNumId="111">
    <w:nsid w:val="6CAA2304"/>
    <w:multiLevelType w:val="hybridMultilevel"/>
    <w:lvl w:ilvl="0">
      <w:lvlJc w:val="left"/>
      <w:lvlText w:val="(%1)"/>
      <w:numFmt w:val="lowerLetter"/>
      <w:start w:val="3"/>
    </w:lvl>
  </w:abstractNum>
  <w:abstractNum w:abstractNumId="112">
    <w:nsid w:val="3F7C2FF4"/>
    <w:multiLevelType w:val="hybridMultilevel"/>
    <w:lvl w:ilvl="0">
      <w:lvlJc w:val="left"/>
      <w:lvlText w:val="%1."/>
      <w:numFmt w:val="decimal"/>
      <w:start w:val="1"/>
    </w:lvl>
    <w:lvl w:ilvl="1">
      <w:lvlJc w:val="left"/>
      <w:lvlText w:val="(%2)"/>
      <w:numFmt w:val="lowerLetter"/>
      <w:start w:val="1"/>
    </w:lvl>
  </w:abstractNum>
  <w:abstractNum w:abstractNumId="113">
    <w:nsid w:val="25413BEC"/>
    <w:multiLevelType w:val="hybridMultilevel"/>
    <w:lvl w:ilvl="0">
      <w:lvlJc w:val="left"/>
      <w:lvlText w:val="%1."/>
      <w:numFmt w:val="decimal"/>
      <w:start w:val="3"/>
    </w:lvl>
    <w:lvl w:ilvl="1">
      <w:lvlJc w:val="left"/>
      <w:lvlText w:val="(%2)"/>
      <w:numFmt w:val="lowerLetter"/>
      <w:start w:val="4"/>
    </w:lvl>
  </w:abstractNum>
  <w:abstractNum w:abstractNumId="114">
    <w:nsid w:val="17180B0B"/>
    <w:multiLevelType w:val="hybridMultilevel"/>
    <w:lvl w:ilvl="0">
      <w:lvlJc w:val="left"/>
      <w:lvlText w:val="(%1)"/>
      <w:numFmt w:val="lowerLetter"/>
      <w:start w:val="2"/>
    </w:lvl>
  </w:abstractNum>
  <w:abstractNum w:abstractNumId="115">
    <w:nsid w:val="579328B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6">
    <w:nsid w:val="5D205E20"/>
    <w:multiLevelType w:val="hybridMultilevel"/>
    <w:lvl w:ilvl="0">
      <w:lvlJc w:val="left"/>
      <w:lvlText w:val="(%1)"/>
      <w:numFmt w:val="lowerLetter"/>
      <w:start w:val="3"/>
    </w:lvl>
    <w:lvl w:ilvl="1">
      <w:lvlJc w:val="left"/>
      <w:lvlText w:val="(%2)"/>
      <w:numFmt w:val="lowerRoman"/>
      <w:start w:val="1"/>
    </w:lvl>
  </w:abstractNum>
  <w:abstractNum w:abstractNumId="117">
    <w:nsid w:val="11CCA8BA"/>
    <w:multiLevelType w:val="hybridMultilevel"/>
    <w:lvl w:ilvl="0">
      <w:lvlJc w:val="left"/>
      <w:lvlText w:val="%1"/>
      <w:numFmt w:val="decimal"/>
      <w:start w:val="1"/>
    </w:lvl>
    <w:lvl w:ilvl="1">
      <w:lvlJc w:val="left"/>
      <w:lvlText w:val="(%2)"/>
      <w:numFmt w:val="lowerLetter"/>
      <w:start w:val="4"/>
    </w:lvl>
  </w:abstractNum>
  <w:abstractNum w:abstractNumId="118">
    <w:nsid w:val="4D32AB86"/>
    <w:multiLevelType w:val="hybridMultilevel"/>
    <w:lvl w:ilvl="0">
      <w:lvlJc w:val="left"/>
      <w:lvlText w:val="%1."/>
      <w:numFmt w:val="decimal"/>
      <w:start w:val="5"/>
    </w:lvl>
    <w:lvl w:ilvl="1">
      <w:lvlJc w:val="left"/>
      <w:lvlText w:val="%2"/>
      <w:numFmt w:val="lowerLetter"/>
      <w:start w:val="1"/>
    </w:lvl>
  </w:abstractNum>
  <w:abstractNum w:abstractNumId="119">
    <w:nsid w:val="3F07ACC3"/>
    <w:multiLevelType w:val="hybridMultilevel"/>
    <w:lvl w:ilvl="0">
      <w:lvlJc w:val="left"/>
      <w:lvlText w:val="%1."/>
      <w:numFmt w:val="decimal"/>
      <w:start w:val="6"/>
    </w:lvl>
  </w:abstractNum>
  <w:abstractNum w:abstractNumId="120">
    <w:nsid w:val="6B47F63E"/>
    <w:multiLevelType w:val="hybridMultilevel"/>
    <w:lvl w:ilvl="0">
      <w:lvlJc w:val="left"/>
      <w:lvlText w:val="%1."/>
      <w:numFmt w:val="decimal"/>
      <w:start w:val="7"/>
    </w:lvl>
  </w:abstractNum>
  <w:abstractNum w:abstractNumId="121">
    <w:nsid w:val="5CB44A05"/>
    <w:multiLevelType w:val="hybridMultilevel"/>
    <w:lvl w:ilvl="0">
      <w:lvlJc w:val="left"/>
      <w:lvlText w:val="%1."/>
      <w:numFmt w:val="decimal"/>
      <w:start w:val="8"/>
    </w:lvl>
    <w:lvl w:ilvl="1">
      <w:lvlJc w:val="left"/>
      <w:lvlText w:val="(%2)"/>
      <w:numFmt w:val="lowerLetter"/>
      <w:start w:val="1"/>
    </w:lvl>
  </w:abstractNum>
  <w:abstractNum w:abstractNumId="122">
    <w:nsid w:val="16CF80F1"/>
    <w:multiLevelType w:val="hybridMultilevel"/>
    <w:lvl w:ilvl="0">
      <w:lvlJc w:val="left"/>
      <w:lvlText w:val="%1"/>
      <w:numFmt w:val="decimal"/>
      <w:start w:val="1"/>
    </w:lvl>
    <w:lvl w:ilvl="1">
      <w:lvlJc w:val="left"/>
      <w:lvlText w:val="(%2)"/>
      <w:numFmt w:val="lowerLetter"/>
      <w:start w:val="4"/>
    </w:lvl>
  </w:abstractNum>
  <w:abstractNum w:abstractNumId="123">
    <w:nsid w:val="1C695DEC"/>
    <w:multiLevelType w:val="hybridMultilevel"/>
    <w:lvl w:ilvl="0">
      <w:lvlJc w:val="left"/>
      <w:lvlText w:val="%1."/>
      <w:numFmt w:val="decimal"/>
      <w:start w:val="9"/>
    </w:lvl>
    <w:lvl w:ilvl="1">
      <w:lvlJc w:val="left"/>
      <w:lvlText w:val="(%2)"/>
      <w:numFmt w:val="lowerLetter"/>
      <w:start w:val="1"/>
    </w:lvl>
  </w:abstractNum>
  <w:abstractNum w:abstractNumId="124">
    <w:nsid w:val="3FCFAED9"/>
    <w:multiLevelType w:val="hybridMultilevel"/>
    <w:lvl w:ilvl="0">
      <w:lvlJc w:val="left"/>
      <w:lvlText w:val="%1."/>
      <w:numFmt w:val="decimal"/>
      <w:start w:val="10"/>
    </w:lvl>
    <w:lvl w:ilvl="1">
      <w:lvlJc w:val="left"/>
      <w:lvlText w:val="(%2)"/>
      <w:numFmt w:val="lowerLetter"/>
      <w:start w:val="1"/>
    </w:lvl>
  </w:abstractNum>
  <w:abstractNum w:abstractNumId="125">
    <w:nsid w:val="F856867"/>
    <w:multiLevelType w:val="hybridMultilevel"/>
    <w:lvl w:ilvl="0">
      <w:lvlJc w:val="left"/>
      <w:lvlText w:val="%1."/>
      <w:numFmt w:val="decimal"/>
      <w:start w:val="11"/>
    </w:lvl>
  </w:abstractNum>
  <w:abstractNum w:abstractNumId="126">
    <w:nsid w:val="11B1CC33"/>
    <w:multiLevelType w:val="hybridMultilevel"/>
    <w:lvl w:ilvl="0">
      <w:lvlJc w:val="left"/>
      <w:lvlText w:val="%1."/>
      <w:numFmt w:val="decimal"/>
      <w:start w:val="12"/>
    </w:lvl>
  </w:abstractNum>
  <w:abstractNum w:abstractNumId="127">
    <w:nsid w:val="2E22FBB7"/>
    <w:multiLevelType w:val="hybridMultilevel"/>
    <w:lvl w:ilvl="0">
      <w:lvlJc w:val="left"/>
      <w:lvlText w:val="%1."/>
      <w:numFmt w:val="decimal"/>
      <w:start w:val="13"/>
    </w:lvl>
  </w:abstractNum>
  <w:abstractNum w:abstractNumId="128">
    <w:nsid w:val="29934699"/>
    <w:multiLevelType w:val="hybridMultilevel"/>
    <w:lvl w:ilvl="0">
      <w:lvlJc w:val="left"/>
      <w:lvlText w:val="%1."/>
      <w:numFmt w:val="decimal"/>
      <w:start w:val="14"/>
    </w:lvl>
    <w:lvl w:ilvl="1">
      <w:lvlJc w:val="left"/>
      <w:lvlText w:val="(%2)"/>
      <w:numFmt w:val="lowerLetter"/>
      <w:start w:val="1"/>
    </w:lvl>
  </w:abstractNum>
  <w:abstractNum w:abstractNumId="129">
    <w:nsid w:val="77485850"/>
    <w:multiLevelType w:val="hybridMultilevel"/>
    <w:lvl w:ilvl="0">
      <w:lvlJc w:val="left"/>
      <w:lvlText w:val="%1"/>
      <w:numFmt w:val="decimal"/>
      <w:start w:val="1"/>
    </w:lvl>
    <w:lvl w:ilvl="1">
      <w:lvlJc w:val="left"/>
      <w:lvlText w:val="(%2)"/>
      <w:numFmt w:val="lowerLetter"/>
      <w:start w:val="2"/>
    </w:lvl>
  </w:abstractNum>
  <w:abstractNum w:abstractNumId="130">
    <w:nsid w:val="744939A3"/>
    <w:multiLevelType w:val="hybridMultilevel"/>
    <w:lvl w:ilvl="0">
      <w:lvlJc w:val="left"/>
      <w:lvlText w:val="%1."/>
      <w:numFmt w:val="decimal"/>
      <w:start w:val="16"/>
    </w:lvl>
    <w:lvl w:ilvl="1">
      <w:lvlJc w:val="left"/>
      <w:lvlText w:val="(%2)"/>
      <w:numFmt w:val="lowerLetter"/>
      <w:start w:val="1"/>
    </w:lvl>
  </w:abstractNum>
  <w:abstractNum w:abstractNumId="131">
    <w:nsid w:val="4FA0D2E3"/>
    <w:multiLevelType w:val="hybridMultilevel"/>
    <w:lvl w:ilvl="0">
      <w:lvlJc w:val="left"/>
      <w:lvlText w:val="%1"/>
      <w:numFmt w:val="decimal"/>
      <w:start w:val="1"/>
    </w:lvl>
    <w:lvl w:ilvl="1">
      <w:lvlJc w:val="left"/>
      <w:lvlText w:val="(%2)"/>
      <w:numFmt w:val="lowerLetter"/>
      <w:start w:val="3"/>
    </w:lvl>
  </w:abstractNum>
  <w:abstractNum w:abstractNumId="132">
    <w:nsid w:val="6B1D2C14"/>
    <w:multiLevelType w:val="hybridMultilevel"/>
    <w:lvl w:ilvl="0">
      <w:lvlJc w:val="left"/>
      <w:lvlText w:val="%1."/>
      <w:numFmt w:val="decimal"/>
      <w:start w:val="17"/>
    </w:lvl>
    <w:lvl w:ilvl="1">
      <w:lvlJc w:val="left"/>
      <w:lvlText w:val="%2"/>
      <w:numFmt w:val="lowerLetter"/>
      <w:start w:val="1"/>
    </w:lvl>
  </w:abstractNum>
  <w:abstractNum w:abstractNumId="133">
    <w:nsid w:val="68B867D3"/>
    <w:multiLevelType w:val="hybridMultilevel"/>
    <w:lvl w:ilvl="0">
      <w:lvlJc w:val="left"/>
      <w:lvlText w:val="%1."/>
      <w:numFmt w:val="decimal"/>
      <w:start w:val="18"/>
    </w:lvl>
  </w:abstractNum>
  <w:abstractNum w:abstractNumId="134">
    <w:nsid w:val="3F7F5DD9"/>
    <w:multiLevelType w:val="hybridMultilevel"/>
    <w:lvl w:ilvl="0">
      <w:lvlJc w:val="left"/>
      <w:lvlText w:val="%1."/>
      <w:numFmt w:val="decimal"/>
      <w:start w:val="19"/>
    </w:lvl>
  </w:abstractNum>
  <w:abstractNum w:abstractNumId="135">
    <w:nsid w:val="2AE05A34"/>
    <w:multiLevelType w:val="hybridMultilevel"/>
    <w:lvl w:ilvl="0">
      <w:lvlJc w:val="left"/>
      <w:lvlText w:val="%1."/>
      <w:numFmt w:val="decimal"/>
      <w:start w:val="20"/>
    </w:lvl>
  </w:abstractNum>
  <w:abstractNum w:abstractNumId="136">
    <w:nsid w:val="32794FF7"/>
    <w:multiLevelType w:val="hybridMultilevel"/>
    <w:lvl w:ilvl="0">
      <w:lvlJc w:val="left"/>
      <w:lvlText w:val="%1."/>
      <w:numFmt w:val="decimal"/>
      <w:start w:val="21"/>
    </w:lvl>
  </w:abstractNum>
  <w:abstractNum w:abstractNumId="137">
    <w:nsid w:val="5454945E"/>
    <w:multiLevelType w:val="hybridMultilevel"/>
    <w:lvl w:ilvl="0">
      <w:lvlJc w:val="left"/>
      <w:lvlText w:val="%1."/>
      <w:numFmt w:val="decimal"/>
      <w:start w:val="22"/>
    </w:lvl>
  </w:abstractNum>
  <w:abstractNum w:abstractNumId="138">
    <w:nsid w:val="4DEFDFA0"/>
    <w:multiLevelType w:val="hybridMultilevel"/>
    <w:lvl w:ilvl="0">
      <w:lvlJc w:val="left"/>
      <w:lvlText w:val="%1."/>
      <w:numFmt w:val="decimal"/>
      <w:start w:val="23"/>
    </w:lvl>
  </w:abstractNum>
  <w:abstractNum w:abstractNumId="139">
    <w:nsid w:val="2123D5F2"/>
    <w:multiLevelType w:val="hybridMultilevel"/>
    <w:lvl w:ilvl="0">
      <w:lvlJc w:val="left"/>
      <w:lvlText w:val="(%1)"/>
      <w:numFmt w:val="lowerLetter"/>
      <w:start w:val="1"/>
    </w:lvl>
  </w:abstractNum>
  <w:abstractNum w:abstractNumId="140">
    <w:nsid w:val="135B8110"/>
    <w:multiLevelType w:val="hybridMultilevel"/>
    <w:lvl w:ilvl="0">
      <w:lvlJc w:val="left"/>
      <w:lvlText w:val="(%1)"/>
      <w:numFmt w:val="lowerRoman"/>
      <w:start w:val="1"/>
    </w:lvl>
  </w:abstractNum>
  <w:abstractNum w:abstractNumId="141">
    <w:nsid w:val="94927A8"/>
    <w:multiLevelType w:val="hybridMultilevel"/>
    <w:lvl w:ilvl="0">
      <w:lvlJc w:val="left"/>
      <w:lvlText w:val="%1"/>
      <w:numFmt w:val="lowerLetter"/>
      <w:start w:val="1"/>
    </w:lvl>
    <w:lvl w:ilvl="1">
      <w:lvlJc w:val="left"/>
      <w:lvlText w:val="(%2)"/>
      <w:numFmt w:val="lowerLetter"/>
      <w:start w:val="35"/>
    </w:lvl>
  </w:abstractNum>
  <w:abstractNum w:abstractNumId="142">
    <w:nsid w:val="DCDF8F6"/>
    <w:multiLevelType w:val="hybridMultilevel"/>
    <w:lvl w:ilvl="0">
      <w:lvlJc w:val="left"/>
      <w:lvlText w:val="(%1)"/>
      <w:numFmt w:val="lowerLetter"/>
      <w:start w:val="2"/>
    </w:lvl>
    <w:lvl w:ilvl="1">
      <w:lvlJc w:val="left"/>
      <w:lvlText w:val="(%2)"/>
      <w:numFmt w:val="lowerLetter"/>
      <w:start w:val="9"/>
    </w:lvl>
  </w:abstractNum>
  <w:abstractNum w:abstractNumId="143">
    <w:nsid w:val="52D7B105"/>
    <w:multiLevelType w:val="hybridMultilevel"/>
    <w:lvl w:ilvl="0">
      <w:lvlJc w:val="left"/>
      <w:lvlText w:val="%1"/>
      <w:numFmt w:val="lowerLetter"/>
      <w:start w:val="1"/>
    </w:lvl>
    <w:lvl w:ilvl="1">
      <w:lvlJc w:val="left"/>
      <w:lvlText w:val="(%2)"/>
      <w:numFmt w:val="lowerLetter"/>
      <w:start w:val="35"/>
    </w:lvl>
  </w:abstractNum>
  <w:abstractNum w:abstractNumId="144">
    <w:nsid w:val="2E8A6394"/>
    <w:multiLevelType w:val="hybridMultilevel"/>
    <w:lvl w:ilvl="0">
      <w:lvlJc w:val="left"/>
      <w:lvlText w:val="(%1)"/>
      <w:numFmt w:val="lowerLetter"/>
      <w:start w:val="3"/>
    </w:lvl>
    <w:lvl w:ilvl="1">
      <w:lvlJc w:val="left"/>
      <w:lvlText w:val="%2"/>
      <w:numFmt w:val="lowerLetter"/>
      <w:start w:val="1"/>
    </w:lvl>
  </w:abstractNum>
  <w:abstractNum w:abstractNumId="145">
    <w:nsid w:val="24E60401"/>
    <w:multiLevelType w:val="hybridMultilevel"/>
    <w:lvl w:ilvl="0">
      <w:lvlJc w:val="left"/>
      <w:lvlText w:val="%1."/>
      <w:numFmt w:val="decimal"/>
      <w:start w:val="1"/>
    </w:lvl>
    <w:lvl w:ilvl="1">
      <w:lvlJc w:val="left"/>
      <w:lvlText w:val="(%2)"/>
      <w:numFmt w:val="lowerLetter"/>
      <w:start w:val="1"/>
    </w:lvl>
  </w:abstractNum>
  <w:abstractNum w:abstractNumId="146">
    <w:nsid w:val="2A6AD9BE"/>
    <w:multiLevelType w:val="hybridMultilevel"/>
    <w:lvl w:ilvl="0">
      <w:lvlJc w:val="left"/>
      <w:lvlText w:val="%1."/>
      <w:numFmt w:val="decimal"/>
      <w:start w:val="2"/>
    </w:lvl>
  </w:abstractNum>
  <w:abstractNum w:abstractNumId="147">
    <w:nsid w:val="BAAC1B4"/>
    <w:multiLevelType w:val="hybridMultilevel"/>
    <w:lvl w:ilvl="0">
      <w:lvlJc w:val="left"/>
      <w:lvlText w:val="%1."/>
      <w:numFmt w:val="decimal"/>
      <w:start w:val="3"/>
    </w:lvl>
  </w:abstractNum>
  <w:abstractNum w:abstractNumId="148">
    <w:nsid w:val="36B2ACBC"/>
    <w:multiLevelType w:val="hybridMultilevel"/>
    <w:lvl w:ilvl="0">
      <w:lvlJc w:val="left"/>
      <w:lvlText w:val="%1."/>
      <w:numFmt w:val="decimal"/>
      <w:start w:val="4"/>
    </w:lvl>
  </w:abstractNum>
  <w:abstractNum w:abstractNumId="149">
    <w:nsid w:val="779D8544"/>
    <w:multiLevelType w:val="hybridMultilevel"/>
    <w:lvl w:ilvl="0">
      <w:lvlJc w:val="left"/>
      <w:lvlText w:val="%1."/>
      <w:numFmt w:val="decimal"/>
      <w:start w:val="5"/>
    </w:lvl>
    <w:lvl w:ilvl="1">
      <w:lvlJc w:val="left"/>
      <w:lvlText w:val="(%2)"/>
      <w:numFmt w:val="lowerLetter"/>
      <w:start w:val="1"/>
    </w:lvl>
  </w:abstractNum>
  <w:abstractNum w:abstractNumId="150">
    <w:nsid w:val="4AB26E78"/>
    <w:multiLevelType w:val="hybridMultilevel"/>
    <w:lvl w:ilvl="0">
      <w:lvlJc w:val="left"/>
      <w:lvlText w:val="(%1)"/>
      <w:numFmt w:val="lowerLetter"/>
      <w:start w:val="2"/>
    </w:lvl>
    <w:lvl w:ilvl="1">
      <w:lvlJc w:val="left"/>
      <w:lvlText w:val="(%2)"/>
      <w:numFmt w:val="lowerRoman"/>
      <w:start w:val="1"/>
    </w:lvl>
  </w:abstractNum>
  <w:abstractNum w:abstractNumId="151">
    <w:nsid w:val="21FAA2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2">
    <w:nsid w:val="5451CF49"/>
    <w:multiLevelType w:val="hybridMultilevel"/>
    <w:lvl w:ilvl="0">
      <w:lvlJc w:val="left"/>
      <w:lvlText w:val="%1."/>
      <w:numFmt w:val="decimal"/>
      <w:start w:val="8"/>
    </w:lvl>
    <w:lvl w:ilvl="1">
      <w:lvlJc w:val="left"/>
      <w:lvlText w:val="(%2)"/>
      <w:numFmt w:val="lowerLetter"/>
      <w:start w:val="1"/>
    </w:lvl>
  </w:abstractNum>
  <w:abstractNum w:abstractNumId="153">
    <w:nsid w:val="6181EF69"/>
    <w:multiLevelType w:val="hybridMultilevel"/>
    <w:lvl w:ilvl="0">
      <w:lvlJc w:val="left"/>
      <w:lvlText w:val="%1."/>
      <w:numFmt w:val="decimal"/>
      <w:start w:val="9"/>
    </w:lvl>
    <w:lvl w:ilvl="1">
      <w:lvlJc w:val="left"/>
      <w:lvlText w:val="(%2)"/>
      <w:numFmt w:val="lowerLetter"/>
      <w:start w:val="1"/>
    </w:lvl>
  </w:abstractNum>
  <w:abstractNum w:abstractNumId="154">
    <w:nsid w:val="3E6400E6"/>
    <w:multiLevelType w:val="hybridMultilevel"/>
    <w:lvl w:ilvl="0">
      <w:lvlJc w:val="left"/>
      <w:lvlText w:val="%1"/>
      <w:numFmt w:val="decimal"/>
      <w:start w:val="1"/>
    </w:lvl>
    <w:lvl w:ilvl="1">
      <w:lvlJc w:val="left"/>
      <w:lvlText w:val="(%2)"/>
      <w:numFmt w:val="lowerLetter"/>
      <w:start w:val="4"/>
    </w:lvl>
  </w:abstractNum>
  <w:abstractNum w:abstractNumId="155">
    <w:nsid w:val="14217E23"/>
    <w:multiLevelType w:val="hybridMultilevel"/>
    <w:lvl w:ilvl="0">
      <w:lvlJc w:val="left"/>
      <w:lvlText w:val="%1."/>
      <w:numFmt w:val="decimal"/>
      <w:start w:val="11"/>
    </w:lvl>
    <w:lvl w:ilvl="1">
      <w:lvlJc w:val="left"/>
      <w:lvlText w:val="%2"/>
      <w:numFmt w:val="lowerLetter"/>
      <w:start w:val="1"/>
    </w:lvl>
  </w:abstractNum>
  <w:abstractNum w:abstractNumId="156">
    <w:nsid w:val="710757D0"/>
    <w:multiLevelType w:val="hybridMultilevel"/>
    <w:lvl w:ilvl="0">
      <w:lvlJc w:val="left"/>
      <w:lvlText w:val="%1."/>
      <w:numFmt w:val="decimal"/>
      <w:start w:val="12"/>
    </w:lvl>
  </w:abstractNum>
  <w:abstractNum w:abstractNumId="157">
    <w:nsid w:val="5015CD1A"/>
    <w:multiLevelType w:val="hybridMultilevel"/>
    <w:lvl w:ilvl="0">
      <w:lvlJc w:val="left"/>
      <w:lvlText w:val="%1."/>
      <w:numFmt w:val="decimal"/>
      <w:start w:val="13"/>
    </w:lvl>
  </w:abstractNum>
  <w:abstractNum w:abstractNumId="158">
    <w:nsid w:val="424479DA"/>
    <w:multiLevelType w:val="hybridMultilevel"/>
    <w:lvl w:ilvl="0">
      <w:lvlJc w:val="left"/>
      <w:lvlText w:val="%1."/>
      <w:numFmt w:val="decimal"/>
      <w:start w:val="14"/>
    </w:lvl>
    <w:lvl w:ilvl="1">
      <w:lvlJc w:val="left"/>
      <w:lvlText w:val="(%2)"/>
      <w:numFmt w:val="lowerLetter"/>
      <w:start w:val="1"/>
    </w:lvl>
  </w:abstractNum>
  <w:abstractNum w:abstractNumId="159">
    <w:nsid w:val="1A9A9E69"/>
    <w:multiLevelType w:val="hybridMultilevel"/>
    <w:lvl w:ilvl="0">
      <w:lvlJc w:val="left"/>
      <w:lvlText w:val="%1"/>
      <w:numFmt w:val="decimal"/>
      <w:start w:val="1"/>
    </w:lvl>
    <w:lvl w:ilvl="1">
      <w:lvlJc w:val="left"/>
      <w:lvlText w:val="(%2)"/>
      <w:numFmt w:val="lowerLetter"/>
      <w:start w:val="3"/>
    </w:lvl>
  </w:abstractNum>
  <w:abstractNum w:abstractNumId="160">
    <w:nsid w:val="475E256A"/>
    <w:multiLevelType w:val="hybridMultilevel"/>
    <w:lvl w:ilvl="0">
      <w:lvlJc w:val="left"/>
      <w:lvlText w:val="%1."/>
      <w:numFmt w:val="decimal"/>
      <w:start w:val="16"/>
    </w:lvl>
    <w:lvl w:ilvl="1">
      <w:lvlJc w:val="left"/>
      <w:lvlText w:val="(%2)"/>
      <w:numFmt w:val="lowerLetter"/>
      <w:start w:val="1"/>
    </w:lvl>
  </w:abstractNum>
  <w:abstractNum w:abstractNumId="161">
    <w:nsid w:val="368DB37E"/>
    <w:multiLevelType w:val="hybridMultilevel"/>
    <w:lvl w:ilvl="0">
      <w:lvlJc w:val="left"/>
      <w:lvlText w:val="%1."/>
      <w:numFmt w:val="decimal"/>
      <w:start w:val="17"/>
    </w:lvl>
    <w:lvl w:ilvl="1">
      <w:lvlJc w:val="left"/>
      <w:lvlText w:val="(%2)"/>
      <w:numFmt w:val="lowerLetter"/>
      <w:start w:val="1"/>
    </w:lvl>
  </w:abstractNum>
  <w:abstractNum w:abstractNumId="162">
    <w:nsid w:val="6A3B714C"/>
    <w:multiLevelType w:val="hybridMultilevel"/>
    <w:lvl w:ilvl="0">
      <w:lvlJc w:val="left"/>
      <w:lvlText w:val="%1."/>
      <w:numFmt w:val="decimal"/>
      <w:start w:val="19"/>
    </w:lvl>
  </w:abstractNum>
  <w:abstractNum w:abstractNumId="163">
    <w:nsid w:val="327B517E"/>
    <w:multiLevelType w:val="hybridMultilevel"/>
    <w:lvl w:ilvl="0">
      <w:lvlJc w:val="left"/>
      <w:lvlText w:val="-"/>
      <w:numFmt w:val="bullet"/>
      <w:start w:val="1"/>
    </w:lvl>
  </w:abstractNum>
  <w:abstractNum w:abstractNumId="164">
    <w:nsid w:val="1F461B51"/>
    <w:multiLevelType w:val="hybridMultilevel"/>
    <w:lvl w:ilvl="0">
      <w:lvlJc w:val="left"/>
      <w:lvlText w:val="%1."/>
      <w:numFmt w:val="decimal"/>
      <w:start w:val="1"/>
    </w:lvl>
    <w:lvl w:ilvl="1">
      <w:lvlJc w:val="left"/>
      <w:lvlText w:val="(%2)"/>
      <w:numFmt w:val="lowerLetter"/>
      <w:start w:val="1"/>
    </w:lvl>
  </w:abstractNum>
  <w:abstractNum w:abstractNumId="165">
    <w:nsid w:val="29BACF25"/>
    <w:multiLevelType w:val="hybridMultilevel"/>
    <w:lvl w:ilvl="0">
      <w:lvlJc w:val="left"/>
      <w:lvlText w:val="%1"/>
      <w:numFmt w:val="decimal"/>
      <w:start w:val="1"/>
    </w:lvl>
    <w:lvl w:ilvl="1">
      <w:lvlJc w:val="left"/>
      <w:lvlText w:val="(%2)"/>
      <w:numFmt w:val="lowerLetter"/>
      <w:start w:val="3"/>
    </w:lvl>
  </w:abstractNum>
  <w:abstractNum w:abstractNumId="166">
    <w:nsid w:val="5D5BABB3"/>
    <w:multiLevelType w:val="hybridMultilevel"/>
    <w:lvl w:ilvl="0">
      <w:lvlJc w:val="left"/>
      <w:lvlText w:val="%1."/>
      <w:numFmt w:val="decimal"/>
      <w:start w:val="2"/>
    </w:lvl>
    <w:lvl w:ilvl="1">
      <w:lvlJc w:val="left"/>
      <w:lvlText w:val="%2"/>
      <w:numFmt w:val="lowerLetter"/>
      <w:start w:val="1"/>
    </w:lvl>
  </w:abstractNum>
  <w:abstractNum w:abstractNumId="167">
    <w:nsid w:val="51BF6B4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8">
    <w:nsid w:val="7E0F6384"/>
    <w:multiLevelType w:val="hybridMultilevel"/>
    <w:lvl w:ilvl="0">
      <w:lvlJc w:val="left"/>
      <w:lvlText w:val="(%1)"/>
      <w:numFmt w:val="lowerLetter"/>
      <w:start w:val="3"/>
    </w:lvl>
    <w:lvl w:ilvl="1">
      <w:lvlJc w:val="left"/>
      <w:lvlText w:val="(%2)"/>
      <w:numFmt w:val="lowerRoman"/>
      <w:start w:val="1"/>
    </w:lvl>
  </w:abstractNum>
  <w:abstractNum w:abstractNumId="169">
    <w:nsid w:val="2B4B8B53"/>
    <w:multiLevelType w:val="hybridMultilevel"/>
    <w:lvl w:ilvl="0">
      <w:lvlJc w:val="left"/>
      <w:lvlText w:val="%1."/>
      <w:numFmt w:val="decimal"/>
      <w:start w:val="4"/>
    </w:lvl>
  </w:abstractNum>
  <w:abstractNum w:abstractNumId="170">
    <w:nsid w:val="72E3413A"/>
    <w:multiLevelType w:val="hybridMultilevel"/>
    <w:lvl w:ilvl="0">
      <w:lvlJc w:val="left"/>
      <w:lvlText w:val="%1."/>
      <w:numFmt w:val="decimal"/>
      <w:start w:val="5"/>
    </w:lvl>
  </w:abstractNum>
  <w:abstractNum w:abstractNumId="171">
    <w:nsid w:val="116AE494"/>
    <w:multiLevelType w:val="hybridMultilevel"/>
    <w:lvl w:ilvl="0">
      <w:lvlJc w:val="left"/>
      <w:lvlText w:val="%1."/>
      <w:numFmt w:val="decimal"/>
      <w:start w:val="6"/>
    </w:lvl>
  </w:abstractNum>
  <w:abstractNum w:abstractNumId="172">
    <w:nsid w:val="3494B2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3">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4">
    <w:nsid w:val="6442959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5">
    <w:nsid w:val="631F169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76">
    <w:nsid w:val="25973E32"/>
    <w:multiLevelType w:val="hybridMultilevel"/>
    <w:lvl w:ilvl="0">
      <w:lvlJc w:val="left"/>
      <w:lvlText w:val="%1."/>
      <w:numFmt w:val="decimal"/>
      <w:start w:val="9"/>
    </w:lvl>
    <w:lvl w:ilvl="1">
      <w:lvlJc w:val="left"/>
      <w:lvlText w:val="(%2)"/>
      <w:numFmt w:val="lowerLetter"/>
      <w:start w:val="1"/>
    </w:lvl>
  </w:abstractNum>
  <w:abstractNum w:abstractNumId="177">
    <w:nsid w:val="EAD6F57"/>
    <w:multiLevelType w:val="hybridMultilevel"/>
    <w:lvl w:ilvl="0">
      <w:lvlJc w:val="left"/>
      <w:lvlText w:val="(%1)"/>
      <w:numFmt w:val="lowerLetter"/>
      <w:start w:val="3"/>
    </w:lvl>
  </w:abstractNum>
  <w:abstractNum w:abstractNumId="178">
    <w:nsid w:val="6EC9D844"/>
    <w:multiLevelType w:val="hybridMultilevel"/>
    <w:lvl w:ilvl="0">
      <w:lvlJc w:val="left"/>
      <w:lvlText w:val="%1"/>
      <w:numFmt w:val="decimal"/>
      <w:start w:val="1"/>
    </w:lvl>
    <w:lvl w:ilvl="1">
      <w:lvlJc w:val="left"/>
      <w:lvlText w:val="(%2)"/>
      <w:numFmt w:val="lowerLetter"/>
      <w:start w:val="5"/>
    </w:lvl>
  </w:abstractNum>
  <w:abstractNum w:abstractNumId="179">
    <w:nsid w:val="5C49EAEE"/>
    <w:multiLevelType w:val="hybridMultilevel"/>
    <w:lvl w:ilvl="0">
      <w:lvlJc w:val="left"/>
      <w:lvlText w:val="%1."/>
      <w:numFmt w:val="decimal"/>
      <w:start w:val="10"/>
    </w:lvl>
    <w:lvl w:ilvl="1">
      <w:lvlJc w:val="left"/>
      <w:lvlText w:val="(%2)"/>
      <w:numFmt w:val="lowerLetter"/>
      <w:start w:val="1"/>
    </w:lvl>
  </w:abstractNum>
  <w:abstractNum w:abstractNumId="180">
    <w:nsid w:val="64AF49B"/>
    <w:multiLevelType w:val="hybridMultilevel"/>
    <w:lvl w:ilvl="0">
      <w:lvlJc w:val="left"/>
      <w:lvlText w:val="%1"/>
      <w:numFmt w:val="decimal"/>
      <w:start w:val="1"/>
    </w:lvl>
    <w:lvl w:ilvl="1">
      <w:lvlJc w:val="left"/>
      <w:lvlText w:val="(%2)"/>
      <w:numFmt w:val="lowerLetter"/>
      <w:start w:val="4"/>
    </w:lvl>
  </w:abstractNum>
  <w:abstractNum w:abstractNumId="181">
    <w:nsid w:val="397C46BC"/>
    <w:multiLevelType w:val="hybridMultilevel"/>
    <w:lvl w:ilvl="0">
      <w:lvlJc w:val="left"/>
      <w:lvlText w:val="%1."/>
      <w:numFmt w:val="decimal"/>
      <w:start w:val="12"/>
    </w:lvl>
    <w:lvl w:ilvl="1">
      <w:lvlJc w:val="left"/>
      <w:lvlText w:val="%2"/>
      <w:numFmt w:val="lowerLetter"/>
      <w:start w:val="1"/>
    </w:lvl>
  </w:abstractNum>
  <w:abstractNum w:abstractNumId="182">
    <w:nsid w:val="7E448DE9"/>
    <w:multiLevelType w:val="hybridMultilevel"/>
    <w:lvl w:ilvl="0">
      <w:lvlJc w:val="left"/>
      <w:lvlText w:val="%1."/>
      <w:numFmt w:val="decimal"/>
      <w:start w:val="13"/>
    </w:lvl>
  </w:abstractNum>
  <w:abstractNum w:abstractNumId="183">
    <w:nsid w:val="5A9CC3E5"/>
    <w:multiLevelType w:val="hybridMultilevel"/>
    <w:lvl w:ilvl="0">
      <w:lvlJc w:val="left"/>
      <w:lvlText w:val="%1."/>
      <w:numFmt w:val="decimal"/>
      <w:start w:val="14"/>
    </w:lvl>
  </w:abstractNum>
  <w:abstractNum w:abstractNumId="184">
    <w:nsid w:val="1AFE3625"/>
    <w:multiLevelType w:val="hybridMultilevel"/>
    <w:lvl w:ilvl="0">
      <w:lvlJc w:val="left"/>
      <w:lvlText w:val="%1."/>
      <w:numFmt w:val="decimal"/>
      <w:start w:val="15"/>
    </w:lvl>
    <w:lvl w:ilvl="1">
      <w:lvlJc w:val="left"/>
      <w:lvlText w:val="(%2)"/>
      <w:numFmt w:val="lowerLetter"/>
      <w:start w:val="1"/>
    </w:lvl>
  </w:abstractNum>
  <w:abstractNum w:abstractNumId="185">
    <w:nsid w:val="3CA88ECF"/>
    <w:multiLevelType w:val="hybridMultilevel"/>
    <w:lvl w:ilvl="0">
      <w:lvlJc w:val="left"/>
      <w:lvlText w:val="%1"/>
      <w:numFmt w:val="decimal"/>
      <w:start w:val="1"/>
    </w:lvl>
    <w:lvl w:ilvl="1">
      <w:lvlJc w:val="left"/>
      <w:lvlText w:val="(%2)"/>
      <w:numFmt w:val="lowerLetter"/>
      <w:start w:val="3"/>
    </w:lvl>
  </w:abstractNum>
  <w:abstractNum w:abstractNumId="186">
    <w:nsid w:val="6EBE4208"/>
    <w:multiLevelType w:val="hybridMultilevel"/>
    <w:lvl w:ilvl="0">
      <w:lvlJc w:val="left"/>
      <w:lvlText w:val="%1."/>
      <w:numFmt w:val="decimal"/>
      <w:start w:val="17"/>
    </w:lvl>
    <w:lvl w:ilvl="1">
      <w:lvlJc w:val="left"/>
      <w:lvlText w:val="(%2)"/>
      <w:numFmt w:val="lowerLetter"/>
      <w:start w:val="1"/>
    </w:lvl>
  </w:abstractNum>
  <w:abstractNum w:abstractNumId="187">
    <w:nsid w:val="C058DF5"/>
    <w:multiLevelType w:val="hybridMultilevel"/>
    <w:lvl w:ilvl="0">
      <w:lvlJc w:val="left"/>
      <w:lvlText w:val="%1"/>
      <w:numFmt w:val="decimal"/>
      <w:start w:val="1"/>
    </w:lvl>
    <w:lvl w:ilvl="1">
      <w:lvlJc w:val="left"/>
      <w:lvlText w:val="(%2)"/>
      <w:numFmt w:val="lowerLetter"/>
      <w:start w:val="3"/>
    </w:lvl>
  </w:abstractNum>
  <w:abstractNum w:abstractNumId="188">
    <w:nsid w:val="CBE5BE9"/>
    <w:multiLevelType w:val="hybridMultilevel"/>
    <w:lvl w:ilvl="0">
      <w:lvlJc w:val="left"/>
      <w:lvlText w:val="%1."/>
      <w:numFmt w:val="decimal"/>
      <w:start w:val="18"/>
    </w:lvl>
    <w:lvl w:ilvl="1">
      <w:lvlJc w:val="left"/>
      <w:lvlText w:val="(%2)"/>
      <w:numFmt w:val="lowerLetter"/>
      <w:start w:val="1"/>
    </w:lvl>
  </w:abstractNum>
  <w:abstractNum w:abstractNumId="189">
    <w:nsid w:val="3102BBE2"/>
    <w:multiLevelType w:val="hybridMultilevel"/>
    <w:lvl w:ilvl="0">
      <w:lvlJc w:val="left"/>
      <w:lvlText w:val="%1."/>
      <w:numFmt w:val="decimal"/>
      <w:start w:val="20"/>
    </w:lvl>
  </w:abstractNum>
  <w:abstractNum w:abstractNumId="190">
    <w:nsid w:val="26A02C5E"/>
    <w:multiLevelType w:val="hybridMultilevel"/>
    <w:lvl w:ilvl="0">
      <w:lvlJc w:val="left"/>
      <w:lvlText w:val="%1."/>
      <w:numFmt w:val="decimal"/>
      <w:start w:val="21"/>
    </w:lvl>
  </w:abstractNum>
  <w:abstractNum w:abstractNumId="191">
    <w:nsid w:val="541C8153"/>
    <w:multiLevelType w:val="hybridMultilevel"/>
    <w:lvl w:ilvl="0">
      <w:lvlJc w:val="left"/>
      <w:lvlText w:val="%1."/>
      <w:numFmt w:val="decimal"/>
      <w:start w:val="22"/>
    </w:lvl>
  </w:abstractNum>
  <w:abstractNum w:abstractNumId="192">
    <w:nsid w:val="67906F60"/>
    <w:multiLevelType w:val="hybridMultilevel"/>
    <w:lvl w:ilvl="0">
      <w:lvlJc w:val="left"/>
      <w:lvlText w:val="%1."/>
      <w:numFmt w:val="decimal"/>
      <w:start w:val="23"/>
    </w:lvl>
  </w:abstractNum>
  <w:abstractNum w:abstractNumId="193">
    <w:nsid w:val="10DB9DAA"/>
    <w:multiLevelType w:val="hybridMultilevel"/>
    <w:lvl w:ilvl="0">
      <w:lvlJc w:val="left"/>
      <w:lvlText w:val="%1."/>
      <w:numFmt w:val="decimal"/>
      <w:start w:val="24"/>
    </w:lvl>
  </w:abstractNum>
  <w:abstractNum w:abstractNumId="194">
    <w:nsid w:val="697D2D2"/>
    <w:multiLevelType w:val="hybridMultilevel"/>
    <w:lvl w:ilvl="0">
      <w:lvlJc w:val="left"/>
      <w:lvlText w:val="-"/>
      <w:numFmt w:val="bullet"/>
      <w:start w:val="1"/>
    </w:lvl>
  </w:abstractNum>
  <w:abstractNum w:abstractNumId="195">
    <w:nsid w:val="6D68AB2"/>
    <w:multiLevelType w:val="hybridMultilevel"/>
    <w:lvl w:ilvl="0">
      <w:lvlJc w:val="left"/>
      <w:lvlText w:val="(%1)"/>
      <w:numFmt w:val="lowerLetter"/>
      <w:start w:val="1"/>
    </w:lvl>
    <w:lvl w:ilvl="1">
      <w:lvlJc w:val="left"/>
      <w:lvlText w:val="(%2)"/>
      <w:numFmt w:val="lowerRoman"/>
      <w:start w:val="1"/>
    </w:lvl>
  </w:abstractNum>
  <w:abstractNum w:abstractNumId="196">
    <w:nsid w:val="3A966CD0"/>
    <w:multiLevelType w:val="hybridMultilevel"/>
    <w:lvl w:ilvl="0">
      <w:lvlJc w:val="left"/>
      <w:lvlText w:val="%1."/>
      <w:numFmt w:val="decimal"/>
      <w:start w:val="1"/>
    </w:lvl>
    <w:lvl w:ilvl="1">
      <w:lvlJc w:val="left"/>
      <w:lvlText w:val="%2."/>
      <w:numFmt w:val="lowerLetter"/>
      <w:start w:val="1"/>
    </w:lvl>
  </w:abstractNum>
  <w:abstractNum w:abstractNumId="197">
    <w:nsid w:val="63F37E85"/>
    <w:multiLevelType w:val="hybridMultilevel"/>
    <w:lvl w:ilvl="0">
      <w:lvlJc w:val="left"/>
      <w:lvlText w:val="%1."/>
      <w:numFmt w:val="decimal"/>
      <w:start w:val="1"/>
    </w:lvl>
    <w:lvl w:ilvl="1">
      <w:lvlJc w:val="left"/>
      <w:lvlText w:val="%2."/>
      <w:numFmt w:val="lowerLetter"/>
      <w:start w:val="1"/>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2019-12-28T22:52:29Z</dcterms:created>
  <dcterms:modified xsi:type="dcterms:W3CDTF">2019-12-28T22:52:29Z</dcterms:modified>
</cp:coreProperties>
</file>