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2" w:lineRule="exact"/>
        <w:rPr>
          <w:sz w:val="24"/>
          <w:szCs w:val="24"/>
          <w:color w:val="auto"/>
        </w:rPr>
      </w:pPr>
    </w:p>
    <w:p>
      <w:pPr>
        <w:ind w:left="520" w:right="320" w:hanging="512"/>
        <w:spacing w:after="0" w:line="261"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300" w:hanging="512"/>
        <w:spacing w:after="0" w:line="244"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3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-289560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p>
      <w:pPr>
        <w:spacing w:after="0" w:line="33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80-0743202</w:t>
      </w:r>
    </w:p>
    <w:p>
      <w:pPr>
        <w:spacing w:after="0" w:line="25" w:lineRule="exact"/>
        <w:rPr>
          <w:sz w:val="24"/>
          <w:szCs w:val="24"/>
          <w:color w:val="auto"/>
        </w:rPr>
      </w:pPr>
    </w:p>
    <w:p>
      <w:pPr>
        <w:sectPr>
          <w:pgSz w:w="11900" w:h="16838" w:orient="portrait"/>
          <w:cols w:equalWidth="0" w:num="2">
            <w:col w:w="8020" w:space="720"/>
            <w:col w:w="2500"/>
          </w:cols>
          <w:pgMar w:left="320" w:top="847"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 w:lineRule="exact"/>
        <w:rPr>
          <w:sz w:val="24"/>
          <w:szCs w:val="24"/>
          <w:color w:val="auto"/>
        </w:rPr>
      </w:pPr>
    </w:p>
    <w:p>
      <w:pPr>
        <w:sectPr>
          <w:pgSz w:w="11900" w:h="16838" w:orient="portrait"/>
          <w:cols w:equalWidth="0" w:num="2">
            <w:col w:w="7900" w:space="720"/>
            <w:col w:w="2620"/>
          </w:cols>
          <w:pgMar w:left="320" w:top="847" w:right="339"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2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7" w:right="339" w:bottom="1440" w:gutter="0" w:footer="0" w:header="0"/>
          <w:type w:val="continuous"/>
        </w:sectPr>
      </w:pP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690" w:type="dxa"/>
        <w:tblCellMar>
          <w:top w:w="0" w:type="dxa"/>
          <w:left w:w="0" w:type="dxa"/>
          <w:bottom w:w="0" w:type="dxa"/>
          <w:right w:w="0" w:type="dxa"/>
        </w:tblCellMar>
      </w:tblPr>
      <w:tr>
        <w:trPr>
          <w:trHeight w:val="259"/>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TRIP</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7"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792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960" w:type="dxa"/>
            <w:vAlign w:val="bottom"/>
            <w:gridSpan w:val="2"/>
          </w:tcPr>
          <w:p>
            <w:pPr>
              <w:spacing w:after="0"/>
              <w:rPr>
                <w:sz w:val="22"/>
                <w:szCs w:val="22"/>
                <w:color w:val="auto"/>
              </w:rPr>
            </w:pPr>
          </w:p>
        </w:tc>
        <w:tc>
          <w:tcPr>
            <w:tcW w:w="3280" w:type="dxa"/>
            <w:vAlign w:val="bottom"/>
          </w:tcPr>
          <w:p>
            <w:pPr>
              <w:jc w:val="center"/>
              <w:ind w:right="737"/>
              <w:spacing w:after="0"/>
              <w:rPr>
                <w:sz w:val="20"/>
                <w:szCs w:val="20"/>
                <w:color w:val="auto"/>
              </w:rPr>
            </w:pPr>
            <w:r>
              <w:rPr>
                <w:rFonts w:ascii="Times New Roman" w:cs="Times New Roman" w:eastAsia="Times New Roman" w:hAnsi="Times New Roman"/>
                <w:sz w:val="14"/>
                <w:szCs w:val="14"/>
                <w:color w:val="auto"/>
              </w:rPr>
              <w:t>Outstanding Shares at October 31, 2024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8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3280" w:type="dxa"/>
            <w:vAlign w:val="bottom"/>
          </w:tcPr>
          <w:p>
            <w:pPr>
              <w:jc w:val="center"/>
              <w:ind w:right="717"/>
              <w:spacing w:after="0" w:line="191" w:lineRule="exact"/>
              <w:rPr>
                <w:sz w:val="20"/>
                <w:szCs w:val="20"/>
                <w:color w:val="auto"/>
              </w:rPr>
            </w:pPr>
            <w:r>
              <w:rPr>
                <w:rFonts w:ascii="Times New Roman" w:cs="Times New Roman" w:eastAsia="Times New Roman" w:hAnsi="Times New Roman"/>
                <w:sz w:val="18"/>
                <w:szCs w:val="18"/>
                <w:color w:val="auto"/>
              </w:rPr>
              <w:t>126,535,867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Class B common stock, $0.001 par value per share</w:t>
            </w:r>
          </w:p>
        </w:tc>
        <w:tc>
          <w:tcPr>
            <w:tcW w:w="3280" w:type="dxa"/>
            <w:vAlign w:val="bottom"/>
          </w:tcPr>
          <w:p>
            <w:pPr>
              <w:jc w:val="center"/>
              <w:ind w:right="737"/>
              <w:spacing w:after="0"/>
              <w:rPr>
                <w:sz w:val="20"/>
                <w:szCs w:val="20"/>
                <w:color w:val="auto"/>
              </w:rPr>
            </w:pPr>
            <w:r>
              <w:rPr>
                <w:rFonts w:ascii="Times New Roman" w:cs="Times New Roman" w:eastAsia="Times New Roman" w:hAnsi="Times New Roman"/>
                <w:sz w:val="18"/>
                <w:szCs w:val="18"/>
                <w:color w:val="auto"/>
                <w:w w:val="99"/>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9"/>
        </w:trPr>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8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860" w:type="dxa"/>
            <w:vAlign w:val="bottom"/>
            <w:gridSpan w:val="22"/>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September 30,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Nine Months Ended September 30, 2024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940" w:type="dxa"/>
            <w:vAlign w:val="bottom"/>
            <w:tcBorders>
              <w:top w:val="single" w:sz="8" w:color="0000FF"/>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and 2023</w:t>
            </w:r>
          </w:p>
        </w:tc>
        <w:tc>
          <w:tcPr>
            <w:tcW w:w="240" w:type="dxa"/>
            <w:vAlign w:val="bottom"/>
          </w:tcPr>
          <w:p>
            <w:pPr>
              <w:spacing w:after="0"/>
              <w:rPr>
                <w:sz w:val="17"/>
                <w:szCs w:val="17"/>
                <w:color w:val="auto"/>
              </w:rPr>
            </w:pPr>
          </w:p>
        </w:tc>
        <w:tc>
          <w:tcPr>
            <w:tcW w:w="3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September 30, 2024 and December 31,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and Nine Months Ended September 30,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700" w:type="dxa"/>
            <w:vAlign w:val="bottom"/>
            <w:tcBorders>
              <w:top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2024 and 2023</w:t>
            </w:r>
          </w:p>
        </w:tc>
        <w:tc>
          <w:tcPr>
            <w:tcW w:w="480" w:type="dxa"/>
            <w:vAlign w:val="bottom"/>
            <w:gridSpan w:val="2"/>
          </w:tcPr>
          <w:p>
            <w:pPr>
              <w:spacing w:after="0"/>
              <w:rPr>
                <w:sz w:val="17"/>
                <w:szCs w:val="17"/>
                <w:color w:val="auto"/>
              </w:rPr>
            </w:pPr>
          </w:p>
        </w:tc>
        <w:tc>
          <w:tcPr>
            <w:tcW w:w="3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48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860" w:type="dxa"/>
            <w:vAlign w:val="bottom"/>
            <w:gridSpan w:val="6"/>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25"/>
        </w:trPr>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854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92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980" w:type="dxa"/>
            <w:vAlign w:val="bottom"/>
            <w:gridSpan w:val="13"/>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960" w:type="dxa"/>
            <w:vAlign w:val="bottom"/>
            <w:gridSpan w:val="8"/>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980" w:type="dxa"/>
            <w:vAlign w:val="bottom"/>
            <w:gridSpan w:val="10"/>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540" w:type="dxa"/>
            <w:vAlign w:val="bottom"/>
            <w:gridSpan w:val="11"/>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4"/>
          </w:tcPr>
          <w:p>
            <w:pPr>
              <w:spacing w:after="0"/>
              <w:rPr>
                <w:sz w:val="18"/>
                <w:szCs w:val="18"/>
                <w:color w:val="auto"/>
              </w:rPr>
            </w:pPr>
          </w:p>
        </w:tc>
        <w:tc>
          <w:tcPr>
            <w:tcW w:w="9000" w:type="dxa"/>
            <w:vAlign w:val="bottom"/>
            <w:gridSpan w:val="14"/>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0100" w:type="dxa"/>
            <w:vAlign w:val="bottom"/>
            <w:gridSpan w:val="19"/>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90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5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(Note 3)</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20"/>
                <w:szCs w:val="20"/>
                <w:color w:val="auto"/>
              </w:rPr>
            </w:pP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500" w:type="dxa"/>
            <w:vAlign w:val="bottom"/>
          </w:tcPr>
          <w:p>
            <w:pPr>
              <w:ind w:left="200"/>
              <w:spacing w:after="0" w:line="211"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(exclusive of depreciation and amortization as shown separately</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249"/>
        </w:trPr>
        <w:tc>
          <w:tcPr>
            <w:tcW w:w="6500" w:type="dxa"/>
            <w:vAlign w:val="bottom"/>
            <w:shd w:val="clear" w:color="auto" w:fill="CFF0FC"/>
          </w:tcPr>
          <w:p>
            <w:pPr>
              <w:ind w:left="200"/>
              <w:spacing w:after="0" w:line="249" w:lineRule="exact"/>
              <w:rPr>
                <w:sz w:val="20"/>
                <w:szCs w:val="20"/>
                <w:color w:val="auto"/>
              </w:rPr>
            </w:pPr>
            <w:r>
              <w:rPr>
                <w:rFonts w:ascii="Times New Roman" w:cs="Times New Roman" w:eastAsia="Times New Roman" w:hAnsi="Times New Roman"/>
                <w:sz w:val="18"/>
                <w:szCs w:val="18"/>
                <w:color w:val="auto"/>
              </w:rPr>
              <w:t xml:space="preserve">Selling and marketing </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1"/>
                <w:szCs w:val="21"/>
                <w:color w:val="auto"/>
              </w:rPr>
            </w:pPr>
          </w:p>
        </w:tc>
      </w:tr>
      <w:tr>
        <w:trPr>
          <w:trHeight w:val="243"/>
        </w:trPr>
        <w:tc>
          <w:tcPr>
            <w:tcW w:w="65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Technology and content </w:t>
            </w:r>
            <w:r>
              <w:rPr>
                <w:rFonts w:ascii="Times New Roman" w:cs="Times New Roman" w:eastAsia="Times New Roman" w:hAnsi="Times New Roman"/>
                <w:sz w:val="24"/>
                <w:szCs w:val="24"/>
                <w:color w:val="auto"/>
                <w:vertAlign w:val="superscript"/>
              </w:rPr>
              <w:t>(1)</w:t>
            </w:r>
          </w:p>
        </w:tc>
        <w:tc>
          <w:tcPr>
            <w:tcW w:w="6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r>
      <w:tr>
        <w:trPr>
          <w:trHeight w:val="243"/>
        </w:trPr>
        <w:tc>
          <w:tcPr>
            <w:tcW w:w="65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reorganization costs (benefit) (Note 5)</w:t>
            </w:r>
          </w:p>
        </w:tc>
        <w:tc>
          <w:tcPr>
            <w:tcW w:w="6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36"/>
        </w:trPr>
        <w:tc>
          <w:tcPr>
            <w:tcW w:w="6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top w:val="single" w:sz="8" w:color="CFF0FC"/>
            </w:tcBorders>
          </w:tcPr>
          <w:p>
            <w:pPr>
              <w:spacing w:after="0"/>
              <w:rPr>
                <w:sz w:val="20"/>
                <w:szCs w:val="20"/>
                <w:color w:val="auto"/>
              </w:rPr>
            </w:pPr>
          </w:p>
        </w:tc>
      </w:tr>
      <w:tr>
        <w:trPr>
          <w:trHeight w:val="23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0"/>
                <w:szCs w:val="20"/>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6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6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tcPr>
          <w:p>
            <w:pPr>
              <w:spacing w:after="0"/>
              <w:rPr>
                <w:sz w:val="20"/>
                <w:szCs w:val="20"/>
                <w:color w:val="auto"/>
              </w:rPr>
            </w:pP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r>
      <w:tr>
        <w:trPr>
          <w:trHeight w:val="243"/>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 (Note 8)</w:t>
            </w:r>
          </w:p>
        </w:tc>
        <w:tc>
          <w:tcPr>
            <w:tcW w:w="66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6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(84 )</w:t>
            </w:r>
          </w:p>
        </w:tc>
        <w:tc>
          <w:tcPr>
            <w:tcW w:w="3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0"/>
        </w:trPr>
        <w:tc>
          <w:tcPr>
            <w:tcW w:w="6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4"/>
                <w:szCs w:val="24"/>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6500" w:type="dxa"/>
            <w:vAlign w:val="bottom"/>
            <w:tcBorders>
              <w:top w:val="single" w:sz="8" w:color="CFF0FC"/>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12):</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0.28</w:t>
            </w:r>
          </w:p>
        </w:tc>
        <w:tc>
          <w:tcPr>
            <w:tcW w:w="260" w:type="dxa"/>
            <w:vAlign w:val="bottom"/>
          </w:tcPr>
          <w:p>
            <w:pPr>
              <w:spacing w:after="0"/>
              <w:rPr>
                <w:sz w:val="20"/>
                <w:szCs w:val="20"/>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0.27</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 attributable to common</w:t>
            </w: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(Note 12):</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0"/>
                <w:szCs w:val="20"/>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(Note 12):</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r>
      <w:tr>
        <w:trPr>
          <w:trHeight w:val="243"/>
        </w:trPr>
        <w:tc>
          <w:tcPr>
            <w:tcW w:w="6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 Includes stock-based compensation expense as follows (Note 10):</w:t>
            </w: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8"/>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-4520565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-4520565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-4520565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-4520565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-3578225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-3578225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-3578225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-3578225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-2936240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-2919095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-2936240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-2919095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-2936240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-2919095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198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63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Reclassification adjustments included in net income (loss), net of tax </w:t>
            </w:r>
            <w:r>
              <w:rPr>
                <w:rFonts w:ascii="Times New Roman" w:cs="Times New Roman" w:eastAsia="Times New Roman" w:hAnsi="Times New Roman"/>
                <w:sz w:val="24"/>
                <w:szCs w:val="24"/>
                <w:color w:val="auto"/>
                <w:vertAlign w:val="superscript"/>
              </w:rPr>
              <w:t>(1)</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6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6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-187960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  Deferred income tax liabilities related to these amounts are not material.</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8"/>
        </w:trPr>
        <w:tc>
          <w:tcPr>
            <w:tcW w:w="8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and cash equivalents (Note 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 (allowance for expected credit losses of $28 and $21, respectively) (Note 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Income taxes receivable (Note 8)</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r>
      <w:tr>
        <w:trPr>
          <w:trHeight w:val="22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00" w:type="dxa"/>
            <w:vAlign w:val="bottom"/>
            <w:shd w:val="clear" w:color="auto" w:fill="CFF0FC"/>
          </w:tcPr>
          <w:p>
            <w:pPr>
              <w:spacing w:after="0"/>
              <w:rPr>
                <w:sz w:val="19"/>
                <w:szCs w:val="19"/>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Property and equipment, net of accumulated depreciation of $576 and $551, respectively</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Intangible assets, net of accumulated amortization of $201 and $208, respectively</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Non-marketable investments (Note 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FF0FC"/>
          </w:tcPr>
          <w:p>
            <w:pPr>
              <w:spacing w:after="0"/>
              <w:rPr>
                <w:sz w:val="20"/>
                <w:szCs w:val="20"/>
                <w:color w:val="auto"/>
              </w:rPr>
            </w:pPr>
          </w:p>
        </w:tc>
      </w:tr>
      <w:tr>
        <w:trPr>
          <w:trHeight w:val="228"/>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long-term assets, net (allowance for credit losses of $10 and $10, respectively) (Note 4)</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r>
      <w:tr>
        <w:trPr>
          <w:trHeight w:val="262"/>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1"/>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merchant payables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revenue (Note 3)</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Current portion of debt (Note 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Income taxes payable (Note 8)</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 (Note 5)</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r>
      <w:tr>
        <w:trPr>
          <w:trHeight w:val="22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FF0FC"/>
          </w:tcPr>
          <w:p>
            <w:pPr>
              <w:spacing w:after="0"/>
              <w:rPr>
                <w:sz w:val="19"/>
                <w:szCs w:val="19"/>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Long-term debt (Note 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Finance lease obligation, net of current portion</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income taxes, net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long-term liabilities (Note 7)</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r>
      <w:tr>
        <w:trPr>
          <w:trHeight w:val="22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 (Note 11)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Preferred stock, $0.001 par value</w:t>
            </w: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Authorized shares: 100,000,000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Shares issued and outstanding: 0 and 0, respectively</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 $0.001 par value</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Authorized shares: 1,600,000,000</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Shares issued: 152,675,707 and 149,775,361, respectively</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Shares outstanding: 126,415,455 and 124,881,494, respectively</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Class B common stock, $0.001 par value</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Authorized shares: 400,000,000</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Shares issued and outstanding: 12,799,999 and 12,799,999, respectively</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1,577</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shd w:val="clear" w:color="auto" w:fill="CFF0FC"/>
          </w:tcPr>
          <w:p>
            <w:pPr>
              <w:spacing w:after="0"/>
              <w:rPr>
                <w:sz w:val="20"/>
                <w:szCs w:val="20"/>
                <w:color w:val="auto"/>
              </w:rPr>
            </w:pP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r>
      <w:tr>
        <w:trPr>
          <w:trHeight w:val="233"/>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(61 )</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(71 )</w:t>
            </w:r>
          </w:p>
        </w:tc>
      </w:tr>
      <w:tr>
        <w:trPr>
          <w:trHeight w:val="226"/>
        </w:trPr>
        <w:tc>
          <w:tcPr>
            <w:tcW w:w="8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stock-common stock, at cost, 26,260,252 and 24,893,867 shares, respectively</w:t>
            </w: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(847 )</w:t>
            </w: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(822 )</w:t>
            </w:r>
          </w:p>
        </w:tc>
      </w:tr>
      <w:tr>
        <w:trPr>
          <w:trHeight w:val="22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-5187950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-5170805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-5187950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-2816225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1"/>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ed</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24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vMerge w:val="restart"/>
          </w:tcPr>
          <w:p>
            <w:pPr>
              <w:spacing w:after="0"/>
              <w:rPr>
                <w:sz w:val="11"/>
                <w:szCs w:val="11"/>
                <w:color w:val="auto"/>
              </w:rPr>
            </w:pPr>
          </w:p>
        </w:tc>
        <w:tc>
          <w:tcPr>
            <w:tcW w:w="3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152,027</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(26,260,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$ 1,546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(78 )</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252 )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and vesting of RSUs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648,279</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on net share settlements of equity</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152,675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(26,260,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$ 1,577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(61 )</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252 )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8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ed</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5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24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120" w:type="dxa"/>
            <w:vAlign w:val="bottom"/>
          </w:tcPr>
          <w:p>
            <w:pPr>
              <w:spacing w:after="0"/>
              <w:rPr>
                <w:sz w:val="16"/>
                <w:szCs w:val="16"/>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149,775</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(24,893,</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$ 1,493</w:t>
            </w: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(71 )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867 )</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2 )</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and vesting of RSUs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 (Note 11)</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(25 )</w:t>
            </w: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on net share settlements of equity</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152,675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(26,260,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$ 1,577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(61 )</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252 )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-3475990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-3458845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-3475990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-3458845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-3475990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-3458845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-3475990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-3458845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-3475990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-3458845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-3475990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-3458845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-3475990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-3458845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-3475990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-3458845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-3475990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-3458845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1"/>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ed</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24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120" w:type="dxa"/>
            <w:vAlign w:val="bottom"/>
          </w:tcPr>
          <w:p>
            <w:pPr>
              <w:spacing w:after="0"/>
              <w:rPr>
                <w:sz w:val="16"/>
                <w:szCs w:val="16"/>
                <w:color w:val="auto"/>
              </w:rPr>
            </w:pP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148,642</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(23,569,</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,645</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$ 1,445</w:t>
            </w: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(79 )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343 )</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and vesting of RSUs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538,556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 on net share settlements of equity</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149,181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$ 1,470</w:t>
            </w:r>
          </w:p>
        </w:tc>
        <w:tc>
          <w:tcPr>
            <w:tcW w:w="2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2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(89 )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343 )</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8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ed</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Retaine</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8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Amo</w:t>
            </w:r>
          </w:p>
        </w:tc>
        <w:tc>
          <w:tcPr>
            <w:tcW w:w="24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vMerge w:val="restart"/>
          </w:tcPr>
          <w:p>
            <w:pPr>
              <w:spacing w:after="0"/>
              <w:rPr>
                <w:sz w:val="11"/>
                <w:szCs w:val="11"/>
                <w:color w:val="auto"/>
              </w:rPr>
            </w:pPr>
          </w:p>
        </w:tc>
        <w:tc>
          <w:tcPr>
            <w:tcW w:w="3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Amo</w:t>
            </w:r>
          </w:p>
        </w:tc>
        <w:tc>
          <w:tcPr>
            <w:tcW w:w="240" w:type="dxa"/>
            <w:vAlign w:val="bottom"/>
          </w:tcPr>
          <w:p>
            <w:pPr>
              <w:spacing w:after="0"/>
              <w:rPr>
                <w:sz w:val="11"/>
                <w:szCs w:val="11"/>
                <w:color w:val="auto"/>
              </w:rPr>
            </w:pPr>
          </w:p>
        </w:tc>
        <w:tc>
          <w:tcPr>
            <w:tcW w:w="4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146,891</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(18,844,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$ 1,404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(82 )</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614 )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52"/>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0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and vesting of RSUs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(4,724,7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 (Note 11)</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7"/>
              </w:rPr>
              <w:t>(75 )</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0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 on net share settlements of equity</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149,181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24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$ 1,470</w:t>
            </w:r>
          </w:p>
        </w:tc>
        <w:tc>
          <w:tcPr>
            <w:tcW w:w="2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2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(89 )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343 )</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7 )</w:t>
            </w: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-3646805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-3646805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-3646805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-3646805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-3646805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-3646805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-3646805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-3646805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-3646805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-3646805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-307340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-307340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-307340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-307340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-307340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-307340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-307340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-307340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-307340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47"/>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(Note 10)</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(24 )</w:t>
            </w:r>
          </w:p>
        </w:tc>
        <w:tc>
          <w:tcPr>
            <w:tcW w:w="9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prepaid expenses and other assets</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(76 )</w:t>
            </w:r>
          </w:p>
        </w:tc>
        <w:tc>
          <w:tcPr>
            <w:tcW w:w="9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47"/>
        </w:trPr>
        <w:tc>
          <w:tcPr>
            <w:tcW w:w="8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9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(87 )</w:t>
            </w:r>
          </w:p>
        </w:tc>
        <w:tc>
          <w:tcPr>
            <w:tcW w:w="9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r>
      <w:tr>
        <w:trPr>
          <w:trHeight w:val="23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0"/>
                <w:szCs w:val="20"/>
                <w:color w:val="auto"/>
              </w:rPr>
            </w:pPr>
          </w:p>
        </w:tc>
      </w:tr>
      <w:tr>
        <w:trPr>
          <w:trHeight w:val="243"/>
        </w:trPr>
        <w:tc>
          <w:tcPr>
            <w:tcW w:w="8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(51 )</w:t>
            </w:r>
          </w:p>
        </w:tc>
        <w:tc>
          <w:tcPr>
            <w:tcW w:w="9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8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(51 )</w:t>
            </w:r>
          </w:p>
        </w:tc>
        <w:tc>
          <w:tcPr>
            <w:tcW w:w="9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8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 (Note 11)</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9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Term Loan B Facility, net of financing costs (Note 6)</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2025 Senior Notes (Note 6)</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(500 )</w:t>
            </w:r>
          </w:p>
        </w:tc>
        <w:tc>
          <w:tcPr>
            <w:tcW w:w="9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financing costs related to Credit Facility (Note 6)</w:t>
            </w:r>
          </w:p>
        </w:tc>
        <w:tc>
          <w:tcPr>
            <w:tcW w:w="9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9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9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finance lease obligation</w:t>
            </w:r>
          </w:p>
        </w:tc>
        <w:tc>
          <w:tcPr>
            <w:tcW w:w="9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9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80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(55 )</w:t>
            </w:r>
          </w:p>
        </w:tc>
        <w:tc>
          <w:tcPr>
            <w:tcW w:w="9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41"/>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8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top w:val="single" w:sz="8" w:color="CFF0F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FF0FC"/>
            </w:tcBorders>
          </w:tcPr>
          <w:p>
            <w:pPr>
              <w:spacing w:after="0"/>
              <w:rPr>
                <w:sz w:val="20"/>
                <w:szCs w:val="20"/>
                <w:color w:val="auto"/>
              </w:rPr>
            </w:pPr>
          </w:p>
        </w:tc>
      </w:tr>
      <w:tr>
        <w:trPr>
          <w:trHeight w:val="241"/>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0"/>
                <w:szCs w:val="20"/>
                <w:color w:val="auto"/>
              </w:rPr>
            </w:pP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(received) during the period for income taxes, net of refunds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spacing w:after="0"/>
              <w:rPr>
                <w:sz w:val="20"/>
                <w:szCs w:val="20"/>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6007100</wp:posOffset>
            </wp:positionH>
            <wp:positionV relativeFrom="paragraph">
              <wp:posOffset>-1283970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-967105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-650240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Tripadvisor Group operates as a family of brands with the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Brand Tripadvisor offers travelers and experience seekers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As of December 31, 2023, Brand Tripadvisor offered more than 1 billion user-generated ratings and reviews on over 8 million experiences, accommodations, restaurants, airlines, and cruises.</w:t>
      </w:r>
    </w:p>
    <w:p>
      <w:pPr>
        <w:spacing w:after="0" w:line="74"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operators around the globe. Viator's online marketplace is comprehensive, connecting travelers to bookable tours, activities and attractions—consisting of over 350,000 experiences from more than 55,000 operators as of December 31, 2023.</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TheFork provides an online marketplace that enables diners to discover and book online reservations at approximately 55,000 restaurants in 11 countries, across the U.K. and western and central Europe,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2023, previously filed with the SEC (the "2023 Annual Report"). The unaudited condensed consolidated balance sheet as of December 31, 2023 included herein was derived from the audited consolidated financial statements as of that date, but does not include all disclosures including notes required by GAAP.</w:t>
      </w:r>
    </w:p>
    <w:p>
      <w:pPr>
        <w:spacing w:after="0" w:line="18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Liberty Tripadvisor Holdings, Inc.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Because each share of Class B common stock is entitled to ten votes per share and each share of common stock is entitled to one vote per share, LTRIP may be deemed to beneficially own equity securities representing approximately 57% of our voting power. We had no related party transactions with LTRIP during each of the three and nine months ended September 30,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was negatively impacted by the risks and uncertainties related to the COVID-19 pandemic and our business would be adversely and materially affected upon a resurgence of COVID-19 or the emergence of any new pandemic or other health crisis that results in reinstated travel bans and/or other government restrictions and mandates. Following the lifting of restrictions in connection with the COVID-19 pandemic, travel demand increased. In addition, the U.S. and other countries have seen elevated and fluctuating levels of inflation and decreases in discretionary spending patterns by consumers.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spacing w:after="0" w:line="18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5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2023,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consolidated financial statements in Item 8 of our 2023 Annual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annual periods beginning after December 15, 2024, and should be applied prospectively, but entities have the option to apply it retrospectively for each period presented. Early adoption is permitted for annual financial statements that have not yet been issued or made available for issuance. We are currently considering our timing of adoption and are in the process of evaluating the impact of adopting this newly issued accounting rule on our consolidated financial statements and related disclosures.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new accounting guidance which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guidance is effective for annual periods beginning after December 15, 2023, and interim periods within annual periods beginning after December 15, 2024, with early adoption permitted, including adoption in any interim period. We will adopt this guidance with our Annual Report on Form 10-K for the year ended December 31, 2024. The Company is in the process of evaluating changes which may be required to support our future reportable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segment disclosures in order to comply with this new guidance, including evaluation of internal reporting, operational processes, controls, and other areas.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2023,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2023 Annual Report. There was no significant revenue recognized in the three and nine months ended September 30, 2024 and 2023,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our business consists of three reportable segments – (1) Brand Tripadvisor; (2) Viator; and (3) TheFork. A reconciliation of disaggregated revenue to segment revenue is included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28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24"/>
                <w:szCs w:val="24"/>
                <w:b w:val="1"/>
                <w:bCs w:val="1"/>
                <w:color w:val="auto"/>
                <w:vertAlign w:val="superscript"/>
              </w:rPr>
              <w:t>(1)</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20"/>
                <w:szCs w:val="20"/>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24"/>
                <w:szCs w:val="24"/>
                <w:color w:val="auto"/>
                <w:vertAlign w:val="superscript"/>
              </w:rPr>
              <w:t>(2)</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Brand Tripadvisor</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4"/>
                <w:szCs w:val="24"/>
                <w:color w:val="auto"/>
                <w:vertAlign w:val="superscript"/>
              </w:rPr>
              <w:t>(2)</w:t>
            </w:r>
          </w:p>
        </w:tc>
        <w:tc>
          <w:tcPr>
            <w:tcW w:w="10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(42 )</w:t>
            </w:r>
          </w:p>
        </w:tc>
        <w:tc>
          <w:tcPr>
            <w:tcW w:w="10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(44 )</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(109 )</w:t>
            </w:r>
          </w:p>
        </w:tc>
        <w:tc>
          <w:tcPr>
            <w:tcW w:w="3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76"/>
        </w:trPr>
        <w:tc>
          <w:tcPr>
            <w:tcW w:w="4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top w:val="single" w:sz="8" w:color="auto"/>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-967105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-967105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-967105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840" w:hanging="383"/>
        <w:spacing w:after="0"/>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revenue is recognized primarily at a point in time for all reportable segments.</w:t>
      </w:r>
    </w:p>
    <w:p>
      <w:pPr>
        <w:spacing w:after="0" w:line="18" w:lineRule="exact"/>
        <w:rPr>
          <w:rFonts w:ascii="Times New Roman" w:cs="Times New Roman" w:eastAsia="Times New Roman" w:hAnsi="Times New Roman"/>
          <w:sz w:val="16"/>
          <w:szCs w:val="16"/>
          <w:color w:val="auto"/>
        </w:rPr>
      </w:pPr>
    </w:p>
    <w:p>
      <w:pPr>
        <w:ind w:left="840" w:right="200" w:hanging="383"/>
        <w:spacing w:after="0" w:line="239" w:lineRule="auto"/>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See “Note 13: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a discussion of intersegment revenue for all periods presented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2024, we had $49 million recorded as deferred revenue on our unaudited condensed consolidated balance sheet, of which $7 million and $45 million was recognized as revenue during the three and nine months ended September 30, 2024, respectively. As of January 1, 2023, we had $44 million recorded as deferred revenue on our unaudited condensed consolidated balance sheet, of which $4 million and $40 million was recognized as revenue during the three and nine months ended September 30, 2023, respectively. During the three months ended September 30, 2024 and 2023, refunds due to cancellations by travelers were not material, while refunds due to cancellations by travelers during the nine months ended September 30, 2024 and 2023 were $3 million. The difference between the opening and closing balances of our deferred revenue primarily results from the timing differences between when we receive customer payments and the time in which we satisfy our performance obligations.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 AND FAIR VALUE MEASUREMENTS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40"/>
        <w:spacing w:after="0" w:line="265"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9" w:lineRule="exact"/>
        <w:rPr>
          <w:sz w:val="20"/>
          <w:szCs w:val="20"/>
          <w:color w:val="auto"/>
        </w:rPr>
      </w:pPr>
    </w:p>
    <w:p>
      <w:pPr>
        <w:ind w:left="520" w:right="220"/>
        <w:spacing w:after="0" w:line="281"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both September 30, 2024 and December 31, 2023, we had approximately $1.1 billion of cash and cash equivalents, which consisted of available on demand bank deposits and money market funds, with maturities of 90 days or less at the date of purchase, in each case, with major global financial institutions. We had no outstanding investments classified as either short-term or long-term marketable securities as of September 30, 2024 or December 31, 2023, and there were no purchases or sales of any marketable securities during and for the three and nine months ended September 30, 2024 and 2023.</w:t>
      </w:r>
    </w:p>
    <w:p>
      <w:pPr>
        <w:spacing w:after="0" w:line="18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September 30, 2024 and December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80" w:type="dxa"/>
            <w:vAlign w:val="bottom"/>
          </w:tcPr>
          <w:p>
            <w:pPr>
              <w:spacing w:after="0"/>
              <w:rPr>
                <w:sz w:val="11"/>
                <w:szCs w:val="11"/>
                <w:color w:val="auto"/>
              </w:rPr>
            </w:pP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08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-187960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-187960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0" w:firstLine="544"/>
        <w:spacing w:after="0" w:line="252"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three and nine months ended September 30, 2024 and 2023, our forward contracts were not designated as hedges and generally had maturities of less than 90 days. Our outstanding or unsettled forward contracts are carried at fair value on our unaudited condensed consolidated balance sheet. We measure the fair value of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foreign currency forward contracts in other income (expense), net on our unaudited condensed consolidated statement of operations. We recorded a net loss of $1 million for both the three and nine months ended September 30, 2024, and a net gain of $1 million for both the three and nine months ended September 30,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2" w:name="page13"/>
    <w:bookmarkEnd w:id="12"/>
    <w:p>
      <w:pPr>
        <w:ind w:left="54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7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4"/>
                <w:szCs w:val="14"/>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74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Foreign currency exchange-forward contracts </w:t>
            </w:r>
            <w:r>
              <w:rPr>
                <w:rFonts w:ascii="Times New Roman" w:cs="Times New Roman" w:eastAsia="Times New Roman" w:hAnsi="Times New Roman"/>
                <w:sz w:val="24"/>
                <w:szCs w:val="24"/>
                <w:color w:val="auto"/>
                <w:vertAlign w:val="superscript"/>
              </w:rPr>
              <w:t>(1) (2)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r>
    </w:tbl>
    <w:p>
      <w:pPr>
        <w:spacing w:after="0" w:line="85" w:lineRule="exact"/>
        <w:rPr>
          <w:sz w:val="20"/>
          <w:szCs w:val="20"/>
          <w:color w:val="auto"/>
        </w:rPr>
      </w:pPr>
    </w:p>
    <w:p>
      <w:pPr>
        <w:ind w:left="1440" w:right="380" w:hanging="384"/>
        <w:spacing w:after="0" w:line="233" w:lineRule="auto"/>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40" w:hanging="384"/>
        <w:spacing w:after="0" w:line="237" w:lineRule="auto"/>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September 30, 2024 and December 31, 2023, respectively, was not material. The notional amount of a forward contract is the contracted amount of foreign currency to be exchanged and is not recorded on the unaudited condensed consolidated balance sheet.</w:t>
      </w:r>
    </w:p>
    <w:p>
      <w:pPr>
        <w:spacing w:after="0" w:line="183" w:lineRule="exact"/>
        <w:rPr>
          <w:sz w:val="20"/>
          <w:szCs w:val="20"/>
          <w:color w:val="auto"/>
        </w:rPr>
      </w:pPr>
    </w:p>
    <w:p>
      <w:pPr>
        <w:ind w:right="40" w:firstLine="584"/>
        <w:spacing w:after="0" w:line="265" w:lineRule="auto"/>
        <w:rPr>
          <w:sz w:val="20"/>
          <w:szCs w:val="20"/>
          <w:color w:val="auto"/>
        </w:rPr>
      </w:pPr>
      <w:r>
        <w:rPr>
          <w:rFonts w:ascii="Times New Roman" w:cs="Times New Roman" w:eastAsia="Times New Roman" w:hAnsi="Times New Roman"/>
          <w:sz w:val="18"/>
          <w:szCs w:val="18"/>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September 30, 2024 or December 31, 2023.</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 to present the net amount expected to be collected.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67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1"/>
                <w:szCs w:val="21"/>
                <w:color w:val="auto"/>
              </w:rPr>
            </w:pPr>
          </w:p>
        </w:tc>
      </w:t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80"/>
        </w:trPr>
        <w:tc>
          <w:tcPr>
            <w:tcW w:w="6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During the periods ended September 30, 2024 and December 31, 2023, there were no significant changes in contract assets related to business combinations, impairments, cumulative catch-ups or other material adjustments.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2025 Senior Notes, 2026 Senior Notes, and Term Loan B Facility as of the dates presented, primarily classified as long-term debt on our unaudited condensed consolidated balance sheets and are considered Level 2 fair value measurements.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on the 2025 Senior Notes, 2026 Senior Notes, and Term Loan B Facility.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00" w:type="dxa"/>
            <w:vAlign w:val="bottom"/>
          </w:tcPr>
          <w:p>
            <w:pPr>
              <w:spacing w:after="0"/>
              <w:rPr>
                <w:sz w:val="12"/>
                <w:szCs w:val="12"/>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(1)</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Senior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660" w:type="dxa"/>
            <w:vAlign w:val="bottom"/>
            <w:shd w:val="clear" w:color="auto" w:fill="CFF0FC"/>
          </w:tcPr>
          <w:p>
            <w:pPr>
              <w:ind w:left="20"/>
              <w:spacing w:after="0" w:line="274" w:lineRule="exact"/>
              <w:rPr>
                <w:sz w:val="20"/>
                <w:szCs w:val="20"/>
                <w:color w:val="auto"/>
              </w:rPr>
            </w:pPr>
            <w:r>
              <w:rPr>
                <w:rFonts w:ascii="Times New Roman" w:cs="Times New Roman" w:eastAsia="Times New Roman" w:hAnsi="Times New Roman"/>
                <w:sz w:val="18"/>
                <w:szCs w:val="18"/>
                <w:color w:val="auto"/>
              </w:rPr>
              <w:t xml:space="preserve">Term Loan B Facility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2025 Senior Notes </w:t>
            </w:r>
            <w:r>
              <w:rPr>
                <w:rFonts w:ascii="Times New Roman" w:cs="Times New Roman" w:eastAsia="Times New Roman" w:hAnsi="Times New Roman"/>
                <w:sz w:val="24"/>
                <w:szCs w:val="24"/>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40" w:right="360" w:hanging="383"/>
        <w:spacing w:after="0" w:line="233"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2025 Senior Notes, 2026 Senior Notes, and Term Loan B Facility based on recently reported market transactions and/or prices for identical or similar financial instruments obtained from a third-party pricing source.</w:t>
      </w:r>
    </w:p>
    <w:p>
      <w:pPr>
        <w:ind w:left="840" w:right="80" w:hanging="383"/>
        <w:spacing w:after="0" w:line="237"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third quarter of 2024, the Company issued the $500 million Term Loan B Facility and used these borrowed funds to redeem all $500 million aggregate principal amount of the Company's outstanding 2025 Senior Notes.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183"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September 30, 2024 and December 31, 2023.</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2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certain financial risks and concentrations, including concentration related to dependence on our relationships with our customers. For the year ended December 31, 2023, our two most significant travel partners, Expedia Group, Inc. (and its subsidiaries) and Booking Holdings, Inc. (and its subsidiaries), each accounted for 10% or more of our consolidated revenue and together accounted for approximately 25% of our consolidated revenue, with nearly all of this revenue concentrated in our Brand Tripadvisor segment.</w:t>
      </w:r>
    </w:p>
    <w:p>
      <w:pPr>
        <w:spacing w:after="0" w:line="18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$29 million and $30 million as of September 30, 2024 and December 31, 2023, respectively, and is included in non-marketable investments on our unaudited condensed consolidated balance sheets. During both the nine months ended September 30, 2024 and 2023, we recognized $1 million, representing our share of the investee’s net loss in other income (expenses), net within the unaudited condensed consolidated statements of operations, while this amount was not material during both the three months ended September 30, 2024 and 2023.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nine months ended September 30, 2024 and 2023, we did not record any impairment loss on this equity investment.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4" w:name="page15"/>
    <w:bookmarkEnd w:id="14"/>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related-party transactions, and were not material during the three and nine months ended September 30, 2024 and 2023.</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June 2028 and the remaining 50% due June 2030, or the date on which there is a change in control, whichever is earlier. As of both September 30, 2024 and December 31, 2023,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187"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predominantly on Level 3 inputs.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200" w:type="dxa"/>
            <w:vAlign w:val="bottom"/>
          </w:tcPr>
          <w:p>
            <w:pPr>
              <w:spacing w:after="0"/>
              <w:rPr>
                <w:sz w:val="14"/>
                <w:szCs w:val="14"/>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150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7"/>
        </w:trPr>
        <w:tc>
          <w:tcPr>
            <w:tcW w:w="5200" w:type="dxa"/>
            <w:vAlign w:val="bottom"/>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 xml:space="preserve">Interest payable </w:t>
            </w:r>
            <w:r>
              <w:rPr>
                <w:rFonts w:ascii="Times New Roman" w:cs="Times New Roman" w:eastAsia="Times New Roman" w:hAnsi="Times New Roman"/>
                <w:sz w:val="24"/>
                <w:szCs w:val="24"/>
                <w:color w:val="auto"/>
                <w:vertAlign w:val="superscript"/>
              </w:rPr>
              <w:t>(1)</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2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2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(3)</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2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Accrued legal contingencies </w:t>
            </w:r>
            <w:r>
              <w:rPr>
                <w:rFonts w:ascii="Times New Roman" w:cs="Times New Roman" w:eastAsia="Times New Roman" w:hAnsi="Times New Roman"/>
                <w:sz w:val="24"/>
                <w:szCs w:val="24"/>
                <w:color w:val="auto"/>
                <w:vertAlign w:val="superscript"/>
              </w:rPr>
              <w:t>(4)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5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-187960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3" w:lineRule="exact"/>
        <w:rPr>
          <w:sz w:val="20"/>
          <w:szCs w:val="20"/>
          <w:color w:val="auto"/>
        </w:rPr>
      </w:pPr>
    </w:p>
    <w:p>
      <w:pPr>
        <w:ind w:left="1440" w:hanging="384"/>
        <w:spacing w:after="0"/>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relates primarily to unpaid interest accrued on the 2025 Senior Notes as of December 31, 2023.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5" w:lineRule="exact"/>
        <w:rPr>
          <w:rFonts w:ascii="Times New Roman" w:cs="Times New Roman" w:eastAsia="Times New Roman" w:hAnsi="Times New Roman"/>
          <w:sz w:val="14"/>
          <w:szCs w:val="14"/>
          <w:color w:val="auto"/>
        </w:rPr>
      </w:pPr>
    </w:p>
    <w:p>
      <w:pPr>
        <w:ind w:left="1440" w:right="100" w:hanging="384"/>
        <w:spacing w:after="0" w:line="227"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As a result, the Company incurred estimated pre-tax restructuring and other related reorganization costs of $22 million during the year ended December 31, 2023, of which $18 million was incurred during the three months ended September 30, 2023, consisting primarily of employee severance and related benefits. We expect the majority of remaining unpaid costs as of September 30, 2024 to be disbursed during the fourth quarter of 2024.</w:t>
      </w:r>
    </w:p>
    <w:p>
      <w:pPr>
        <w:spacing w:after="0" w:line="72"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nine months ended September 30,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6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liability as of September 30, 2024</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FF0FC"/>
            </w:tcBorders>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 relates primarily to unpaid digital service taxes.</w:t>
            </w: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420" w:type="dxa"/>
            <w:vAlign w:val="bottom"/>
            <w:vMerge w:val="continue"/>
          </w:tcPr>
          <w:p>
            <w:pPr>
              <w:spacing w:after="0"/>
              <w:rPr>
                <w:sz w:val="21"/>
                <w:szCs w:val="21"/>
                <w:color w:val="auto"/>
              </w:rPr>
            </w:pPr>
          </w:p>
        </w:tc>
        <w:tc>
          <w:tcPr>
            <w:tcW w:w="63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4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(4)</w:t>
            </w:r>
          </w:p>
        </w:tc>
        <w:tc>
          <w:tcPr>
            <w:tcW w:w="63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 xml:space="preserve">Refer to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63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2"/>
        </w:trPr>
        <w:tc>
          <w:tcPr>
            <w:tcW w:w="14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-1103630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47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5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5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r>
      <w:tr>
        <w:trPr>
          <w:trHeight w:val="25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B Facility</w:t>
            </w: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r>
      <w:tr>
        <w:trPr>
          <w:trHeight w:val="27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4"/>
                <w:szCs w:val="24"/>
                <w:color w:val="auto"/>
              </w:rPr>
            </w:pPr>
          </w:p>
        </w:tc>
        <w:tc>
          <w:tcPr>
            <w:tcW w:w="17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80" w:type="dxa"/>
            <w:vAlign w:val="bottom"/>
            <w:tcBorders>
              <w:top w:val="single" w:sz="8" w:color="CFF0FC"/>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r>
      <w:tr>
        <w:trPr>
          <w:trHeight w:val="27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52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r>
      <w:tr>
        <w:trPr>
          <w:trHeight w:val="263"/>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2"/>
                <w:szCs w:val="22"/>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7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1580" w:type="dxa"/>
            <w:vAlign w:val="bottom"/>
            <w:shd w:val="clear" w:color="auto" w:fill="CFF0FC"/>
          </w:tcPr>
          <w:p>
            <w:pPr>
              <w:spacing w:after="0"/>
              <w:rPr>
                <w:sz w:val="24"/>
                <w:szCs w:val="2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520" w:type="dxa"/>
            <w:vAlign w:val="bottom"/>
            <w:shd w:val="clear" w:color="auto" w:fill="CFF0FC"/>
          </w:tcPr>
          <w:p>
            <w:pPr>
              <w:spacing w:after="0"/>
              <w:rPr>
                <w:sz w:val="24"/>
                <w:szCs w:val="2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FF0FC"/>
          </w:tcPr>
          <w:p>
            <w:pPr>
              <w:spacing w:after="0"/>
              <w:rPr>
                <w:sz w:val="24"/>
                <w:szCs w:val="24"/>
                <w:color w:val="auto"/>
              </w:rPr>
            </w:pPr>
          </w:p>
        </w:tc>
      </w:tr>
      <w:tr>
        <w:trPr>
          <w:trHeight w:val="263"/>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7.00% 2025 Senior Notes due 2025</w:t>
            </w:r>
          </w:p>
        </w:tc>
        <w:tc>
          <w:tcPr>
            <w:tcW w:w="158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2"/>
                <w:szCs w:val="22"/>
                <w:color w:val="auto"/>
              </w:rPr>
            </w:pPr>
          </w:p>
        </w:tc>
      </w:tr>
      <w:tr>
        <w:trPr>
          <w:trHeight w:val="263"/>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8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top w:val="single" w:sz="8" w:color="CFF0FC"/>
            </w:tcBorders>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-1232535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-1215390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-1232535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-1215390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On July 8, 2024, the Company entered into the First Amendment to its Credit Agreement (the “Amended Credit Agreement”), which implements the Term Loan B Facility (discussed below); and among other things:</w:t>
      </w:r>
    </w:p>
    <w:p>
      <w:pPr>
        <w:spacing w:after="0" w:line="78"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change the aggregate amount of revolving commitments available at $500 million related to our Credit Facility;</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certain adjustments to the definition of “Consolidated EBITDA”;</w:t>
      </w:r>
    </w:p>
    <w:p>
      <w:pPr>
        <w:spacing w:after="0" w:line="8" w:lineRule="exact"/>
        <w:rPr>
          <w:rFonts w:ascii="Times New Roman" w:cs="Times New Roman" w:eastAsia="Times New Roman" w:hAnsi="Times New Roman"/>
          <w:sz w:val="18"/>
          <w:szCs w:val="18"/>
          <w:color w:val="auto"/>
        </w:rPr>
      </w:pPr>
    </w:p>
    <w:p>
      <w:pPr>
        <w:ind w:left="1020" w:right="56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Available Amount by the portion of excess cash flow and asset sale, casualty and condemnation mandatory prepayments declined by lenders under the Term Loan B Facility, which may be used to make restricted payments and investments;</w:t>
      </w:r>
    </w:p>
    <w:p>
      <w:pPr>
        <w:ind w:left="1020" w:right="30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separate dollar basket not to exceed the greater of $195 million and 50% of Consolidated EBITDA for capital leases and purchase money debt;</w:t>
      </w:r>
    </w:p>
    <w:p>
      <w:pPr>
        <w:ind w:left="1020" w:right="62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separate “ratio debt” basket for additional indebtedness up to 3.5 times pro forma Total Net Leverage Ratio, subject to certain customary limitations; and</w:t>
      </w: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customary extension and modification and refinancing facility provisions.</w:t>
      </w:r>
    </w:p>
    <w:p>
      <w:pPr>
        <w:spacing w:after="0" w:line="20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Security Documents. Any term not otherwise defined herein shall have the meaning ascribed to it in the Amended Credit Agreement.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no outstanding borrowings under the Credit Facility. The Credit Facility also includes $15 million of borrowing capacity available for letters of credit and $40 million for swing-line borrowings on same-day notice. As of September 30, 2024 and December 31, 2023, we had issued $3 million and $4 million, respectively, of undrawn standby letters of credit under the Credit Facility. For the three months ended September 30, 2024 and 2023, and the nine months ended September 30, 2023, total interest expense and commitment fees on our Credit Facility was not material, while during the nine months ended September 30, 2024, we recorded total interest expense and commitment fees on the Credit Facility of $1</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6" w:name="page17"/>
    <w:bookmarkEnd w:id="16"/>
    <w:p>
      <w:pPr>
        <w:ind w:right="260" w:firstLine="45"/>
        <w:spacing w:after="0" w:line="265" w:lineRule="auto"/>
        <w:rPr>
          <w:sz w:val="20"/>
          <w:szCs w:val="20"/>
          <w:color w:val="auto"/>
        </w:rPr>
      </w:pPr>
      <w:r>
        <w:rPr>
          <w:rFonts w:ascii="Times New Roman" w:cs="Times New Roman" w:eastAsia="Times New Roman" w:hAnsi="Times New Roman"/>
          <w:sz w:val="18"/>
          <w:szCs w:val="18"/>
          <w:color w:val="auto"/>
        </w:rPr>
        <w:t>million to interest expense on our unaudited condensed consolidated statement of operations. The Amended Credit Agreement, among other things, requires us to maintain a maximum total net leverage ratio of 4.5 to 1.0 solely in respect to the Credit Facility and contains certain customary affirmative and negative covenants and events of default, including a change of control.</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Amended Credit Agreement, we incurred lender fees and other debt financing costs of $1 million under the Credit Facility. These costs were capitalized as deferred financing costs in other long-term assets on our unaudited consolidated balance sheet as of September 30, 2024. As of September 30, 2024, the Company had $4 million remaining in deferred financing costs in connection with the Credit Facility. These costs will be amortized over the remaining term of the Credit Facility, using the effective interest rate method, and recorded to interest expense on our unaudited condensed consolidated statement of operations.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Term Loan B Facility</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On July 15, 2024, the Company used these borrowed funds to fully redeem its outstanding $500 million, 2025 Senior Notes. As of September 30, 2024, the interest rate on the Term Loan B Facility was 7.60% and the weighted-average interest rate on the Term Loan B Facility was 8.06% for the three months ended September 30, 2024.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 The Term Loan B Facility has no financial covenants.</w:t>
      </w:r>
    </w:p>
    <w:p>
      <w:pPr>
        <w:spacing w:after="0" w:line="187"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Term Loan B Facility, we incurred $7 million of debt issuance costs, comprised of the initial purchasers’ discount, lender fees, and other debt financing costs. These debt issuance costs will be amortized over the remaining term of the Term Loan B Facility, using the effective interest rate method, and recorded to interest expense on our unaudited condensed consolidated statement of operations. As of September 30, 2024, unpaid interest on the Term Loan B Facility was not material and $10 million was recorded as interest expense on our unaudited condensed consolidated statements of operations during both the three and nine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Senior Notes</w:t>
      </w:r>
    </w:p>
    <w:p>
      <w:pPr>
        <w:spacing w:after="0" w:line="22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On July 15, 2024, as noted above, the Company redeemed all $500 million aggregate principal amount of the Company’s outstanding 2025 Senior Notes, in addition to the settlement of accrued and unpaid interest. As a result, we recognized a loss on extinguishment of debt of $2 million, which primarily consisted of a non-cash write-off of unamortized debt issuance costs, and is included in Other income (expense), net on our unaudited condensed consolidated statements of operations during both the three and nine months ended September 30, 2024.</w:t>
      </w:r>
    </w:p>
    <w:p>
      <w:pPr>
        <w:spacing w:after="0" w:line="18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2023, unpaid interest of $16 million related to the 2025 Senior Notes, was included in accrued expenses and other current liabilities on our unaudited condensed consolidated balance sheet. During the three and nine months ended September 30, 2024, we recorded $1 million and $19 million of interest expense, respectively, while during the three and nine months ended September 30, 2023, we recorded $9 million and $26 million of interest expense, respectively, on our unaudited condensed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22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our effective interest rate, including debt issuance costs, was approximately 0.35% and 0.40%, respectively, and total interest expense incurred from the 2026 Senior Notes was not material during the three months ended September 30, 2024 and 2023, while this amount was $1 million during both the nine months ended September 30, 2024 and 2023</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September 30, 2024 and December 31, 2023, unpaid interest on the 2026 Senior Notes was not material.</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4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w:t>
      </w:r>
    </w:p>
    <w:p>
      <w:pPr>
        <w:spacing w:after="0" w:line="177"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Capped Calls are considered indexed to our own stock and are considered equity classified under GAAP, and therefore included as a reduction to additional paid-in-capital within stockholders’ equity on the unaudited condensed consolidated balance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7" w:name="page18"/>
    <w:bookmarkEnd w:id="17"/>
    <w:p>
      <w:pPr>
        <w:ind w:right="100"/>
        <w:spacing w:after="0" w:line="281" w:lineRule="auto"/>
        <w:rPr>
          <w:sz w:val="20"/>
          <w:szCs w:val="20"/>
          <w:color w:val="auto"/>
        </w:rPr>
      </w:pPr>
      <w:r>
        <w:rPr>
          <w:rFonts w:ascii="Times New Roman" w:cs="Times New Roman" w:eastAsia="Times New Roman" w:hAnsi="Times New Roman"/>
          <w:sz w:val="18"/>
          <w:szCs w:val="18"/>
          <w:color w:val="auto"/>
        </w:rPr>
        <w:t>sheets as of both September 30, 2024 and December 31, 2023. The Capped Calls are not accounted for as derivatives and their fair value is not remeasured each reporting period.</w:t>
      </w:r>
    </w:p>
    <w:p>
      <w:pPr>
        <w:spacing w:after="0" w:line="161" w:lineRule="exact"/>
        <w:rPr>
          <w:sz w:val="20"/>
          <w:szCs w:val="20"/>
          <w:color w:val="auto"/>
        </w:rPr>
      </w:pPr>
    </w:p>
    <w:p>
      <w:pPr>
        <w:ind w:right="100" w:firstLine="509"/>
        <w:spacing w:after="0" w:line="314" w:lineRule="auto"/>
        <w:rPr>
          <w:sz w:val="20"/>
          <w:szCs w:val="20"/>
          <w:color w:val="auto"/>
        </w:rPr>
      </w:pPr>
      <w:r>
        <w:rPr>
          <w:rFonts w:ascii="Times New Roman" w:cs="Times New Roman" w:eastAsia="Times New Roman" w:hAnsi="Times New Roman"/>
          <w:sz w:val="17"/>
          <w:szCs w:val="17"/>
          <w:color w:val="auto"/>
        </w:rPr>
        <w:t xml:space="preserve">Refer to “Note 8: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in the notes to consolidated financial statements in Item 8 of our 2023 Annual Report, for additional information pertaining to redemption, conversion, repurchase features, and other terms regarding the Credit Facility, 2025 Senior Notes, 2026 Senior Notes and Capped Calls.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LONG-TERM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as of the dates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2000" w:type="dxa"/>
            <w:vAlign w:val="bottom"/>
            <w:gridSpan w:val="3"/>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Unrecognized tax benefits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Deferred gain on equity method investment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r>
      <w:tr>
        <w:trPr>
          <w:trHeight w:val="243"/>
        </w:trPr>
        <w:tc>
          <w:tcPr>
            <w:tcW w:w="53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Long-term income taxes payable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7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3" w:lineRule="exact"/>
        <w:rPr>
          <w:sz w:val="20"/>
          <w:szCs w:val="20"/>
          <w:color w:val="auto"/>
        </w:rPr>
      </w:pPr>
    </w:p>
    <w:p>
      <w:pPr>
        <w:ind w:left="14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8: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information regarding unrecognized tax benefits. Amounts include accrued interest related to this liability.</w:t>
      </w:r>
    </w:p>
    <w:p>
      <w:pPr>
        <w:spacing w:after="0" w:line="5" w:lineRule="exact"/>
        <w:rPr>
          <w:rFonts w:ascii="Times New Roman" w:cs="Times New Roman" w:eastAsia="Times New Roman" w:hAnsi="Times New Roman"/>
          <w:sz w:val="14"/>
          <w:szCs w:val="14"/>
          <w:color w:val="auto"/>
        </w:rPr>
      </w:pPr>
    </w:p>
    <w:p>
      <w:pPr>
        <w:ind w:left="1440" w:right="180" w:hanging="384"/>
        <w:spacing w:after="0" w:line="22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relates to the long-term portion of a deferred income liability recorded as a result of an equity method investment. Refer to “Note 4: </w:t>
      </w:r>
      <w:r>
        <w:rPr>
          <w:rFonts w:ascii="Times New Roman" w:cs="Times New Roman" w:eastAsia="Times New Roman" w:hAnsi="Times New Roman"/>
          <w:sz w:val="14"/>
          <w:szCs w:val="14"/>
          <w:i w:val="1"/>
          <w:iCs w:val="1"/>
          <w:color w:val="auto"/>
        </w:rPr>
        <w:t>Financial Instruments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w:t>
      </w:r>
    </w:p>
    <w:p>
      <w:pPr>
        <w:ind w:left="1440" w:right="80" w:hanging="384"/>
        <w:spacing w:after="0" w:line="23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the long-term portion of transition tax payable related to the Tax Cuts and Jobs Act of 2017 (the "2017 Tax Act"), which was reclassified to current income taxes payable on our unaudited condensed consolidated balance sheet during the second quarter of 2024, reflecting its anticipated payment within the first half of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7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income tax provision was $27 million and $84 million for the three and nine months ended September 30, 2024, respectively, and our income tax provision was $37 million and $115 million for the three and nine months ended September 30, 2023, respectively. The change in our income tax provision during the nine months ended September 30, 2024, when compared to the same period in 2023, was primarily the result of an Internal Revenue Service ("IRS") audit settlement for the 2014 through 2016 tax years, and an adjustment to our existing transfer pricing income tax reserves for subsequent tax years recorded during the three months ended March 31, 2024, as discussed below. Our effective tax rate for the three months ended September 30, 2024 differs from the U.S. federal statutory rate of 21%, primarily due to unfavorable stock-based compensation tax effects. Our effective tax rate for the nine months ended September 30, 2024 differs from the U.S. federal statutory rate of 21%, primarily due to the result of an IRS audit settlement as noted above.</w:t>
      </w:r>
    </w:p>
    <w:p>
      <w:pPr>
        <w:spacing w:after="0" w:line="189"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w:t>
            </w:r>
          </w:p>
        </w:tc>
        <w:tc>
          <w:tcPr>
            <w:tcW w:w="124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1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1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1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(6 )</w:t>
            </w:r>
          </w:p>
        </w:tc>
        <w:tc>
          <w:tcPr>
            <w:tcW w:w="8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IRS audit settlement</w:t>
            </w:r>
          </w:p>
        </w:tc>
        <w:tc>
          <w:tcPr>
            <w:tcW w:w="1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pricing reserves adjustment</w:t>
            </w:r>
          </w:p>
        </w:tc>
        <w:tc>
          <w:tcPr>
            <w:tcW w:w="12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(4 )</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0"/>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FF0FC"/>
            </w:tcBorders>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-187960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September 30, 2024, we had an accrued interest liability of $21 million, which was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included in unrecognized tax benefits in other long-term liabilities on our unaudited condensed consolidated balance sheet, and no penalties were accrued.</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As of September 30, 2024, no material assessments have resulted, except as noted below regarding our 2014 through 2016 standalone IRS audit, and our 2012 through 2016 HM Revenue &amp; Customs (“HMRC”) audit.</w:t>
      </w:r>
    </w:p>
    <w:p>
      <w:pPr>
        <w:spacing w:after="0" w:line="1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disclosed in our 2023 Annual Report,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During the three and nine months ended September 30, 2024, we recorded an income tax benefit of $4 million and an income tax expense of $41 million, respectively, as discrete items, inclusive of interest, related to this settlement on our unaudited condensed consolidated statement of operations. Separately,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three months ended June 30, 2024, we made a payment to the IRS of $141 million, inclusive of estimated interest, and during the three months ended September 30, 2024, we made various state tax payments of $18 million, inclusive of estimated interest, related to this audit settlement. We anticipate a competent authority refund from a foreign jurisdiction and certain federal tax benefits, net of state tax payments due, associated with this IRS audit settlement which will be substantially settled in the next twelve months, resulting in an estimated net cash inflow of $50 million to $60 million, inclusive of related interest. The anticipated competent authority refund is reflected in the current income taxes receivable balance of $46 million, as well as a lesser amount consisting of anticipated federal tax benefits, partially offset by anticipated state tax payments on our unaudited condensed consolidated balance sheet as of September 30, 2024.</w:t>
      </w:r>
    </w:p>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recorded $153 million of unrecognized tax benefits, inclusive of interest, classified as other long-term liabilities on our unaudited condensed consolidated balance sheet. As a result of our acceptance of MAP with the IRS for the 2014 through 2016 tax years, and its impact on other ongoing IRS audits, as described above, we reduced this unrecognized tax benefits liability by $79 million during the three months ended March 31, 2024 by reclassifying this balance to current income taxes payable on our unaudited condensed consolidated balance sheet, representing a short-term payment obligation to the IRS, which was subsequently paid during the three months ended June 30, 2024, as noted above.</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as disclosed in our 2023 Annual Report, we received a NOPA from the IRS for the 2009 through 2011 tax years relating to certain transfer pricing arrangements with our foreign subsidiaries. In response, we also requested competent authority assistance under MAP for the 2009 through 2011 tax years. In January 2023, we received a final notice from the IRS regarding a MAP resolution agreement for the 2009 through 2011 tax years, which the Company accepted in February 2023. In the first quarter of 2023, we recorded additional income tax expense as a discrete item, inclusive of interest, of $31 million specifically related to this settlement on our unaudited condensed consolidated statement of operations. During the first quarter of 2023, we reviewed the impact of the acceptance of this settlement position against our existing transfer pricing income tax reserves for the subsequent tax years, which resulted in incremental income tax expense, inclusive of estimated interest, of $24 million. The total impact of these adjustments resulted in an incremental income tax expense on our unaudited condensed consolidated statement of operations of $55 million for the three months ended March 31,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this IRS audit settlement.</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the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21"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of September 30, 2024, there have been no material changes to our commitments and contingencies since December 31, 2023, except as discussed below.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of our 2023 Annual Report.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19" w:name="page20"/>
    <w:bookmarkEnd w:id="19"/>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current income tax audits.</w:t>
      </w:r>
    </w:p>
    <w:p>
      <w:pPr>
        <w:spacing w:after="0" w:line="1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we have an accrual in the amount of $10 million in accrued expenses and other current liabilities in our unaudited condensed consolidated balance sheet, as an estimated potential settlement of a regulatory related matter within our alternative accommodation rentals offering. This amount was accrued during the three months ended March 31, 2024, and is included in general and administrative expenses in our unaudited condensed consolidated statements of operations for the nine months ended September 30, 2024. This accrual is based on our best estimate of probable loss; the ultimate resolution of this contingency may be greater or less than the liability recorded.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BASED AWARDS AND OTHER EQUITY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unaudited condensed consolidated statements of operations during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5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FF0FC"/>
            </w:tcBorders>
            <w:shd w:val="clear" w:color="auto" w:fill="CFF0FC"/>
          </w:tcPr>
          <w:p>
            <w:pPr>
              <w:spacing w:after="0"/>
              <w:rPr>
                <w:sz w:val="20"/>
                <w:szCs w:val="20"/>
                <w:color w:val="auto"/>
              </w:rPr>
            </w:pPr>
          </w:p>
        </w:tc>
      </w:tr>
      <w:tr>
        <w:trPr>
          <w:trHeight w:val="238"/>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760" w:type="dxa"/>
            <w:vAlign w:val="bottom"/>
          </w:tcPr>
          <w:p>
            <w:pPr>
              <w:spacing w:after="0"/>
              <w:rPr>
                <w:sz w:val="20"/>
                <w:szCs w:val="20"/>
                <w:color w:val="auto"/>
              </w:rPr>
            </w:pPr>
          </w:p>
        </w:tc>
        <w:tc>
          <w:tcPr>
            <w:tcW w:w="7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(6 )</w:t>
            </w:r>
          </w:p>
        </w:tc>
        <w:tc>
          <w:tcPr>
            <w:tcW w:w="9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20"/>
                <w:szCs w:val="20"/>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(18 )</w:t>
            </w:r>
          </w:p>
        </w:tc>
        <w:tc>
          <w:tcPr>
            <w:tcW w:w="4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80"/>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-504825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-624205</wp:posOffset>
            </wp:positionV>
            <wp:extent cx="7683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-504825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60" w:firstLine="509"/>
        <w:spacing w:after="0" w:line="276" w:lineRule="auto"/>
        <w:rPr>
          <w:sz w:val="20"/>
          <w:szCs w:val="20"/>
          <w:color w:val="auto"/>
        </w:rPr>
      </w:pPr>
      <w:r>
        <w:rPr>
          <w:rFonts w:ascii="Times New Roman" w:cs="Times New Roman" w:eastAsia="Times New Roman" w:hAnsi="Times New Roman"/>
          <w:sz w:val="17"/>
          <w:szCs w:val="17"/>
          <w:color w:val="auto"/>
        </w:rPr>
        <w:t>We capitalized $4 million and $10 million of stock-based compensation expense as website development costs during the three and nine months ended September 30, 2024, respectively, and $2 million and $8 million during the three and nine months ended September 30, 2023, respectively.</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Stock-Based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46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54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546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4"/>
                <w:szCs w:val="24"/>
                <w:color w:val="auto"/>
                <w:vertAlign w:val="superscript"/>
              </w:rPr>
              <w:t>(1)</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(80 )</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or expired</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0"/>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September 30, 2024</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3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460" w:type="dxa"/>
            <w:vAlign w:val="bottom"/>
            <w:tcBorders>
              <w:bottom w:val="single" w:sz="8" w:color="CFF0FC"/>
            </w:tcBorders>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Vested and expected to vest after September 30, 2024 </w:t>
            </w:r>
            <w:r>
              <w:rPr>
                <w:rFonts w:ascii="Times New Roman" w:cs="Times New Roman" w:eastAsia="Times New Roman" w:hAnsi="Times New Roman"/>
                <w:sz w:val="24"/>
                <w:szCs w:val="24"/>
                <w:color w:val="auto"/>
                <w:vertAlign w:val="superscript"/>
              </w:rPr>
              <w:t>(2)</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-384810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-367665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6" w:lineRule="exact"/>
        <w:rPr>
          <w:sz w:val="20"/>
          <w:szCs w:val="20"/>
          <w:color w:val="auto"/>
        </w:rPr>
      </w:pPr>
    </w:p>
    <w:p>
      <w:pPr>
        <w:ind w:left="1440" w:right="80" w:hanging="384"/>
        <w:spacing w:after="0" w:line="227"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67,000 stock options withheld due to net share settlement to satisfy required employee tax withholding requirements. Potential shares which had been convertible under stock options that were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statements of cash flows.</w:t>
      </w:r>
    </w:p>
    <w:p>
      <w:pPr>
        <w:ind w:left="1440" w:right="160" w:hanging="384"/>
        <w:spacing w:after="0" w:line="237"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21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weighted-average grant date fair value of stock options issued during the nine months ended September 30, 2024 and 2023, using a Black-Scholes Merton option-pricing model, was $13.37 and $10.32, respectively. The total fair value of stock options vested was $6 million for both the nine months ended September 30, 2024 and 2023. Aggregate intrinsic value represents the difference between the closing stock price of our common stock and the exercise price of outstanding, in-the-money options. Our closing stock price as reported on Nasdaq as of September 30, 2024 was $14.49. The total intrinsic value of stock options exercised was not material for the nine months ended September 30, 2024 and 2023.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Restricted Stock Units ("RSUs")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RSUs activity, consisting of service-based vesting terms,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800" w:type="dxa"/>
            <w:vAlign w:val="bottom"/>
          </w:tcPr>
          <w:p>
            <w:pPr>
              <w:spacing w:after="0"/>
              <w:rPr>
                <w:sz w:val="15"/>
                <w:szCs w:val="15"/>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5800" w:type="dxa"/>
            <w:vAlign w:val="bottom"/>
          </w:tcPr>
          <w:p>
            <w:pPr>
              <w:spacing w:after="0"/>
              <w:rPr>
                <w:sz w:val="16"/>
                <w:szCs w:val="16"/>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13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580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(1)</w:t>
            </w:r>
          </w:p>
        </w:tc>
        <w:tc>
          <w:tcPr>
            <w:tcW w:w="1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(3,684 )</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(1,029 )</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0"/>
        </w:trPr>
        <w:tc>
          <w:tcPr>
            <w:tcW w:w="5800" w:type="dxa"/>
            <w:vAlign w:val="bottom"/>
            <w:tcBorders>
              <w:bottom w:val="single" w:sz="8" w:color="CFF0FC"/>
            </w:tcBorders>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Unvested RSUs outstanding as of September 30, 2024 </w:t>
            </w:r>
            <w:r>
              <w:rPr>
                <w:rFonts w:ascii="Times New Roman" w:cs="Times New Roman" w:eastAsia="Times New Roman" w:hAnsi="Times New Roman"/>
                <w:sz w:val="24"/>
                <w:szCs w:val="24"/>
                <w:color w:val="auto"/>
                <w:vertAlign w:val="superscript"/>
              </w:rPr>
              <w:t>(2)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ind w:left="1440" w:right="260" w:hanging="384"/>
        <w:spacing w:after="0" w:line="22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797,000 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ind w:left="1440" w:right="160" w:hanging="384"/>
        <w:spacing w:after="0" w:line="23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8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$89 million for both the nine months ended September 30, 2024 and 2023.</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A summary of our performance-based RSUs ("PSUs") and market-based RSUs (“MSUs”) activity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0"/>
                <w:szCs w:val="10"/>
                <w:b w:val="1"/>
                <w:bCs w:val="1"/>
                <w:color w:val="auto"/>
              </w:rPr>
              <w:t>(2)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8"/>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4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4360" w:type="dxa"/>
            <w:vAlign w:val="bottom"/>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4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r>
      <w:tr>
        <w:trPr>
          <w:trHeight w:val="24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-187960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-187960</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06" w:lineRule="exact"/>
        <w:rPr>
          <w:sz w:val="20"/>
          <w:szCs w:val="20"/>
          <w:color w:val="auto"/>
        </w:rPr>
      </w:pPr>
    </w:p>
    <w:p>
      <w:pPr>
        <w:ind w:left="1440" w:hanging="384"/>
        <w:spacing w:after="0" w:line="223"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awarded primarily in February 2023 and March 2024. The February 2023 PSU awards provide for vesting in two equal annual installments on each of December 31, 2024 and December 31, 2025, if and to the extent the Company achieves pre-determined revenue and Adjusted EBITDA metrics (each weighted 50%) established by the Compensation Committee and Section 16 Committee of its Board of Directors (jointly, the "Compensation Committees"). The March 2024 PSU awards provide for vesting in two equal annual installments on each of December 31, 2025 and December 31, 2026, if and to the extent the Company achieves pre-determined revenue and Adjusted EBITDA metrics (each weighted 50%) established by the Compensation Committees. The estimated grant-date fair values per PSU were measured based on the quoted price of our common stock at the date of grant, calculated upon the establishment of performance targets, and will be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4" w:lineRule="exact"/>
        <w:rPr>
          <w:rFonts w:ascii="Times New Roman" w:cs="Times New Roman" w:eastAsia="Times New Roman" w:hAnsi="Times New Roman"/>
          <w:sz w:val="14"/>
          <w:szCs w:val="14"/>
          <w:color w:val="auto"/>
        </w:rPr>
      </w:pPr>
    </w:p>
    <w:p>
      <w:pPr>
        <w:ind w:left="1440" w:right="40" w:hanging="384"/>
        <w:spacing w:after="0" w:line="227"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shall vest three years from grant date, generally with 25% vesting if the weighted-average stock price over a 30 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84" w:lineRule="exact"/>
        <w:rPr>
          <w:sz w:val="20"/>
          <w:szCs w:val="20"/>
          <w:color w:val="auto"/>
        </w:rPr>
      </w:pPr>
    </w:p>
    <w:p>
      <w:pPr>
        <w:ind w:right="220" w:firstLine="539"/>
        <w:spacing w:after="0" w:line="265" w:lineRule="auto"/>
        <w:rPr>
          <w:sz w:val="20"/>
          <w:szCs w:val="20"/>
          <w:color w:val="auto"/>
        </w:rPr>
      </w:pPr>
      <w:r>
        <w:rPr>
          <w:rFonts w:ascii="Times New Roman" w:cs="Times New Roman" w:eastAsia="Times New Roman" w:hAnsi="Times New Roman"/>
          <w:sz w:val="18"/>
          <w:szCs w:val="18"/>
          <w:color w:val="auto"/>
        </w:rPr>
        <w:t>Total current income tax benefits associated with the exercise or settlement of Tripadvisor stock-based awards held by our employees was $2 million and $9 million during the three and nine months ended September 30, 2024, respectively, and $2 million and $8 million during the three and nine months ended September 30, 2023, respectively.</w:t>
      </w:r>
    </w:p>
    <w:p>
      <w:pPr>
        <w:spacing w:after="0" w:line="177"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stock-based awards, substantially RSUs, was $275 million, which the Company expects to recognize over a weighted-average period of 2.7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Our Board of Directors authorized and directed management, working with the Executive Committee of our Board of Directors, to affect the share repurchase program in 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w:t>
      </w:r>
    </w:p>
    <w:p>
      <w:pPr>
        <w:spacing w:after="0" w:line="1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did not repurchase any shares of outstanding common stock under this share repurchase program. During the nine months ended September 30, 2024, we repurchased 1,366,385 shares of our outstanding common stock at an average price of $18.28 per share, exclusive of fees and commissions, or $25 million in the aggregate. As of September 30, 2024, the Company had $200 million remaining available to repurchase shares of its common stock under this share repurchase program. During the nine months ended September 30, 2023, we repurchased 4,724,729 shares of our outstanding common stock at an average price of $15.85 per share, exclusive of fees and commissions, or $75 million in the aggregate, which completed a previous share repurchase program.</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any excise tax on share repurchases was not material.</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121" w:lineRule="exact"/>
        <w:rPr>
          <w:sz w:val="20"/>
          <w:szCs w:val="20"/>
          <w:color w:val="auto"/>
        </w:rPr>
      </w:pPr>
    </w:p>
    <w:p>
      <w:pPr>
        <w:ind w:firstLine="544"/>
        <w:spacing w:after="0" w:line="255"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the 2026 Senior Notes using the if-converted method, as share settlement is presumed, under 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such as for the nine months ended September 30, 2023, Diluted EPS is the same as Basic EPS since dilutive common equivalent shares are not assumed to have been issued if their effect is antidilutive.</w:t>
      </w:r>
    </w:p>
    <w:p>
      <w:pPr>
        <w:spacing w:after="0" w:line="79" w:lineRule="exact"/>
        <w:rPr>
          <w:sz w:val="20"/>
          <w:szCs w:val="20"/>
          <w:color w:val="auto"/>
        </w:rPr>
      </w:pPr>
    </w:p>
    <w:p>
      <w:pPr>
        <w:ind w:right="120" w:firstLine="544"/>
        <w:spacing w:after="0" w:line="258" w:lineRule="auto"/>
        <w:rPr>
          <w:sz w:val="20"/>
          <w:szCs w:val="20"/>
          <w:color w:val="auto"/>
        </w:rPr>
      </w:pPr>
      <w:r>
        <w:rPr>
          <w:rFonts w:ascii="Times New Roman" w:cs="Times New Roman" w:eastAsia="Times New Roman" w:hAnsi="Times New Roman"/>
          <w:sz w:val="18"/>
          <w:szCs w:val="18"/>
          <w:color w:val="auto"/>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September 30, 2024 and 2023, the market price of a share of our common stock did not exceed the $107.36 cap price.</w:t>
      </w:r>
    </w:p>
    <w:p>
      <w:pPr>
        <w:spacing w:after="0" w:line="182"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Diluted EPS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and $ in</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millions, except per share</w:t>
            </w: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Numerator:</w:t>
            </w:r>
          </w:p>
        </w:tc>
        <w:tc>
          <w:tcPr>
            <w:tcW w:w="442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5340" w:type="dxa"/>
            <w:vAlign w:val="bottom"/>
            <w:tcBorders>
              <w:bottom w:val="single" w:sz="8" w:color="CFF0FC"/>
            </w:tcBorders>
            <w:gridSpan w:val="3"/>
            <w:shd w:val="clear" w:color="auto" w:fill="CFF0FC"/>
          </w:tcPr>
          <w:p>
            <w:pPr>
              <w:ind w:left="280"/>
              <w:spacing w:after="0" w:line="247" w:lineRule="exact"/>
              <w:rPr>
                <w:sz w:val="20"/>
                <w:szCs w:val="20"/>
                <w:color w:val="auto"/>
              </w:rPr>
            </w:pPr>
            <w:r>
              <w:rPr>
                <w:rFonts w:ascii="Times New Roman" w:cs="Times New Roman" w:eastAsia="Times New Roman" w:hAnsi="Times New Roman"/>
                <w:sz w:val="18"/>
                <w:szCs w:val="18"/>
                <w:color w:val="auto"/>
              </w:rPr>
              <w:t xml:space="preserve">Interest expense on 2026 Senior Notes, net of tax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Diluted EPS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4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5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3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awards (Note 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53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Senior Notes (Note 6)</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Borders>
              <w:top w:val="single" w:sz="8" w:color="CFF0FC"/>
            </w:tcBorders>
          </w:tcPr>
          <w:p>
            <w:pPr>
              <w:spacing w:after="0"/>
              <w:rPr>
                <w:sz w:val="20"/>
                <w:szCs w:val="20"/>
                <w:color w:val="auto"/>
              </w:rPr>
            </w:pPr>
          </w:p>
        </w:tc>
        <w:tc>
          <w:tcPr>
            <w:tcW w:w="534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144,193</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143,286</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144,971</w:t>
            </w:r>
          </w:p>
        </w:tc>
        <w:tc>
          <w:tcPr>
            <w:tcW w:w="28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139,841</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r>
      <w:tr>
        <w:trPr>
          <w:trHeight w:val="234"/>
        </w:trPr>
        <w:tc>
          <w:tcPr>
            <w:tcW w:w="2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-1449705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-1449705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-1449705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-1449705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-490855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-490855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-490855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140" w:right="60" w:hanging="383"/>
        <w:spacing w:after="0" w:line="258" w:lineRule="auto"/>
        <w:tabs>
          <w:tab w:leader="none" w:pos="1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of tax, related to the 2026 Senior Notes which was included in the Diluted EPS calculation for both the three months ended September 30, 2024 and 2023 was not material.</w:t>
      </w:r>
    </w:p>
    <w:p>
      <w:pPr>
        <w:spacing w:after="0" w:line="17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and those issuable under the 2026 Senior Notes, totaling approximately 13.3 million shares and 12.3 million shares for the three and nine months ended September 30, 2024, respectively, and approximately 14.2 million shares and 21.6 million shares for the three and nine months ended September 30, 2023, respectively, have been excluded from the Diluted EPS calculation because their effect would have been antidilutive. In addition, potential common shares from certain performance-based awards of approximately 1.5 million shares for both the three and nine months ended September 30, 2024, respectively, and approximately 1.1 million shares for both the three and nine months ended September 30, 2023, respectively, for which all targets required to trigger vesting had not been achieved, were also excluded from the calculation of weighted average shares used to compute Diluted EPS.</w:t>
      </w:r>
    </w:p>
    <w:p>
      <w:pPr>
        <w:spacing w:after="0" w:line="18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two-class method of determining earnings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three reportable segments: (1) Brand Tripadvisor; (2) Viator; and (3) TheFork. Our Brand Tripadvisor segment includes the following revenue sources: (1) Tripadvisor-branded hotels – consisting of hotel meta revenue, primarily click-based advertising revenue, and also hotel B2B revenue, which includes primarily subscription-based advertising and hotel sponsored placements revenue; (2) Media and advertising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3" w:name="page24"/>
    <w:bookmarkEnd w:id="23"/>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Tripadvisor-branded websites and mobile apps, fulfilled by Viator and TheFork,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including indirect tax reserves related to audit settlements and the impact of one-time changes resulting from enacted tax legislation; (7) restructuring and other related reorganization costs (benefit); and (8) non-recurring expenses and income.</w:t>
      </w:r>
    </w:p>
    <w:p>
      <w:pPr>
        <w:spacing w:after="0" w:line="18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1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and nine months ended September 30, 2024 and 2023 and include a reconciliation of Adjusted EBITDA to Net income (loss). We record depreciation and amortization, stock-based compensation and other stock-settled obligations, goodwill, long-lived asset and intangible asset impairments, legal reserves and settlements, and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18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Brand</w:t>
            </w:r>
          </w:p>
        </w:tc>
        <w:tc>
          <w:tcPr>
            <w:tcW w:w="2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xml:space="preserve">Viator </w:t>
            </w:r>
            <w:r>
              <w:rPr>
                <w:rFonts w:ascii="Times New Roman" w:cs="Times New Roman" w:eastAsia="Times New Roman" w:hAnsi="Times New Roman"/>
                <w:sz w:val="24"/>
                <w:szCs w:val="24"/>
                <w:b w:val="1"/>
                <w:bCs w:val="1"/>
                <w:color w:val="auto"/>
                <w:vertAlign w:val="superscript"/>
              </w:rPr>
              <w:t>(2)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TheFork </w:t>
            </w:r>
            <w:r>
              <w:rPr>
                <w:rFonts w:ascii="Times New Roman" w:cs="Times New Roman" w:eastAsia="Times New Roman" w:hAnsi="Times New Roman"/>
                <w:sz w:val="24"/>
                <w:szCs w:val="24"/>
                <w:b w:val="1"/>
                <w:bCs w:val="1"/>
                <w:color w:val="auto"/>
                <w:vertAlign w:val="superscript"/>
              </w:rPr>
              <w:t>(3)</w:t>
            </w:r>
          </w:p>
        </w:tc>
        <w:tc>
          <w:tcPr>
            <w:tcW w:w="100" w:type="dxa"/>
            <w:vAlign w:val="bottom"/>
          </w:tcPr>
          <w:p>
            <w:pPr>
              <w:spacing w:after="0"/>
              <w:rPr>
                <w:sz w:val="11"/>
                <w:szCs w:val="11"/>
                <w:color w:val="auto"/>
              </w:rPr>
            </w:pPr>
          </w:p>
        </w:tc>
        <w:tc>
          <w:tcPr>
            <w:tcW w:w="940" w:type="dxa"/>
            <w:vAlign w:val="bottom"/>
          </w:tcPr>
          <w:p>
            <w:pPr>
              <w:jc w:val="right"/>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Tripadvisor</w:t>
            </w:r>
          </w:p>
        </w:tc>
        <w:tc>
          <w:tcPr>
            <w:tcW w:w="2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Non-recurring income (expense) </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8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-2388235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-2371090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-2388235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-2371090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-2388235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-2371090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-2388235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-2371090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Brand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 xml:space="preserve">Viator </w:t>
            </w:r>
            <w:r>
              <w:rPr>
                <w:rFonts w:ascii="Times New Roman" w:cs="Times New Roman" w:eastAsia="Times New Roman" w:hAnsi="Times New Roman"/>
                <w:sz w:val="24"/>
                <w:szCs w:val="24"/>
                <w:b w:val="1"/>
                <w:bCs w:val="1"/>
                <w:color w:val="auto"/>
                <w:w w:val="98"/>
                <w:vertAlign w:val="superscript"/>
              </w:rPr>
              <w:t>(2)</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 xml:space="preserve">TheFork </w:t>
            </w:r>
            <w:r>
              <w:rPr>
                <w:rFonts w:ascii="Times New Roman" w:cs="Times New Roman" w:eastAsia="Times New Roman" w:hAnsi="Times New Roman"/>
                <w:sz w:val="24"/>
                <w:szCs w:val="24"/>
                <w:b w:val="1"/>
                <w:bCs w:val="1"/>
                <w:color w:val="auto"/>
                <w:w w:val="93"/>
                <w:vertAlign w:val="superscript"/>
              </w:rPr>
              <w:t>(3)</w:t>
            </w:r>
          </w:p>
        </w:tc>
        <w:tc>
          <w:tcPr>
            <w:tcW w:w="100" w:type="dxa"/>
            <w:vAlign w:val="bottom"/>
          </w:tcPr>
          <w:p>
            <w:pPr>
              <w:spacing w:after="0"/>
              <w:rPr>
                <w:sz w:val="11"/>
                <w:szCs w:val="11"/>
                <w:color w:val="auto"/>
              </w:rPr>
            </w:pPr>
          </w:p>
        </w:tc>
        <w:tc>
          <w:tcPr>
            <w:tcW w:w="940" w:type="dxa"/>
            <w:vAlign w:val="bottom"/>
          </w:tcPr>
          <w:p>
            <w:pPr>
              <w:jc w:val="right"/>
              <w:ind w:right="34"/>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1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Tripadvisor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left w:val="single" w:sz="8" w:color="CFF0FC"/>
            </w:tcBorders>
            <w:shd w:val="clear" w:color="auto" w:fill="CFF0FC"/>
          </w:tcPr>
          <w:p>
            <w:pPr>
              <w:spacing w:after="0"/>
              <w:rPr>
                <w:sz w:val="21"/>
                <w:szCs w:val="21"/>
                <w:color w:val="auto"/>
              </w:rPr>
            </w:pPr>
          </w:p>
        </w:tc>
        <w:tc>
          <w:tcPr>
            <w:tcW w:w="3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lef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2"/>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0"/>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Brand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xml:space="preserve">Viator </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 xml:space="preserve">TheFork </w:t>
            </w:r>
            <w:r>
              <w:rPr>
                <w:rFonts w:ascii="Times New Roman" w:cs="Times New Roman" w:eastAsia="Times New Roman" w:hAnsi="Times New Roman"/>
                <w:sz w:val="24"/>
                <w:szCs w:val="24"/>
                <w:b w:val="1"/>
                <w:bCs w:val="1"/>
                <w:color w:val="auto"/>
                <w:w w:val="93"/>
                <w:vertAlign w:val="superscript"/>
              </w:rPr>
              <w:t>(3)</w:t>
            </w:r>
          </w:p>
        </w:tc>
        <w:tc>
          <w:tcPr>
            <w:tcW w:w="100" w:type="dxa"/>
            <w:vAlign w:val="bottom"/>
          </w:tcPr>
          <w:p>
            <w:pPr>
              <w:spacing w:after="0"/>
              <w:rPr>
                <w:sz w:val="11"/>
                <w:szCs w:val="11"/>
                <w:color w:val="auto"/>
              </w:rPr>
            </w:pPr>
          </w:p>
        </w:tc>
        <w:tc>
          <w:tcPr>
            <w:tcW w:w="940" w:type="dxa"/>
            <w:vAlign w:val="bottom"/>
          </w:tcPr>
          <w:p>
            <w:pPr>
              <w:jc w:val="right"/>
              <w:ind w:right="34"/>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18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Tripadvisor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left w:val="single" w:sz="8" w:color="CFF0FC"/>
            </w:tcBorders>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left w:val="single" w:sz="8" w:color="CFF0FC"/>
            </w:tcBorders>
            <w:shd w:val="clear" w:color="auto" w:fill="CFF0FC"/>
          </w:tcPr>
          <w:p>
            <w:pPr>
              <w:spacing w:after="0"/>
              <w:rPr>
                <w:sz w:val="24"/>
                <w:szCs w:val="24"/>
                <w:color w:val="auto"/>
              </w:rPr>
            </w:pPr>
          </w:p>
        </w:tc>
        <w:tc>
          <w:tcPr>
            <w:tcW w:w="220" w:type="dxa"/>
            <w:vAlign w:val="bottom"/>
            <w:tcBorders>
              <w:right w:val="single" w:sz="8" w:color="CFF0FC"/>
            </w:tcBorders>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60" w:type="dxa"/>
            <w:vAlign w:val="bottom"/>
            <w:tcBorders>
              <w:left w:val="single" w:sz="8" w:color="CFF0FC"/>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Legal reserves and settlements </w:t>
            </w:r>
            <w:r>
              <w:rPr>
                <w:rFonts w:ascii="Times New Roman" w:cs="Times New Roman" w:eastAsia="Times New Roman" w:hAnsi="Times New Roman"/>
                <w:sz w:val="24"/>
                <w:szCs w:val="24"/>
                <w:color w:val="auto"/>
                <w:vertAlign w:val="superscript"/>
              </w:rPr>
              <w:t>(6)</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1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Non-recurring income (expense) </w:t>
            </w:r>
            <w:r>
              <w:rPr>
                <w:rFonts w:ascii="Times New Roman" w:cs="Times New Roman" w:eastAsia="Times New Roman" w:hAnsi="Times New Roman"/>
                <w:sz w:val="24"/>
                <w:szCs w:val="24"/>
                <w:color w:val="auto"/>
                <w:vertAlign w:val="superscript"/>
              </w:rPr>
              <w:t>(4)</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2"/>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6"/>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0"/>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CFF0FC"/>
            </w:tcBorders>
          </w:tcPr>
          <w:p>
            <w:pPr>
              <w:spacing w:after="0"/>
              <w:rPr>
                <w:sz w:val="20"/>
                <w:szCs w:val="20"/>
                <w:color w:val="auto"/>
              </w:rPr>
            </w:pPr>
          </w:p>
        </w:tc>
        <w:tc>
          <w:tcPr>
            <w:tcW w:w="8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Brand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 xml:space="preserve">Viator </w:t>
            </w:r>
            <w:r>
              <w:rPr>
                <w:rFonts w:ascii="Times New Roman" w:cs="Times New Roman" w:eastAsia="Times New Roman" w:hAnsi="Times New Roman"/>
                <w:sz w:val="24"/>
                <w:szCs w:val="24"/>
                <w:b w:val="1"/>
                <w:bCs w:val="1"/>
                <w:color w:val="auto"/>
                <w:w w:val="98"/>
                <w:vertAlign w:val="superscript"/>
              </w:rPr>
              <w:t>(2)</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 xml:space="preserve">TheFork </w:t>
            </w:r>
            <w:r>
              <w:rPr>
                <w:rFonts w:ascii="Times New Roman" w:cs="Times New Roman" w:eastAsia="Times New Roman" w:hAnsi="Times New Roman"/>
                <w:sz w:val="24"/>
                <w:szCs w:val="24"/>
                <w:b w:val="1"/>
                <w:bCs w:val="1"/>
                <w:color w:val="auto"/>
                <w:w w:val="93"/>
                <w:vertAlign w:val="superscript"/>
              </w:rPr>
              <w:t>(3)</w:t>
            </w:r>
          </w:p>
        </w:tc>
        <w:tc>
          <w:tcPr>
            <w:tcW w:w="100" w:type="dxa"/>
            <w:vAlign w:val="bottom"/>
          </w:tcPr>
          <w:p>
            <w:pPr>
              <w:spacing w:after="0"/>
              <w:rPr>
                <w:sz w:val="11"/>
                <w:szCs w:val="11"/>
                <w:color w:val="auto"/>
              </w:rPr>
            </w:pPr>
          </w:p>
        </w:tc>
        <w:tc>
          <w:tcPr>
            <w:tcW w:w="940" w:type="dxa"/>
            <w:vAlign w:val="bottom"/>
          </w:tcPr>
          <w:p>
            <w:pPr>
              <w:jc w:val="right"/>
              <w:ind w:right="34"/>
              <w:spacing w:after="0" w:line="129"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18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Tripadvisor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Borders>
              <w:left w:val="single" w:sz="8" w:color="CFF0FC"/>
            </w:tcBorders>
            <w:shd w:val="clear" w:color="auto" w:fill="CFF0FC"/>
          </w:tcPr>
          <w:p>
            <w:pPr>
              <w:spacing w:after="0"/>
              <w:rPr>
                <w:sz w:val="21"/>
                <w:szCs w:val="21"/>
                <w:color w:val="auto"/>
              </w:rPr>
            </w:pPr>
          </w:p>
        </w:tc>
        <w:tc>
          <w:tcPr>
            <w:tcW w:w="3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Borders>
              <w:lef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6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7"/>
        </w:trPr>
        <w:tc>
          <w:tcPr>
            <w:tcW w:w="4700" w:type="dxa"/>
            <w:vAlign w:val="bottom"/>
            <w:tcBorders>
              <w:right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(5)</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Non-recurring income (expense) </w:t>
            </w:r>
            <w:r>
              <w:rPr>
                <w:rFonts w:ascii="Times New Roman" w:cs="Times New Roman" w:eastAsia="Times New Roman" w:hAnsi="Times New Roman"/>
                <w:sz w:val="24"/>
                <w:szCs w:val="24"/>
                <w:color w:val="auto"/>
                <w:vertAlign w:val="superscript"/>
              </w:rPr>
              <w:t>(7)</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0"/>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6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60" w:type="dxa"/>
            <w:vAlign w:val="bottom"/>
            <w:tcBorders>
              <w:lef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6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-6960870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-6943725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-6960870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-6943725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-6960870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-6943725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-6960870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-6943725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-6960870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-6943725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-6318250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-6001385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-5684520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-4443095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-4425950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-4443095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-4425950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-4443095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-4425950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-4443095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-4425950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-3493135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-1617345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-1600835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-1617345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-1600835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-1617345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-1600835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-1617345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-1600835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right="320" w:hanging="383"/>
        <w:spacing w:after="0" w:line="233" w:lineRule="auto"/>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and administrative personnel costs of $2 million and $6 million for the three and nine months ended September 30, 2024, respectively, and $2 million and $5 million for the three and nine months ended September 30, 2023, respectively, were allocated to the Viator and TheFork segments.</w:t>
      </w:r>
    </w:p>
    <w:p>
      <w:pPr>
        <w:ind w:left="840" w:right="400" w:hanging="383"/>
        <w:spacing w:after="0" w:line="227" w:lineRule="auto"/>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$1 million and $3 million for the three and nine months ended September 30, 2024, respectively, and $1 million and $2 million for the three and nine months ended September 30, 2023, respectively.</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5" w:name="page26"/>
    <w:bookmarkEnd w:id="25"/>
    <w:p>
      <w:pPr>
        <w:ind w:left="840" w:right="400" w:hanging="383"/>
        <w:spacing w:after="0" w:line="233"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$1 million and $3 million for the three and nine months ended September 30, 2024, respectively, and $1 million and $3 million for the three and nine months ended September 30, 2023, respectively.</w:t>
      </w:r>
    </w:p>
    <w:p>
      <w:pPr>
        <w:ind w:left="840" w:right="340" w:hanging="383"/>
        <w:spacing w:after="0" w:line="221"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related costs of $1 million and $4 million during the three and nine months ended September 30, 2024, respectively, to general and administrative expenses on our unaudited condensed consolidated statement of operations. The Company considers such costs to be non-recurring in nature.</w:t>
      </w:r>
    </w:p>
    <w:p>
      <w:pPr>
        <w:ind w:left="840" w:hanging="383"/>
        <w:spacing w:after="0" w:line="221"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840" w:hanging="383"/>
        <w:spacing w:after="0" w:line="221"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a one-time charge of $4 million during the second quarter of 2024, resulting from enacted tax legislation in Canada during June 2024 related to digital services taxes, which requires retrospective application back to January 1, 2022. This amount represents the one-time retrospective liability for the periods prior to April 1, 2024, while all prospective periods are and will be included within Adjusted EBITDA, respectively. In addition, this amount includes an estimated accrual for the potential settlement of a regulatory related matter of $10 million, expensed during the first quarter of 2024. Refer to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 These costs are reflected in general and administrative expenses on our unaudited condensed consolidated statement of operations.</w:t>
      </w:r>
    </w:p>
    <w:p>
      <w:pPr>
        <w:ind w:left="840" w:right="440" w:hanging="383"/>
        <w:spacing w:after="0" w:line="237"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$3 million of previously capitalized transaction related costs during the first quarter of 2023 to general and administrative expenses on our unaudited condensed consolidated statement of operations. The Company considers such costs to be non-recurring in nature.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225" w:lineRule="exact"/>
        <w:rPr>
          <w:sz w:val="20"/>
          <w:szCs w:val="20"/>
          <w:color w:val="auto"/>
        </w:rPr>
      </w:pPr>
    </w:p>
    <w:p>
      <w:pPr>
        <w:ind w:right="5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under the section entitled “Risks and Concentrations” for information regarding our major customer concentrations.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 xml:space="preserve">Revenue sources within our Brand Tripadvisor segment, consisting of Tripadvisor-branded hotels revenue, Media and advertising revenue, Tripadvisor experiences and dining revenue, and other revenue, along with our Viator and TheFork segment revenue sources, comprise our products.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(this “Quarterly Report”), and the consolidated financial statements and accompanying notes, as well as Management’s Discussion and Analysis of Financial Condition and Results of Operations contained in our 2023 Annual Report.</w:t>
      </w:r>
    </w:p>
    <w:p>
      <w:pPr>
        <w:spacing w:after="0" w:line="7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2023 Annual Report,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our subsequent filings with the U.S. Securities and Exchange Commission (the “SEC”)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“continue,” “estimates,” “expects,” “intends,” “may,” “plans,” “will” and “believes,” among others, generally identify forward-looking statements; however, these words are not the exclusive means of identifying such statements. In addition, any statements other than historical statements of fact are forward-looking statements, including statements that refer to expectations, projections or other characterizations of future events or circumstances.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Tripadvisor Group operates as a family of brands with the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82"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Brand Tripadvisor has developed a relationship of trust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6" w:name="page27"/>
    <w:bookmarkEnd w:id="26"/>
    <w:p>
      <w:pPr>
        <w:ind w:right="120"/>
        <w:spacing w:after="0" w:line="258" w:lineRule="auto"/>
        <w:rPr>
          <w:sz w:val="20"/>
          <w:szCs w:val="20"/>
          <w:color w:val="auto"/>
        </w:rPr>
      </w:pPr>
      <w:r>
        <w:rPr>
          <w:rFonts w:ascii="Times New Roman" w:cs="Times New Roman" w:eastAsia="Times New Roman" w:hAnsi="Times New Roman"/>
          <w:sz w:val="18"/>
          <w:szCs w:val="18"/>
          <w:color w:val="auto"/>
        </w:rPr>
        <w:t>community with travelers and experience seekers by providing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Brand Tripadvisor offers more than 1 billion user-generated ratings and reviews on over 8 million experiences, accommodations, restaurants, airlines, and cruises. Brand Tripadvisor’s online platform attracts one of the world’s largest travel audiences, with hundreds of millions of visitors annually.</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350,000 experiences from more than 55,000 operators. Viator is a pure-play experiences OTA singularly focused on the needs of both travelers and operators, with the largest supply of bookable experiences available to travelers.</w:t>
      </w:r>
    </w:p>
    <w:p>
      <w:pPr>
        <w:spacing w:after="0" w:line="186"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TheFork delivers on its purpose by providing an online marketplace that enables diners to discover and book online reservations at approximately 55,000 restaurants in 11 countries across the U.K. and western and central Europe. TheFork has become an urban, gastronomic guide with a strong community that offers approximately 20 million restaurant reviews.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w:t>
      </w:r>
    </w:p>
    <w:p>
      <w:pPr>
        <w:spacing w:after="0" w:line="117"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and growing addressable markets including travel, experiences, and digital advertising;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global, and engaged audience making meaningful contributions that reinforces a relationship of trust and community; and</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6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our Brand Tripadvisor segment, we offer a compelling value proposition to both travelers and partners across a number of key offerings that include accommodations, experiences, dining, and media. This value proposition is delivered through a collection of durable assets that we believe are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w:t>
      </w:r>
    </w:p>
    <w:p>
      <w:pPr>
        <w:spacing w:after="0" w:line="18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7"/>
          <w:szCs w:val="17"/>
          <w:color w:val="auto"/>
        </w:rPr>
        <w:t>The Brand Tripadvisor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in a world where it is hard to find advice you can trust; (2) prioritizing deeper engagement with travelers, increasing members, and repeat customers by leveraging our rich data and technology assets to provide more relevant, curated, and contextual content throughout the traveler journey; and</w:t>
      </w:r>
    </w:p>
    <w:p>
      <w:pPr>
        <w:spacing w:after="0" w:line="3" w:lineRule="exact"/>
        <w:rPr>
          <w:sz w:val="20"/>
          <w:szCs w:val="20"/>
          <w:color w:val="auto"/>
        </w:rPr>
      </w:pPr>
    </w:p>
    <w:p>
      <w:pPr>
        <w:ind w:firstLine="8"/>
        <w:spacing w:after="0" w:line="25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a step change in the value we can deliver to our partners by accelerating and diversifying the monetization of our valuable audience across key categories, including hotel meta, media advertising, experiences, and restaurants. As we continue to focus on offering a more compelling product that better meets travelers’ needs across their end-to-end travel journey, we believe we are better able to drive deeper engagement which drives more direct channel growth, including via our mobile app. As this direct engagement with users improves and scales, we are able to collect valuable data and create more relevant opportunities to monetize, which we believe will result in a meaningfully higher average revenue per user over time.</w:t>
      </w:r>
    </w:p>
    <w:p>
      <w:pPr>
        <w:spacing w:after="0" w:line="18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our Viator and TheFork segments, we provide two-sided marketplaces that connect travelers and diners to operators of bookable experiences and restaurants, respectively. Within our Viator and TheFork segments, we are investing in growth, future scale,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27" w:name="page28"/>
    <w:bookmarkEnd w:id="27"/>
    <w:p>
      <w:pPr>
        <w:ind w:right="160"/>
        <w:spacing w:after="0" w:line="255" w:lineRule="auto"/>
        <w:rPr>
          <w:sz w:val="20"/>
          <w:szCs w:val="20"/>
          <w:color w:val="auto"/>
        </w:rPr>
      </w:pPr>
      <w:r>
        <w:rPr>
          <w:rFonts w:ascii="Times New Roman" w:cs="Times New Roman" w:eastAsia="Times New Roman" w:hAnsi="Times New Roman"/>
          <w:sz w:val="18"/>
          <w:szCs w:val="18"/>
          <w:color w:val="auto"/>
        </w:rPr>
        <w:t>and market share gains to accelerate our market leadership position, while working to improve unit economics on both sides of the marketplace with the goal of sustainable future profitability. This means driving awareness and higher quality audience engagement, which we believe will drive greater repeat bookings, more direct traffic, and translate into improved unit economics over time. Our investments on both sides of our marketplace, as well as in our primary offerings,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tools and features on our branded platforms, and through continued awareness of our brand through marketing efforts.</w:t>
      </w:r>
    </w:p>
    <w:p>
      <w:pPr>
        <w:spacing w:after="0" w:line="187"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are focused on executing initiatives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 Public health-related events, such as a pandemic,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p>
    <w:p>
      <w:pPr>
        <w:spacing w:after="0" w:line="1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Prior to Google introducing changes to its search engine results page (“SERP”), we generated a significant amount of direct traffic from search engines, including Google, through strong search engine optimization (“SEO”) performance across all segments. We believe our SEO traffic acquisition performance has been negatively impacted in the past, and may be impacted in the future, by metasearch and search engines (primarily Google) changing their search result placement and underlying algorithms, including to increase the prominence of their own products in search results across our business, most notably within our hotel meta offering within our Brand Tripadvisor segment.</w:t>
      </w:r>
    </w:p>
    <w:p>
      <w:pPr>
        <w:spacing w:after="0" w:line="182"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In response to the large underpenetrated market for experiences, Viator continues to invest in marketing to drive awareness and grow market share. Over the long-term, we are focused on driving a greater percentage of our bookings from direct channels. We are doing this by continuing to focus on increasing our brand recognition and improving the user experience across products on our website and mobile app, providing high-quality customer service, and offering leading customer choice for online bookable experiences supply.</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restaurant partners, particularly in Europe. Given the competitive positioning of our businesses relative to the attractive growth prospects in the experiences and restaurant categories, we expect to continue to invest in these categories across Tripadvisor Group and, in particular, within the Viator and TheFork segments, to continue accelerating revenue growth, operating scale, and market share gains for the long-term.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 disclosed in our 2023 Annual Report, in August 2023, we received a NOPA from the IRS for the 2014 through 2016 tax years relating to certain transfer pricing arrangements with our foreign subsidiaries. In response, we requested competent authority assistance under the MAP for the 2014 through 2016 tax years. In January 2024, we received notification of a MAP resolution agreement for the 2014 through 2016 tax years, which we accepted in February 2024. During the three and nine months ended September 30, 2024, we recorded an income tax benefit of $4 million and an income tax expense of $41 million, respectively, as discrete items, inclusive of interest, related to this settlement on our unaudited condensed consolidated statements of operations. During the three months ended June 30, 2024, we made a payment to the IRS of $141 million, inclusive of estimated interest, and during the three months ended September 30, 2024, we made various state tax payments of $18 million, inclusive of estimated interest, related to this settlement. We anticipate a competent authority refund from a foreign jurisdiction and certain federal tax benefits, net of state tax payments due, associated with this IRS audit settlement which will be substantially settled in the next twelve months, resulting in an estimated net cash inflow of $50 million to $60 million, inclusive of related interest. 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of this Quarterly Report for further information regarding potential material contingencies related to ongoing audits regarding income taxes.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28" w:name="page29"/>
    <w:bookmarkEnd w:id="28"/>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July 8, 2024, under the Amended Credit Agreement, the Company issued a $500 million Term Loan B Facility maturing July 8, 2031, with an interest rate based on secured overnight financing rate ("SOFR") plus 2.75%. On July 15, 2024, the Company used these borrowed funds to fully redeem its outstanding $500 million, 2025 Senior Notes.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 had approximately 2,890 employees. Approximately 60%, 35%, and 5% of the Company’s current employees are based in Europe, the U.S., and the rest of world (“ROW”),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 xml:space="preserve">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Times New Roman" w:cs="Times New Roman" w:eastAsia="Times New Roman" w:hAnsi="Times New Roman"/>
          <w:sz w:val="17"/>
          <w:szCs w:val="17"/>
          <w:color w:val="231F20"/>
        </w:rPr>
        <w:t>In addition, during the first half of the year, experience bookings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7"/>
          <w:szCs w:val="17"/>
          <w:color w:val="000000"/>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7"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5" w:lineRule="exact"/>
        <w:rPr>
          <w:sz w:val="20"/>
          <w:szCs w:val="20"/>
          <w:color w:val="auto"/>
        </w:rPr>
      </w:pPr>
    </w:p>
    <w:p>
      <w:pPr>
        <w:ind w:left="760" w:right="30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8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2023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significant accounting policies or new accounting pronouncements that we have been required to adopt that may have an impact on our unaudited condensed consolidated financial statements since December 31, 2023, as compared to those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2023 Annual Report.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29" w:name="page30"/>
    <w:bookmarkEnd w:id="29"/>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25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9"/>
                <w:szCs w:val="19"/>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0 %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1"/>
        </w:trPr>
        <w:tc>
          <w:tcPr>
            <w:tcW w:w="3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organization</w:t>
            </w:r>
          </w:p>
        </w:tc>
        <w:tc>
          <w:tcPr>
            <w:tcW w:w="700" w:type="dxa"/>
            <w:vAlign w:val="bottom"/>
          </w:tcPr>
          <w:p>
            <w:pPr>
              <w:spacing w:after="0"/>
              <w:rPr>
                <w:sz w:val="19"/>
                <w:szCs w:val="19"/>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(benefit)</w:t>
            </w:r>
          </w:p>
        </w:tc>
        <w:tc>
          <w:tcPr>
            <w:tcW w:w="7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51"/>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(84 )</w:t>
            </w: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4"/>
                <w:szCs w:val="24"/>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0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Financial Data:</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(4 )%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-2964815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-1894840</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-1586230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-953135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132320" cy="290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-1278255</wp:posOffset>
            </wp:positionV>
            <wp:extent cx="713232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-481965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-464820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-481965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-464820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-481965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-464820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-481965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-464820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97" w:lineRule="exact"/>
        <w:rPr>
          <w:sz w:val="20"/>
          <w:szCs w:val="20"/>
          <w:color w:val="auto"/>
        </w:rPr>
      </w:pPr>
    </w:p>
    <w:p>
      <w:pPr>
        <w:ind w:left="840" w:right="560" w:hanging="383"/>
        <w:spacing w:after="0" w:line="239"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22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by Segment:</w:t>
            </w:r>
          </w:p>
        </w:tc>
        <w:tc>
          <w:tcPr>
            <w:tcW w:w="7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9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Brand Tripadvisor </w:t>
            </w:r>
            <w:r>
              <w:rPr>
                <w:rFonts w:ascii="Times New Roman" w:cs="Times New Roman" w:eastAsia="Times New Roman" w:hAnsi="Times New Roman"/>
                <w:sz w:val="24"/>
                <w:szCs w:val="24"/>
                <w:color w:val="auto"/>
                <w:vertAlign w:val="superscript"/>
              </w:rPr>
              <w:t>(1)</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3"/>
                <w:szCs w:val="23"/>
                <w:color w:val="auto"/>
              </w:rPr>
            </w:pPr>
          </w:p>
        </w:tc>
        <w:tc>
          <w:tcPr>
            <w:tcW w:w="14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(12 )%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8"/>
        </w:trPr>
        <w:tc>
          <w:tcPr>
            <w:tcW w:w="39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4"/>
                <w:szCs w:val="24"/>
                <w:color w:val="auto"/>
                <w:vertAlign w:val="superscript"/>
              </w:rPr>
              <w:t>(1)</w:t>
            </w:r>
          </w:p>
        </w:tc>
        <w:tc>
          <w:tcPr>
            <w:tcW w:w="70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(42 )</w:t>
            </w:r>
          </w:p>
        </w:tc>
        <w:tc>
          <w:tcPr>
            <w:tcW w:w="32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3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40" w:type="dxa"/>
            <w:vAlign w:val="bottom"/>
          </w:tcPr>
          <w:p>
            <w:pPr>
              <w:spacing w:after="0"/>
              <w:rPr>
                <w:sz w:val="23"/>
                <w:szCs w:val="23"/>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20"/>
                <w:szCs w:val="20"/>
                <w:color w:val="auto"/>
              </w:rPr>
            </w:pPr>
          </w:p>
        </w:tc>
        <w:tc>
          <w:tcPr>
            <w:tcW w:w="1440" w:type="dxa"/>
            <w:vAlign w:val="bottom"/>
            <w:gridSpan w:val="3"/>
          </w:tcPr>
          <w:p>
            <w:pPr>
              <w:jc w:val="right"/>
              <w:ind w:right="48"/>
              <w:spacing w:after="0" w:line="236" w:lineRule="exact"/>
              <w:rPr>
                <w:sz w:val="20"/>
                <w:szCs w:val="20"/>
                <w:color w:val="auto"/>
              </w:rPr>
            </w:pPr>
            <w:r>
              <w:rPr>
                <w:rFonts w:ascii="Times New Roman" w:cs="Times New Roman" w:eastAsia="Times New Roman" w:hAnsi="Times New Roman"/>
                <w:sz w:val="15"/>
                <w:szCs w:val="15"/>
                <w:color w:val="auto"/>
              </w:rPr>
              <w:t xml:space="preserve">0 % </w:t>
            </w:r>
            <w:r>
              <w:rPr>
                <w:rFonts w:ascii="Times New Roman" w:cs="Times New Roman" w:eastAsia="Times New Roman" w:hAnsi="Times New Roman"/>
                <w:sz w:val="27"/>
                <w:szCs w:val="27"/>
                <w:color w:val="auto"/>
                <w:vertAlign w:val="superscript"/>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1"/>
                <w:szCs w:val="21"/>
                <w:color w:val="auto"/>
              </w:rPr>
            </w:pPr>
          </w:p>
        </w:tc>
        <w:tc>
          <w:tcPr>
            <w:tcW w:w="14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(22 )%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Adjusted EBITDA</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20"/>
                <w:szCs w:val="20"/>
                <w:color w:val="auto"/>
              </w:rPr>
            </w:pPr>
          </w:p>
        </w:tc>
        <w:tc>
          <w:tcPr>
            <w:tcW w:w="1440" w:type="dxa"/>
            <w:vAlign w:val="bottom"/>
            <w:gridSpan w:val="3"/>
          </w:tcPr>
          <w:p>
            <w:pPr>
              <w:jc w:val="right"/>
              <w:ind w:right="48"/>
              <w:spacing w:after="0" w:line="236" w:lineRule="exact"/>
              <w:rPr>
                <w:sz w:val="20"/>
                <w:szCs w:val="20"/>
                <w:color w:val="auto"/>
              </w:rPr>
            </w:pPr>
            <w:r>
              <w:rPr>
                <w:rFonts w:ascii="Times New Roman" w:cs="Times New Roman" w:eastAsia="Times New Roman" w:hAnsi="Times New Roman"/>
                <w:sz w:val="15"/>
                <w:szCs w:val="15"/>
                <w:color w:val="auto"/>
              </w:rPr>
              <w:t xml:space="preserve">(4 )% </w:t>
            </w:r>
            <w:r>
              <w:rPr>
                <w:rFonts w:ascii="Times New Roman" w:cs="Times New Roman" w:eastAsia="Times New Roman" w:hAnsi="Times New Roman"/>
                <w:sz w:val="27"/>
                <w:szCs w:val="27"/>
                <w:color w:val="auto"/>
                <w:vertAlign w:val="superscript"/>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7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7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7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-2219960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-1261110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-1595120</wp:posOffset>
            </wp:positionV>
            <wp:extent cx="713232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-798830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-798830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-798830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-798830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95" w:lineRule="exact"/>
        <w:rPr>
          <w:sz w:val="20"/>
          <w:szCs w:val="20"/>
          <w:color w:val="auto"/>
        </w:rPr>
      </w:pPr>
    </w:p>
    <w:p>
      <w:pPr>
        <w:ind w:left="840" w:right="340" w:hanging="383"/>
        <w:spacing w:after="0" w:line="230"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13: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w:t>
      </w:r>
    </w:p>
    <w:p>
      <w:pPr>
        <w:spacing w:after="0" w:line="22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Brand Tripadvisor segment revenue decreased by $35 million and $68 million during the three and nine months ended September 30, 2024, respectively, when compared to the same periods in 2023, primarily due to a decrease in our hotel meta revenue and, to a lesser extent, a decrease in hotel B2B revenue.</w:t>
      </w:r>
    </w:p>
    <w:p>
      <w:pPr>
        <w:spacing w:after="0" w:line="17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our Brand Tripadvisor segment decreased by $24 million and $31 million during the three and nine months ended September 30, 2024, respectively, when compared to the same periods in 2023, while Adjusted EBITDA margin decreased 4 percentage points and 1 percentage point during the three and nine months ended September 30, 2024, respectively, when compared to the same periods in 2023. The decrease in Adjusted EBITDA was primarily due to a decrease in revenue, as noted above, and to a lesser extent a decrease in the segment's operating expenses during the three and nine months ended September 30, 2024, when compared to the same periods in 2023, of $11 million and $37 million, respectively, primarily related to a decrease in direct selling and marketing expenses, primarily paid online traffic acquisition costs, and to a lesser extent a decrease in overall personnel and overhead costs. The decrease in Adjusted EBITDA margin during the three and nine months ended September 30, 2024, when compared to the same periods in 2023, was largely due to an increase in technology and content personnel and overhead costs, and to a lesser extent, an increase in direct costs within cost of revenue, as a percent of revenue.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104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2024 vs.</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8"/>
              </w:rPr>
              <w:t>% of Brand Tripadvisor revenue*</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i w:val="1"/>
                <w:iCs w:val="1"/>
                <w:color w:val="auto"/>
              </w:rPr>
              <w:t>59 %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62 %</w:t>
            </w: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62 %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64 %</w:t>
            </w: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8"/>
              </w:rPr>
              <w:t>% of Brand Tripadvisor revenue*</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i w:val="1"/>
                <w:iCs w:val="1"/>
                <w:color w:val="auto"/>
              </w:rPr>
              <w:t>16 %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13 %</w:t>
            </w: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15 %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14 %</w:t>
            </w: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jc w:val="center"/>
              <w:ind w:right="730"/>
              <w:spacing w:after="0" w:line="243" w:lineRule="exact"/>
              <w:rPr>
                <w:sz w:val="20"/>
                <w:szCs w:val="20"/>
                <w:color w:val="auto"/>
              </w:rPr>
            </w:pPr>
            <w:r>
              <w:rPr>
                <w:rFonts w:ascii="Times New Roman" w:cs="Times New Roman" w:eastAsia="Times New Roman" w:hAnsi="Times New Roman"/>
                <w:sz w:val="18"/>
                <w:szCs w:val="18"/>
                <w:color w:val="auto"/>
                <w:w w:val="97"/>
              </w:rPr>
              <w:t xml:space="preserve">Tripadvisor experiences and dining </w:t>
            </w:r>
            <w:r>
              <w:rPr>
                <w:rFonts w:ascii="Times New Roman" w:cs="Times New Roman" w:eastAsia="Times New Roman" w:hAnsi="Times New Roman"/>
                <w:sz w:val="24"/>
                <w:szCs w:val="24"/>
                <w:color w:val="auto"/>
                <w:w w:val="97"/>
                <w:vertAlign w:val="superscript"/>
              </w:rPr>
              <w:t>(1)</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8"/>
              </w:rPr>
              <w:t>% of Brand Tripadvisor revenue*</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i w:val="1"/>
                <w:iCs w:val="1"/>
                <w:color w:val="auto"/>
              </w:rPr>
              <w:t>20 %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19 %</w:t>
            </w: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18 %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17 %</w:t>
            </w: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jc w:val="center"/>
              <w:ind w:right="770"/>
              <w:spacing w:after="0"/>
              <w:rPr>
                <w:sz w:val="20"/>
                <w:szCs w:val="20"/>
                <w:color w:val="auto"/>
              </w:rPr>
            </w:pPr>
            <w:r>
              <w:rPr>
                <w:rFonts w:ascii="Times New Roman" w:cs="Times New Roman" w:eastAsia="Times New Roman" w:hAnsi="Times New Roman"/>
                <w:sz w:val="18"/>
                <w:szCs w:val="18"/>
                <w:i w:val="1"/>
                <w:iCs w:val="1"/>
                <w:color w:val="auto"/>
                <w:w w:val="98"/>
              </w:rPr>
              <w:t>% of Brand Tripadvisor revenue*</w:t>
            </w:r>
          </w:p>
        </w:tc>
        <w:tc>
          <w:tcPr>
            <w:tcW w:w="7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i w:val="1"/>
                <w:iCs w:val="1"/>
                <w:color w:val="auto"/>
              </w:rPr>
              <w:t>5 %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6 %</w:t>
            </w: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i w:val="1"/>
                <w:iCs w:val="1"/>
                <w:color w:val="auto"/>
              </w:rPr>
              <w:t>5 %</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5 %</w:t>
            </w: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1260" w:type="dxa"/>
            <w:vAlign w:val="bottom"/>
            <w:gridSpan w:val="3"/>
          </w:tcPr>
          <w:p>
            <w:pPr>
              <w:jc w:val="right"/>
              <w:ind w:right="20"/>
              <w:spacing w:after="0" w:line="236" w:lineRule="exact"/>
              <w:rPr>
                <w:sz w:val="20"/>
                <w:szCs w:val="20"/>
                <w:color w:val="auto"/>
              </w:rPr>
            </w:pPr>
            <w:r>
              <w:rPr>
                <w:rFonts w:ascii="Times New Roman" w:cs="Times New Roman" w:eastAsia="Times New Roman" w:hAnsi="Times New Roman"/>
                <w:sz w:val="15"/>
                <w:szCs w:val="15"/>
                <w:color w:val="auto"/>
              </w:rPr>
              <w:t xml:space="preserve">(12 %) </w:t>
            </w:r>
            <w:r>
              <w:rPr>
                <w:rFonts w:ascii="Times New Roman" w:cs="Times New Roman" w:eastAsia="Times New Roman" w:hAnsi="Times New Roman"/>
                <w:sz w:val="27"/>
                <w:szCs w:val="27"/>
                <w:color w:val="auto"/>
                <w:vertAlign w:val="superscript"/>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-958215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-958215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-958215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-958215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31" w:right="239" w:bottom="708"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97" w:lineRule="exact"/>
        <w:rPr>
          <w:sz w:val="20"/>
          <w:szCs w:val="20"/>
          <w:color w:val="auto"/>
        </w:rPr>
      </w:pPr>
    </w:p>
    <w:p>
      <w:pPr>
        <w:ind w:left="840" w:right="200" w:hanging="383"/>
        <w:spacing w:after="0" w:line="239"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13: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 presented.</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Tripadvisor-branded hotels revenue decreased by $30 million and $64 million during the three and nine months ended September 30, 2024, respectively, when compared to the same periods in 2023, primarily due to a decrease in our hotel meta revenue and, to a lesser extent, a decrease in hotel B2B revenue, as the Company transitions from a sales-led model to a self-service model. The decrease in our hotel meta revenue during the three months ended September 30, 2024, when compared to the same period in 2023, was primarily driven by continued headwinds impacting free channels, including SEO traffic, contributing to a decrease in click volumes, and to a lesser extent, a deceleration in cost-per-click (“CPC”) rates, particularly in the U.S. The decrease in our hotel meta revenue during the nine months ended September 30, 2024, when compared to the same period in 2023, was driven by declines in our U.S. hotel meta revenue and, to a lesser extent, our European hotel meta revenue, primarily due to weaker demand related to increased competition in paid online marketing channels and continued headwinds impacting free channels, including SEO traffic, during the second and third quarters of 2024, contributing to a decrease in click volumes.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Media and advertising revenue consists of revenue from display-based advertising (or “media advertising”) across our Tripadvisor Group platform. Media and advertising revenue increased $2 million and $4 million during the three and nine months ended September 30, 2024, when compared to the same periods in 2023, primarily due to an increase in overall advertising campaigns and pricing.</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119"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7"/>
          <w:szCs w:val="17"/>
          <w:color w:val="auto"/>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decreased $4 million during the three months ended September 30, 2024, when compared to the same period in 2023, primarily due to a decline in dining revenue as we move from a sales-led model to a self-service model, and to a lesser extent some deceleration in experiences growth during the third quarter of 2024, as our near-term segment marketing strategy emphasizes profitability. Tripadvisor experiences and dining revenue decreased $3 million during the nine months ended September 30, 2024, when compared to the same period in 2023, primarily due to a decline in dining revenue as we move from a sales-led model to a self-service model, as noted above, partially offset by an increase in experiences revenue, despite some deceleration in experiences revenue growth, as noted above, during the second and third quarters of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Other revenue includes alternative accommodation rentals revenue, in addition to click-based advertising and display-based advertising revenue from our cruise, flights, and rental cars offerings on Tripadvisor websites and mobile apps. Other revenue decreased $3 million and $5 million during the three and nine months ended September 30, 2024, respectively, when compared to the same periods in 2023, primarily due to a decline in alternative accommodation rentals revenue as we continue to strategically de-emphasize this offering.</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Viator segment revenue increased by $25 million and $79 million during the three and nine months ended September 30, 2024, respectively, when compared to the same periods in 2023, driven by consumer demand for experiences across all geographies, driving growth in bookings, partially offset by some deceleration in revenue growth in the Brand Tripadvisor point-of-sale during the second and third quarters of 2024, as noted above. We continue to believe that Viator is benefiting from a larger macro trend, as the large global market in which it operates continues to grow and migrate online from traditional offline sources.</w:t>
      </w:r>
    </w:p>
    <w:p>
      <w:pPr>
        <w:spacing w:after="0" w:line="18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Adjusted EBITDA in our Viator segment improved by $13 million and $28 million during the three and nine months ended September 30, 2024, respectively, when compared to the same periods in 2023, and Adjusted EBITDA margin improved by 4 percentage points and 5 percentage points during three and nine months ended September 30, 2024, respectively, when compared to the same periods in 2023. These improvements in Adjusted EBITDA were primarily due to increased leverage as we scale the business and drive a greater number of bookings from more profitable repeat customers. These improvements were partially offset by our continued investment in marketing, primarily paid online traffic acquisition costs, in response to consumer demand for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2" w:name="page33"/>
    <w:bookmarkEnd w:id="32"/>
    <w:p>
      <w:pPr>
        <w:ind w:right="100"/>
        <w:spacing w:after="0" w:line="258" w:lineRule="auto"/>
        <w:rPr>
          <w:sz w:val="20"/>
          <w:szCs w:val="20"/>
          <w:color w:val="auto"/>
        </w:rPr>
      </w:pPr>
      <w:r>
        <w:rPr>
          <w:rFonts w:ascii="Times New Roman" w:cs="Times New Roman" w:eastAsia="Times New Roman" w:hAnsi="Times New Roman"/>
          <w:sz w:val="18"/>
          <w:szCs w:val="18"/>
          <w:color w:val="auto"/>
        </w:rPr>
        <w:t>experiences and increased investment focusing on growing market share, acquiring new customers, and driving brand awareness. In addition, increased personnel and overhead costs to support business growth and invest in our product experience and, to a lesser extent, increased licensing costs, and an increase in revenue generation costs resulting from credit card payments in direct correlation with the increase in revenue, all negatively impacted Adjusted EBITDA. The improvements in Adjusted EBITDA margin were primarily due to a decrease in selling and marketing costs, largely brand marketing, as a percent of revenue.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TheFork segment revenue increased by $7 million and $18 million during the three and nine months ended September 30, 2024, respectively, when compared to the same periods in 2023. These improvements were driven by increased consumer demand for dining in Europe, including increased bookings and pricing, during the three and nine months ended September 30, 2024, when compared to the same periods in 2023. In addition, we estimate this segment's revenue growth rate was positively impacted by foreign currency fluctuations of approximately 2% during both the three and nine months ended September 30, 2024 when compared to the same periods in 2023.</w:t>
      </w:r>
    </w:p>
    <w:p>
      <w:pPr>
        <w:spacing w:after="0" w:line="182"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Adjusted EBITDA in TheFork segment improved by $6 million and $19 million during the three and nine months ended September 30, 2024, respectively, when compared to the same periods in 2023, while Adjusted EBITDA margin improved by 12 percentage points and 16 percentage points during the three and nine months ended September 30, 2024, respectively, when compared to the same periods in 2023. The improvement in Adjusted EBITDA was primarily due to an increase in revenue as noted above, and lower personnel and overhead costs. The improvement in Adjusted EBITDA margin was primarily due to lower personnel and overhead costs as a percent of revenue.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credit card and other booking transaction payment fees, data center costs, including cloud-based solutions, media production costs,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7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4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9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2024 vs.</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8.8 %</w:t>
            </w: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8.1 %</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Cost of revenue increased $4 million and $15 million during the three and nine months ended September 30, 2024, respectively, when compared to the same periods in 2023. The increase in cost of revenue during the three months ended September 30, 2024, when compared to the same period in 2023, was primarily due to increased direct costs from credit card payment processing fees and other revenue-related transaction costs in our Viator segment in direct correlation with the increase in revenue, as Viator serves as the merchant of record for the significant majority of its experience booking transactions. The increase in cost of revenue during the nine months ended September 30, 2024, when compared to the same period in 2023, was primarily due to increased direct costs from credit card payment processing fees and other revenue-related transaction costs in our Viator segment, as noted above, as well as, increased direct revenue generation costs related to data center costs and media production costs in our Brand Tripadvisor segment.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5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 promotions and public relations. In addition, our selling</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7" w:right="279" w:bottom="1440" w:gutter="0" w:footer="0" w:header="0"/>
        </w:sectPr>
      </w:pPr>
    </w:p>
    <w:bookmarkStart w:id="33" w:name="page34"/>
    <w:bookmarkEnd w:id="33"/>
    <w:p>
      <w:pPr>
        <w:ind w:right="880"/>
        <w:spacing w:after="0" w:line="281" w:lineRule="auto"/>
        <w:rPr>
          <w:sz w:val="20"/>
          <w:szCs w:val="20"/>
          <w:color w:val="auto"/>
        </w:rPr>
      </w:pPr>
      <w:r>
        <w:rPr>
          <w:rFonts w:ascii="Times New Roman" w:cs="Times New Roman" w:eastAsia="Times New Roman" w:hAnsi="Times New Roman"/>
          <w:sz w:val="18"/>
          <w:szCs w:val="18"/>
          <w:color w:val="auto"/>
        </w:rPr>
        <w:t>and marketing expenses consist of indirect costs such as personnel and overhead expenses, including salaries, commissions, benefits, stock-based compensation, bonuses for sales, sales support, customer support and marketing employees.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29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and marketing</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156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5"/>
                <w:szCs w:val="15"/>
                <w:color w:val="auto"/>
              </w:rPr>
              <w:t xml:space="preserve">0 %  </w:t>
            </w:r>
            <w:r>
              <w:rPr>
                <w:rFonts w:ascii="Times New Roman" w:cs="Times New Roman" w:eastAsia="Times New Roman" w:hAnsi="Times New Roman"/>
                <w:sz w:val="27"/>
                <w:szCs w:val="27"/>
                <w:color w:val="auto"/>
                <w:vertAlign w:val="superscript"/>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50.9 %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51.0 %</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53.0 %</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54.4 %</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selling and marketing costs as a percentage of consolidated revenue was 41% during both the three months ended September 30, 2024 and 2023. Direct selling and marketing costs decreased by $2 million during the three months ended September 30, 2024, when compared to the same period in 2023, primarily driven by a decrease in overall marketing costs in Brand Tripadvisor of $8 million, partially offset by an increase in overall marketing costs in our Viator segment of $4 million, in order to capture consumer demand, including increased investment within our Viator segment focused on growing market share, acquiring new customers, and driving brand awareness.</w:t>
      </w:r>
    </w:p>
    <w:p>
      <w:pPr>
        <w:spacing w:after="0" w:line="182"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selling and marketing costs as a percentage of consolidated revenue was 42% during the nine months ended September 30, 2024, compared to 43% in the same period in 2023. Direct selling and marketing costs decreased by $3 million during the nine months ended September 30, 2024, when compared to the same period in 2023, primarily driven by a decrease in overall marketing costs in Brand Tripadvisor of $28 million, partially offset by an increase in overall marketing costs in our Viator segment of $21 million, in order to capture consumer demand, including increased investment within our Viator segment focused on growing market share, acquiring new customers, and driving brand awareness.</w:t>
      </w:r>
    </w:p>
    <w:p>
      <w:pPr>
        <w:spacing w:after="0" w:line="182"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Personnel and overhead costs decreased $3 million during the nine months ended September 30, 2024, when compared to the same period in 2023, primarily driven by a reduction in headcount related to our cost-reduction measures taken during 2023 in Brand Tripadvisor and TheFork, partially by offset by an increase in personnel and overhead costs to support business growth in Viator, as well as, an increase in stock-based compensation.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255" w:lineRule="exact"/>
        <w:rPr>
          <w:sz w:val="20"/>
          <w:szCs w:val="20"/>
          <w:color w:val="auto"/>
        </w:rPr>
      </w:pPr>
    </w:p>
    <w:p>
      <w:pPr>
        <w:ind w:right="260" w:firstLine="509"/>
        <w:spacing w:after="0" w:line="288" w:lineRule="auto"/>
        <w:rPr>
          <w:sz w:val="20"/>
          <w:szCs w:val="20"/>
          <w:color w:val="auto"/>
        </w:rPr>
      </w:pPr>
      <w:r>
        <w:rPr>
          <w:rFonts w:ascii="Times New Roman" w:cs="Times New Roman" w:eastAsia="Times New Roman" w:hAnsi="Times New Roman"/>
          <w:sz w:val="17"/>
          <w:szCs w:val="17"/>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29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38 %</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6"/>
        </w:trPr>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technology and content</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8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13.7 %</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12.4 %</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15.7 %</w:t>
            </w:r>
          </w:p>
        </w:tc>
        <w:tc>
          <w:tcPr>
            <w:tcW w:w="3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Technology and content costs increased $7 million and $19 million during the three and nine months ended September 30, 2024, respectively, when compared to the same periods in 2023, primarily due to higher personnel and overhead costs, including stock-based compensation costs, in our Brand Tripadvisor and Viator segments, in support of product development, and in addition, increased licensing costs.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5"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11" w:right="239" w:bottom="1440" w:gutter="0" w:footer="0" w:header="0"/>
        </w:sectPr>
      </w:pPr>
    </w:p>
    <w:bookmarkStart w:id="34" w:name="page35"/>
    <w:bookmarkEnd w:id="34"/>
    <w:p>
      <w:pPr>
        <w:ind w:right="160"/>
        <w:spacing w:after="0" w:line="281" w:lineRule="auto"/>
        <w:rPr>
          <w:sz w:val="20"/>
          <w:szCs w:val="20"/>
          <w:color w:val="auto"/>
        </w:rPr>
      </w:pPr>
      <w:r>
        <w:rPr>
          <w:rFonts w:ascii="Times New Roman" w:cs="Times New Roman" w:eastAsia="Times New Roman" w:hAnsi="Times New Roman"/>
          <w:sz w:val="18"/>
          <w:szCs w:val="18"/>
          <w:color w:val="auto"/>
        </w:rPr>
        <w:t>administrative costs also include professional service fees and other fees including audit, legal, tax and accounting, and other operating costs including bad debt expense, non-income taxes, such as sales, use, digital services, and other non-income related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9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26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2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99"/>
              </w:rPr>
              <w:t>Personnel and overhead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0"/>
                <w:szCs w:val="20"/>
                <w:color w:val="auto"/>
              </w:rPr>
            </w:pPr>
          </w:p>
        </w:tc>
        <w:tc>
          <w:tcPr>
            <w:tcW w:w="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1"/>
        </w:trPr>
        <w:tc>
          <w:tcPr>
            <w:tcW w:w="3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Professional service fees and other</w:t>
            </w: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6"/>
        </w:trPr>
        <w:tc>
          <w:tcPr>
            <w:tcW w:w="33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32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 of revenue</w:t>
            </w: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9.6 %</w:t>
            </w: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9.2 %</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10.3 %</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Personnel and overhead costs increased by $2 million and did not materially change during the three and nine months ended September 30, 2024, respectively, when compared to the same periods in 2023, primarily driven by an increase in stock-based compensation, largely offset by a reduction in headcount related to cost reduction measures taken during 2023 in our Brand Tripadvisor segment.</w:t>
      </w:r>
    </w:p>
    <w:p>
      <w:pPr>
        <w:spacing w:after="0" w:line="17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Professional service fees and other costs increased by $17 million during the nine months ended September 30, 2024, when compared to the same period in 2023, primarily due to an estimated accrual for the potential settlement of a regulatory related matter of $10 million during the first quarter of 2024, and to a lesser extent, incremental digital service tax costs of $5 million, primarily resulting from enacted tax legislation in Canada during June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24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20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3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revenue</w:t>
            </w:r>
          </w:p>
        </w:tc>
        <w:tc>
          <w:tcPr>
            <w:tcW w:w="86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3.9 %</w:t>
            </w:r>
          </w:p>
        </w:tc>
        <w:tc>
          <w:tcPr>
            <w:tcW w:w="9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3.9 %</w:t>
            </w:r>
          </w:p>
        </w:tc>
        <w:tc>
          <w:tcPr>
            <w:tcW w:w="82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4.4 %</w:t>
            </w:r>
          </w:p>
        </w:tc>
        <w:tc>
          <w:tcPr>
            <w:tcW w:w="9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-173990</wp:posOffset>
            </wp:positionV>
            <wp:extent cx="596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-156845</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-173990</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-156845</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-173990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-156845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-173990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-156845</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did not change materially during both the three and nine months ended September 30, 2024, respectively, when compared to the same periods in 2023.</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 (benefit)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(benefit) consist primarily of employee severance and related benefits.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2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w:t>
            </w: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reorganization costs (benefit)</w:t>
            </w: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(1 )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incurred pre-tax restructuring and other related reorganization costs of $18 million during the three and nine months ended September 30, 2023. These costs consisted primarily of employee severance and related benefits. Refer to “Note 5: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more information regarding restructuring and other related reorganization costs incurred by each reportable segment.</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11" w:right="27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2025 Senior Notes, the 2026 Senior Notes, as well as imputed interest on finance leases.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2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(13 )  $</w:t>
            </w:r>
          </w:p>
        </w:tc>
        <w:tc>
          <w:tcPr>
            <w:tcW w:w="7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(11 )  $</w:t>
            </w:r>
          </w:p>
        </w:tc>
        <w:tc>
          <w:tcPr>
            <w:tcW w:w="162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(35 )  $</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bl>
    <w:p>
      <w:pPr>
        <w:spacing w:after="0" w:line="1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increased $2 million during both the three and nine months ended September 30, 2024 when compared to the same periods in 2023, primarily due to the issuance of our Term Loan B Facility in July 2024, which has currently increased our cost of capital. The majority of interest expense reported during the three months ended September 30, 2024 was primarily related to the Term Loan B Facility, while during the three ended September 30, 2023 and both the nine months ended September 30, 2024 and 2023, interest expense incurred was primarily related to the 2025 Senior Notes which were redeemed in July 2024.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material capital structure changes and cost of capital during the third quarter of 2024.</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336"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term deposits, money market funds, and marketable securities, including amortization of discounts and premiums on our marketable securities.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Interest income increased $3 million during the nine months ended September 30, 2024, respectively, when compared to the same period in 2023, primarily due to an increase in the average amount of cash invested.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36"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gain/(loss) on extinguishment of debt, and other non-operating income (expenses).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(4 )   $</w:t>
            </w:r>
          </w:p>
        </w:tc>
        <w:tc>
          <w:tcPr>
            <w:tcW w:w="1380" w:type="dxa"/>
            <w:vAlign w:val="bottom"/>
            <w:gridSpan w:val="3"/>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(2 )   $</w:t>
            </w:r>
          </w:p>
        </w:tc>
        <w:tc>
          <w:tcPr>
            <w:tcW w:w="1580" w:type="dxa"/>
            <w:vAlign w:val="bottom"/>
            <w:gridSpan w:val="3"/>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(7 )  $</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Other expense, net increased $2 million during the three months ended September 30, 2024, when compared to the same period in 2023, primarily due to a $2 million loss on extinguishment of the 2025 Senior Notes. Other expense, net increased $4 million during the nine months ended September 30, 2024, when compared to the same period in 2023, primarily due to a loss on disposal of certain assets and aforementioned loss on extinguishment of debt of $2 million, partially offset by net foreign exchange gains incurred as a result of foreign currency movements.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322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(27 )  $</w:t>
            </w: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(37 )  $</w:t>
            </w:r>
          </w:p>
        </w:tc>
        <w:tc>
          <w:tcPr>
            <w:tcW w:w="16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(84 )  $</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Pr>
          <w:p>
            <w:pPr>
              <w:spacing w:after="0"/>
              <w:rPr>
                <w:sz w:val="21"/>
                <w:szCs w:val="2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40.9 %</w:t>
            </w:r>
          </w:p>
        </w:tc>
        <w:tc>
          <w:tcPr>
            <w:tcW w:w="3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57.8 %</w:t>
            </w:r>
          </w:p>
        </w:tc>
        <w:tc>
          <w:tcPr>
            <w:tcW w:w="180" w:type="dxa"/>
            <w:vAlign w:val="bottom"/>
          </w:tcPr>
          <w:p>
            <w:pPr>
              <w:spacing w:after="0"/>
              <w:rPr>
                <w:sz w:val="20"/>
                <w:szCs w:val="20"/>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95.5 %</w:t>
            </w:r>
          </w:p>
        </w:tc>
        <w:tc>
          <w:tcPr>
            <w:tcW w:w="3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123.7 %</w:t>
            </w:r>
          </w:p>
        </w:tc>
      </w:tr>
    </w:tbl>
    <w:p>
      <w:pPr>
        <w:spacing w:after="0" w:line="206" w:lineRule="exact"/>
        <w:rPr>
          <w:sz w:val="20"/>
          <w:szCs w:val="20"/>
          <w:color w:val="auto"/>
        </w:rPr>
      </w:pPr>
    </w:p>
    <w:p>
      <w:pPr>
        <w:ind w:right="520" w:firstLine="509"/>
        <w:spacing w:after="0" w:line="257"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2024 differs from the U.S. federal statutory rate of 21%, primarily due to unfavorable stock-based compensation tax effects. Our effective tax rate for the nine months ended September 30, 2024 differs from the U.S. federal statutory rate of 21%, primarily as a result of a discrete item recorded during the first quarter of 2024, as described below.</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36" w:name="page37"/>
    <w:bookmarkEnd w:id="36"/>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recorded an income tax provision of $27 million and $84 million for the three and nine months ended September 30, 2024, respectively. The change in our income tax provision and our effective tax rate during the nine months ended September 30, 2024, when compared to the same period in 2023, was primarily the result of an IRS audit settlement, which we recorded an income tax expense of $41 million, as a discrete item, inclusive of interest, primarily during the first quarter of 2024, related to this settlement on our unaudited condensed consolidated statement of operations. In addition,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nine months ended September 30, 2023, specifically in the first quarter of 2023, we recorded a net income tax expense of $55 million related to an IRS audit settlement and related adjustment to existing transfer pricing income tax reserves for subsequent tax years. 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our unaudited condensed consolidated financial statements in Item 1 in this Quarterly Report for further information.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2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24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21"/>
                <w:szCs w:val="21"/>
                <w:color w:val="auto"/>
              </w:rPr>
            </w:pPr>
          </w:p>
        </w:tc>
      </w:tr>
      <w:tr>
        <w:trPr>
          <w:trHeight w:val="25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margin</w:t>
            </w:r>
          </w:p>
        </w:tc>
        <w:tc>
          <w:tcPr>
            <w:tcW w:w="860" w:type="dxa"/>
            <w:vAlign w:val="bottom"/>
          </w:tcPr>
          <w:p>
            <w:pPr>
              <w:spacing w:after="0"/>
              <w:rPr>
                <w:sz w:val="22"/>
                <w:szCs w:val="22"/>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7.3 %</w:t>
            </w:r>
          </w:p>
        </w:tc>
        <w:tc>
          <w:tcPr>
            <w:tcW w:w="9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5.1 %</w:t>
            </w:r>
          </w:p>
        </w:tc>
        <w:tc>
          <w:tcPr>
            <w:tcW w:w="180" w:type="dxa"/>
            <w:vAlign w:val="bottom"/>
          </w:tcPr>
          <w:p>
            <w:pPr>
              <w:spacing w:after="0"/>
              <w:rPr>
                <w:sz w:val="22"/>
                <w:szCs w:val="22"/>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0.3 %</w:t>
            </w:r>
          </w:p>
        </w:tc>
        <w:tc>
          <w:tcPr>
            <w:tcW w:w="3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1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Net income increased $12 million during the three months ended September 30, 2024 when compared to the same period in 2023. Improvements in net income were largely driven by restructuring costs incurred of $18 million in the three months ended September 30, 2023, which did not reoccur during the three months ended September 30, 2024, a decrease in income tax expense of $10 million, as well as a decrease in direct selling and marketing costs primarily in our Brand Tripadvisor segment. These improvements were largely offset by increased direct revenue generation costs related to data center costs and media production costs in our Brand Tripadvisor segment, an increase in direct selling and marketing costs in our Viator segment, as well as, increased direct costs from credit card payment and other revenue-related transaction costs in direct correlation with the increase in experiences revenue. All drivers discussed above are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Net loss improved by $26 million during the nine months ended September 30, 2024 when compared to the same period in 2023. The improvement in net loss was largely driven by increased revenue, as described in more detail above under “</w:t>
      </w:r>
      <w:r>
        <w:rPr>
          <w:rFonts w:ascii="Times New Roman" w:cs="Times New Roman" w:eastAsia="Times New Roman" w:hAnsi="Times New Roman"/>
          <w:sz w:val="18"/>
          <w:szCs w:val="18"/>
          <w:i w:val="1"/>
          <w:iCs w:val="1"/>
          <w:color w:val="auto"/>
        </w:rPr>
        <w:t>Revenue and Segment Information</w:t>
      </w:r>
      <w:r>
        <w:rPr>
          <w:rFonts w:ascii="Times New Roman" w:cs="Times New Roman" w:eastAsia="Times New Roman" w:hAnsi="Times New Roman"/>
          <w:sz w:val="18"/>
          <w:szCs w:val="18"/>
          <w:color w:val="auto"/>
        </w:rPr>
        <w:t>”, a decrease in income tax expense of $31 million,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restructuring costs incurred of $18 million in the nine months ended September 30, 2023, which did not reoccur during the nine months ended September 30, 2024. In addition, a decrease in direct selling and marketing costs in our Brand Tripadvisor segment, as well as a decrease in personnel and overhead costs primarily in our Brand Tripadvisor segment, also contributed to the net loss improvement during the nine months ended September 30, 2024. These improvements were largely offset by increased direct selling and marketing costs in our Viator segment, increased direct revenue generation costs related to data center costs and media production costs in our Brand Tripadvisor segment, as well as, increased direct costs from credit card payment and other revenue-related transaction costs in direct correlation with the increase in experiences revenue, and increased personnel and overhead costs to support growth in our Viator segment, and an estimated accrual for the potential settlement of a regulatory related matter of $10 million during the first quarter of 2024. All drivers discussed above are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expense (income), net; (3) depreciation and amortization; (4) stock-based compensation and other stock-settled obligations; (5) goodwill, long-lived asset, and intangible assets impairments; (6) legal reserves and settlements, including indirect tax reserves related to audit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37" w:name="page38"/>
    <w:bookmarkEnd w:id="37"/>
    <w:p>
      <w:pPr>
        <w:ind w:right="80"/>
        <w:spacing w:after="0" w:line="281" w:lineRule="auto"/>
        <w:rPr>
          <w:sz w:val="20"/>
          <w:szCs w:val="20"/>
          <w:color w:val="auto"/>
        </w:rPr>
      </w:pPr>
      <w:r>
        <w:rPr>
          <w:rFonts w:ascii="Times New Roman" w:cs="Times New Roman" w:eastAsia="Times New Roman" w:hAnsi="Times New Roman"/>
          <w:sz w:val="18"/>
          <w:szCs w:val="18"/>
          <w:color w:val="auto"/>
        </w:rPr>
        <w:t>settlements and the impact of one-time changes resulting from enacted tax legislation; (7) restructuring and other related reorganization costs (benefit); and (8) non-recurring expenses (income).</w:t>
      </w:r>
    </w:p>
    <w:p>
      <w:pPr>
        <w:spacing w:after="0" w:line="163"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400" w:right="100" w:hanging="374"/>
        <w:spacing w:after="0" w:line="281"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 or other stock-settled obligations;</w:t>
      </w:r>
    </w:p>
    <w:p>
      <w:pPr>
        <w:spacing w:after="0" w:line="116" w:lineRule="exact"/>
        <w:rPr>
          <w:rFonts w:ascii="Times New Roman" w:cs="Times New Roman" w:eastAsia="Times New Roman" w:hAnsi="Times New Roman"/>
          <w:sz w:val="18"/>
          <w:szCs w:val="18"/>
          <w:color w:val="auto"/>
        </w:rPr>
      </w:pPr>
    </w:p>
    <w:p>
      <w:pPr>
        <w:ind w:left="1400" w:right="80" w:hanging="374"/>
        <w:spacing w:after="0" w:line="265"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9" w:lineRule="exact"/>
        <w:rPr>
          <w:rFonts w:ascii="Times New Roman" w:cs="Times New Roman" w:eastAsia="Times New Roman" w:hAnsi="Times New Roman"/>
          <w:sz w:val="18"/>
          <w:szCs w:val="18"/>
          <w:color w:val="auto"/>
        </w:rPr>
      </w:pPr>
    </w:p>
    <w:p>
      <w:pPr>
        <w:ind w:left="1400" w:right="60" w:hanging="374"/>
        <w:spacing w:after="0" w:line="288"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and settlements</w:t>
      </w:r>
      <w:r>
        <w:rPr>
          <w:rFonts w:ascii="Times New Roman" w:cs="Times New Roman" w:eastAsia="Times New Roman" w:hAnsi="Times New Roman"/>
          <w:sz w:val="19"/>
          <w:szCs w:val="19"/>
          <w:color w:val="auto"/>
        </w:rPr>
        <w:t>, as well as restructuring and other related reorganization costs (benefit)</w:t>
      </w:r>
      <w:r>
        <w:rPr>
          <w:rFonts w:ascii="Times New Roman" w:cs="Times New Roman" w:eastAsia="Times New Roman" w:hAnsi="Times New Roman"/>
          <w:sz w:val="18"/>
          <w:szCs w:val="18"/>
          <w:color w:val="auto"/>
        </w:rPr>
        <w:t>;</w:t>
      </w:r>
    </w:p>
    <w:p>
      <w:pPr>
        <w:spacing w:after="0" w:line="4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6" w:lineRule="exact"/>
        <w:rPr>
          <w:rFonts w:ascii="Times New Roman" w:cs="Times New Roman" w:eastAsia="Times New Roman" w:hAnsi="Times New Roman"/>
          <w:sz w:val="18"/>
          <w:szCs w:val="18"/>
          <w:color w:val="auto"/>
        </w:rPr>
      </w:pPr>
    </w:p>
    <w:p>
      <w:pPr>
        <w:ind w:left="1400" w:right="560" w:hanging="374"/>
        <w:spacing w:after="0" w:line="281"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4" w:lineRule="exact"/>
        <w:rPr>
          <w:rFonts w:ascii="Times New Roman" w:cs="Times New Roman" w:eastAsia="Times New Roman" w:hAnsi="Times New Roman"/>
          <w:sz w:val="18"/>
          <w:szCs w:val="18"/>
          <w:color w:val="auto"/>
        </w:rPr>
      </w:pPr>
    </w:p>
    <w:p>
      <w:pPr>
        <w:ind w:left="1400" w:right="640" w:hanging="374"/>
        <w:spacing w:after="0" w:line="281"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3"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9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400" w:type="dxa"/>
            <w:vAlign w:val="bottom"/>
          </w:tcPr>
          <w:p>
            <w:pPr>
              <w:spacing w:after="0"/>
              <w:rPr>
                <w:sz w:val="14"/>
                <w:szCs w:val="14"/>
                <w:color w:val="auto"/>
              </w:rPr>
            </w:pPr>
          </w:p>
        </w:tc>
        <w:tc>
          <w:tcPr>
            <w:tcW w:w="10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0"/>
        </w:trPr>
        <w:tc>
          <w:tcPr>
            <w:tcW w:w="4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5"/>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6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(22 )</w:t>
            </w:r>
          </w:p>
        </w:tc>
      </w:tr>
      <w:tr>
        <w:trPr>
          <w:trHeight w:val="24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0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Add: Non-recurring expense (income) </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0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49"/>
        </w:trPr>
        <w:tc>
          <w:tcPr>
            <w:tcW w:w="4400" w:type="dxa"/>
            <w:vAlign w:val="bottom"/>
            <w:shd w:val="clear" w:color="auto" w:fill="CFF0FC"/>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Add: Legal reserves and settlements </w:t>
            </w:r>
            <w:r>
              <w:rPr>
                <w:rFonts w:ascii="Times New Roman" w:cs="Times New Roman" w:eastAsia="Times New Roman" w:hAnsi="Times New Roman"/>
                <w:sz w:val="24"/>
                <w:szCs w:val="24"/>
                <w:color w:val="auto"/>
                <w:vertAlign w:val="superscript"/>
              </w:rPr>
              <w:t>(2)</w:t>
            </w:r>
          </w:p>
        </w:tc>
        <w:tc>
          <w:tcPr>
            <w:tcW w:w="10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0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-187960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right="20" w:hanging="383"/>
        <w:spacing w:after="0"/>
        <w:tabs>
          <w:tab w:leader="none" w:pos="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costs of $1 million and $4 million during the three and nine months ended September 30, 2024, respectively, to general and administrative expenses on our unaudited condensed consolidated statements of operations. The Company expensed $3 million of previously capitalized transaction costs during the first quarter of 2023 to general and administrative expenses on our unaudited condensed consolidated statement of operations. The Company considers such costs to be non-recurring in nature.</w:t>
      </w:r>
    </w:p>
    <w:p>
      <w:pPr>
        <w:spacing w:after="0" w:line="126" w:lineRule="exact"/>
        <w:rPr>
          <w:rFonts w:ascii="Times New Roman" w:cs="Times New Roman" w:eastAsia="Times New Roman" w:hAnsi="Times New Roman"/>
          <w:sz w:val="14"/>
          <w:szCs w:val="14"/>
          <w:color w:val="auto"/>
        </w:rPr>
      </w:pPr>
    </w:p>
    <w:p>
      <w:pPr>
        <w:ind w:left="840" w:hanging="383"/>
        <w:spacing w:after="0" w:line="224" w:lineRule="auto"/>
        <w:tabs>
          <w:tab w:leader="none" w:pos="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one-time charge of $4 million during the second quarter of 2024, resulting from enacted tax legislation in Canada during June 2024 related to digital services taxes, which requires retrospective application back to January 1, 2022. This amount represents the one-time retrospective liability for the periods prior to April 1, 2024, while all prospective periods are included within Adjusted EBITDA. In addition, this amount includes an estimated accrual for the potential settlement of a regulatory related matter of $10 million, expensed during the first quarter of 2024. These costs are reflected in general and administrative expenses on our unaudited condensed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 xml:space="preserve">For information on our relationship with LTRIP, which may be deemed to beneficially own equity securities representing approximately 57% of our voting power as of September 30, 2024,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our unaudited condensed consolidated financial statements in Item 1 in this Quarterly Report. We had no related party transactions with LTRIP during both of the three and nine months ended September 30, 2024 and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Stock Based Awards and Other Equity Instruments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5.7 million service-based RSUs with a weighted average grant-date fair value of $25.80 during the nine months ended September 30, 2024.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both September 30, 2024 and December 31, 2023, we had approximately $1.1 billion of cash and cash equivalents, and $497 million of available borrowing capacity under the Credit Facility. As of September 30, 2024, $216 million of our cash and cash equivalents were held by our international subsidiaries outside of the U.S., of which approximately 36% was held in the U.K. As of September 30, 2024, the significant majority of our cash was denominated in U.S. dollars.</w:t>
      </w:r>
    </w:p>
    <w:p>
      <w:pPr>
        <w:spacing w:after="0" w:line="182"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As of September 30, 2024, we had $556 million of cumulative undistributed earnings in foreign subsidiaries that are no longer considered to be indefinitely reinvested. As of September 30, 2024,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we are party to a credit agreement (“Amended Credit Agreement”), which, among other things, provides for a $500 million revolving credit facility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September 30, 2024 and December 31, 2023, we had no outstanding borrowings under the Credit Facility. We are required to pay a quarterly commitment fee, at an applicable rate ranging from 0.25% to 0.40%, on the daily unused portion of the Credit Facility for each fiscal quarter and in connection with the issuance of letters of credit. As of September 30, 2024,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September 30, 2024 and December 31, 2023,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8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had an aggregate outstanding principal amount of $5 million and $832 million in short-term and long-term debt, respectively, pertaining to the 2026 Senior Notes and Term Loan B Facility, both of which are discussed below.</w:t>
      </w:r>
    </w:p>
    <w:p>
      <w:pPr>
        <w:spacing w:after="0" w:line="16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8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and is required to be paid down at 1.00% of the aggregate principal amount per year, repayable in quarterly installments on the last day of each calendar quarter, commencing December 31, 2024, equal to 0.25% of the original principal amount with the balance due on the maturity date.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39" w:name="page40"/>
    <w:bookmarkEnd w:id="39"/>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 xml:space="preserve">The 2026 Senior Notes and Term Loan B Facility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2025 Senior Notes and 2026 Senior Notes, refer to “Note 6: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in the notes to our unaudited condensed consolidated financial statements in Item 1 in this Quarterly Report.</w:t>
      </w:r>
    </w:p>
    <w:p>
      <w:pPr>
        <w:spacing w:after="0" w:line="17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This share repurchase program, which has a term of two years, does not obligate the Company to acquire any particular number of shares and may be modified, suspended or discontinued at any time. During the three months ended September 30, 2024, the Company did not repurchase any shares of outstanding common stock under this share repurchase program. During the nine months ended September 30, 2024, the Company repurchased 1,366,385 shares of its common stock at an average price of $18.28 per share, exclusive of fees and commissions, or $25 million in the aggregate. As of September 30, 2024, there was $200 million remaining available to repurchase shares of its common stock under this share repurchase program. During the nine months ended September 30, 2023, the Company repurchased 4,724,729 shares of its common stock at an average price of $15.85 per share, exclusive of fees and commissions, or $75 million in the aggregate, which completed a previous share repurchase program.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we received a final notice regarding a MAP resolution agreement for the 2014 through 2016 tax years in January 2024, which we subsequently accepted in February 2024. During the three months ended June 30, 2024, we made a payment to the IRS of $141 million, inclusive of estimated interest, and during the three months ended September 30, 2024, we made various state tax payments totaling $18 million, inclusive of estimated interest, related to this audit settlement. We anticipate a competent authority refund from a foreign jurisdiction and certain federal tax benefits, net of certain state tax payments due, associated with this IRS audit settlement which will be substantially settled in the next twelve months, resulting in an estimated net cash inflow of $50 million to $60 million, inclusive of related interest.</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as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we received a final notice regarding a MAP settlement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this IRS audit settlement.</w:t>
      </w:r>
    </w:p>
    <w:p>
      <w:pPr>
        <w:spacing w:after="0" w:line="18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HMRC in the U.K.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Although the ultimate timing for resolution of this matter is uncertain, any future payments required would negatively impact our operating cash flows.</w:t>
      </w:r>
    </w:p>
    <w:p>
      <w:pPr>
        <w:spacing w:after="0" w:line="18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0" w:name="page41"/>
    <w:bookmarkEnd w:id="40"/>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Our cash flows for the nine months ended September 30, 2024 and 2023, as reflected in our unaudited condensed consolidated statements of cash flows, are summarized in the following table:</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4"/>
                <w:szCs w:val="14"/>
                <w:color w:val="auto"/>
              </w:rPr>
            </w:pPr>
          </w:p>
        </w:tc>
      </w:tr>
      <w:tr>
        <w:trPr>
          <w:trHeight w:val="169"/>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r>
      <w:tr>
        <w:trPr>
          <w:trHeight w:val="247"/>
        </w:trPr>
        <w:tc>
          <w:tcPr>
            <w:tcW w:w="4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4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(51 )</w:t>
            </w:r>
          </w:p>
        </w:tc>
        <w:tc>
          <w:tcPr>
            <w:tcW w:w="8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34"/>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480" w:type="dxa"/>
            <w:vAlign w:val="bottom"/>
          </w:tcPr>
          <w:p>
            <w:pPr>
              <w:spacing w:after="0"/>
              <w:rPr>
                <w:sz w:val="20"/>
                <w:szCs w:val="20"/>
                <w:color w:val="auto"/>
              </w:rPr>
            </w:pPr>
          </w:p>
        </w:tc>
        <w:tc>
          <w:tcPr>
            <w:tcW w:w="1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(55 )</w:t>
            </w:r>
          </w:p>
        </w:tc>
        <w:tc>
          <w:tcPr>
            <w:tcW w:w="8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r>
    </w:tbl>
    <w:p>
      <w:pPr>
        <w:spacing w:after="0" w:line="20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our primary source of cash was from operations, while our primary use of cash was from financing activities (including repurchases of our outstanding common stock at an aggregate cost of $25 million under our existing share repurchase program, payment of withholding taxes on net share settlements of our equity awards of $17 million, and financing costs related to the issuance of our Term Loan B Facility of $7 million) and investing activities (including capital expenditures of $51 million incurred during the nine months ended September 30, 2024). This use of cash was funded with cash and cash equivalents and operating cash flows during the period.</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our primary source of cash was from operations, while our primary use of cash was from financing activities (including repurchases of our outstanding common stock at an aggregate cost of $75 million under a previous share repurchase program and payment of withholding taxes on net share settlements of our equity awards of $14 million) and investing activities (including capital expenditures of $47 million incurred during the nine months ended September 30, 2023). This use of cash was funded with cash and cash equivalents, and operating cash flows during the period.</w:t>
      </w:r>
    </w:p>
    <w:p>
      <w:pPr>
        <w:spacing w:after="0" w:line="1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decreased by $107 million when compared to the same period in 2023, primarily due to a decrease in working capital of $144 million, partially offset by an improvement in net income (loss) of $26 million and an increase in non-cash items of $11 million, primarily due to an increase in stock-based compensation expense. The decrease in working capital was driven primarily by a net increase in U.S. federal and various state tax payments of $80 million, combined with a decrease of $13 million in our income tax provision, both related to the IRS audit settlements, discussed above, when compared to the same period in 2023. Also contributing to the decrease in working capital was a decrease in deferred merchant payables, reflecting the timing of when cash is received from travelers and then remitted to experiences operators. In addition, changes in working capital related to accounts receivable and accounts payable were due to the timing of customer payments and vendor payments, respectively, and contributed to the fluctuation in working capital.</w:t>
      </w:r>
    </w:p>
    <w:p>
      <w:pPr>
        <w:spacing w:after="0" w:line="18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increased by $4 million when compared to the same period in 2023, due to an increase in capital expenditures across the business.</w:t>
      </w:r>
    </w:p>
    <w:p>
      <w:pPr>
        <w:spacing w:after="0" w:line="163"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decreased by $42 million when compared to the same period in 2023, primarily due to a decrease in net cash used to purchase shares of our common stock under share repurchase programs of $50 million, partially offset by financing costs related to the issuance of our Term Loan B Facility of $7 million in the third quarter of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2023. As of September 30, 2024,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 Management’s Discussion and Analysis of Financial Condition and Results of Operations of our 2023 Annual Report for a discussion of our contractual obligations and commercial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contractual disputes (including breach of a covenant or disagreements as to interpretation),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41" w:name="page42"/>
    <w:bookmarkEnd w:id="41"/>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w:t>
      </w:r>
    </w:p>
    <w:p>
      <w:pPr>
        <w:spacing w:after="0" w:line="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w:t>
      </w:r>
    </w:p>
    <w:p>
      <w:pPr>
        <w:spacing w:after="0" w:line="17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been developing its “two pillar” project to address certain perceived tax challenges arising from digitalization of the economy. Many countries have implemented or are in the process of implementing the Pillar Two legislation, which will result in significant changes to the international taxation system under which our current income tax obligations are determined. Pillar Two of this project calls for a minimum income tax rate on corporations of 15% and has begun to be implemented by an increasing number of countries. The OECD and implementing countries are expected to continue to offer further guidance on the impact of Pillar Two on their respective local corporate income tax rules, however, such impact for the Company is not expected to be material at this time. The Company will continue to monitor developments to determine any potential impact of Pillar Two in the countries in which we operate.</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In December 2023, the OECD Inclusive Framework reaffirmed their commitment to achieve a consensus-based solution and to complete the multilateral agreement by June 2024, thereby extending the standstill on new digital service tax initiatives. The June 2024 extended deadline has since expired, thereby enabling countries to introduce new unilateral digital service taxes. For example, in June 2024, Canada enacted tax legislation related to digital services taxes, which requires retrospective application back to January 1, 2022, resulting in a one-time charge of $4 million during the second quarter of 2024, reflected in general and administrative expenses on our unaudited condensed consolidated statement of operations. We will continue to monitor these developments to determine the financial impact to the Company. During the three and nine months ended September 30, 2024, we recorded $7 million and $18 million, respectively, of digital service tax, while during the three and nine months ended September 30, 2023, we recorded $6 million and $13 million, respectively, of digital service tax to general and administrative expense on our unaudited condensed consolidated statements of operations.</w:t>
      </w:r>
    </w:p>
    <w:p>
      <w:pPr>
        <w:spacing w:after="0" w:line="19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September 30, 2024. As of September 30, 2024, $556 million of our cumulative undistributed foreign earnings were no longer considered to be indefinitely reinvested</w:t>
      </w:r>
      <w:r>
        <w:rPr>
          <w:rFonts w:ascii="Times New Roman" w:cs="Times New Roman" w:eastAsia="Times New Roman" w:hAnsi="Times New Roman"/>
          <w:sz w:val="21"/>
          <w:szCs w:val="21"/>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nine months ended September 30, 2024 since December 31, 2023. For additional information about our market risk profile, refer to “Quantitative and Qualitative Disclosures About Market Risk” in Item 7A. in Part II of our Annual Report on Form 10-K for the year ended December 31, 2023.</w:t>
      </w:r>
    </w:p>
    <w:p>
      <w:pPr>
        <w:spacing w:after="0" w:line="17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2" w:name="page43"/>
    <w:bookmarkEnd w:id="42"/>
    <w:p>
      <w:pPr>
        <w:ind w:right="100"/>
        <w:spacing w:after="0" w:line="255" w:lineRule="auto"/>
        <w:rPr>
          <w:sz w:val="20"/>
          <w:szCs w:val="20"/>
          <w:color w:val="auto"/>
        </w:rPr>
      </w:pPr>
      <w:r>
        <w:rPr>
          <w:rFonts w:ascii="Times New Roman" w:cs="Times New Roman" w:eastAsia="Times New Roman" w:hAnsi="Times New Roman"/>
          <w:sz w:val="18"/>
          <w:szCs w:val="18"/>
          <w:color w:val="auto"/>
        </w:rPr>
        <w:t>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expect that we will continue to increase our operations internationally. 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escalating conflict in the Middle East, as well as increased cyberattacks, military conflicts and sanctions. Developments in the macroeconomic environment could cause us to adjust our foreign currency risk strategies. Continued uncertainty regarding our international operations and U.K. and E.U. relations may result in future currency exchange rate volatility which may impact our business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As of September 30, 2024,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September 30, 2024,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72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30,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as discussed in “Note 8: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 the notes to our unaudited condensed consolidated financial statements in Item 1 in this Quarterly Report.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2023 and subsequent reports with the SEC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September 30, 2024, there were no material changes in our risk factors from those disclosed in Part 1, Item 1A., “Risk Factors” in our Annual Report on Form 10-K for the fiscal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September 30, 2024,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September 30, 2024, the Company did not repurchase any shares of its outstanding common stock.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During the third quarter of 2024, none of the Company’s directors or officers adopted or terminated a Rule 10b5-1 trading arrangement or a non-Rule 10b5-1 trading arrangement (as defined in Item 408(c) of Regulation S-K).</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2"/>
        </w:trPr>
        <w:tc>
          <w:tcPr>
            <w:tcW w:w="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6240" w:type="dxa"/>
            <w:vAlign w:val="bottom"/>
            <w:tcBorders>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First Amendment, dated July 8, 2024, to the Amendment and Restatement Agreement,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dated as of June 29, 2023 by and among Tripadvisor, Inc., Tripadvisor Holdings,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8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Tripadvisor, LLC, the other Borrowers party thereto, the Lenders party thereto and</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JPMorgan Chase Bank, N.A., as Administrative Agent.</w:t>
              </w:r>
            </w:hyperlink>
          </w:p>
        </w:tc>
        <w:tc>
          <w:tcPr>
            <w:tcW w:w="2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6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w:t>
            </w:r>
          </w:p>
        </w:tc>
        <w:tc>
          <w:tcPr>
            <w:tcW w:w="1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100" w:type="dxa"/>
            <w:vAlign w:val="bottom"/>
            <w:tcBorders>
              <w:bottom w:val="single" w:sz="8" w:color="0000FF"/>
            </w:tcBorders>
            <w:gridSpan w:val="5"/>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60" w:type="dxa"/>
            <w:vAlign w:val="bottom"/>
            <w:tcBorders>
              <w:bottom w:val="single" w:sz="8" w:color="0000FF"/>
            </w:tcBorders>
            <w:gridSpan w:val="4"/>
            <w:vMerge w:val="continue"/>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906 of the Sarbanes-</w:t>
            </w:r>
          </w:p>
        </w:tc>
        <w:tc>
          <w:tcPr>
            <w:tcW w:w="1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100" w:type="dxa"/>
            <w:vAlign w:val="bottom"/>
            <w:tcBorders>
              <w:bottom w:val="single" w:sz="8" w:color="0000FF"/>
            </w:tcBorders>
            <w:gridSpan w:val="5"/>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906 of the Sarbanes-</w:t>
            </w: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60" w:type="dxa"/>
            <w:vAlign w:val="bottom"/>
            <w:tcBorders>
              <w:bottom w:val="single" w:sz="8" w:color="0000FF"/>
            </w:tcBorders>
            <w:gridSpan w:val="4"/>
            <w:vMerge w:val="continue"/>
          </w:tcPr>
          <w:p>
            <w:pPr>
              <w:spacing w:after="0"/>
              <w:rPr>
                <w:sz w:val="4"/>
                <w:szCs w:val="4"/>
                <w:color w:val="auto"/>
              </w:rPr>
            </w:pPr>
          </w:p>
        </w:tc>
        <w:tc>
          <w:tcPr>
            <w:tcW w:w="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20" w:type="dxa"/>
            <w:vAlign w:val="bottom"/>
            <w:tcBorders>
              <w:left w:val="single" w:sz="8" w:color="0000EE"/>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3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1917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spacing w:after="0" w:line="35" w:lineRule="exact"/>
        <w:rPr>
          <w:sz w:val="20"/>
          <w:szCs w:val="20"/>
          <w:color w:val="auto"/>
        </w:rPr>
      </w:pPr>
    </w:p>
    <w:p>
      <w:pPr>
        <w:jc w:val="center"/>
        <w:spacing w:after="0"/>
        <w:tabs>
          <w:tab w:leader="none" w:pos="200" w:val="left"/>
          <w:tab w:leader="none" w:pos="200" w:val="left"/>
          <w:tab w:leader="none" w:pos="20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color w:val="auto"/>
        </w:rPr>
        <w:t>SEC File No.</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16510</wp:posOffset>
            </wp:positionV>
            <wp:extent cx="5905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90550" cy="825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16510</wp:posOffset>
            </wp:positionV>
            <wp:extent cx="5137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tabs>
          <w:tab w:leader="none" w:pos="220" w:val="left"/>
          <w:tab w:leader="none" w:pos="240" w:val="left"/>
          <w:tab w:leader="none" w:pos="300" w:val="left"/>
        </w:tabs>
        <w:rPr>
          <w:sz w:val="20"/>
          <w:szCs w:val="20"/>
          <w:color w:val="auto"/>
        </w:rPr>
      </w:pPr>
      <w:r>
        <w:rPr>
          <w:rFonts w:ascii="Times New Roman" w:cs="Times New Roman" w:eastAsia="Times New Roman" w:hAnsi="Times New Roman"/>
          <w:sz w:val="18"/>
          <w:szCs w:val="18"/>
          <w:color w:val="auto"/>
        </w:rPr>
        <w:t>8-K</w:t>
        <w:tab/>
        <w:t>001-35362</w:t>
        <w:tab/>
        <w:t>10.1</w:t>
      </w:r>
      <w:r>
        <w:rPr>
          <w:sz w:val="20"/>
          <w:szCs w:val="20"/>
          <w:color w:val="auto"/>
        </w:rPr>
        <w:tab/>
      </w:r>
      <w:r>
        <w:rPr>
          <w:rFonts w:ascii="Times New Roman" w:cs="Times New Roman" w:eastAsia="Times New Roman" w:hAnsi="Times New Roman"/>
          <w:sz w:val="17"/>
          <w:szCs w:val="17"/>
          <w:color w:val="auto"/>
        </w:rPr>
        <w:t>7/8/24</w:t>
      </w:r>
    </w:p>
    <w:p>
      <w:pPr>
        <w:spacing w:after="0" w:line="4501" w:lineRule="exact"/>
        <w:rPr>
          <w:sz w:val="20"/>
          <w:szCs w:val="20"/>
          <w:color w:val="auto"/>
        </w:rPr>
      </w:pPr>
    </w:p>
    <w:p>
      <w:pPr>
        <w:sectPr>
          <w:pgSz w:w="11900" w:h="16838" w:orient="portrait"/>
          <w:cols w:equalWidth="0" w:num="3">
            <w:col w:w="7180" w:space="180"/>
            <w:col w:w="580" w:space="300"/>
            <w:col w:w="2960"/>
          </w:cols>
          <w:pgMar w:left="320" w:top="1331" w:right="379" w:bottom="1440" w:gutter="0" w:footer="0" w:header="0"/>
        </w:sectPr>
      </w:pPr>
    </w:p>
    <w:p>
      <w:pPr>
        <w:spacing w:after="0" w:line="1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certifications furnished in Exhibits 32.1 and 32.2 are deemed to be furnished with this Quarterly Report on Form 10-Q and will not be deemed “filed” for purposes of Section 18 of the Securities Exchange Act of 1934, as amended, except to the extent that the Registrant specifically incorporates it by reference.</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9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227"/>
        </w:trPr>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Michael Noonan</w:t>
            </w:r>
          </w:p>
        </w:tc>
      </w:tr>
      <w:tr>
        <w:trPr>
          <w:trHeight w:val="238"/>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9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/s/ Geoffrey Gouvalaris</w:t>
            </w:r>
          </w:p>
        </w:tc>
      </w:tr>
      <w:tr>
        <w:trPr>
          <w:trHeight w:val="227"/>
        </w:trPr>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TripAdvisor,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Goldberg</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7" w:name="page48"/>
    <w:bookmarkEnd w:id="4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TripAdvisor,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Noonan</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8" w:name="page49"/>
    <w:bookmarkEnd w:id="48"/>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2024, as filed with the Securities and Exchange Commission on the date hereof (the “Report”), I, Matt Goldberg, Chief Executive Officer of the Company, certify, pursuant to Section 906 of the Sarbanes-Oxley Act of 2002, 18 U.S.C. Section 1350, that:</w:t>
      </w:r>
    </w:p>
    <w:p>
      <w:pPr>
        <w:spacing w:after="0" w:line="69" w:lineRule="exact"/>
        <w:rPr>
          <w:sz w:val="20"/>
          <w:szCs w:val="20"/>
          <w:color w:val="auto"/>
        </w:rPr>
      </w:pPr>
    </w:p>
    <w:p>
      <w:pPr>
        <w:ind w:left="520" w:hanging="512"/>
        <w:spacing w:after="0" w:line="28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Goldberg</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2024, as filed with the Securities and Exchange Commission on the date hereof (the “Report”), I, Michael Noonan, Chief Financial Officer of the Company, certify, pursuant to Section 906 of the Sarbanes-Oxley Act of 2002, 18 U.S.C. Section 1350, that:</w:t>
      </w:r>
    </w:p>
    <w:p>
      <w:pPr>
        <w:spacing w:after="0" w:line="69" w:lineRule="exact"/>
        <w:rPr>
          <w:sz w:val="20"/>
          <w:szCs w:val="20"/>
          <w:color w:val="auto"/>
        </w:rPr>
      </w:pPr>
    </w:p>
    <w:p>
      <w:pPr>
        <w:ind w:left="520" w:hanging="512"/>
        <w:spacing w:after="0" w:line="28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Noonan</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3"/>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18" Type="http://schemas.openxmlformats.org/officeDocument/2006/relationships/hyperlink" Target="https://www.sec.gov/Archives/edgar/data/1526520/000095017024082086/tri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2024-11-06T15:26:22Z</dcterms:created>
  <dcterms:modified xsi:type="dcterms:W3CDTF">2024-11-06T15:26:22Z</dcterms:modified>
</cp:coreProperties>
</file>