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42" w:lineRule="exact"/>
        <w:rPr>
          <w:sz w:val="24"/>
          <w:szCs w:val="24"/>
          <w:color w:val="auto"/>
        </w:rPr>
      </w:pPr>
    </w:p>
    <w:p>
      <w:pPr>
        <w:ind w:left="520" w:right="320" w:hanging="512"/>
        <w:spacing w:after="0" w:line="261" w:lineRule="auto"/>
        <w:tabs>
          <w:tab w:leader="none" w:pos="44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520" w:right="300" w:hanging="512"/>
        <w:spacing w:after="0" w:line="244" w:lineRule="auto"/>
        <w:tabs>
          <w:tab w:leader="none" w:pos="442"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6" w:lineRule="exact"/>
        <w:rPr>
          <w:sz w:val="24"/>
          <w:szCs w:val="24"/>
          <w:color w:val="auto"/>
        </w:rPr>
      </w:pPr>
    </w:p>
    <w:p>
      <w:pPr>
        <w:ind w:left="3380"/>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3648075</wp:posOffset>
            </wp:positionH>
            <wp:positionV relativeFrom="paragraph">
              <wp:posOffset>-5080</wp:posOffset>
            </wp:positionV>
            <wp:extent cx="57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001-35362</w:t>
      </w:r>
    </w:p>
    <w:p>
      <w:pPr>
        <w:spacing w:after="0" w:line="2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-289560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141605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p>
      <w:pPr>
        <w:spacing w:after="0" w:line="335"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80-0743202</w:t>
      </w:r>
    </w:p>
    <w:p>
      <w:pPr>
        <w:spacing w:after="0" w:line="25" w:lineRule="exact"/>
        <w:rPr>
          <w:sz w:val="24"/>
          <w:szCs w:val="24"/>
          <w:color w:val="auto"/>
        </w:rPr>
      </w:pPr>
    </w:p>
    <w:p>
      <w:pPr>
        <w:sectPr>
          <w:pgSz w:w="11900" w:h="16838" w:orient="portrait"/>
          <w:cols w:equalWidth="0" w:num="2">
            <w:col w:w="8020" w:space="720"/>
            <w:col w:w="2500"/>
          </w:cols>
          <w:pgMar w:left="320" w:top="847" w:right="339" w:bottom="1440" w:gutter="0" w:footer="0" w:header="0"/>
          <w:type w:val="continuous"/>
        </w:sectPr>
      </w:pPr>
    </w:p>
    <w:p>
      <w:pPr>
        <w:ind w:left="26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25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9" w:lineRule="exact"/>
        <w:rPr>
          <w:sz w:val="24"/>
          <w:szCs w:val="24"/>
          <w:color w:val="auto"/>
        </w:rPr>
      </w:pPr>
    </w:p>
    <w:p>
      <w:pPr>
        <w:sectPr>
          <w:pgSz w:w="11900" w:h="16838" w:orient="portrait"/>
          <w:cols w:equalWidth="0" w:num="2">
            <w:col w:w="7900" w:space="720"/>
            <w:col w:w="2620"/>
          </w:cols>
          <w:pgMar w:left="320" w:top="847" w:right="339" w:bottom="1440" w:gutter="0" w:footer="0" w:header="0"/>
          <w:type w:val="continuous"/>
        </w:sectPr>
      </w:pPr>
    </w:p>
    <w:p>
      <w:pPr>
        <w:ind w:left="5080"/>
        <w:spacing w:after="0"/>
        <w:rPr>
          <w:sz w:val="20"/>
          <w:szCs w:val="20"/>
          <w:color w:val="auto"/>
        </w:rPr>
      </w:pPr>
      <w:r>
        <w:rPr>
          <w:rFonts w:ascii="Times New Roman" w:cs="Times New Roman" w:eastAsia="Times New Roman" w:hAnsi="Times New Roman"/>
          <w:sz w:val="18"/>
          <w:szCs w:val="18"/>
          <w:b w:val="1"/>
          <w:bCs w:val="1"/>
          <w:color w:val="auto"/>
        </w:rPr>
        <w:t>400 1</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8"/>
          <w:szCs w:val="18"/>
          <w:b w:val="1"/>
          <w:bCs w:val="1"/>
          <w:color w:val="auto"/>
        </w:rPr>
        <w:t xml:space="preserve"> Avenue</w:t>
      </w:r>
    </w:p>
    <w:p>
      <w:pPr>
        <w:spacing w:after="0" w:line="2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7"/>
          <w:szCs w:val="17"/>
          <w:b w:val="1"/>
          <w:bCs w:val="1"/>
          <w:color w:val="auto"/>
        </w:rPr>
        <w:t>Needham, MA 02494</w:t>
      </w:r>
    </w:p>
    <w:p>
      <w:pPr>
        <w:sectPr>
          <w:pgSz w:w="11900" w:h="16838" w:orient="portrait"/>
          <w:cols w:equalWidth="0" w:num="1">
            <w:col w:w="11240"/>
          </w:cols>
          <w:pgMar w:left="320" w:top="847" w:right="339" w:bottom="1440" w:gutter="0" w:footer="0" w:header="0"/>
          <w:type w:val="continuous"/>
        </w:sectPr>
      </w:pP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 (Zip Code)</w:t>
      </w:r>
    </w:p>
    <w:p>
      <w:pPr>
        <w:spacing w:after="0" w:line="7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91440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17" w:lineRule="exact"/>
        <w:rPr>
          <w:sz w:val="24"/>
          <w:szCs w:val="24"/>
          <w:color w:val="auto"/>
        </w:rPr>
      </w:pPr>
    </w:p>
    <w:tbl>
      <w:tblPr>
        <w:tblLayout w:type="fixed"/>
        <w:tblInd w:w="690" w:type="dxa"/>
        <w:tblCellMar>
          <w:top w:w="0" w:type="dxa"/>
          <w:left w:w="0" w:type="dxa"/>
          <w:bottom w:w="0" w:type="dxa"/>
          <w:right w:w="0" w:type="dxa"/>
        </w:tblCellMar>
      </w:tblPr>
      <w:tr>
        <w:trPr>
          <w:trHeight w:val="259"/>
        </w:trPr>
        <w:tc>
          <w:tcPr>
            <w:tcW w:w="2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2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TRIP</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94" w:lineRule="exact"/>
        <w:rPr>
          <w:sz w:val="24"/>
          <w:szCs w:val="24"/>
          <w:color w:val="auto"/>
        </w:rPr>
      </w:pPr>
    </w:p>
    <w:p>
      <w:pPr>
        <w:ind w:right="2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60" w:firstLine="59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87" w:lineRule="exact"/>
        <w:rPr>
          <w:sz w:val="24"/>
          <w:szCs w:val="24"/>
          <w:color w:val="auto"/>
        </w:rPr>
      </w:pPr>
    </w:p>
    <w:p>
      <w:pPr>
        <w:ind w:right="500" w:firstLine="59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72"/>
        </w:trPr>
        <w:tc>
          <w:tcPr>
            <w:tcW w:w="20" w:type="dxa"/>
            <w:vAlign w:val="bottom"/>
          </w:tcPr>
          <w:p>
            <w:pPr>
              <w:spacing w:after="0"/>
              <w:rPr>
                <w:sz w:val="23"/>
                <w:szCs w:val="23"/>
                <w:color w:val="auto"/>
              </w:rPr>
            </w:pPr>
          </w:p>
        </w:tc>
        <w:tc>
          <w:tcPr>
            <w:tcW w:w="792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28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w:t>
            </w:r>
          </w:p>
        </w:tc>
        <w:tc>
          <w:tcPr>
            <w:tcW w:w="960" w:type="dxa"/>
            <w:vAlign w:val="bottom"/>
            <w:gridSpan w:val="2"/>
          </w:tcPr>
          <w:p>
            <w:pPr>
              <w:spacing w:after="0"/>
              <w:rPr>
                <w:sz w:val="22"/>
                <w:szCs w:val="22"/>
                <w:color w:val="auto"/>
              </w:rPr>
            </w:pPr>
          </w:p>
        </w:tc>
        <w:tc>
          <w:tcPr>
            <w:tcW w:w="3280" w:type="dxa"/>
            <w:vAlign w:val="bottom"/>
          </w:tcPr>
          <w:p>
            <w:pPr>
              <w:jc w:val="center"/>
              <w:ind w:right="717"/>
              <w:spacing w:after="0"/>
              <w:rPr>
                <w:sz w:val="20"/>
                <w:szCs w:val="20"/>
                <w:color w:val="auto"/>
              </w:rPr>
            </w:pPr>
            <w:r>
              <w:rPr>
                <w:rFonts w:ascii="Times New Roman" w:cs="Times New Roman" w:eastAsia="Times New Roman" w:hAnsi="Times New Roman"/>
                <w:sz w:val="14"/>
                <w:szCs w:val="14"/>
                <w:color w:val="auto"/>
              </w:rPr>
              <w:t>Outstanding Shares at May 2, 2024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82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710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3280" w:type="dxa"/>
            <w:vAlign w:val="bottom"/>
          </w:tcPr>
          <w:p>
            <w:pPr>
              <w:jc w:val="center"/>
              <w:ind w:right="717"/>
              <w:spacing w:after="0" w:line="191" w:lineRule="exact"/>
              <w:rPr>
                <w:sz w:val="20"/>
                <w:szCs w:val="20"/>
                <w:color w:val="auto"/>
              </w:rPr>
            </w:pPr>
            <w:r>
              <w:rPr>
                <w:rFonts w:ascii="Times New Roman" w:cs="Times New Roman" w:eastAsia="Times New Roman" w:hAnsi="Times New Roman"/>
                <w:sz w:val="18"/>
                <w:szCs w:val="18"/>
                <w:color w:val="auto"/>
              </w:rPr>
              <w:t>126,479,828 shares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color w:val="auto"/>
                <w:w w:val="99"/>
              </w:rPr>
              <w:t>Class B common stock, $0.001 par value per share</w:t>
            </w:r>
          </w:p>
        </w:tc>
        <w:tc>
          <w:tcPr>
            <w:tcW w:w="3280" w:type="dxa"/>
            <w:vAlign w:val="bottom"/>
          </w:tcPr>
          <w:p>
            <w:pPr>
              <w:jc w:val="center"/>
              <w:ind w:right="737"/>
              <w:spacing w:after="0"/>
              <w:rPr>
                <w:sz w:val="20"/>
                <w:szCs w:val="20"/>
                <w:color w:val="auto"/>
              </w:rPr>
            </w:pPr>
            <w:r>
              <w:rPr>
                <w:rFonts w:ascii="Times New Roman" w:cs="Times New Roman" w:eastAsia="Times New Roman" w:hAnsi="Times New Roman"/>
                <w:sz w:val="18"/>
                <w:szCs w:val="18"/>
                <w:color w:val="auto"/>
                <w:w w:val="99"/>
              </w:rPr>
              <w:t>12,799,999 shares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auto"/>
            </w:tcBorders>
          </w:tcPr>
          <w:p>
            <w:pPr>
              <w:spacing w:after="0"/>
              <w:rPr>
                <w:sz w:val="10"/>
                <w:szCs w:val="10"/>
                <w:color w:val="auto"/>
              </w:rPr>
            </w:pPr>
          </w:p>
        </w:tc>
        <w:tc>
          <w:tcPr>
            <w:tcW w:w="6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9"/>
        </w:trPr>
        <w:tc>
          <w:tcPr>
            <w:tcW w:w="2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type w:val="continuous"/>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 Ended March 31, 2024</w:t>
      </w: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086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0860" w:type="dxa"/>
            <w:vAlign w:val="bottom"/>
            <w:gridSpan w:val="19"/>
            <w:vMerge w:val="continue"/>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108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Unaudited Condensed Consolidated Financial Statements</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0" w:type="dxa"/>
            <w:vAlign w:val="bottom"/>
          </w:tcPr>
          <w:p>
            <w:pPr>
              <w:spacing w:after="0"/>
              <w:rPr>
                <w:sz w:val="24"/>
                <w:szCs w:val="24"/>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for the Three Months Ended March 31, 2024 and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(Loss) for the Three Months Ended March 31, 2024 and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Sheets at March 31, 2024 and December 31,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Changes in Stockholders’ Equity for the Three Months Ended March 31, 2024 and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March 31, 2024 and 2023</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104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0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9"/>
        </w:trPr>
        <w:tc>
          <w:tcPr>
            <w:tcW w:w="48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40" w:type="dxa"/>
            <w:vAlign w:val="bottom"/>
            <w:tcBorders>
              <w:top w:val="single" w:sz="8" w:color="0000FF"/>
            </w:tcBorders>
            <w:gridSpan w:val="3"/>
          </w:tcPr>
          <w:p>
            <w:pPr>
              <w:spacing w:after="0"/>
              <w:rPr>
                <w:sz w:val="18"/>
                <w:szCs w:val="18"/>
                <w:color w:val="auto"/>
              </w:rPr>
            </w:pPr>
          </w:p>
        </w:tc>
        <w:tc>
          <w:tcPr>
            <w:tcW w:w="3860" w:type="dxa"/>
            <w:vAlign w:val="bottom"/>
            <w:gridSpan w:val="6"/>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0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25"/>
        </w:trPr>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854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9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892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18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8980" w:type="dxa"/>
            <w:vAlign w:val="bottom"/>
            <w:gridSpan w:val="13"/>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5960" w:type="dxa"/>
            <w:vAlign w:val="bottom"/>
            <w:gridSpan w:val="8"/>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3. Defaults Upon Senior Securities</w:t>
            </w:r>
          </w:p>
        </w:tc>
        <w:tc>
          <w:tcPr>
            <w:tcW w:w="7980" w:type="dxa"/>
            <w:vAlign w:val="bottom"/>
            <w:gridSpan w:val="10"/>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0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8540" w:type="dxa"/>
            <w:vAlign w:val="bottom"/>
            <w:gridSpan w:val="11"/>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1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Item 6. Exhibits</w:t>
            </w:r>
          </w:p>
        </w:tc>
        <w:tc>
          <w:tcPr>
            <w:tcW w:w="700" w:type="dxa"/>
            <w:vAlign w:val="bottom"/>
            <w:tcBorders>
              <w:top w:val="single" w:sz="8" w:color="0000FF"/>
            </w:tcBorders>
            <w:gridSpan w:val="2"/>
          </w:tcPr>
          <w:p>
            <w:pPr>
              <w:spacing w:after="0"/>
              <w:rPr>
                <w:sz w:val="18"/>
                <w:szCs w:val="18"/>
                <w:color w:val="auto"/>
              </w:rPr>
            </w:pPr>
          </w:p>
        </w:tc>
        <w:tc>
          <w:tcPr>
            <w:tcW w:w="9000" w:type="dxa"/>
            <w:vAlign w:val="bottom"/>
            <w:gridSpan w:val="14"/>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0100" w:type="dxa"/>
            <w:vAlign w:val="bottom"/>
            <w:gridSpan w:val="17"/>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483870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0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(Note 3)</w:t>
            </w:r>
          </w:p>
        </w:tc>
        <w:tc>
          <w:tcPr>
            <w:tcW w:w="106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 as shown separately below)</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 (1)</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content (1)</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 (1)</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r>
      <w:tr>
        <w:trPr>
          <w:trHeight w:val="23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(15 )</w:t>
            </w:r>
          </w:p>
        </w:tc>
        <w:tc>
          <w:tcPr>
            <w:tcW w:w="10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(11 )</w:t>
            </w:r>
          </w:p>
        </w:tc>
        <w:tc>
          <w:tcPr>
            <w:tcW w:w="10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(3 )</w:t>
            </w:r>
          </w:p>
        </w:tc>
        <w:tc>
          <w:tcPr>
            <w:tcW w:w="1040" w:type="dxa"/>
            <w:vAlign w:val="bottom"/>
          </w:tcPr>
          <w:p>
            <w:pPr>
              <w:spacing w:after="0"/>
              <w:rPr>
                <w:sz w:val="21"/>
                <w:szCs w:val="21"/>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7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6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(1 )</w:t>
            </w:r>
          </w:p>
        </w:tc>
        <w:tc>
          <w:tcPr>
            <w:tcW w:w="10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7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(16 )</w:t>
            </w:r>
          </w:p>
        </w:tc>
        <w:tc>
          <w:tcPr>
            <w:tcW w:w="1040" w:type="dxa"/>
            <w:vAlign w:val="bottom"/>
          </w:tcPr>
          <w:p>
            <w:pPr>
              <w:spacing w:after="0"/>
              <w:rPr>
                <w:sz w:val="20"/>
                <w:szCs w:val="20"/>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 (Note 8)</w:t>
            </w:r>
          </w:p>
        </w:tc>
        <w:tc>
          <w:tcPr>
            <w:tcW w:w="10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(43 )</w:t>
            </w:r>
          </w:p>
        </w:tc>
        <w:tc>
          <w:tcPr>
            <w:tcW w:w="104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r>
      <w:tr>
        <w:trPr>
          <w:trHeight w:val="20"/>
        </w:trPr>
        <w:tc>
          <w:tcPr>
            <w:tcW w:w="770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(59 )</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0"/>
        </w:trPr>
        <w:tc>
          <w:tcPr>
            <w:tcW w:w="7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attributable to common stockholders (Note 12):</w:t>
            </w: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(0.43 )</w:t>
            </w: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(0.43 )</w:t>
            </w: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(Note 12):</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21"/>
                <w:szCs w:val="21"/>
                <w:color w:val="auto"/>
              </w:rPr>
            </w:pPr>
          </w:p>
        </w:tc>
      </w:tr>
      <w:tr>
        <w:trPr>
          <w:trHeight w:val="243"/>
        </w:trPr>
        <w:tc>
          <w:tcPr>
            <w:tcW w:w="77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 Includes stock-based compensation expense as follows (Note 10):</w:t>
            </w:r>
          </w:p>
        </w:tc>
        <w:tc>
          <w:tcPr>
            <w:tcW w:w="106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040" w:type="dxa"/>
            <w:vAlign w:val="bottom"/>
            <w:shd w:val="clear" w:color="auto" w:fill="CFF0FC"/>
          </w:tcPr>
          <w:p>
            <w:pPr>
              <w:spacing w:after="0"/>
              <w:rPr>
                <w:sz w:val="23"/>
                <w:szCs w:val="23"/>
                <w:color w:val="auto"/>
              </w:rPr>
            </w:pPr>
          </w:p>
        </w:tc>
        <w:tc>
          <w:tcPr>
            <w:tcW w:w="5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20"/>
                <w:szCs w:val="20"/>
                <w:color w:val="auto"/>
              </w:rPr>
            </w:pP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and content</w:t>
            </w:r>
          </w:p>
        </w:tc>
        <w:tc>
          <w:tcPr>
            <w:tcW w:w="106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4"/>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-3307715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-3307715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-2366010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-2366010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-2049145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-2049145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8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(59 )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Foreign currency translation adjustments, net of tax </w:t>
            </w:r>
            <w:r>
              <w:rPr>
                <w:rFonts w:ascii="Times New Roman" w:cs="Times New Roman" w:eastAsia="Times New Roman" w:hAnsi="Times New Roman"/>
                <w:sz w:val="14"/>
                <w:szCs w:val="14"/>
                <w:color w:val="auto"/>
              </w:rPr>
              <w:t>(1)</w:t>
            </w: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4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43"/>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xml:space="preserve">Reclassification adjustments included in net income (loss), net of tax </w:t>
            </w:r>
            <w:r>
              <w:rPr>
                <w:rFonts w:ascii="Times New Roman" w:cs="Times New Roman" w:eastAsia="Times New Roman" w:hAnsi="Times New Roman"/>
                <w:sz w:val="14"/>
                <w:szCs w:val="14"/>
                <w:color w:val="auto"/>
              </w:rPr>
              <w:t>(1)</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32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4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0"/>
                <w:szCs w:val="20"/>
                <w:color w:val="auto"/>
              </w:rPr>
            </w:pPr>
          </w:p>
        </w:tc>
      </w:tr>
      <w:tr>
        <w:trPr>
          <w:trHeight w:val="20"/>
        </w:trPr>
        <w:tc>
          <w:tcPr>
            <w:tcW w:w="8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(66 )</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r>
      <w:tr>
        <w:trPr>
          <w:trHeight w:val="20"/>
        </w:trPr>
        <w:tc>
          <w:tcPr>
            <w:tcW w:w="8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6092825</wp:posOffset>
            </wp:positionH>
            <wp:positionV relativeFrom="paragraph">
              <wp:posOffset>-187960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ind w:left="840" w:hanging="383"/>
        <w:spacing w:after="0"/>
        <w:tabs>
          <w:tab w:leader="none" w:pos="8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Deferred income tax liabilities related to these amounts are not material.</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number of shares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8080" w:type="dxa"/>
            <w:vAlign w:val="bottom"/>
          </w:tcPr>
          <w:p>
            <w:pPr>
              <w:spacing w:after="0"/>
              <w:rPr>
                <w:sz w:val="16"/>
                <w:szCs w:val="16"/>
                <w:color w:val="auto"/>
              </w:rPr>
            </w:pPr>
          </w:p>
        </w:tc>
        <w:tc>
          <w:tcPr>
            <w:tcW w:w="102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9"/>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 (Note 4)</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1,171</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receivable, net (allowance for expected credit losses of $23 and $21, respectively) (Note 4)</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receivable (Note 8)</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8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1,511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$563 and $551, respectively</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Intangible assets, net of accumulated amortization of $202 and $208, respectively</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Goodwill</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Non-marketable investments (Note 4)</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19"/>
                <w:szCs w:val="19"/>
                <w:color w:val="auto"/>
              </w:rPr>
            </w:pPr>
          </w:p>
        </w:tc>
      </w:tr>
      <w:tr>
        <w:trPr>
          <w:trHeight w:val="236"/>
        </w:trPr>
        <w:tc>
          <w:tcPr>
            <w:tcW w:w="8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long-term assets, net of allowance for credit losses of $10 and $10, respectively (Note 4)</w:t>
            </w:r>
          </w:p>
        </w:tc>
        <w:tc>
          <w:tcPr>
            <w:tcW w:w="102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1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0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2,738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1"/>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merchant payables</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 (Note 3)</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taxes payable (Note 8)</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20"/>
                <w:szCs w:val="20"/>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 (Note 5)</w:t>
            </w: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shd w:val="clear" w:color="auto" w:fill="CFF0FC"/>
          </w:tcPr>
          <w:p>
            <w:pPr>
              <w:spacing w:after="0"/>
              <w:rPr>
                <w:sz w:val="19"/>
                <w:szCs w:val="19"/>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Long-term debt (Note 6)</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Finance lease obligation, net of current portion</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20"/>
                <w:szCs w:val="20"/>
                <w:color w:val="auto"/>
              </w:rPr>
            </w:pP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long-term liabilities (Note 7)</w:t>
            </w: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Pr>
          <w:p>
            <w:pPr>
              <w:spacing w:after="0"/>
              <w:rPr>
                <w:sz w:val="19"/>
                <w:szCs w:val="19"/>
                <w:color w:val="auto"/>
              </w:rPr>
            </w:pPr>
          </w:p>
        </w:tc>
      </w:tr>
      <w:tr>
        <w:trPr>
          <w:trHeight w:val="223"/>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10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1,913</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9"/>
        </w:trPr>
        <w:tc>
          <w:tcPr>
            <w:tcW w:w="80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0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 (Note 11)</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Preferred stock, $0.001 par value</w:t>
            </w:r>
          </w:p>
        </w:tc>
        <w:tc>
          <w:tcPr>
            <w:tcW w:w="10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Authorized shares: 100,000,000</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Shares issued and outstanding: 0 and 0</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10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Authorized shares: 1,600,000,000</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issued: 151,237,501 and 149,775,361, respectively</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Shares outstanding: 126,343,634 and 124,881,494, respectively</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Class B common stock, $0.001 par value</w:t>
            </w:r>
          </w:p>
        </w:tc>
        <w:tc>
          <w:tcPr>
            <w:tcW w:w="10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Authorized shares: 400,000,000</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issued and outstanding: 12,799,999 and 12,799,999, respectively</w:t>
            </w: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2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4"/>
              </w:rPr>
              <w:t>1,513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100" w:type="dxa"/>
            <w:vAlign w:val="bottom"/>
            <w:shd w:val="clear" w:color="auto" w:fill="CFF0FC"/>
          </w:tcPr>
          <w:p>
            <w:pPr>
              <w:spacing w:after="0"/>
              <w:rPr>
                <w:sz w:val="20"/>
                <w:szCs w:val="20"/>
                <w:color w:val="auto"/>
              </w:rPr>
            </w:pPr>
          </w:p>
        </w:tc>
      </w:tr>
      <w:tr>
        <w:trPr>
          <w:trHeight w:val="220"/>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Retained earnings</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9"/>
                <w:szCs w:val="19"/>
                <w:color w:val="auto"/>
              </w:rPr>
            </w:pPr>
          </w:p>
        </w:tc>
      </w:tr>
      <w:tr>
        <w:trPr>
          <w:trHeight w:val="239"/>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020" w:type="dxa"/>
            <w:vAlign w:val="bottom"/>
            <w:shd w:val="clear" w:color="auto" w:fill="CFF0FC"/>
          </w:tcPr>
          <w:p>
            <w:pPr>
              <w:spacing w:after="0"/>
              <w:rPr>
                <w:sz w:val="20"/>
                <w:szCs w:val="20"/>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(78 )</w:t>
            </w:r>
          </w:p>
        </w:tc>
        <w:tc>
          <w:tcPr>
            <w:tcW w:w="18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(71 )</w:t>
            </w:r>
          </w:p>
        </w:tc>
      </w:tr>
      <w:tr>
        <w:trPr>
          <w:trHeight w:val="223"/>
        </w:trPr>
        <w:tc>
          <w:tcPr>
            <w:tcW w:w="80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Treasury stock-common stock, at cost, 24,893,867 and 24,893,867 shares, respectively</w:t>
            </w:r>
          </w:p>
        </w:tc>
        <w:tc>
          <w:tcPr>
            <w:tcW w:w="102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(822 )</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(822 )</w:t>
            </w:r>
          </w:p>
        </w:tc>
      </w:tr>
      <w:tr>
        <w:trPr>
          <w:trHeight w:val="223"/>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02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02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2,738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6015990</wp:posOffset>
            </wp:positionH>
            <wp:positionV relativeFrom="paragraph">
              <wp:posOffset>-6369685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-6369685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-5196840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-5196840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-2816225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-2816225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-179070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TRIPADVISOR,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millions, except number of shares)</w:t>
      </w:r>
    </w:p>
    <w:p>
      <w:pPr>
        <w:spacing w:after="0" w:line="5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Accumul</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ated</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3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w:t>
            </w:r>
          </w:p>
        </w:tc>
        <w:tc>
          <w:tcPr>
            <w:tcW w:w="156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ensive</w:t>
            </w:r>
          </w:p>
        </w:tc>
        <w:tc>
          <w:tcPr>
            <w:tcW w:w="156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74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1"/>
                <w:szCs w:val="11"/>
                <w:color w:val="auto"/>
              </w:rPr>
            </w:pPr>
          </w:p>
        </w:tc>
        <w:tc>
          <w:tcPr>
            <w:tcW w:w="82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700" w:type="dxa"/>
            <w:vAlign w:val="bottom"/>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vMerge w:val="restart"/>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vMerge w:val="restart"/>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center"/>
              <w:ind w:right="26"/>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149,775,</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12,799,9</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(24,893,</w:t>
            </w:r>
          </w:p>
        </w:tc>
        <w:tc>
          <w:tcPr>
            <w:tcW w:w="2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361</w:t>
            </w: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6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92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b w:val="1"/>
                <w:bCs w:val="1"/>
                <w:color w:val="auto"/>
              </w:rPr>
              <w:t>$   1,493</w:t>
            </w:r>
          </w:p>
        </w:tc>
        <w:tc>
          <w:tcPr>
            <w:tcW w:w="4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(71 )</w:t>
            </w: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867 )</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   (822 )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871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04"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Net income (loss)</w:t>
      </w:r>
    </w:p>
    <w:p>
      <w:pPr>
        <w:spacing w:after="0" w:line="45" w:lineRule="exact"/>
        <w:rPr>
          <w:sz w:val="20"/>
          <w:szCs w:val="20"/>
          <w:color w:val="auto"/>
        </w:rPr>
      </w:pPr>
    </w:p>
    <w:p>
      <w:pPr>
        <w:ind w:left="20" w:right="340"/>
        <w:spacing w:after="0" w:line="281" w:lineRule="auto"/>
        <w:rPr>
          <w:sz w:val="20"/>
          <w:szCs w:val="20"/>
          <w:color w:val="auto"/>
        </w:rPr>
      </w:pPr>
      <w:r>
        <w:rPr>
          <w:rFonts w:ascii="Times New Roman" w:cs="Times New Roman" w:eastAsia="Times New Roman" w:hAnsi="Times New Roman"/>
          <w:sz w:val="16"/>
          <w:szCs w:val="16"/>
          <w:color w:val="auto"/>
        </w:rPr>
        <w:t>Other comprehensive income (loss), net of tax</w:t>
      </w:r>
    </w:p>
    <w:p>
      <w:pPr>
        <w:spacing w:after="0" w:line="1" w:lineRule="exact"/>
        <w:rPr>
          <w:sz w:val="20"/>
          <w:szCs w:val="20"/>
          <w:color w:val="auto"/>
        </w:rPr>
      </w:pPr>
    </w:p>
    <w:p>
      <w:pPr>
        <w:jc w:val="both"/>
        <w:ind w:left="20"/>
        <w:spacing w:after="0" w:line="275" w:lineRule="auto"/>
        <w:rPr>
          <w:sz w:val="20"/>
          <w:szCs w:val="20"/>
          <w:color w:val="auto"/>
        </w:rPr>
      </w:pPr>
      <w:r>
        <w:rPr>
          <w:rFonts w:ascii="Times New Roman" w:cs="Times New Roman" w:eastAsia="Times New Roman" w:hAnsi="Times New Roman"/>
          <w:sz w:val="16"/>
          <w:szCs w:val="16"/>
          <w:color w:val="auto"/>
        </w:rPr>
        <w:t>Issuance of common stock related to exercises of options and vesting of RSUs</w:t>
      </w:r>
    </w:p>
    <w:p>
      <w:pPr>
        <w:spacing w:after="0" w:line="1" w:lineRule="exact"/>
        <w:rPr>
          <w:sz w:val="20"/>
          <w:szCs w:val="20"/>
          <w:color w:val="auto"/>
        </w:rPr>
      </w:pPr>
    </w:p>
    <w:p>
      <w:pPr>
        <w:ind w:left="20" w:right="240"/>
        <w:spacing w:after="0" w:line="290" w:lineRule="auto"/>
        <w:rPr>
          <w:sz w:val="20"/>
          <w:szCs w:val="20"/>
          <w:color w:val="auto"/>
        </w:rPr>
      </w:pPr>
      <w:r>
        <w:rPr>
          <w:rFonts w:ascii="Times New Roman" w:cs="Times New Roman" w:eastAsia="Times New Roman" w:hAnsi="Times New Roman"/>
          <w:sz w:val="16"/>
          <w:szCs w:val="16"/>
          <w:color w:val="auto"/>
        </w:rPr>
        <w:t>Withholding taxes on net share settlements of equity awards</w:t>
      </w: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(59 )</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(59 )</w:t>
            </w:r>
          </w:p>
        </w:tc>
      </w:tr>
      <w:tr>
        <w:trPr>
          <w:trHeight w:val="431"/>
        </w:trPr>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(7 )</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424"/>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1,462,14</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0"/>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31"/>
        </w:trPr>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(10 )</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42"/>
        </w:trPr>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60" w:type="dxa"/>
            <w:vAlign w:val="bottom"/>
          </w:tcPr>
          <w:p>
            <w:pPr>
              <w:spacing w:after="0"/>
              <w:rPr>
                <w:sz w:val="21"/>
                <w:szCs w:val="21"/>
                <w:color w:val="auto"/>
              </w:rPr>
            </w:pPr>
          </w:p>
        </w:tc>
      </w:tr>
      <w:tr>
        <w:trPr>
          <w:trHeight w:val="200"/>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151,237,</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12,799,9</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(24,893,</w:t>
            </w: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501</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1,513</w:t>
            </w:r>
          </w:p>
        </w:tc>
        <w:tc>
          <w:tcPr>
            <w:tcW w:w="2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212</w:t>
            </w:r>
          </w:p>
        </w:tc>
        <w:tc>
          <w:tcPr>
            <w:tcW w:w="2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(78 )</w:t>
            </w:r>
          </w:p>
        </w:tc>
        <w:tc>
          <w:tcPr>
            <w:tcW w:w="202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867 )  $   (822 )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825</w:t>
            </w:r>
          </w:p>
        </w:tc>
        <w:tc>
          <w:tcPr>
            <w:tcW w:w="60" w:type="dxa"/>
            <w:vAlign w:val="bottom"/>
          </w:tcPr>
          <w:p>
            <w:pPr>
              <w:spacing w:after="0"/>
              <w:rPr>
                <w:sz w:val="19"/>
                <w:szCs w:val="19"/>
                <w:color w:val="auto"/>
              </w:rPr>
            </w:pP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-1403350</wp:posOffset>
            </wp:positionV>
            <wp:extent cx="7132320" cy="273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-727075</wp:posOffset>
            </wp:positionV>
            <wp:extent cx="7132320" cy="273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-1518285</wp:posOffset>
            </wp:positionH>
            <wp:positionV relativeFrom="paragraph">
              <wp:posOffset>-299085</wp:posOffset>
            </wp:positionV>
            <wp:extent cx="7132320" cy="299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2997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140"/>
            <w:col w:w="8840"/>
          </w:cols>
          <w:pgMar w:left="320" w:top="1004" w:right="339" w:bottom="1440" w:gutter="0" w:footer="0" w:header="0"/>
          <w:type w:val="continuous"/>
        </w:sectPr>
      </w:pPr>
    </w:p>
    <w:p>
      <w:pPr>
        <w:spacing w:after="0" w:line="3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Accumul</w:t>
            </w: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ated</w:t>
            </w: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3"/>
            <w:vMerge w:val="restart"/>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rPr>
                <w:sz w:val="12"/>
                <w:szCs w:val="12"/>
                <w:color w:val="auto"/>
              </w:rPr>
            </w:pPr>
          </w:p>
        </w:tc>
        <w:tc>
          <w:tcPr>
            <w:tcW w:w="134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3"/>
            <w:vMerge w:val="restart"/>
          </w:tcPr>
          <w:p>
            <w:pPr>
              <w:jc w:val="center"/>
              <w:ind w:left="206"/>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w:t>
            </w:r>
          </w:p>
        </w:tc>
        <w:tc>
          <w:tcPr>
            <w:tcW w:w="1560" w:type="dxa"/>
            <w:vAlign w:val="bottom"/>
            <w:gridSpan w:val="3"/>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ensive</w:t>
            </w:r>
          </w:p>
        </w:tc>
        <w:tc>
          <w:tcPr>
            <w:tcW w:w="1560" w:type="dxa"/>
            <w:vAlign w:val="bottom"/>
            <w:tcBorders>
              <w:bottom w:val="single" w:sz="8" w:color="auto"/>
            </w:tcBorders>
            <w:gridSpan w:val="3"/>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00" w:type="dxa"/>
            <w:vAlign w:val="bottom"/>
          </w:tcPr>
          <w:p>
            <w:pPr>
              <w:spacing w:after="0"/>
              <w:rPr>
                <w:sz w:val="11"/>
                <w:szCs w:val="11"/>
                <w:color w:val="auto"/>
              </w:rPr>
            </w:pPr>
          </w:p>
        </w:tc>
        <w:tc>
          <w:tcPr>
            <w:tcW w:w="74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740" w:type="dxa"/>
            <w:vAlign w:val="bottom"/>
            <w:vMerge w:val="restart"/>
          </w:tcPr>
          <w:p>
            <w:pPr>
              <w:jc w:val="right"/>
              <w:ind w:right="8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1"/>
                <w:szCs w:val="11"/>
                <w:color w:val="auto"/>
              </w:rPr>
            </w:pPr>
          </w:p>
        </w:tc>
        <w:tc>
          <w:tcPr>
            <w:tcW w:w="86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20" w:type="dxa"/>
            <w:vAlign w:val="bottom"/>
            <w:gridSpan w:val="3"/>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income</w:t>
            </w: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1"/>
                <w:szCs w:val="11"/>
                <w:color w:val="auto"/>
              </w:rPr>
            </w:pPr>
          </w:p>
        </w:tc>
        <w:tc>
          <w:tcPr>
            <w:tcW w:w="6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0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146,891,</w:t>
            </w:r>
          </w:p>
        </w:tc>
        <w:tc>
          <w:tcPr>
            <w:tcW w:w="2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12,799,9</w:t>
            </w: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(18,844,</w:t>
            </w:r>
          </w:p>
        </w:tc>
        <w:tc>
          <w:tcPr>
            <w:tcW w:w="20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538</w:t>
            </w:r>
          </w:p>
        </w:tc>
        <w:tc>
          <w:tcPr>
            <w:tcW w:w="600" w:type="dxa"/>
            <w:vAlign w:val="bottom"/>
            <w:gridSpan w:val="2"/>
          </w:tcPr>
          <w:p>
            <w:pPr>
              <w:jc w:val="right"/>
              <w:ind w:right="188"/>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620" w:type="dxa"/>
            <w:vAlign w:val="bottom"/>
            <w:gridSpan w:val="2"/>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1,404</w:t>
            </w:r>
          </w:p>
        </w:tc>
        <w:tc>
          <w:tcPr>
            <w:tcW w:w="4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261</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(82 )</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614 )</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   (722 )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(73 )</w:t>
            </w:r>
          </w:p>
        </w:tc>
        <w:tc>
          <w:tcPr>
            <w:tcW w:w="1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2"/>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net of tax</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w:t>
            </w: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 exercises of options and vesting</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1,199,29</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 RSUs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04" w:right="339" w:bottom="1440" w:gutter="0" w:footer="0" w:header="0"/>
          <w:type w:val="continuous"/>
        </w:sectPr>
      </w:pPr>
    </w:p>
    <w:p>
      <w:pPr>
        <w:ind w:left="20" w:right="20"/>
        <w:spacing w:after="0" w:line="289" w:lineRule="auto"/>
        <w:rPr>
          <w:sz w:val="20"/>
          <w:szCs w:val="20"/>
          <w:color w:val="auto"/>
        </w:rPr>
      </w:pPr>
      <w:r>
        <w:rPr>
          <w:rFonts w:ascii="Times New Roman" w:cs="Times New Roman" w:eastAsia="Times New Roman" w:hAnsi="Times New Roman"/>
          <w:sz w:val="16"/>
          <w:szCs w:val="16"/>
          <w:color w:val="auto"/>
        </w:rPr>
        <w:t>Withholding taxes on net share settlements of equity awards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2023</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(9 )</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42"/>
        </w:trPr>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21"/>
                <w:szCs w:val="21"/>
                <w:color w:val="auto"/>
              </w:rPr>
            </w:pPr>
          </w:p>
        </w:tc>
      </w:tr>
      <w:tr>
        <w:trPr>
          <w:trHeight w:val="200"/>
        </w:trPr>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148,090,</w:t>
            </w: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12,799,9</w:t>
            </w: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(18,844,</w:t>
            </w: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w:t>
            </w:r>
          </w:p>
        </w:tc>
        <w:tc>
          <w:tcPr>
            <w:tcW w:w="38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   1,420</w:t>
            </w:r>
          </w:p>
        </w:tc>
        <w:tc>
          <w:tcPr>
            <w:tcW w:w="2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(78 )</w:t>
            </w:r>
          </w:p>
        </w:tc>
        <w:tc>
          <w:tcPr>
            <w:tcW w:w="202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614 )  $   (722 )  $</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808</w:t>
            </w:r>
          </w:p>
        </w:tc>
        <w:tc>
          <w:tcPr>
            <w:tcW w:w="60" w:type="dxa"/>
            <w:vAlign w:val="bottom"/>
          </w:tcPr>
          <w:p>
            <w:pPr>
              <w:spacing w:after="0"/>
              <w:rPr>
                <w:sz w:val="19"/>
                <w:szCs w:val="19"/>
                <w:color w:val="auto"/>
              </w:rPr>
            </w:pP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-453390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2040" w:space="360"/>
            <w:col w:w="8840"/>
          </w:cols>
          <w:pgMar w:left="320" w:top="100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080" w:type="dxa"/>
            <w:vAlign w:val="bottom"/>
          </w:tcPr>
          <w:p>
            <w:pPr>
              <w:spacing w:after="0"/>
              <w:rPr>
                <w:sz w:val="16"/>
                <w:szCs w:val="16"/>
                <w:color w:val="auto"/>
              </w:rPr>
            </w:pPr>
          </w:p>
        </w:tc>
        <w:tc>
          <w:tcPr>
            <w:tcW w:w="25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080" w:type="dxa"/>
            <w:vAlign w:val="bottom"/>
          </w:tcPr>
          <w:p>
            <w:pPr>
              <w:spacing w:after="0"/>
              <w:rPr>
                <w:sz w:val="14"/>
                <w:szCs w:val="14"/>
                <w:color w:val="auto"/>
              </w:rPr>
            </w:pPr>
          </w:p>
        </w:tc>
        <w:tc>
          <w:tcPr>
            <w:tcW w:w="9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(59 )</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47"/>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7"/>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 (Note 10)</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7"/>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9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(69 )</w:t>
            </w:r>
          </w:p>
        </w:tc>
        <w:tc>
          <w:tcPr>
            <w:tcW w:w="9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38"/>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47"/>
        </w:trPr>
        <w:tc>
          <w:tcPr>
            <w:tcW w:w="8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merchant payables</w:t>
            </w: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1"/>
                <w:szCs w:val="21"/>
                <w:color w:val="auto"/>
              </w:rPr>
            </w:pPr>
          </w:p>
        </w:tc>
      </w:tr>
      <w:tr>
        <w:trPr>
          <w:trHeight w:val="238"/>
        </w:trPr>
        <w:tc>
          <w:tcPr>
            <w:tcW w:w="8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receivables/payables, net</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247"/>
        </w:trPr>
        <w:tc>
          <w:tcPr>
            <w:tcW w:w="8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9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r>
      <w:tr>
        <w:trPr>
          <w:trHeight w:val="245"/>
        </w:trPr>
        <w:tc>
          <w:tcPr>
            <w:tcW w:w="80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expenditures, including capitalized website development</w:t>
            </w:r>
          </w:p>
        </w:tc>
        <w:tc>
          <w:tcPr>
            <w:tcW w:w="9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9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0"/>
        </w:trPr>
        <w:tc>
          <w:tcPr>
            <w:tcW w:w="808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9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(16 )</w:t>
            </w:r>
          </w:p>
        </w:tc>
        <w:tc>
          <w:tcPr>
            <w:tcW w:w="90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45"/>
        </w:trPr>
        <w:tc>
          <w:tcPr>
            <w:tcW w:w="80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 taxes on net share settlements of equity awards</w:t>
            </w:r>
          </w:p>
        </w:tc>
        <w:tc>
          <w:tcPr>
            <w:tcW w:w="9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90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finance lease obligation</w:t>
            </w:r>
          </w:p>
        </w:tc>
        <w:tc>
          <w:tcPr>
            <w:tcW w:w="9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90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80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92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(12 )</w:t>
            </w:r>
          </w:p>
        </w:tc>
        <w:tc>
          <w:tcPr>
            <w:tcW w:w="90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8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0"/>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cash equivalents and restricted cash</w:t>
            </w:r>
          </w:p>
        </w:tc>
        <w:tc>
          <w:tcPr>
            <w:tcW w:w="92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20"/>
                <w:szCs w:val="20"/>
                <w:color w:val="auto"/>
              </w:rPr>
            </w:pP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0"/>
                <w:szCs w:val="20"/>
                <w:color w:val="auto"/>
              </w:rPr>
            </w:pPr>
          </w:p>
        </w:tc>
      </w:tr>
      <w:tr>
        <w:trPr>
          <w:trHeight w:val="278"/>
        </w:trPr>
        <w:tc>
          <w:tcPr>
            <w:tcW w:w="8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920" w:type="dxa"/>
            <w:vAlign w:val="bottom"/>
            <w:tcBorders>
              <w:bottom w:val="single" w:sz="8" w:color="auto"/>
            </w:tcBorders>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8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(received) during the period for income taxes, net of refunds</w:t>
            </w:r>
          </w:p>
        </w:tc>
        <w:tc>
          <w:tcPr>
            <w:tcW w:w="920" w:type="dxa"/>
            <w:vAlign w:val="bottom"/>
            <w:shd w:val="clear" w:color="auto" w:fill="CFF0FC"/>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4"/>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-2682240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-2057400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-2057400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-481965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-464820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-481965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-464820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We refer to Tripadvisor, Inc. and our wholly-owned subsidiaries as “Tripadvisor,” “Tripadvisor Group,” “the Company,” “us,” “we,” and “our” in these notes to the unaudited condensed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Tripadvisor Group operates as a family of brands with a purpose of connecting people to experiences worth sharing. The Company's vision is to be the world’s most trusted source for travel and experiences. The Company operates across three reportable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7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Brand Tripadvisor offers travelers and experience seekers an online global platform for travelers to discover, generate, and share authentic user-generated content (“UGC”) in the form of ratings and reviews for destinations, points-of-interest (“POIs”), experiences, accommodations, restaurants, and cruises in over 40 countries and in more than 20 languages across the world. As of December 31, 2023, Brand Tripadvisor offers more than 1 billion user-generated ratings and reviews on over 8 million experiences, accommodations, restaurants, airlines, and cruises.</w:t>
      </w:r>
    </w:p>
    <w:p>
      <w:pPr>
        <w:spacing w:after="0" w:line="74"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Viator enables travelers to discover and book iconic, unique and memorable experiences from operators around the globe. Viator's online marketplace is comprehensive, connecting travelers to bookable tours, activities and attractions—consisting of over 350,000 experiences from more than 55,000 operators as of December 31, 2023.</w:t>
      </w:r>
    </w:p>
    <w:p>
      <w:pPr>
        <w:spacing w:after="0" w:line="69"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TheFork provides an online marketplace that enables diners to discover and book online reservations at approximately 55,000 restaurants in 11 countries, as of December 31, 2023, across the U.K. and western and central Europe.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 results were not material for all periods presented. Investments in entities in which we do not have a controlling financial interest are accounted for under the equity method, the fair value option, as available-for-sale securities or at cost adjusted for observable price changes and impairments, as appropriate.</w:t>
      </w:r>
    </w:p>
    <w:p>
      <w:pPr>
        <w:spacing w:after="0" w:line="18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none of which were material to the presentation of the accompanying unaudited condensed consolidated financial statements.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2023, previously filed with the SEC (the "2023 Annual Report"). The unaudited condensed consolidated balance sheet as of December 31, 2023 included herein was derived from the audited consolidated financial statements as of that date, but does not include all disclosures including notes required by GAAP.</w:t>
      </w:r>
    </w:p>
    <w:p>
      <w:pPr>
        <w:spacing w:after="0" w:line="186"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7"/>
          <w:szCs w:val="17"/>
          <w:color w:val="auto"/>
        </w:rPr>
        <w:t>As of March 31, 2024, Liberty Tripadvisor Holdings, Inc. (“LTRIP”) beneficially owned approximately 16.4 million shares of our common stock and 12.8 million shares of our Class B common stock, which constitute approximately 13% of the outstanding shares of common stock and 100% of the outstanding shares of Class B common stock. Assuming the conversion of all LTRIP’s shares of Class B common stock into common stock, LTRIP would beneficially own approximately 21% of the outstanding common stock. Because each share of Class B common stock is entitled to ten votes per share and each share of common stock is entitled to one vote per share, LTRIP may be deemed to beneficially own equity securities representing approximately 57% of our voting power. We had no related party transactions with LTRIP during each of the three months ended March 31, 2024 and 2023.</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business was negatively impacted by the risks and uncertainties related to the COVID-19 pandemic and our business would be adversely and materially affected upon a resurgence of COVID-19 or the emergence of any new pandemic or other health crisis that results in reinstated travel bans and/or other government restrictions and mandates. Following the lifting of restrictions in connection with the COVID-19 pandemic, travel demand increased. In addition, the U.S. and other countries have seen significant increased inflation and decreases in discretionary spending patterns by consumers. If macroeconomic conditions deteriorate, consumer demand and spending may decline, we may not be able to pass on increased costs to our customers and our inability or failure to navigate the macroeconomic environment could harm our business, results of operations and financial condition.</w:t>
      </w:r>
    </w:p>
    <w:p>
      <w:pPr>
        <w:spacing w:after="0" w:line="78"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Additionally, natural disasters, public health-related events,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121"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is accounting for income taxes. Refer to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for information regarding our significant income tax estimates.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 xml:space="preserve">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w:t>
      </w:r>
      <w:r>
        <w:rPr>
          <w:rFonts w:ascii="Times New Roman" w:cs="Times New Roman" w:eastAsia="Times New Roman" w:hAnsi="Times New Roman"/>
          <w:sz w:val="17"/>
          <w:szCs w:val="17"/>
          <w:color w:val="231F20"/>
        </w:rPr>
        <w:t>In addition, during the first half of the year, experience bookings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typically exceed the amount of completed experiences, resulting in higher cash flow related to working capital, while during the second half of the year, particularly in the third quarter, this pattern reverses and cash flows from these transactions are typically negative</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Other factors may also impact typical seasonal fluctuations, such as significant shifts in our business mix, adverse economic conditions, public health-related events, as well as other factors.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ind w:right="500" w:firstLine="509"/>
        <w:spacing w:after="0" w:line="283"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accounting policies since December 31, 2023, as described under “Note 2: </w:t>
      </w:r>
      <w:r>
        <w:rPr>
          <w:rFonts w:ascii="Times New Roman" w:cs="Times New Roman" w:eastAsia="Times New Roman" w:hAnsi="Times New Roman"/>
          <w:sz w:val="18"/>
          <w:szCs w:val="18"/>
          <w:i w:val="1"/>
          <w:iCs w:val="1"/>
          <w:color w:val="auto"/>
        </w:rPr>
        <w:t>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in the notes to consolidated financial statements in Item 8 of our 2023 Annual Report.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Not Yet Adopted</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new accounting guidance requiring entities to provide additional information in the income tax rate reconciliation and additional disclosures about income taxes paid. The new accounting guidance requires entities to disclose in their rate reconciliation table additional categories of information about federal, state and foreign income taxes and to provide more details about the reconciling items in some categories if the items meet a quantitative threshold. This guidance is effective for annual periods beginning after December 15, 2024, and should be applied prospectively, but entities have the option to apply it retrospectively for each period presented. Early adoption is permitted for annual financial statements that have not yet been issued or made available for issuance.</w:t>
      </w:r>
    </w:p>
    <w:p>
      <w:pPr>
        <w:spacing w:after="0" w:line="7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new accounting guidance which expands public entities’ segment disclosures by requiring disclosure of significant segment expenses that are regularly provided to the chief operating decision maker (“CODM") and included within each reported measure of segment profit or loss, an amount and description of its composition for other segment items, and interim disclosures of a reportable segment’s profit or loss and assets. This guidance is effective for annual periods beginning after December 15, 2023, and interim periods within annual periods beginning after December 15, 2024, with early adoption permitted, including adoption in any interim period.</w:t>
      </w:r>
    </w:p>
    <w:p>
      <w:pPr>
        <w:spacing w:after="0" w:line="74"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We are currently considering our timing of adoption and are in the process of evaluating the impact of adopting these newly issued accounting rules on our consolidated financial statements and related disclosures.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29"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principal revenue streams, revenue recognition policies, performance obligations, description of and timing of services, or customer payment terms since December 31, 2023, as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 8 of our 2023 Annual Report. There was no significant revenue recognized in the three months ended March 31, 2024 and 2023 related to performance obligations satisfied in prior periods. We have applied a practical expedient and do not disclose the value of unsatisfied performance obligations that have an original expected duration of less than one year. The Company expects to complete its performance obligations within one year from the initial transaction date. The value related to our remaining or partially satisfied performance obligations relates to subscription services that are satisfied over time or services that are recognized at a point in time, but not yet achieved.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 xml:space="preserve">We disaggregate revenue from contracts with customers into major products/revenue sources. We have determined that disaggregating revenue into these categories achieves the disclosure objective under GAAP, which is to depict how the nature, amount, timing, and uncertainty of revenue and cash flows are affected by economic factors. As noted in “Note 13: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our business consists of three reportable segments – (1) Brand Tripadvisor; (2) Viator; and (3) TheFork. A reconciliation of disaggregated revenue to segment revenue is also included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Major products/revenue sources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8"/>
                <w:szCs w:val="18"/>
                <w:b w:val="1"/>
                <w:bCs w:val="1"/>
                <w:color w:val="auto"/>
              </w:rPr>
              <w:t>:</w:t>
            </w:r>
          </w:p>
        </w:tc>
        <w:tc>
          <w:tcPr>
            <w:tcW w:w="1300" w:type="dxa"/>
            <w:vAlign w:val="bottom"/>
            <w:shd w:val="clear" w:color="auto" w:fill="CFF0FC"/>
          </w:tcPr>
          <w:p>
            <w:pPr>
              <w:spacing w:after="0"/>
              <w:rPr>
                <w:sz w:val="20"/>
                <w:szCs w:val="20"/>
                <w:color w:val="auto"/>
              </w:rPr>
            </w:pPr>
          </w:p>
        </w:tc>
        <w:tc>
          <w:tcPr>
            <w:tcW w:w="2080" w:type="dxa"/>
            <w:vAlign w:val="bottom"/>
            <w:gridSpan w:val="3"/>
            <w:shd w:val="clear" w:color="auto" w:fill="CFF0FC"/>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Tripadvisor</w:t>
            </w: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1300" w:type="dxa"/>
            <w:vAlign w:val="bottom"/>
            <w:shd w:val="clear" w:color="auto" w:fill="CFF0FC"/>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FF0FC"/>
          </w:tcPr>
          <w:p>
            <w:pPr>
              <w:spacing w:after="0"/>
              <w:rPr>
                <w:sz w:val="21"/>
                <w:szCs w:val="21"/>
                <w:color w:val="auto"/>
              </w:rPr>
            </w:pPr>
          </w:p>
        </w:tc>
      </w:tr>
      <w:tr>
        <w:trPr>
          <w:trHeight w:val="238"/>
        </w:trPr>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Media and advertising</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14"/>
                <w:szCs w:val="14"/>
                <w:color w:val="auto"/>
              </w:rPr>
              <w:t>(2)</w:t>
            </w:r>
          </w:p>
        </w:tc>
        <w:tc>
          <w:tcPr>
            <w:tcW w:w="1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r>
      <w:tr>
        <w:trPr>
          <w:trHeight w:val="238"/>
        </w:trPr>
        <w:tc>
          <w:tcPr>
            <w:tcW w:w="6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Brand Tripadvisor</w:t>
            </w:r>
          </w:p>
        </w:tc>
        <w:tc>
          <w:tcPr>
            <w:tcW w:w="13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6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FF0FC"/>
          </w:tcPr>
          <w:p>
            <w:pPr>
              <w:spacing w:after="0"/>
              <w:rPr>
                <w:sz w:val="20"/>
                <w:szCs w:val="20"/>
                <w:color w:val="auto"/>
              </w:rPr>
            </w:pPr>
          </w:p>
        </w:tc>
      </w:tr>
      <w:tr>
        <w:trPr>
          <w:trHeight w:val="243"/>
        </w:trPr>
        <w:tc>
          <w:tcPr>
            <w:tcW w:w="6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13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1"/>
                <w:szCs w:val="21"/>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1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0"/>
                <w:szCs w:val="20"/>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14"/>
                <w:szCs w:val="14"/>
                <w:color w:val="auto"/>
              </w:rPr>
              <w:t>(2)</w:t>
            </w:r>
          </w:p>
        </w:tc>
        <w:tc>
          <w:tcPr>
            <w:tcW w:w="1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(27 )</w:t>
            </w:r>
          </w:p>
        </w:tc>
        <w:tc>
          <w:tcPr>
            <w:tcW w:w="8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r>
      <w:tr>
        <w:trPr>
          <w:trHeight w:val="240"/>
        </w:trPr>
        <w:tc>
          <w:tcPr>
            <w:tcW w:w="6480" w:type="dxa"/>
            <w:vAlign w:val="bottom"/>
            <w:tcBorders>
              <w:top w:val="single" w:sz="8" w:color="CFF0FC"/>
            </w:tcBorders>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300" w:type="dxa"/>
            <w:vAlign w:val="bottom"/>
            <w:tcBorders>
              <w:top w:val="single" w:sz="8" w:color="auto"/>
              <w:bottom w:val="single" w:sz="8" w:color="auto"/>
            </w:tcBorders>
          </w:tcPr>
          <w:p>
            <w:pPr>
              <w:jc w:val="right"/>
              <w:ind w:right="11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6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Borders>
              <w:top w:val="single" w:sz="8" w:color="CFF0FC"/>
            </w:tcBorders>
          </w:tcPr>
          <w:p>
            <w:pPr>
              <w:spacing w:after="0"/>
              <w:rPr>
                <w:sz w:val="20"/>
                <w:szCs w:val="20"/>
                <w:color w:val="auto"/>
              </w:rPr>
            </w:pPr>
          </w:p>
        </w:tc>
      </w:tr>
      <w:tr>
        <w:trPr>
          <w:trHeight w:val="20"/>
        </w:trPr>
        <w:tc>
          <w:tcPr>
            <w:tcW w:w="6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-187960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0" w:lineRule="exact"/>
        <w:rPr>
          <w:sz w:val="20"/>
          <w:szCs w:val="20"/>
          <w:color w:val="auto"/>
        </w:rPr>
      </w:pPr>
    </w:p>
    <w:p>
      <w:pPr>
        <w:ind w:left="840" w:hanging="383"/>
        <w:spacing w:after="0"/>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Our revenue is recognized primarily at a point in time for all reportable segments.</w:t>
      </w:r>
    </w:p>
    <w:p>
      <w:pPr>
        <w:spacing w:after="0" w:line="18" w:lineRule="exact"/>
        <w:rPr>
          <w:rFonts w:ascii="Times New Roman" w:cs="Times New Roman" w:eastAsia="Times New Roman" w:hAnsi="Times New Roman"/>
          <w:sz w:val="16"/>
          <w:szCs w:val="16"/>
          <w:color w:val="auto"/>
        </w:rPr>
      </w:pPr>
    </w:p>
    <w:p>
      <w:pPr>
        <w:ind w:left="840" w:right="200" w:hanging="383"/>
        <w:spacing w:after="0" w:line="232" w:lineRule="auto"/>
        <w:tabs>
          <w:tab w:leader="none" w:pos="8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See “Note 13: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for a discussion of intersegment revenue for all periods presented.</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Contract liabilities generally include payments received in advance of performance under the contract and are realized as revenue as the performance obligation to the customer is satisfied, which we present as deferred revenue on our consolidated balance sheet, including amounts that are refundable. As of January 1, 2024 and 2023, we had $49 million and $44 million, respectively, recorded as deferred revenue on our unaudited condensed consolidated balance sheets, of which $28 million was recognized in revenue and $2 million was refunded due to cancellations by travelers, during each of the three months ended March 31, 2024 and 2023. The difference between the opening and closing balances of our deferred revenue primarily results from the timing differences between when we receive customer payments and the time in which we satisfy our performance obligations.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FINANCIAL INSTRUMENTS AND FAIR VALUE MEASUREMENTS</w:t>
      </w:r>
    </w:p>
    <w:p>
      <w:pPr>
        <w:spacing w:after="0" w:line="229" w:lineRule="exact"/>
        <w:rPr>
          <w:sz w:val="20"/>
          <w:szCs w:val="20"/>
          <w:color w:val="auto"/>
        </w:rPr>
      </w:pPr>
    </w:p>
    <w:p>
      <w:pPr>
        <w:ind w:right="460" w:firstLine="509"/>
        <w:spacing w:after="0" w:line="281" w:lineRule="auto"/>
        <w:rPr>
          <w:sz w:val="20"/>
          <w:szCs w:val="20"/>
          <w:color w:val="auto"/>
        </w:rPr>
      </w:pPr>
      <w:r>
        <w:rPr>
          <w:rFonts w:ascii="Times New Roman" w:cs="Times New Roman" w:eastAsia="Times New Roman" w:hAnsi="Times New Roman"/>
          <w:sz w:val="18"/>
          <w:szCs w:val="18"/>
          <w:color w:val="auto"/>
        </w:rPr>
        <w:t>For assets and liabilities required to be reported at fair value, GAAP provides a hierarchy that prioritizes inputs to valuation techniques used to measure fair value into three broad levels:</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1—Valuations are based on quoted market prices for identical assets and liabilities in active markets.</w:t>
      </w:r>
    </w:p>
    <w:p>
      <w:pPr>
        <w:spacing w:after="0" w:line="117" w:lineRule="exact"/>
        <w:rPr>
          <w:sz w:val="20"/>
          <w:szCs w:val="20"/>
          <w:color w:val="auto"/>
        </w:rPr>
      </w:pPr>
    </w:p>
    <w:p>
      <w:pPr>
        <w:ind w:left="520" w:right="40"/>
        <w:spacing w:after="0" w:line="265" w:lineRule="auto"/>
        <w:rPr>
          <w:sz w:val="20"/>
          <w:szCs w:val="20"/>
          <w:color w:val="auto"/>
        </w:rPr>
      </w:pPr>
      <w:r>
        <w:rPr>
          <w:rFonts w:ascii="Times New Roman" w:cs="Times New Roman" w:eastAsia="Times New Roman" w:hAnsi="Times New Roman"/>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9" w:lineRule="exact"/>
        <w:rPr>
          <w:sz w:val="20"/>
          <w:szCs w:val="20"/>
          <w:color w:val="auto"/>
        </w:rPr>
      </w:pPr>
    </w:p>
    <w:p>
      <w:pPr>
        <w:ind w:left="520" w:right="220"/>
        <w:spacing w:after="0" w:line="260" w:lineRule="auto"/>
        <w:rPr>
          <w:sz w:val="20"/>
          <w:szCs w:val="20"/>
          <w:color w:val="auto"/>
        </w:rPr>
      </w:pPr>
      <w:r>
        <w:rPr>
          <w:rFonts w:ascii="Times New Roman" w:cs="Times New Roman" w:eastAsia="Times New Roman" w:hAnsi="Times New Roman"/>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Marketable Securities</w:t>
      </w:r>
    </w:p>
    <w:p>
      <w:pPr>
        <w:spacing w:after="0" w:line="229" w:lineRule="exact"/>
        <w:rPr>
          <w:sz w:val="20"/>
          <w:szCs w:val="20"/>
          <w:color w:val="auto"/>
        </w:rPr>
      </w:pPr>
    </w:p>
    <w:p>
      <w:pPr>
        <w:ind w:right="20" w:firstLine="509"/>
        <w:spacing w:after="0" w:line="280" w:lineRule="auto"/>
        <w:rPr>
          <w:sz w:val="20"/>
          <w:szCs w:val="20"/>
          <w:color w:val="auto"/>
        </w:rPr>
      </w:pPr>
      <w:r>
        <w:rPr>
          <w:rFonts w:ascii="Times New Roman" w:cs="Times New Roman" w:eastAsia="Times New Roman" w:hAnsi="Times New Roman"/>
          <w:sz w:val="17"/>
          <w:szCs w:val="17"/>
          <w:color w:val="auto"/>
        </w:rPr>
        <w:t>As of March 31, 2024 and December 31, 2023, we had approximately $1.2 billion and $1.1 billion of cash and cash equivalents, respectively, which consisted of available on demand bank deposits and money market funds, with maturities of 90 days or less at the date of purchase, in each case, with major global financial institutions. We had no outstanding investments classified as either short-term or long-term marketable securities as of March 31, 2024 or December 31, 2023, and there were no purchases or sales of any marketable securities during and for the three months ended March 31, 2024 and 2023.</w:t>
      </w:r>
    </w:p>
    <w:p>
      <w:pPr>
        <w:spacing w:after="0" w:line="166"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shows our cash and cash equivalents that are measured at fair value on a recurring basis and are categorized using the fair value hierarchy, as well as their classification on our unaudited condensed consolidated balance sheets as of March 31, 2024 and December 31,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1"/>
                <w:szCs w:val="11"/>
                <w:color w:val="auto"/>
              </w:rPr>
            </w:pPr>
          </w:p>
        </w:tc>
        <w:tc>
          <w:tcPr>
            <w:tcW w:w="10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60" w:type="dxa"/>
            <w:vAlign w:val="bottom"/>
          </w:tcPr>
          <w:p>
            <w:pPr>
              <w:spacing w:after="0"/>
              <w:rPr>
                <w:sz w:val="11"/>
                <w:szCs w:val="11"/>
                <w:color w:val="auto"/>
              </w:rPr>
            </w:pPr>
          </w:p>
        </w:tc>
        <w:tc>
          <w:tcPr>
            <w:tcW w:w="1040" w:type="dxa"/>
            <w:vAlign w:val="bottom"/>
            <w:gridSpan w:val="2"/>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24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tcPr>
          <w:p>
            <w:pPr>
              <w:spacing w:after="0"/>
              <w:rPr>
                <w:sz w:val="11"/>
                <w:szCs w:val="11"/>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(1)</w:t>
            </w:r>
          </w:p>
        </w:tc>
        <w:tc>
          <w:tcPr>
            <w:tcW w:w="240" w:type="dxa"/>
            <w:vAlign w:val="bottom"/>
            <w:vMerge w:val="restart"/>
          </w:tcPr>
          <w:p>
            <w:pPr>
              <w:spacing w:after="0"/>
              <w:rPr>
                <w:sz w:val="11"/>
                <w:szCs w:val="11"/>
                <w:color w:val="auto"/>
              </w:rPr>
            </w:pPr>
          </w:p>
        </w:tc>
        <w:tc>
          <w:tcPr>
            <w:tcW w:w="1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6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6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6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1:</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3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6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6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3027680</wp:posOffset>
            </wp:positionH>
            <wp:positionV relativeFrom="paragraph">
              <wp:posOffset>-187960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-187960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4679950</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500" w:hanging="369"/>
        <w:spacing w:after="0"/>
        <w:tabs>
          <w:tab w:leader="none" w:pos="15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did not have any unrealized gains and losses related to our cash equivalents.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generally classify cash equivalents and marketable securities, if any, within Level 1 and Level 2 as we value these financial instruments using quoted market prices (Level 1) or alternative pricing sources (Level 2). The valuation technique we use to measure the fair value of money market funds is derived from quoted prices in active markets for identical assets or liabilities. Fair values for Level 2 investments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21" w:lineRule="exact"/>
        <w:rPr>
          <w:sz w:val="20"/>
          <w:szCs w:val="20"/>
          <w:color w:val="auto"/>
        </w:rPr>
      </w:pPr>
    </w:p>
    <w:p>
      <w:pPr>
        <w:ind w:right="20" w:firstLine="544"/>
        <w:spacing w:after="0" w:line="255" w:lineRule="auto"/>
        <w:rPr>
          <w:sz w:val="20"/>
          <w:szCs w:val="20"/>
          <w:color w:val="auto"/>
        </w:rPr>
      </w:pPr>
      <w:r>
        <w:rPr>
          <w:rFonts w:ascii="Times New Roman" w:cs="Times New Roman" w:eastAsia="Times New Roman" w:hAnsi="Times New Roman"/>
          <w:sz w:val="18"/>
          <w:szCs w:val="18"/>
          <w:color w:val="auto"/>
        </w:rPr>
        <w:t>We generally use forward contracts to reduce the effects of foreign currency exchange rate fluctuations on our cash flows for the Euro versus the U.S. Dollar. For the three months ended March 31, 2024 and 2023, our forward contracts were not designated as hedges and generally had maturities of less than 90 days. Our outstanding or unsettled forward contracts are carried at fair value on our unaudited condensed consolidated balance sheets as of both March 31, 2024 and December 31, 2023. We measure the fair value of our outstanding or unsettled derivatives using Level 2 fair value inputs, as we use a pricing model that takes into account the contract terms as well as current foreign currency exchange rates in active markets. We recognize any gain or loss resulting from the change in fair value of our foreign currency forward contracts in other income (expense), net on our unaudited condensed consolidated statement of operations, which was not material during each of the three months ended March 31, 2024 and 2023.</w:t>
      </w:r>
    </w:p>
    <w:p>
      <w:pPr>
        <w:spacing w:after="0" w:line="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shows the notional principal amounts of our outstanding derivative instruments for the periods presented:</w:t>
      </w:r>
    </w:p>
    <w:p>
      <w:pPr>
        <w:spacing w:after="0" w:line="205"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700" w:type="dxa"/>
            <w:vAlign w:val="bottom"/>
            <w:gridSpan w:val="2"/>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70"/>
        </w:trPr>
        <w:tc>
          <w:tcPr>
            <w:tcW w:w="54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exchange-forward contracts (1)(2)</w:t>
            </w:r>
          </w:p>
        </w:tc>
        <w:tc>
          <w:tcPr>
            <w:tcW w:w="1320" w:type="dxa"/>
            <w:vAlign w:val="bottom"/>
            <w:shd w:val="clear" w:color="auto" w:fill="CFF0FC"/>
          </w:tcPr>
          <w:p>
            <w:pPr>
              <w:jc w:val="right"/>
              <w:ind w:right="113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70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23"/>
                <w:szCs w:val="23"/>
                <w:color w:val="auto"/>
              </w:rPr>
            </w:pPr>
          </w:p>
        </w:tc>
      </w:tr>
    </w:tbl>
    <w:p>
      <w:pPr>
        <w:spacing w:after="0" w:line="85" w:lineRule="exact"/>
        <w:rPr>
          <w:sz w:val="20"/>
          <w:szCs w:val="20"/>
          <w:color w:val="auto"/>
        </w:rPr>
      </w:pPr>
    </w:p>
    <w:p>
      <w:pPr>
        <w:ind w:left="1440" w:right="380" w:hanging="384"/>
        <w:spacing w:after="0" w:line="233"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contracts address foreign currency exchange fluctuations for the Euro versus the U.S. dollar. These outstanding derivatives are not designated as hedging instruments and have an original maturity period of 90 days or less.</w:t>
      </w:r>
    </w:p>
    <w:p>
      <w:pPr>
        <w:ind w:left="1440" w:right="160" w:hanging="384"/>
        <w:spacing w:after="0" w:line="237" w:lineRule="auto"/>
        <w:tabs>
          <w:tab w:leader="none" w:pos="14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our outstanding derivatives as of March 31, 2024 and December 31, 2023, respectively, was not material. The notional amount of a forward contract is the contracted amount of foreign currency to be exchanged and is not recorded on the unaudited condensed consolidated balance sheets.</w:t>
      </w:r>
    </w:p>
    <w:p>
      <w:pPr>
        <w:spacing w:after="0" w:line="183" w:lineRule="exact"/>
        <w:rPr>
          <w:sz w:val="20"/>
          <w:szCs w:val="20"/>
          <w:color w:val="auto"/>
        </w:rPr>
      </w:pPr>
    </w:p>
    <w:p>
      <w:pPr>
        <w:ind w:right="40" w:firstLine="584"/>
        <w:spacing w:after="0" w:line="265" w:lineRule="auto"/>
        <w:rPr>
          <w:sz w:val="20"/>
          <w:szCs w:val="20"/>
          <w:color w:val="auto"/>
        </w:rPr>
      </w:pPr>
      <w:r>
        <w:rPr>
          <w:rFonts w:ascii="Times New Roman" w:cs="Times New Roman" w:eastAsia="Times New Roman" w:hAnsi="Times New Roman"/>
          <w:sz w:val="18"/>
          <w:szCs w:val="18"/>
          <w:color w:val="auto"/>
        </w:rPr>
        <w:t>Counterparties to our outstanding forward contracts consist of major global financial institutions. We monitor our positions and the credit ratings of the counterparties involved and, by policy limits, the amount of credit exposure to any one party. We do not use derivatives for trading or speculative purposes. We did not enter into any cash flow, fair value or net investment hedges as of March 31, 2024 and December 31, 2023.</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Assets and Liabilities</w:t>
      </w:r>
    </w:p>
    <w:p>
      <w:pPr>
        <w:spacing w:after="0" w:line="229" w:lineRule="exact"/>
        <w:rPr>
          <w:sz w:val="20"/>
          <w:szCs w:val="20"/>
          <w:color w:val="auto"/>
        </w:rPr>
      </w:pPr>
    </w:p>
    <w:p>
      <w:pPr>
        <w:ind w:right="280" w:firstLine="539"/>
        <w:spacing w:after="0" w:line="260" w:lineRule="auto"/>
        <w:rPr>
          <w:sz w:val="20"/>
          <w:szCs w:val="20"/>
          <w:color w:val="auto"/>
        </w:rPr>
      </w:pPr>
      <w:r>
        <w:rPr>
          <w:rFonts w:ascii="Times New Roman" w:cs="Times New Roman" w:eastAsia="Times New Roman" w:hAnsi="Times New Roman"/>
          <w:sz w:val="18"/>
          <w:szCs w:val="18"/>
          <w:color w:val="auto"/>
        </w:rPr>
        <w:t>As of March 31, 2024 and December 31, 2023, financial instruments not measured at fair value on a recurring basis, including accounts payable, accrued expenses and other current liabilities, and deferred merchant payables, were carried at cost on our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1" w:name="page12"/>
    <w:bookmarkEnd w:id="11"/>
    <w:p>
      <w:pPr>
        <w:spacing w:after="0" w:line="265" w:lineRule="auto"/>
        <w:rPr>
          <w:sz w:val="20"/>
          <w:szCs w:val="20"/>
          <w:color w:val="auto"/>
        </w:rPr>
      </w:pPr>
      <w:r>
        <w:rPr>
          <w:rFonts w:ascii="Times New Roman" w:cs="Times New Roman" w:eastAsia="Times New Roman" w:hAnsi="Times New Roman"/>
          <w:sz w:val="18"/>
          <w:szCs w:val="18"/>
          <w:color w:val="auto"/>
        </w:rPr>
        <w:t>condensed consolidated balance sheets, which approximates their fair values because of the short-term nature of these items. Accounts receivable, including contract assets, as described below, as well as certain other financial assets, are measured at amortized cost and are carried at cost less an allowance for expected credit losses on our unaudited condensed consolidated balance sheets to present the net amount expected to be collected.</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about the opening and closing balances of accounts receivable, including contract assets, net of allowance for expected credit losses, from contracts with customers as of the dates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17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648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w:t>
            </w:r>
          </w:p>
        </w:tc>
        <w:tc>
          <w:tcPr>
            <w:tcW w:w="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71"/>
              </w:rPr>
              <w:t>millions)</w:t>
            </w:r>
          </w:p>
        </w:tc>
        <w:tc>
          <w:tcPr>
            <w:tcW w:w="3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FF0FC"/>
          </w:tcPr>
          <w:p>
            <w:pPr>
              <w:spacing w:after="0"/>
              <w:rPr>
                <w:sz w:val="21"/>
                <w:szCs w:val="21"/>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80"/>
        </w:trPr>
        <w:tc>
          <w:tcPr>
            <w:tcW w:w="64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bottom w:val="single" w:sz="8" w:color="auto"/>
            </w:tcBorders>
            <w:shd w:val="clear" w:color="auto" w:fill="CFF0FC"/>
          </w:tcPr>
          <w:p>
            <w:pPr>
              <w:jc w:val="right"/>
              <w:ind w:right="15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3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Accounts receivable are recognized when the right to consideration becomes unconditional, and are recorded net of an allowance for expected credit losses. We record accounts receivable at the invoiced amount. Our customer invoices are generally due from customers 30 days from the time of invoicing.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during the periods ended March 31, 2024 and December 31, 2023 related to business combinations, impairments, cumulative catch-ups or other material adjustments.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Long-Term Debt</w:t>
      </w:r>
    </w:p>
    <w:p>
      <w:pPr>
        <w:spacing w:after="0" w:line="229" w:lineRule="exact"/>
        <w:rPr>
          <w:sz w:val="20"/>
          <w:szCs w:val="20"/>
          <w:color w:val="auto"/>
        </w:rPr>
      </w:pPr>
    </w:p>
    <w:p>
      <w:pPr>
        <w:jc w:val="both"/>
        <w:ind w:right="120" w:firstLine="509"/>
        <w:spacing w:after="0" w:line="265" w:lineRule="auto"/>
        <w:rPr>
          <w:sz w:val="20"/>
          <w:szCs w:val="20"/>
          <w:color w:val="auto"/>
        </w:rPr>
      </w:pPr>
      <w:r>
        <w:rPr>
          <w:rFonts w:ascii="Times New Roman" w:cs="Times New Roman" w:eastAsia="Times New Roman" w:hAnsi="Times New Roman"/>
          <w:sz w:val="18"/>
          <w:szCs w:val="18"/>
          <w:color w:val="auto"/>
        </w:rPr>
        <w:t xml:space="preserve">The following table shows the aggregate principal and fair value amount of the 2025 Senior Notes and 2026 Senior Notes as of the dates presented, which are classified as long-term debt on our unaudited condensed consolidated balance sheets and are considered Level 2 fair value measurements.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additional information on the 2025 Senior Notes and 2026 Senior Notes.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16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169"/>
        </w:trPr>
        <w:tc>
          <w:tcPr>
            <w:tcW w:w="68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8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2025 Senior Notes</w:t>
            </w:r>
          </w:p>
        </w:tc>
        <w:tc>
          <w:tcPr>
            <w:tcW w:w="16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1600" w:type="dxa"/>
            <w:vAlign w:val="bottom"/>
          </w:tcPr>
          <w:p>
            <w:pPr>
              <w:jc w:val="right"/>
              <w:ind w:right="14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Carrying value amount (1)</w:t>
            </w:r>
          </w:p>
        </w:tc>
        <w:tc>
          <w:tcPr>
            <w:tcW w:w="16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21"/>
                <w:szCs w:val="21"/>
                <w:color w:val="auto"/>
              </w:rPr>
            </w:pPr>
          </w:p>
        </w:tc>
      </w:tr>
      <w:tr>
        <w:trPr>
          <w:trHeight w:val="238"/>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Fair value amount (2)</w:t>
            </w:r>
          </w:p>
        </w:tc>
        <w:tc>
          <w:tcPr>
            <w:tcW w:w="16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0"/>
                <w:szCs w:val="20"/>
                <w:color w:val="auto"/>
              </w:rPr>
            </w:pPr>
          </w:p>
        </w:tc>
      </w:tr>
      <w:tr>
        <w:trPr>
          <w:trHeight w:val="274"/>
        </w:trPr>
        <w:tc>
          <w:tcPr>
            <w:tcW w:w="6800" w:type="dxa"/>
            <w:vAlign w:val="bottom"/>
            <w:shd w:val="clear" w:color="auto" w:fill="CFF0FC"/>
          </w:tcPr>
          <w:p>
            <w:pPr>
              <w:spacing w:after="0"/>
              <w:rPr>
                <w:sz w:val="23"/>
                <w:szCs w:val="23"/>
                <w:color w:val="auto"/>
              </w:rPr>
            </w:pPr>
          </w:p>
        </w:tc>
        <w:tc>
          <w:tcPr>
            <w:tcW w:w="1600" w:type="dxa"/>
            <w:vAlign w:val="bottom"/>
            <w:shd w:val="clear" w:color="auto" w:fill="CFF0FC"/>
          </w:tcPr>
          <w:p>
            <w:pPr>
              <w:spacing w:after="0"/>
              <w:rPr>
                <w:sz w:val="23"/>
                <w:szCs w:val="23"/>
                <w:color w:val="auto"/>
              </w:rPr>
            </w:pPr>
          </w:p>
        </w:tc>
        <w:tc>
          <w:tcPr>
            <w:tcW w:w="40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300" w:type="dxa"/>
            <w:vAlign w:val="bottom"/>
            <w:shd w:val="clear" w:color="auto" w:fill="CFF0FC"/>
          </w:tcPr>
          <w:p>
            <w:pPr>
              <w:spacing w:after="0"/>
              <w:rPr>
                <w:sz w:val="23"/>
                <w:szCs w:val="23"/>
                <w:color w:val="auto"/>
              </w:rPr>
            </w:pPr>
          </w:p>
        </w:tc>
        <w:tc>
          <w:tcPr>
            <w:tcW w:w="16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r>
      <w:tr>
        <w:trPr>
          <w:trHeight w:val="263"/>
        </w:trPr>
        <w:tc>
          <w:tcPr>
            <w:tcW w:w="6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2026 Senior Notes</w:t>
            </w:r>
          </w:p>
        </w:tc>
        <w:tc>
          <w:tcPr>
            <w:tcW w:w="16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1600" w:type="dxa"/>
            <w:vAlign w:val="bottom"/>
            <w:shd w:val="clear" w:color="auto" w:fill="CFF0FC"/>
          </w:tcPr>
          <w:p>
            <w:pPr>
              <w:jc w:val="right"/>
              <w:ind w:right="14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21"/>
                <w:szCs w:val="21"/>
                <w:color w:val="auto"/>
              </w:rPr>
            </w:pPr>
          </w:p>
        </w:tc>
      </w:tr>
      <w:tr>
        <w:trPr>
          <w:trHeight w:val="238"/>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Carrying value amount (3)</w:t>
            </w:r>
          </w:p>
        </w:tc>
        <w:tc>
          <w:tcPr>
            <w:tcW w:w="16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Fair value amount (2)</w:t>
            </w:r>
          </w:p>
        </w:tc>
        <w:tc>
          <w:tcPr>
            <w:tcW w:w="16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FF0FC"/>
          </w:tcPr>
          <w:p>
            <w:pPr>
              <w:spacing w:after="0"/>
              <w:rPr>
                <w:sz w:val="21"/>
                <w:szCs w:val="21"/>
                <w:color w:val="auto"/>
              </w:rPr>
            </w:pPr>
          </w:p>
        </w:tc>
      </w:tr>
    </w:tbl>
    <w:p>
      <w:pPr>
        <w:spacing w:after="0" w:line="85" w:lineRule="exact"/>
        <w:rPr>
          <w:sz w:val="20"/>
          <w:szCs w:val="20"/>
          <w:color w:val="auto"/>
        </w:rPr>
      </w:pPr>
    </w:p>
    <w:p>
      <w:pPr>
        <w:ind w:left="1500" w:hanging="369"/>
        <w:spacing w:after="0"/>
        <w:tabs>
          <w:tab w:leader="none" w:pos="1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$3 million of unamortized debt issuance costs as of both March 31, 2024 and December 31, 2023.</w:t>
      </w:r>
    </w:p>
    <w:p>
      <w:pPr>
        <w:spacing w:after="0" w:line="3" w:lineRule="exact"/>
        <w:rPr>
          <w:rFonts w:ascii="Times New Roman" w:cs="Times New Roman" w:eastAsia="Times New Roman" w:hAnsi="Times New Roman"/>
          <w:sz w:val="14"/>
          <w:szCs w:val="14"/>
          <w:color w:val="auto"/>
        </w:rPr>
      </w:pPr>
    </w:p>
    <w:p>
      <w:pPr>
        <w:ind w:left="1500" w:right="60" w:hanging="369"/>
        <w:spacing w:after="0" w:line="221" w:lineRule="auto"/>
        <w:tabs>
          <w:tab w:leader="none" w:pos="1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estimate the fair value of the 2025 Senior Notes and 2026 Senior Notes based on recently reported market transactions and/or prices for identical or similar financial instruments obtained from a third-party pricing source.</w:t>
      </w:r>
    </w:p>
    <w:p>
      <w:pPr>
        <w:ind w:left="1500" w:hanging="369"/>
        <w:spacing w:after="0"/>
        <w:tabs>
          <w:tab w:leader="none" w:pos="15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$2 million and $3 million of unamortized debt issuance costs as of March 31, 2024 and December 31, 2023, respectively.</w:t>
      </w:r>
    </w:p>
    <w:p>
      <w:pPr>
        <w:spacing w:after="0" w:line="191" w:lineRule="exact"/>
        <w:rPr>
          <w:sz w:val="20"/>
          <w:szCs w:val="20"/>
          <w:color w:val="auto"/>
        </w:rPr>
      </w:pPr>
    </w:p>
    <w:p>
      <w:pPr>
        <w:ind w:right="320" w:firstLine="509"/>
        <w:spacing w:after="0" w:line="260" w:lineRule="auto"/>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on a recurring basis using Level 3 unobservable inputs as of March 31, 2024 and December 31, 2023.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and Concentrations</w:t>
      </w:r>
    </w:p>
    <w:p>
      <w:pPr>
        <w:spacing w:after="0" w:line="229"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Our business is subject to certain financial risks and concentrations, including concentration related to dependence on our relationships with our customers. For the year ended December 31, 2023, our two most significant travel partners, Expedia Group, Inc. (and its subsidiaries) and Booking Holdings, Inc. (and its subsidiaries), each accounted for 10% or more of our consolidated revenue and together accounted for approximately 25% of our consolidated revenue, with nearly all of this revenue concentrated in our Brand Tripadvisor segment.</w:t>
      </w:r>
    </w:p>
    <w:p>
      <w:pPr>
        <w:spacing w:after="0" w:line="182"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Financial instruments, which potentially subject us to concentration of credit risk, generally consist, at any point in time, of cash and cash equivalents, corporate debt securities, forward contracts, capped calls, and accounts receivable. We maintain cash balances with financial institutions that are in excess of Federal Deposit Insurance Corporation insurance limits in the U.S. and similar government programs outside the U.S. Our cash and cash equivalents are generally composed of available on demand bank deposits or term deposits with several major global financial institutions, as well as money market funds, primarily denominated in U.S. dollars, and to a lesser extent Euros, British pounds, and Australian dollars. We may invest in highly-rated corporate debt securities, and our investment policy limits the amount of credit exposure to any one issuer, industry group and currency. Our credit risk related to corporate debt securities is also mitigated by the relatively short maturity period required by our investment policy. Forward contracts and capped calls are transacted with major international financial institutions with high credit standings. Forward contracts, which, to date, have typically had maturities of less than 90 days, also mitigate risk. Our overall credit risk related to accounts receivable is mitigated by the relatively short collection period.</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at Fair Value on a Non-recurring Basis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Non-Marketable Investments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Equity Securities Accounted for under the Equity Method</w:t>
      </w:r>
    </w:p>
    <w:p>
      <w:pPr>
        <w:spacing w:after="0" w:line="227"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owns a 40% equity investment in Chelsea Investment Holding Company PTE Ltd, which is majority owned by Ctrip Investment Holding Ltd, a majority-owned subsidiary of Trip.com Group Limited. The Company accounts for this minority investment under the equity method, given it has the ability to exercise significant influence, but not control, over the investee. The carrying value of this minority investment was $30 million as of both March 31, 2024 and December 31, 2023, and is included in non-marketable investments on our unaudited condensed consolidated balance sheets. During the three months ended March 31, 2024, our share of the investee’s net loss in other income (expenses), net within the unaudited condensed consolidated statement of operations was not material, while we recognized a $1 million net loss during the three months ended March 31, 2023. The Company evaluates this investment for impairment when factors indicate that a decline in the value of its investment has occurred and the carrying amount of its investment may not be recoverable. An impairment loss, based on the excess of the carrying value over the estimated fair value of the investment based on Level 3 inputs, is recognized in earnings when an impairment is deemed to be other than temporary. During both the three months ended March 31, 2024 and 2023, we did not record any impairment loss on this equity investment.</w:t>
      </w:r>
    </w:p>
    <w:p>
      <w:pPr>
        <w:spacing w:after="0" w:line="19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8"/>
          <w:szCs w:val="18"/>
          <w:color w:val="auto"/>
        </w:rPr>
        <w:t>The Company maintains various commercial agreements with Chelsea Investment Holding Company PTE Ltd. and/or its subsidiaries. Transactions under these agreements are considered related-party transactions, and were not material during each of the three months ended March 31, 2024 and 2023.</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Assets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holds collateralized notes (the “Notes Receivable”) issued by a privately held company with a total principal amount of $20 million. The Company has classified the Notes Receivable as held-to-maturity, as the Company has concluded it has the positive intent and ability to hold the Notes Receivable until maturity, with 50% due in eight years and remaining 50% due in 10 years from issuance date of June 2020, or the date on which there is a change of control, whichever is earlier. As of both March 31, 2024 and December 31, 2023, the carrying value of the Notes Receivable was $9 million, net of accumulated allowance for credit losses, and is classified in other long-term assets, net on our unaudited condensed consolidated balance sheets at amortized cost. On a quarterly basis, we perform a qualitative assessment considering impairment indicators to evaluate whether the Notes Receivable are impaired and monitor for changes to our allowance for credit losses.</w:t>
      </w:r>
    </w:p>
    <w:p>
      <w:pPr>
        <w:spacing w:after="0" w:line="187"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Other non-financial assets, such as property and equipment, goodwill, intangible assets, and operating lease right-of-use assets are adjusted to fair value when an impairment charge is recognized or the underlying investment is sold. Such fair value measurements, if necessary, are based predominately on Level 3 inputs.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5: 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the dates presented:</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169"/>
        </w:trPr>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120" w:type="dxa"/>
            <w:vAlign w:val="bottom"/>
            <w:gridSpan w:val="2"/>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salary, bonus, and other employee-related benefits</w:t>
            </w: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FF0FC"/>
          </w:tcPr>
          <w:p>
            <w:pPr>
              <w:spacing w:after="0"/>
              <w:rPr>
                <w:sz w:val="21"/>
                <w:szCs w:val="2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marketing costs</w:t>
            </w:r>
          </w:p>
        </w:tc>
        <w:tc>
          <w:tcPr>
            <w:tcW w:w="1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payable (1)</w:t>
            </w: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liability - current portion</w:t>
            </w:r>
          </w:p>
        </w:tc>
        <w:tc>
          <w:tcPr>
            <w:tcW w:w="1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current portion</w:t>
            </w: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21"/>
                <w:szCs w:val="2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related reorganization costs (2)</w:t>
            </w:r>
          </w:p>
        </w:tc>
        <w:tc>
          <w:tcPr>
            <w:tcW w:w="1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r>
      <w:tr>
        <w:trPr>
          <w:trHeight w:val="247"/>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Non-income taxes payable (3)</w:t>
            </w: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21"/>
                <w:szCs w:val="21"/>
                <w:color w:val="auto"/>
              </w:rPr>
            </w:pPr>
          </w:p>
        </w:tc>
      </w:tr>
      <w:tr>
        <w:trPr>
          <w:trHeight w:val="238"/>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contingencies (4)</w:t>
            </w:r>
          </w:p>
        </w:tc>
        <w:tc>
          <w:tcPr>
            <w:tcW w:w="12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236</w:t>
            </w:r>
          </w:p>
        </w:tc>
        <w:tc>
          <w:tcPr>
            <w:tcW w:w="11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tcPr>
          <w:p>
            <w:pPr>
              <w:spacing w:after="0"/>
              <w:rPr>
                <w:sz w:val="20"/>
                <w:szCs w:val="20"/>
                <w:color w:val="auto"/>
              </w:rPr>
            </w:pPr>
          </w:p>
        </w:tc>
      </w:tr>
      <w:tr>
        <w:trPr>
          <w:trHeight w:val="20"/>
        </w:trPr>
        <w:tc>
          <w:tcPr>
            <w:tcW w:w="54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5133975</wp:posOffset>
            </wp:positionH>
            <wp:positionV relativeFrom="paragraph">
              <wp:posOffset>-187960</wp:posOffset>
            </wp:positionV>
            <wp:extent cx="596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3" w:lineRule="exact"/>
        <w:rPr>
          <w:sz w:val="20"/>
          <w:szCs w:val="20"/>
          <w:color w:val="auto"/>
        </w:rPr>
      </w:pPr>
    </w:p>
    <w:p>
      <w:pPr>
        <w:ind w:left="1440" w:hanging="384"/>
        <w:spacing w:after="0"/>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Amount relates primarily to unpaid interest accrued on the 2025 Senior Notes. Refer to “Note 6: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for further information.</w:t>
      </w:r>
    </w:p>
    <w:p>
      <w:pPr>
        <w:spacing w:after="0" w:line="5" w:lineRule="exact"/>
        <w:rPr>
          <w:rFonts w:ascii="Times New Roman" w:cs="Times New Roman" w:eastAsia="Times New Roman" w:hAnsi="Times New Roman"/>
          <w:sz w:val="14"/>
          <w:szCs w:val="14"/>
          <w:color w:val="auto"/>
        </w:rPr>
      </w:pPr>
    </w:p>
    <w:p>
      <w:pPr>
        <w:ind w:left="1440" w:right="60" w:hanging="384"/>
        <w:spacing w:after="0" w:line="229" w:lineRule="auto"/>
        <w:tabs>
          <w:tab w:leader="none" w:pos="14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third quarter of 2023, the Company approved and subsequently initiated a set of actions across its businesses in order to reduce its cost structure, improve operational efficiencies, and realign its workforce with its strategic initiatives. These actions taken by the Company resulted in reduced global headcount. As a result, the Company incurred estimated pre-tax restructuring and other related reorganization costs of $22 million during the year ended December 31, 2023, consisting primarily of employee severance and related benefits. We expect the majority of remaining unpaid costs as of March 31, 2024 to be disbursed during 2024.</w:t>
      </w:r>
    </w:p>
    <w:p>
      <w:pPr>
        <w:spacing w:after="0" w:line="111" w:lineRule="exact"/>
        <w:rPr>
          <w:rFonts w:ascii="Times New Roman" w:cs="Times New Roman" w:eastAsia="Times New Roman" w:hAnsi="Times New Roman"/>
          <w:sz w:val="14"/>
          <w:szCs w:val="14"/>
          <w:color w:val="auto"/>
        </w:rPr>
      </w:pPr>
    </w:p>
    <w:p>
      <w:pPr>
        <w:ind w:left="1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summarizes our restructuring and other related reorganization costs for the three months ended March 31, 2024:</w:t>
      </w:r>
    </w:p>
    <w:p>
      <w:pPr>
        <w:spacing w:after="0" w:line="147" w:lineRule="exact"/>
        <w:rPr>
          <w:sz w:val="20"/>
          <w:szCs w:val="20"/>
          <w:color w:val="auto"/>
        </w:rPr>
      </w:pPr>
    </w:p>
    <w:tbl>
      <w:tblPr>
        <w:tblLayout w:type="fixed"/>
        <w:tblInd w:w="142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69"/>
        </w:trPr>
        <w:tc>
          <w:tcPr>
            <w:tcW w:w="65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4"/>
                <w:szCs w:val="14"/>
                <w:color w:val="auto"/>
              </w:rPr>
            </w:pPr>
          </w:p>
        </w:tc>
      </w:tr>
      <w:tr>
        <w:trPr>
          <w:trHeight w:val="243"/>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liability as of December 31, 2023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21"/>
                <w:szCs w:val="21"/>
                <w:color w:val="auto"/>
              </w:rPr>
            </w:pPr>
          </w:p>
        </w:tc>
      </w:tr>
      <w:tr>
        <w:trPr>
          <w:trHeight w:val="238"/>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47"/>
        </w:trPr>
        <w:tc>
          <w:tcPr>
            <w:tcW w:w="6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36"/>
        </w:trPr>
        <w:tc>
          <w:tcPr>
            <w:tcW w:w="6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Accrued liability as of March 31, 2024</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top w:val="single" w:sz="8" w:color="CFF0FC"/>
            </w:tcBorders>
          </w:tcPr>
          <w:p>
            <w:pPr>
              <w:spacing w:after="0"/>
              <w:rPr>
                <w:sz w:val="20"/>
                <w:szCs w:val="20"/>
                <w:color w:val="auto"/>
              </w:rPr>
            </w:pP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6195695</wp:posOffset>
            </wp:positionH>
            <wp:positionV relativeFrom="paragraph">
              <wp:posOffset>-187960</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5" w:lineRule="exact"/>
        <w:rPr>
          <w:sz w:val="20"/>
          <w:szCs w:val="20"/>
          <w:color w:val="auto"/>
        </w:rPr>
      </w:pPr>
    </w:p>
    <w:p>
      <w:pPr>
        <w:ind w:left="1440" w:hanging="384"/>
        <w:spacing w:after="0"/>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relates primarily to digital service taxes.</w:t>
      </w:r>
    </w:p>
    <w:p>
      <w:pPr>
        <w:spacing w:after="0" w:line="3" w:lineRule="exact"/>
        <w:rPr>
          <w:rFonts w:ascii="Times New Roman" w:cs="Times New Roman" w:eastAsia="Times New Roman" w:hAnsi="Times New Roman"/>
          <w:sz w:val="14"/>
          <w:szCs w:val="14"/>
          <w:color w:val="auto"/>
        </w:rPr>
      </w:pPr>
    </w:p>
    <w:p>
      <w:pPr>
        <w:ind w:left="1440" w:hanging="384"/>
        <w:spacing w:after="0"/>
        <w:tabs>
          <w:tab w:leader="none" w:pos="14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Refer to “Note 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outstanding debt consisted of the following as of the dates presented:</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 Principal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Carrying Value</w:t>
            </w:r>
          </w:p>
        </w:tc>
      </w:tr>
      <w:tr>
        <w:trPr>
          <w:trHeight w:val="240"/>
        </w:trPr>
        <w:tc>
          <w:tcPr>
            <w:tcW w:w="4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7% 2025 Senior Notes due 2025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0.25% Convertible 2026 Senior Notes due 2026</w:t>
            </w:r>
          </w:p>
        </w:tc>
        <w:tc>
          <w:tcPr>
            <w:tcW w:w="2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FF0FC"/>
          </w:tcPr>
          <w:p>
            <w:pPr>
              <w:spacing w:after="0"/>
              <w:rPr>
                <w:sz w:val="21"/>
                <w:szCs w:val="2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40" w:type="dxa"/>
            <w:vAlign w:val="bottom"/>
            <w:gridSpan w:val="2"/>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0"/>
                <w:szCs w:val="20"/>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-187960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9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Outstanding Principal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Unamortized 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0" w:type="dxa"/>
            <w:vAlign w:val="bottom"/>
          </w:tcPr>
          <w:p>
            <w:pPr>
              <w:spacing w:after="0"/>
              <w:rPr>
                <w:sz w:val="21"/>
                <w:szCs w:val="21"/>
                <w:color w:val="auto"/>
              </w:rPr>
            </w:pPr>
          </w:p>
        </w:tc>
        <w:tc>
          <w:tcPr>
            <w:tcW w:w="17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Carrying Value</w:t>
            </w:r>
          </w:p>
        </w:tc>
      </w:tr>
      <w:tr>
        <w:trPr>
          <w:trHeight w:val="238"/>
        </w:trPr>
        <w:tc>
          <w:tcPr>
            <w:tcW w:w="4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4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7% 2025 Senior Notes due 2025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FF0FC"/>
          </w:tcPr>
          <w:p>
            <w:pPr>
              <w:spacing w:after="0"/>
              <w:rPr>
                <w:sz w:val="21"/>
                <w:szCs w:val="21"/>
                <w:color w:val="auto"/>
              </w:rPr>
            </w:pPr>
          </w:p>
        </w:tc>
      </w:tr>
      <w:tr>
        <w:trPr>
          <w:trHeight w:val="243"/>
        </w:trPr>
        <w:tc>
          <w:tcPr>
            <w:tcW w:w="4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0.25% Convertible 2026 Senior Notes due 2026</w:t>
            </w:r>
          </w:p>
        </w:tc>
        <w:tc>
          <w:tcPr>
            <w:tcW w:w="2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40" w:type="dxa"/>
            <w:vAlign w:val="bottom"/>
            <w:gridSpan w:val="2"/>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00" w:type="dxa"/>
            <w:vAlign w:val="bottom"/>
            <w:shd w:val="clear" w:color="auto" w:fill="CFF0FC"/>
          </w:tcPr>
          <w:p>
            <w:pPr>
              <w:spacing w:after="0"/>
              <w:rPr>
                <w:sz w:val="22"/>
                <w:szCs w:val="22"/>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4269105</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color w:val="auto"/>
        </w:rPr>
        <w:t>We are party to a credit agreement with a group of lenders initially entered into in June 2015 and, most recently, amended and restated in June 2023, which, among other things, provides for a $500 million secured revolving credit facility (the “Credit Facility”). The Credit Facility has a maturity date of June 29, 2028 (unless, on any date that is 91 days prior to the final scheduled maturity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4" w:name="page15"/>
    <w:bookmarkEnd w:id="14"/>
    <w:p>
      <w:pPr>
        <w:ind w:right="20"/>
        <w:spacing w:after="0" w:line="281" w:lineRule="auto"/>
        <w:rPr>
          <w:sz w:val="20"/>
          <w:szCs w:val="20"/>
          <w:color w:val="auto"/>
        </w:rPr>
      </w:pPr>
      <w:r>
        <w:rPr>
          <w:rFonts w:ascii="Times New Roman" w:cs="Times New Roman" w:eastAsia="Times New Roman" w:hAnsi="Times New Roman"/>
          <w:sz w:val="18"/>
          <w:szCs w:val="18"/>
          <w:color w:val="auto"/>
        </w:rPr>
        <w:t>in respect of any indebtedness outstanding under certain “specified debt,” the aggregate outstanding principal amount of such specified debt is $200 million or more, then the maturity date will be such business day).</w:t>
      </w:r>
    </w:p>
    <w:p>
      <w:pPr>
        <w:spacing w:after="0" w:line="5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we had no outstanding borrowings under the Credit Facility. The Credit Facility also includes $15 million of borrowing capacity available for letters of credit and $40 million for swing-line borrowings on same-day notice. As of March 31, 2024 and December 31, 2023, we had issued $3 million and $4 million, respectively, of undrawn standby letters of credit under the Credit Facility. For the three months ended March 31, 2024 and 2023, total interest expense and commitment fees on our Credit Facility was not material. The Credit Agreement, among other things, requires us to maintain a maximum total net leverage ratio of 4.5 to 1.0 and contains certain customary affirmative and negative covenants and events of default, including a change of control.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Senior Notes</w:t>
      </w:r>
    </w:p>
    <w:p>
      <w:pPr>
        <w:spacing w:after="0" w:line="22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and December 31, 2023, unpaid interest on the 2025 Senior Notes of $7 million and $16 million, respectively, was included in accrued expenses and other current liabilities on our unaudited condensed consolidated balance sheets, and $9 million was recorded as interest expense on our unaudited condensed consolidated statements of operations for each of the three months ended March 31,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Senior Notes</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and 2023, our effective interest rate, including debt issuance costs, was 0.38% and 0.45%, respectively, and total interest expense incurred from the 2026 Senior Notes was not material in any period</w:t>
      </w:r>
      <w:r>
        <w:rPr>
          <w:rFonts w:ascii="Times New Roman" w:cs="Times New Roman" w:eastAsia="Times New Roman" w:hAnsi="Times New Roman"/>
          <w:sz w:val="18"/>
          <w:szCs w:val="18"/>
          <w:color w:val="212529"/>
        </w:rPr>
        <w:t>.</w:t>
      </w:r>
      <w:r>
        <w:rPr>
          <w:rFonts w:ascii="Times New Roman" w:cs="Times New Roman" w:eastAsia="Times New Roman" w:hAnsi="Times New Roman"/>
          <w:sz w:val="18"/>
          <w:szCs w:val="18"/>
          <w:color w:val="auto"/>
        </w:rPr>
        <w:t xml:space="preserve"> As of March 31, 2024 and December 31, 2023, unpaid interest on the 2026 Senior Notes was also not material.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C2C2C"/>
        </w:rPr>
        <w:t>Capped Call Transactions</w:t>
      </w:r>
    </w:p>
    <w:p>
      <w:pPr>
        <w:spacing w:after="0" w:line="229" w:lineRule="exact"/>
        <w:rPr>
          <w:sz w:val="20"/>
          <w:szCs w:val="20"/>
          <w:color w:val="auto"/>
        </w:rPr>
      </w:pPr>
    </w:p>
    <w:p>
      <w:pPr>
        <w:ind w:right="40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issuance of the 2026 Senior Notes, the Company entered into privately negotiated capped call transactions (the “Capped Calls”) with certain of the initial purchasers of the 2026 Senior Notes and/or their respective affiliates and/or other financial institutions at a cost of approximately $35 million.</w:t>
      </w:r>
    </w:p>
    <w:p>
      <w:pPr>
        <w:spacing w:after="0" w:line="177"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8"/>
          <w:szCs w:val="18"/>
          <w:color w:val="auto"/>
        </w:rPr>
        <w:t>The Capped Calls are considered indexed to our own stock and are considered equity classified under GAAP, and are included as a reduction to additional paid-in-capital within stockholders’ equity on the unaudited condensed consolidated balance sheets as of both March 31, 2024 and December 31, 2023. The Capped Calls are not accounted for as derivatives and their fair value is not remeasured each reporting period.</w:t>
      </w:r>
    </w:p>
    <w:p>
      <w:pPr>
        <w:spacing w:after="0" w:line="175" w:lineRule="exact"/>
        <w:rPr>
          <w:sz w:val="20"/>
          <w:szCs w:val="20"/>
          <w:color w:val="auto"/>
        </w:rPr>
      </w:pPr>
    </w:p>
    <w:p>
      <w:pPr>
        <w:ind w:right="40" w:firstLine="374"/>
        <w:spacing w:after="0" w:line="283"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consolidated financial statements in Item 8 of our 2023 Annual Report, for additional information pertaining to redemption, conversion, and repurchase features or terms regarding the Credit Facility, 2025 Senior Notes, 2026 Senior Notes or Capped Calls</w:t>
      </w:r>
      <w:r>
        <w:rPr>
          <w:rFonts w:ascii="Times New Roman" w:cs="Times New Roman" w:eastAsia="Times New Roman" w:hAnsi="Times New Roman"/>
          <w:sz w:val="18"/>
          <w:szCs w:val="18"/>
          <w:color w:val="212529"/>
        </w:rPr>
        <w: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OTHER LONG-TERM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consisted of the following as of the dates presented:</w:t>
      </w:r>
    </w:p>
    <w:p>
      <w:pPr>
        <w:spacing w:after="0" w:line="12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(1)</w:t>
            </w:r>
          </w:p>
        </w:tc>
        <w:tc>
          <w:tcPr>
            <w:tcW w:w="1300" w:type="dxa"/>
            <w:vAlign w:val="bottom"/>
            <w:shd w:val="clear" w:color="auto" w:fill="CFF0FC"/>
          </w:tcPr>
          <w:p>
            <w:pPr>
              <w:jc w:val="right"/>
              <w:ind w:right="11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shd w:val="clear" w:color="auto" w:fill="CFF0FC"/>
          </w:tcPr>
          <w:p>
            <w:pPr>
              <w:spacing w:after="0"/>
              <w:rPr>
                <w:sz w:val="21"/>
                <w:szCs w:val="21"/>
                <w:color w:val="auto"/>
              </w:rPr>
            </w:pP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Deferred gain on equity method investment (2)</w:t>
            </w:r>
          </w:p>
        </w:tc>
        <w:tc>
          <w:tcPr>
            <w:tcW w:w="13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r>
      <w:tr>
        <w:trPr>
          <w:trHeight w:val="247"/>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income taxes payable (3)</w:t>
            </w:r>
          </w:p>
        </w:tc>
        <w:tc>
          <w:tcPr>
            <w:tcW w:w="130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1"/>
                <w:szCs w:val="21"/>
                <w:color w:val="auto"/>
              </w:rPr>
            </w:pPr>
          </w:p>
        </w:tc>
      </w:tr>
      <w:tr>
        <w:trPr>
          <w:trHeight w:val="276"/>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tcBorders>
              <w:bottom w:val="single" w:sz="8" w:color="auto"/>
            </w:tcBorders>
            <w:shd w:val="clear" w:color="auto" w:fill="CFF0FC"/>
          </w:tcPr>
          <w:p>
            <w:pPr>
              <w:jc w:val="right"/>
              <w:ind w:right="11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-24765</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596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0" w:lineRule="exact"/>
        <w:rPr>
          <w:sz w:val="20"/>
          <w:szCs w:val="20"/>
          <w:color w:val="auto"/>
        </w:rPr>
      </w:pPr>
    </w:p>
    <w:p>
      <w:pPr>
        <w:ind w:left="1440" w:hanging="384"/>
        <w:spacing w:after="0"/>
        <w:tabs>
          <w:tab w:leader="none" w:pos="1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Refer to “Note 8: </w:t>
      </w:r>
      <w:r>
        <w:rPr>
          <w:rFonts w:ascii="Times New Roman" w:cs="Times New Roman" w:eastAsia="Times New Roman" w:hAnsi="Times New Roman"/>
          <w:sz w:val="16"/>
          <w:szCs w:val="16"/>
          <w:i w:val="1"/>
          <w:iCs w:val="1"/>
          <w:color w:val="auto"/>
        </w:rPr>
        <w:t>Income Taxes</w:t>
      </w:r>
      <w:r>
        <w:rPr>
          <w:rFonts w:ascii="Times New Roman" w:cs="Times New Roman" w:eastAsia="Times New Roman" w:hAnsi="Times New Roman"/>
          <w:sz w:val="16"/>
          <w:szCs w:val="16"/>
          <w:color w:val="auto"/>
        </w:rPr>
        <w:t>” for information regarding unrecognized tax benefits. Amounts include accrued interest related to this liability.</w:t>
      </w:r>
    </w:p>
    <w:p>
      <w:pPr>
        <w:spacing w:after="0" w:line="28" w:lineRule="exact"/>
        <w:rPr>
          <w:rFonts w:ascii="Times New Roman" w:cs="Times New Roman" w:eastAsia="Times New Roman" w:hAnsi="Times New Roman"/>
          <w:sz w:val="16"/>
          <w:szCs w:val="16"/>
          <w:color w:val="auto"/>
        </w:rPr>
      </w:pPr>
    </w:p>
    <w:p>
      <w:pPr>
        <w:ind w:left="1440" w:right="260" w:hanging="384"/>
        <w:spacing w:after="0" w:line="263" w:lineRule="auto"/>
        <w:tabs>
          <w:tab w:leader="none" w:pos="1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Amount relates to long-term portion of a deferred income liability recorded as a result of an equity method investment. Refer to “Note 4: </w:t>
      </w:r>
      <w:r>
        <w:rPr>
          <w:rFonts w:ascii="Times New Roman" w:cs="Times New Roman" w:eastAsia="Times New Roman" w:hAnsi="Times New Roman"/>
          <w:sz w:val="16"/>
          <w:szCs w:val="16"/>
          <w:i w:val="1"/>
          <w:iCs w:val="1"/>
          <w:color w:val="auto"/>
        </w:rPr>
        <w:t>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Instruments and Fair Value Measurements</w:t>
      </w:r>
      <w:r>
        <w:rPr>
          <w:rFonts w:ascii="Times New Roman" w:cs="Times New Roman" w:eastAsia="Times New Roman" w:hAnsi="Times New Roman"/>
          <w:sz w:val="16"/>
          <w:szCs w:val="16"/>
          <w:color w:val="auto"/>
        </w:rPr>
        <w:t>” for additional information.</w:t>
      </w:r>
    </w:p>
    <w:p>
      <w:pPr>
        <w:spacing w:after="0" w:line="1" w:lineRule="exact"/>
        <w:rPr>
          <w:rFonts w:ascii="Times New Roman" w:cs="Times New Roman" w:eastAsia="Times New Roman" w:hAnsi="Times New Roman"/>
          <w:sz w:val="16"/>
          <w:szCs w:val="16"/>
          <w:color w:val="auto"/>
        </w:rPr>
      </w:pPr>
    </w:p>
    <w:p>
      <w:pPr>
        <w:ind w:left="1440" w:hanging="384"/>
        <w:spacing w:after="0"/>
        <w:tabs>
          <w:tab w:leader="none" w:pos="14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relates to the long-term portion of transition tax payable related to the Tax Cuts and Jobs Act of 2017 (the “2017 Tax Act”).</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9"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8"/>
          <w:szCs w:val="18"/>
          <w:color w:val="auto"/>
        </w:rPr>
        <w:t>Each interim period is considered an integral part of the annual period;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8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income tax provision was $43 million and $58 million for the three months ended March 31, 2024 and 2023, respectively. The change in our income tax provision during the three months ended March 31, 2024, when compared to the same period in 2023, was primarily the result of an Internal Revenue Service ("IRS") audit settlement for the 2014, 2015, and 2016 tax years, and an adjustment to our existing transfer pricing income tax reserves for subsequent tax years recorded during the three months ended March 31, 2024. Our effective tax rate for the three months ended March 31, 2024 differs from the U.S. federal statutory rate of 21%, primarily due to the reasons noted above.</w:t>
      </w:r>
    </w:p>
    <w:p>
      <w:pPr>
        <w:spacing w:after="0" w:line="182"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8"/>
          <w:szCs w:val="18"/>
          <w:color w:val="auto"/>
        </w:rPr>
        <w:t>A reconciliation of the provision (benefit) for income taxes to the amounts computed by applying the statutory federal income tax rate to income (loss) before income taxes is as follows for the periods presented:</w:t>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26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60" w:type="dxa"/>
            <w:vAlign w:val="bottom"/>
          </w:tcPr>
          <w:p>
            <w:pPr>
              <w:spacing w:after="0"/>
              <w:rPr>
                <w:sz w:val="14"/>
                <w:szCs w:val="14"/>
                <w:color w:val="auto"/>
              </w:rPr>
            </w:pPr>
          </w:p>
        </w:tc>
        <w:tc>
          <w:tcPr>
            <w:tcW w:w="12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36"/>
        </w:trPr>
        <w:tc>
          <w:tcPr>
            <w:tcW w:w="5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8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 at the federal statutory rate</w:t>
            </w: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(3 )</w:t>
            </w:r>
          </w:p>
        </w:tc>
        <w:tc>
          <w:tcPr>
            <w:tcW w:w="1200" w:type="dxa"/>
            <w:vAlign w:val="bottom"/>
            <w:shd w:val="clear" w:color="auto" w:fill="CFF0FC"/>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and related interest</w:t>
            </w:r>
          </w:p>
        </w:tc>
        <w:tc>
          <w:tcPr>
            <w:tcW w:w="1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21"/>
                <w:szCs w:val="21"/>
                <w:color w:val="auto"/>
              </w:rPr>
            </w:pP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r>
        <w:trPr>
          <w:trHeight w:val="247"/>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IRS audit settlement</w:t>
            </w:r>
          </w:p>
        </w:tc>
        <w:tc>
          <w:tcPr>
            <w:tcW w:w="12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FF0FC"/>
          </w:tcPr>
          <w:p>
            <w:pPr>
              <w:spacing w:after="0"/>
              <w:rPr>
                <w:sz w:val="21"/>
                <w:szCs w:val="21"/>
                <w:color w:val="auto"/>
              </w:rPr>
            </w:pPr>
          </w:p>
        </w:tc>
      </w:tr>
      <w:tr>
        <w:trPr>
          <w:trHeight w:val="238"/>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Transfer pricing reserves adjustment</w:t>
            </w:r>
          </w:p>
        </w:tc>
        <w:tc>
          <w:tcPr>
            <w:tcW w:w="12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1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12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2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21"/>
                <w:szCs w:val="21"/>
                <w:color w:val="auto"/>
              </w:rPr>
            </w:pPr>
          </w:p>
        </w:tc>
      </w:tr>
      <w:tr>
        <w:trPr>
          <w:trHeight w:val="240"/>
        </w:trPr>
        <w:tc>
          <w:tcPr>
            <w:tcW w:w="5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Borders>
              <w:top w:val="single" w:sz="8" w:color="CFF0FC"/>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10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FF0FC"/>
            </w:tcBorders>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-187960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Our accounting policy is to recognize accrued interest and penalties related to unrecognized tax benefits and income tax liabilities as part of our income tax expense. As of March 31, 2024, we had an accrued interest liability of $18 million, which was included in unrecognized tax benefits in other long-term liabilities on our unaudited condensed consolidated balance sheet, and no penalties were accrued.</w:t>
      </w:r>
    </w:p>
    <w:p>
      <w:pPr>
        <w:spacing w:after="0" w:line="17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currently under examination by the IRS for the 2014 through 2016 and 2018 tax years and have various ongoing audits for foreign and state income tax returns. These audits include questions regarding or review of the timing and amount of income and deductions and the allocation of income among various tax jurisdictions. These examinations may lead to proposed or ordinary course adjustments to our taxes. We are no longer subject to tax examinations by tax authorities for years prior to 2014. As of March 31, 2024, no material assessments have resulted, except as noted below regarding our 2014 through 2016 standalone IRS audit, and our 2012 through 2016 HM Revenue &amp; Customs (“HMRC”) audit.</w:t>
      </w:r>
    </w:p>
    <w:p>
      <w:pPr>
        <w:spacing w:after="0" w:line="18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disclosed in our 2023 Annual Report, we received Notices of Proposed Adjustments ("NOPA") from the IRS for the 2014, 2015, and 2016 tax years relating to certain transfer pricing arrangements with our foreign subsidiaries. In response, we requested competent authority assistance under the Mutual Agreement Procedure (“MAP”) for the 2014 through 2016 tax years. In January 2024, we received notification of a MAP resolution agreement for the 2014 through 2016 tax years, which we accepted in February 2024. In the first quarter of 2024, we recorded additional income tax expense as a discrete item, inclusive of interest, of $46 million related to this settlement on our unaudited condensed consolidated statement of operations. We reviewed the impact of the acceptance of this settlement position against our existing transfer pricing income tax reserves for the subsequent open tax years during the first quarter of 2024, which resulted in an income tax benefit, inclusive of estimated interest, of $4 million. The net impact of these adjustments resulted in an incremental income tax expense on our unaudited condensed consolidated statement of operations of $42 million for the three months ended March 31, 2024. We anticipate this will result in an estimated net operating cash outflow of $110 million to $120 million, inclusive of related interest expense, to be substantially settled during the second quarter of 2024.</w:t>
      </w:r>
    </w:p>
    <w:p>
      <w:pPr>
        <w:spacing w:after="0" w:line="19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we had recorded $153 million of unrecognized tax benefits, inclusive of interest, classified as other long-term liabilities on our unaudited condensed consolidated balance sheet. As a result of the Company's acceptance of MAP with the IRS for the years 2014 through 2016, and its impact on other ongoing IRS audits, as described above, we reduced this unrecognized tax benefits liability by $79 million during the three months ended March 31, 2024 by reclassifying this balance to current income taxes payable on our unaudited condensed consolidated balance sheet, representing a short-term payment obligation to the IRS, and increased our current income taxes receivable balance by $40 million, representing anticipated short-term competent authority relief, or payment due from a foreign jurisdiction. In addition, we reduced our long-term income taxes receivable, previously recorded to</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31" w:right="399" w:bottom="1440" w:gutter="0" w:footer="0" w:header="0"/>
        </w:sectPr>
      </w:pPr>
    </w:p>
    <w:bookmarkStart w:id="16" w:name="page17"/>
    <w:bookmarkEnd w:id="16"/>
    <w:p>
      <w:pPr>
        <w:ind w:right="540"/>
        <w:spacing w:after="0" w:line="281" w:lineRule="auto"/>
        <w:rPr>
          <w:sz w:val="20"/>
          <w:szCs w:val="20"/>
          <w:color w:val="auto"/>
        </w:rPr>
      </w:pPr>
      <w:r>
        <w:rPr>
          <w:rFonts w:ascii="Times New Roman" w:cs="Times New Roman" w:eastAsia="Times New Roman" w:hAnsi="Times New Roman"/>
          <w:sz w:val="18"/>
          <w:szCs w:val="18"/>
          <w:color w:val="auto"/>
        </w:rPr>
        <w:t>other long-term assets on our unaudited condensed consolidated balance sheet as of December 31, 2023, which was not material and represented our previous estimate of competent authority relief.</w:t>
      </w:r>
    </w:p>
    <w:p>
      <w:pPr>
        <w:spacing w:after="0" w:line="163" w:lineRule="exact"/>
        <w:rPr>
          <w:sz w:val="20"/>
          <w:szCs w:val="20"/>
          <w:color w:val="auto"/>
        </w:rPr>
      </w:pPr>
    </w:p>
    <w:p>
      <w:pPr>
        <w:ind w:right="300" w:firstLine="509"/>
        <w:spacing w:after="0" w:line="276" w:lineRule="auto"/>
        <w:rPr>
          <w:sz w:val="20"/>
          <w:szCs w:val="20"/>
          <w:color w:val="auto"/>
        </w:rPr>
      </w:pPr>
      <w:r>
        <w:rPr>
          <w:rFonts w:ascii="Times New Roman" w:cs="Times New Roman" w:eastAsia="Times New Roman" w:hAnsi="Times New Roman"/>
          <w:sz w:val="17"/>
          <w:szCs w:val="17"/>
          <w:color w:val="auto"/>
        </w:rPr>
        <w:t>In addition, as disclosed in our 2023 Annual Report, we received a NOPA from the IRS for the 2009, 2010, and 2011 tax years relating to certain transfer pricing arrangements with our foreign subsidiaries. In response, we requested competent authority assistance under MAP for the 2009 through</w:t>
      </w:r>
    </w:p>
    <w:p>
      <w:pPr>
        <w:ind w:right="40"/>
        <w:spacing w:after="0" w:line="251" w:lineRule="auto"/>
        <w:rPr>
          <w:sz w:val="20"/>
          <w:szCs w:val="20"/>
          <w:color w:val="auto"/>
        </w:rPr>
      </w:pPr>
      <w:r>
        <w:rPr>
          <w:rFonts w:ascii="Times New Roman" w:cs="Times New Roman" w:eastAsia="Times New Roman" w:hAnsi="Times New Roman"/>
          <w:sz w:val="18"/>
          <w:szCs w:val="18"/>
          <w:color w:val="auto"/>
        </w:rPr>
        <w:t>2011 tax years. In January 2023, we received a final notice from the IRS regarding a MAP resolution agreement for the 2009 through 2011 tax years, which the Company accepted in February 2023. In the first quarter of 2023, we recorded additional income tax expense as a discrete item, inclusive of interest, of $31 million specifically related to this settlement on our unaudited condensed consolidated statement of operations. We reviewed the impact of the acceptance of this settlement position against our existing transfer pricing income tax reserves for the subsequent tax years at that time during the first quarter of 2023, which resulted in incremental income tax expense, inclusive of estimated interest, of $24 million. The total impact of these adjustments resulted in an incremental income tax expense on our unaudited condensed consolidated statement of operations of $55 million for the three months ended March 31, 2023.</w:t>
      </w:r>
    </w:p>
    <w:p>
      <w:pPr>
        <w:spacing w:after="0" w:line="19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January 2021, we received from HMRC an issue closure notice relating to adjustments for the 2012 through 2016 tax years. These proposed adjustments are related to certain transfer pricing arrangements with our foreign subsidiaries and would result in an increase to our worldwide income tax expense in an estimated range of $25 million to $35 million, exclusive of interest expense, at the close of the audit if HMRC prevails. We disagree with the proposed adjustments and we intend to defend our position through applicable administrative and, if necessary, judicial remedies. Our policy is to review and update tax reserves as facts and circumstances change.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21" w:lineRule="exact"/>
        <w:rPr>
          <w:sz w:val="20"/>
          <w:szCs w:val="20"/>
          <w:color w:val="auto"/>
        </w:rPr>
      </w:pPr>
    </w:p>
    <w:p>
      <w:pPr>
        <w:ind w:right="260" w:firstLine="509"/>
        <w:spacing w:after="0" w:line="312" w:lineRule="auto"/>
        <w:rPr>
          <w:sz w:val="20"/>
          <w:szCs w:val="20"/>
          <w:color w:val="auto"/>
        </w:rPr>
      </w:pPr>
      <w:r>
        <w:rPr>
          <w:rFonts w:ascii="Times New Roman" w:cs="Times New Roman" w:eastAsia="Times New Roman" w:hAnsi="Times New Roman"/>
          <w:sz w:val="17"/>
          <w:szCs w:val="17"/>
          <w:color w:val="auto"/>
        </w:rPr>
        <w:t xml:space="preserve">As of March 31, 2024, there have been no material changes to our commitments and contingencies since December 31, 2023, except as discussed below. Refer to “Note 12: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in the notes to our consolidated financial statements in Item 8 of our 2023 Annual Report.</w:t>
      </w:r>
    </w:p>
    <w:p>
      <w:pPr>
        <w:spacing w:after="0" w:line="13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discussed in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94" w:lineRule="exact"/>
        <w:rPr>
          <w:sz w:val="20"/>
          <w:szCs w:val="20"/>
          <w:color w:val="auto"/>
        </w:rPr>
      </w:pPr>
    </w:p>
    <w:p>
      <w:pPr>
        <w:ind w:right="60" w:firstLine="554"/>
        <w:spacing w:after="0" w:line="258" w:lineRule="auto"/>
        <w:rPr>
          <w:sz w:val="20"/>
          <w:szCs w:val="20"/>
          <w:color w:val="auto"/>
        </w:rPr>
      </w:pPr>
      <w:r>
        <w:rPr>
          <w:rFonts w:ascii="Times New Roman" w:cs="Times New Roman" w:eastAsia="Times New Roman" w:hAnsi="Times New Roman"/>
          <w:sz w:val="18"/>
          <w:szCs w:val="18"/>
          <w:color w:val="auto"/>
        </w:rPr>
        <w:t xml:space="preserve">We are under audit by the IRS and various other domestic and foreign tax authorities with regards to income tax matters. We have reserved for potential losses that may result from examinations by, or any negotiated agreements with, these tax authorities. Although we believe our tax estimates are reasonable, the final determination of audits could be materially different from our historical tax provisions and accruals. The results of an audit could have a material effect on our financial position, results of operations, or cash flows in the period for which that determination is made. Refer to “Note 8: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for further information on potential contingencies pertaining to current income tax audits.</w:t>
      </w:r>
    </w:p>
    <w:p>
      <w:pPr>
        <w:spacing w:after="0" w:line="182" w:lineRule="exact"/>
        <w:rPr>
          <w:sz w:val="20"/>
          <w:szCs w:val="20"/>
          <w:color w:val="auto"/>
        </w:rPr>
      </w:pPr>
    </w:p>
    <w:p>
      <w:pPr>
        <w:ind w:right="380" w:firstLine="509"/>
        <w:spacing w:after="0" w:line="270" w:lineRule="auto"/>
        <w:rPr>
          <w:sz w:val="20"/>
          <w:szCs w:val="20"/>
          <w:color w:val="auto"/>
        </w:rPr>
      </w:pPr>
      <w:r>
        <w:rPr>
          <w:rFonts w:ascii="Times New Roman" w:cs="Times New Roman" w:eastAsia="Times New Roman" w:hAnsi="Times New Roman"/>
          <w:sz w:val="17"/>
          <w:szCs w:val="17"/>
          <w:color w:val="auto"/>
        </w:rPr>
        <w:t>As of March 31, 2024, we established an accrual in the amount of $10 million as an estimated potential settlement of a regulatory related matter within our alternative accommodation rentals offering. This accrual is included in general and administrative expenses in our unaudited condensed consolidated statements of operations and accrued expenses and other current liabilities in our unaudited condensed consolidated balance sheet. This accrual is based on our best estimate of probable loss; the ultimate resolution of this contingency may be greater or less than the liability recorded.</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17" w:name="page18"/>
    <w:bookmarkEnd w:id="17"/>
    <w:p>
      <w:pPr>
        <w:ind w:right="5080"/>
        <w:spacing w:after="0" w:line="377" w:lineRule="auto"/>
        <w:rPr>
          <w:sz w:val="20"/>
          <w:szCs w:val="20"/>
          <w:color w:val="auto"/>
        </w:rPr>
      </w:pPr>
      <w:r>
        <w:rPr>
          <w:rFonts w:ascii="Times New Roman" w:cs="Times New Roman" w:eastAsia="Times New Roman" w:hAnsi="Times New Roman"/>
          <w:sz w:val="18"/>
          <w:szCs w:val="18"/>
          <w:b w:val="1"/>
          <w:bCs w:val="1"/>
          <w:color w:val="auto"/>
        </w:rPr>
        <w:t>NOTE 10: STOCK BASED AWARDS AND OTHER EQUITY INSTRUMENTS Stock-Based Compensation Expense</w:t>
      </w:r>
    </w:p>
    <w:p>
      <w:pPr>
        <w:spacing w:after="0" w:line="1" w:lineRule="exact"/>
        <w:rPr>
          <w:sz w:val="20"/>
          <w:szCs w:val="20"/>
          <w:color w:val="auto"/>
        </w:rPr>
      </w:pPr>
    </w:p>
    <w:p>
      <w:pPr>
        <w:ind w:right="70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amount of stock-based compensation expense and the related income tax benefit included in our unaudited condensed consolidated statements of operations during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96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1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69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94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280" w:type="dxa"/>
            <w:vAlign w:val="bottom"/>
            <w:shd w:val="clear" w:color="auto" w:fill="CFF0FC"/>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content</w:t>
            </w: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3"/>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3"/>
        </w:trPr>
        <w:tc>
          <w:tcPr>
            <w:tcW w:w="6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from stock-based compensation</w:t>
            </w:r>
          </w:p>
        </w:tc>
        <w:tc>
          <w:tcPr>
            <w:tcW w:w="1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(5 )</w:t>
            </w:r>
          </w:p>
        </w:tc>
        <w:tc>
          <w:tcPr>
            <w:tcW w:w="6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40"/>
        </w:trPr>
        <w:tc>
          <w:tcPr>
            <w:tcW w:w="69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net of tax effect</w:t>
            </w:r>
          </w:p>
        </w:tc>
        <w:tc>
          <w:tcPr>
            <w:tcW w:w="1280" w:type="dxa"/>
            <w:vAlign w:val="bottom"/>
            <w:tcBorders>
              <w:top w:val="single" w:sz="8" w:color="auto"/>
              <w:bottom w:val="single" w:sz="8" w:color="auto"/>
            </w:tcBorders>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FF0FC"/>
            </w:tcBorders>
          </w:tcPr>
          <w:p>
            <w:pPr>
              <w:spacing w:after="0"/>
              <w:rPr>
                <w:sz w:val="20"/>
                <w:szCs w:val="20"/>
                <w:color w:val="auto"/>
              </w:rPr>
            </w:pPr>
          </w:p>
        </w:tc>
      </w:tr>
      <w:tr>
        <w:trPr>
          <w:trHeight w:val="20"/>
        </w:trPr>
        <w:tc>
          <w:tcPr>
            <w:tcW w:w="69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-504825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-187960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We capitalized $2 million of stock-based compensation expense as website development costs during both the three months ended March 31,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Award Activity and Valuation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stock option activity, consisting of service-based non-qualified stock options, is presented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800" w:type="dxa"/>
            <w:vAlign w:val="bottom"/>
          </w:tcPr>
          <w:p>
            <w:pPr>
              <w:spacing w:after="0"/>
              <w:rPr>
                <w:sz w:val="15"/>
                <w:szCs w:val="15"/>
                <w:color w:val="auto"/>
              </w:rPr>
            </w:pPr>
          </w:p>
        </w:tc>
        <w:tc>
          <w:tcPr>
            <w:tcW w:w="100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220" w:type="dxa"/>
            <w:vAlign w:val="bottom"/>
          </w:tcPr>
          <w:p>
            <w:pPr>
              <w:spacing w:after="0"/>
              <w:rPr>
                <w:sz w:val="15"/>
                <w:szCs w:val="15"/>
                <w:color w:val="auto"/>
              </w:rPr>
            </w:pPr>
          </w:p>
        </w:tc>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87"/>
        </w:trPr>
        <w:tc>
          <w:tcPr>
            <w:tcW w:w="4800" w:type="dxa"/>
            <w:vAlign w:val="bottom"/>
          </w:tcPr>
          <w:p>
            <w:pPr>
              <w:spacing w:after="0"/>
              <w:rPr>
                <w:sz w:val="16"/>
                <w:szCs w:val="16"/>
                <w:color w:val="auto"/>
              </w:rPr>
            </w:pPr>
          </w:p>
        </w:tc>
        <w:tc>
          <w:tcPr>
            <w:tcW w:w="17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940" w:type="dxa"/>
            <w:vAlign w:val="bottom"/>
          </w:tcPr>
          <w:p>
            <w:pPr>
              <w:jc w:val="center"/>
              <w:ind w:lef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Life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69"/>
        </w:trPr>
        <w:tc>
          <w:tcPr>
            <w:tcW w:w="4800" w:type="dxa"/>
            <w:vAlign w:val="bottom"/>
          </w:tcPr>
          <w:p>
            <w:pPr>
              <w:spacing w:after="0"/>
              <w:rPr>
                <w:sz w:val="14"/>
                <w:szCs w:val="14"/>
                <w:color w:val="auto"/>
              </w:rPr>
            </w:pPr>
          </w:p>
        </w:tc>
        <w:tc>
          <w:tcPr>
            <w:tcW w:w="14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243"/>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December 31, 2023</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3,927</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35.56</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24.82</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 (1)</w:t>
            </w:r>
          </w:p>
        </w:tc>
        <w:tc>
          <w:tcPr>
            <w:tcW w:w="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(80 )</w:t>
            </w:r>
          </w:p>
        </w:tc>
        <w:tc>
          <w:tcPr>
            <w:tcW w:w="9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24.36</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 or expired</w:t>
            </w:r>
          </w:p>
        </w:tc>
        <w:tc>
          <w:tcPr>
            <w:tcW w:w="10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(188 )</w:t>
            </w: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50.00</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0"/>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 at March 31, 2024</w:t>
            </w:r>
          </w:p>
        </w:tc>
        <w:tc>
          <w:tcPr>
            <w:tcW w:w="1000" w:type="dxa"/>
            <w:vAlign w:val="bottom"/>
            <w:tcBorders>
              <w:top w:val="single" w:sz="8" w:color="auto"/>
              <w:bottom w:val="single" w:sz="8" w:color="auto"/>
            </w:tcBorders>
            <w:shd w:val="clear" w:color="auto" w:fill="CFF0FC"/>
          </w:tcPr>
          <w:p>
            <w:pPr>
              <w:spacing w:after="0"/>
              <w:rPr>
                <w:sz w:val="24"/>
                <w:szCs w:val="24"/>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3,687</w:t>
            </w:r>
          </w:p>
        </w:tc>
        <w:tc>
          <w:tcPr>
            <w:tcW w:w="300" w:type="dxa"/>
            <w:vAlign w:val="bottom"/>
            <w:tcBorders>
              <w:bottom w:val="single" w:sz="8" w:color="CFF0FC"/>
            </w:tcBorders>
            <w:shd w:val="clear" w:color="auto" w:fill="CFF0FC"/>
          </w:tcPr>
          <w:p>
            <w:pPr>
              <w:spacing w:after="0"/>
              <w:rPr>
                <w:sz w:val="24"/>
                <w:szCs w:val="24"/>
                <w:color w:val="auto"/>
              </w:rPr>
            </w:pPr>
          </w:p>
        </w:tc>
        <w:tc>
          <w:tcPr>
            <w:tcW w:w="940" w:type="dxa"/>
            <w:vAlign w:val="bottom"/>
            <w:tcBorders>
              <w:bottom w:val="single" w:sz="8" w:color="CFF0FC"/>
            </w:tcBorders>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34.98</w:t>
            </w:r>
          </w:p>
        </w:tc>
        <w:tc>
          <w:tcPr>
            <w:tcW w:w="22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Exercisable as of March 31, 2024</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2,841</w:t>
            </w:r>
          </w:p>
        </w:tc>
        <w:tc>
          <w:tcPr>
            <w:tcW w:w="300" w:type="dxa"/>
            <w:vAlign w:val="bottom"/>
          </w:tcPr>
          <w:p>
            <w:pPr>
              <w:spacing w:after="0"/>
              <w:rPr>
                <w:sz w:val="19"/>
                <w:szCs w:val="19"/>
                <w:color w:val="auto"/>
              </w:rPr>
            </w:pPr>
          </w:p>
        </w:tc>
        <w:tc>
          <w:tcPr>
            <w:tcW w:w="940" w:type="dxa"/>
            <w:vAlign w:val="bottom"/>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38.34</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after March 31, 2024 (2)</w:t>
            </w:r>
          </w:p>
        </w:tc>
        <w:tc>
          <w:tcPr>
            <w:tcW w:w="100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3,541</w:t>
            </w:r>
          </w:p>
        </w:tc>
        <w:tc>
          <w:tcPr>
            <w:tcW w:w="30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35.30</w:t>
            </w:r>
          </w:p>
        </w:tc>
        <w:tc>
          <w:tcPr>
            <w:tcW w:w="22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-384810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-367665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-24765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3961130</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65" w:lineRule="exact"/>
        <w:rPr>
          <w:sz w:val="20"/>
          <w:szCs w:val="20"/>
          <w:color w:val="auto"/>
        </w:rPr>
      </w:pPr>
    </w:p>
    <w:p>
      <w:pPr>
        <w:ind w:left="1440" w:right="80" w:hanging="384"/>
        <w:spacing w:after="0" w:line="227"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67,000 stock options withheld due to net share settlement to satisfy required employee tax withholding requirements. Potential shares which had been convertible under stock options that were withheld under net share settlement remain in the authorized but unissued pool under the Tripadvisor, Inc. 2023 Stock and Annual Incentive Plan (the “2023 Plan”) and can be reissued by the Company. Total payments for the employees’ tax obligations to the taxing authorities due to net share settlements are reflected as a financing activity within the consolidated statements of cash flows.</w:t>
      </w:r>
    </w:p>
    <w:p>
      <w:pPr>
        <w:ind w:left="1440" w:right="160" w:hanging="384"/>
        <w:spacing w:after="0" w:line="237" w:lineRule="auto"/>
        <w:tabs>
          <w:tab w:leader="none" w:pos="1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does not include a forfeiture rate in our vested and expected to vest calculation unless necessary for a performance condition award.</w:t>
      </w:r>
    </w:p>
    <w:p>
      <w:pPr>
        <w:spacing w:after="0" w:line="18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Our stock options generally have a term of ten years from the date of grant and typically vest equally over a four-year requisite service period. We amortize the grant-date fair value of our stock option grants as stock-based compensation expense over the vesting term on a straight-line basis, with the amount of compensation expense recognized at any date at least equaling the portion of the grant-date fair value of the award that is vested at that date. The weighted-average grant date fair value of stock options issued during the three months ended March 31, 2024 and 2023, using a Black-Scholes Merton option-pricing model, was $13.20 and $11.16, respectively. The total fair value of stock options vested was $3 million and $2 million for the three months ended March 31, 2024 and 2023, respectively. Aggregate intrinsic value represents the difference between the closing stock price of our common stock and the exercise price of outstanding, in-the-money options. Our closing stock price as reported on Nasdaq as of March 31, 2024 was $27.79. The total intrinsic value of stock options exercised was not material for each of the three months ended March 31, 2024 and 2023.</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2024 Restricted Stock Units (“RSUs”) Activity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RSUs activity, consisting of service-based vesting terms, is presented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6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Grant-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5640" w:type="dxa"/>
            <w:vAlign w:val="bottom"/>
          </w:tcPr>
          <w:p>
            <w:pPr>
              <w:spacing w:after="0"/>
              <w:rPr>
                <w:sz w:val="15"/>
                <w:szCs w:val="15"/>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220" w:type="dxa"/>
            <w:vAlign w:val="bottom"/>
          </w:tcPr>
          <w:p>
            <w:pPr>
              <w:spacing w:after="0"/>
              <w:rPr>
                <w:sz w:val="15"/>
                <w:szCs w:val="15"/>
                <w:color w:val="auto"/>
              </w:rPr>
            </w:pPr>
          </w:p>
        </w:tc>
        <w:tc>
          <w:tcPr>
            <w:tcW w:w="14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87"/>
        </w:trPr>
        <w:tc>
          <w:tcPr>
            <w:tcW w:w="5640" w:type="dxa"/>
            <w:vAlign w:val="bottom"/>
          </w:tcPr>
          <w:p>
            <w:pPr>
              <w:spacing w:after="0"/>
              <w:rPr>
                <w:sz w:val="16"/>
                <w:szCs w:val="16"/>
                <w:color w:val="auto"/>
              </w:rPr>
            </w:pPr>
          </w:p>
        </w:tc>
        <w:tc>
          <w:tcPr>
            <w:tcW w:w="19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6"/>
                <w:szCs w:val="16"/>
                <w:color w:val="auto"/>
              </w:rPr>
            </w:pPr>
          </w:p>
        </w:tc>
        <w:tc>
          <w:tcPr>
            <w:tcW w:w="14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64"/>
        </w:trPr>
        <w:tc>
          <w:tcPr>
            <w:tcW w:w="5640" w:type="dxa"/>
            <w:vAlign w:val="bottom"/>
          </w:tcPr>
          <w:p>
            <w:pPr>
              <w:spacing w:after="0"/>
              <w:rPr>
                <w:sz w:val="14"/>
                <w:szCs w:val="14"/>
                <w:color w:val="auto"/>
              </w:rPr>
            </w:pPr>
          </w:p>
        </w:tc>
        <w:tc>
          <w:tcPr>
            <w:tcW w:w="1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center"/>
              <w:ind w:right="20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4"/>
                <w:szCs w:val="14"/>
                <w:color w:val="auto"/>
              </w:rPr>
            </w:pPr>
          </w:p>
        </w:tc>
      </w:tr>
      <w:tr>
        <w:trPr>
          <w:trHeight w:val="241"/>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December 31, 2023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3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3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released (1)</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(1,873 )</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(232 )</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0"/>
        </w:trPr>
        <w:tc>
          <w:tcPr>
            <w:tcW w:w="56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RSUs outstanding as of March 31, 2024 (2)</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320" w:type="dxa"/>
            <w:vAlign w:val="bottom"/>
            <w:tcBorders>
              <w:top w:val="single" w:sz="8" w:color="CFF0FC"/>
            </w:tcBorders>
          </w:tcPr>
          <w:p>
            <w:pPr>
              <w:spacing w:after="0"/>
              <w:rPr>
                <w:sz w:val="20"/>
                <w:szCs w:val="20"/>
                <w:color w:val="auto"/>
              </w:rPr>
            </w:pPr>
          </w:p>
        </w:tc>
        <w:tc>
          <w:tcPr>
            <w:tcW w:w="220" w:type="dxa"/>
            <w:vAlign w:val="bottom"/>
            <w:tcBorders>
              <w:top w:val="single" w:sz="8" w:color="CFF0FC"/>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560" w:type="dxa"/>
            <w:vAlign w:val="bottom"/>
            <w:tcBorders>
              <w:top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top w:val="single" w:sz="8" w:color="CFF0FC"/>
            </w:tcBorders>
          </w:tcPr>
          <w:p>
            <w:pPr>
              <w:spacing w:after="0"/>
              <w:rPr>
                <w:sz w:val="20"/>
                <w:szCs w:val="20"/>
                <w:color w:val="auto"/>
              </w:rPr>
            </w:pPr>
          </w:p>
        </w:tc>
      </w:tr>
      <w:tr>
        <w:trPr>
          <w:trHeight w:val="20"/>
        </w:trPr>
        <w:tc>
          <w:tcPr>
            <w:tcW w:w="56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-187960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06" w:lineRule="exact"/>
        <w:rPr>
          <w:sz w:val="20"/>
          <w:szCs w:val="20"/>
          <w:color w:val="auto"/>
        </w:rPr>
      </w:pPr>
    </w:p>
    <w:p>
      <w:pPr>
        <w:ind w:left="1440" w:right="260" w:hanging="384"/>
        <w:spacing w:after="0" w:line="227"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approximately 424,000 RSUs withheld due to net share settlement to satisfy required employee tax withholding requirements. Potential shares which had been convertible under RSUs that were withheld under net share settlement remain in the authorized but unissued pool under the 2023 Plan and can be reissued by the Company. Total payments for the employees’ tax obligations to the taxing authorities due to net share settlements are reflected as a financing activity within the consolidated statements of cash flows.</w:t>
      </w:r>
    </w:p>
    <w:p>
      <w:pPr>
        <w:ind w:left="1440" w:right="160" w:hanging="384"/>
        <w:spacing w:after="0" w:line="237" w:lineRule="auto"/>
        <w:tabs>
          <w:tab w:leader="none" w:pos="14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accounts for forfeitures as they occur, rather than estimate expected forfeitures as allowed under GAAP and therefore does not include a forfeiture rate in our vested and expected to vest calculation unless necessary for a performance condition award.</w:t>
      </w:r>
    </w:p>
    <w:p>
      <w:pPr>
        <w:spacing w:after="0" w:line="18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RSUs are measured at fair value based on the quoted price of our common stock at the date of grant. We amortize the grant-date fair value of RSUs as stock-based compensation expense over the vesting term, which is typically over a four-year requisite service period on a straight-line basis, with the amount of compensation expense recognized at any date at least equaling the portion of the grant-date fair value of the award that is vested at that date. The total fair value of RSUs vested was $45 million and $50 million for the three months ended March 31, 2024 and 2023, respectively.</w:t>
      </w:r>
    </w:p>
    <w:p>
      <w:pPr>
        <w:spacing w:after="0" w:line="1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performance-based RSUs ("PSUs") and market-based RSUs (“MSUs”) activity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 xml:space="preserve">PSUs </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 xml:space="preserve">MSUs </w:t>
            </w:r>
            <w:r>
              <w:rPr>
                <w:rFonts w:ascii="Times New Roman" w:cs="Times New Roman" w:eastAsia="Times New Roman" w:hAnsi="Times New Roman"/>
                <w:sz w:val="10"/>
                <w:szCs w:val="10"/>
                <w:b w:val="1"/>
                <w:bCs w:val="1"/>
                <w:color w:val="auto"/>
              </w:rPr>
              <w:t>(2)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Fair</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6"/>
        </w:trPr>
        <w:tc>
          <w:tcPr>
            <w:tcW w:w="3620" w:type="dxa"/>
            <w:vAlign w:val="bottom"/>
          </w:tcPr>
          <w:p>
            <w:pPr>
              <w:spacing w:after="0"/>
              <w:rPr>
                <w:sz w:val="15"/>
                <w:szCs w:val="15"/>
                <w:color w:val="auto"/>
              </w:rPr>
            </w:pPr>
          </w:p>
        </w:tc>
        <w:tc>
          <w:tcPr>
            <w:tcW w:w="13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8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w w:val="97"/>
              </w:rPr>
              <w:t>Value Per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8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Value Per</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07"/>
        </w:trPr>
        <w:tc>
          <w:tcPr>
            <w:tcW w:w="36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3620" w:type="dxa"/>
            <w:vAlign w:val="bottom"/>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vMerge w:val="continue"/>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362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2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8"/>
                <w:szCs w:val="18"/>
                <w:color w:val="auto"/>
              </w:rPr>
            </w:pPr>
          </w:p>
        </w:tc>
        <w:tc>
          <w:tcPr>
            <w:tcW w:w="1280" w:type="dxa"/>
            <w:vAlign w:val="bottom"/>
            <w:gridSpan w:val="2"/>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52"/>
        </w:trPr>
        <w:tc>
          <w:tcPr>
            <w:tcW w:w="36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December 31,</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6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40" w:type="dxa"/>
            <w:vAlign w:val="bottom"/>
            <w:shd w:val="clear" w:color="auto" w:fill="CFF0FC"/>
          </w:tcPr>
          <w:p>
            <w:pPr>
              <w:spacing w:after="0"/>
              <w:rPr>
                <w:sz w:val="18"/>
                <w:szCs w:val="18"/>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6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vMerge w:val="continue"/>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60" w:type="dxa"/>
            <w:vAlign w:val="bottom"/>
            <w:gridSpan w:val="2"/>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vMerge w:val="continue"/>
            <w:shd w:val="clear" w:color="auto" w:fill="CFF0FC"/>
          </w:tcPr>
          <w:p>
            <w:pPr>
              <w:spacing w:after="0"/>
              <w:rPr>
                <w:sz w:val="10"/>
                <w:szCs w:val="10"/>
                <w:color w:val="auto"/>
              </w:rPr>
            </w:pPr>
          </w:p>
        </w:tc>
        <w:tc>
          <w:tcPr>
            <w:tcW w:w="8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20" w:type="dxa"/>
            <w:vAlign w:val="bottom"/>
            <w:vMerge w:val="continue"/>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(60 )</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(81 )</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and outstanding as of March 31,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3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FF0FC"/>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40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2976245</wp:posOffset>
            </wp:positionH>
            <wp:positionV relativeFrom="paragraph">
              <wp:posOffset>-187960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5347970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1440" w:right="20" w:hanging="384"/>
        <w:spacing w:after="0" w:line="223"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PSUs awarded in February 2023 and February 2024. The February 2023 PSU awards provide for vesting in two equal annual installments on each of December 31, 2024 and December 31, 2025, based on the extent to which the Company achieves certain financial metrics relative to targets established by the Company’s Compensation and Section 16 Committees of its Board of Directors (jointly, the “Compensation Committee”). The February 2024 PSU awards provide for vesting in two equal annual installments on each of December 31, 2025 and December 31, 2026, based on the extent to which the Company achieves certain financial metrics relative to targets established by the Compensation Committee. The estimated grant-date fair value per PSUs were measured based on the quoted price of our common stock at the date of grant, calculated upon the establishment of performance targets, and will be amortized on a straight-line basis over the requisite service period. Based upon actual attainment relative to the target financial metrics, employees have the ability to receive up to 200% of the target number originally granted, or to be issued none at all. Probable outcome for performance-based awards is updated based upon changes in actual and forecasted operating results or expected achievement of performance goals, as applicable, and the impact of modifications, if any.</w:t>
      </w:r>
    </w:p>
    <w:p>
      <w:pPr>
        <w:spacing w:after="0" w:line="4" w:lineRule="exact"/>
        <w:rPr>
          <w:rFonts w:ascii="Times New Roman" w:cs="Times New Roman" w:eastAsia="Times New Roman" w:hAnsi="Times New Roman"/>
          <w:sz w:val="14"/>
          <w:szCs w:val="14"/>
          <w:color w:val="auto"/>
        </w:rPr>
      </w:pPr>
    </w:p>
    <w:p>
      <w:pPr>
        <w:ind w:left="1440" w:right="60" w:hanging="384"/>
        <w:spacing w:after="0" w:line="227" w:lineRule="auto"/>
        <w:tabs>
          <w:tab w:leader="none" w:pos="14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MSUs shall vest three years from grant date, generally with 25% vesting if the weighted-average stock price over a 30-day trading period during the vesting period is equal to or greater than $35.00 but less than $45.00, 50% vesting if equal to or greater than $45.00 but less than $55.00, and 100% vesting if equal to or greater than $55.00, subject to continuous employment with, or performance of services for, the Company. A Monte-Carlo simulation model, which simulated the present value of the potential outcomes of future stock prices was used to calculate the grant-date fair value of our MSU awards. The estimated grant-date fair value of these awards is amortized on a straight-line basis over the requisite service period and is not adjusted based on the actual number of awards that ultimately vest.</w:t>
      </w:r>
    </w:p>
    <w:p>
      <w:pPr>
        <w:spacing w:after="0" w:line="184" w:lineRule="exact"/>
        <w:rPr>
          <w:sz w:val="20"/>
          <w:szCs w:val="20"/>
          <w:color w:val="auto"/>
        </w:rPr>
      </w:pPr>
    </w:p>
    <w:p>
      <w:pPr>
        <w:ind w:right="560" w:firstLine="539"/>
        <w:spacing w:after="0" w:line="260" w:lineRule="auto"/>
        <w:rPr>
          <w:sz w:val="20"/>
          <w:szCs w:val="20"/>
          <w:color w:val="auto"/>
        </w:rPr>
      </w:pPr>
      <w:r>
        <w:rPr>
          <w:rFonts w:ascii="Times New Roman" w:cs="Times New Roman" w:eastAsia="Times New Roman" w:hAnsi="Times New Roman"/>
          <w:sz w:val="18"/>
          <w:szCs w:val="18"/>
          <w:color w:val="auto"/>
        </w:rPr>
        <w:t>Total current income tax benefits associated with the exercise or settlement of Tripadvisor stock-based awards held by our employees was $4 million and $3 million during the three months ended March 31, 2024 and 2023,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9" w:name="page20"/>
    <w:bookmarkEnd w:id="19"/>
    <w:p>
      <w:pPr>
        <w:ind w:right="560" w:firstLine="539"/>
        <w:spacing w:after="0" w:line="281" w:lineRule="auto"/>
        <w:rPr>
          <w:sz w:val="20"/>
          <w:szCs w:val="20"/>
          <w:color w:val="auto"/>
        </w:rPr>
      </w:pPr>
      <w:r>
        <w:rPr>
          <w:rFonts w:ascii="Times New Roman" w:cs="Times New Roman" w:eastAsia="Times New Roman" w:hAnsi="Times New Roman"/>
          <w:sz w:val="18"/>
          <w:szCs w:val="18"/>
          <w:color w:val="auto"/>
        </w:rPr>
        <w:t>As of March 31, 2024, total unrecognized compensation cost related to stock-based awards, substantially RSUs, was $352 million, which the Company expects to recognize over a weighted-average period of 3.0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Our Board of Directors authorized and directed management, working with the Executive Committee of our Board of Directors, to affect the share repurchase program in compliance with applicable legal requirements. The Executive Committee will determine the price, timing, amount and method of such repurchases based on its evaluation of market conditions and other factors, and at prices determined to be attractive and in the best interests of both the Company and its stockholders. This share repurchase program, which has a term of two years, does not obligate the Company to acquire any particular number of shares and may be modified, suspended or discontinued at any time. During the three months ended March 31, 2024, the Company did not repurchase any shares of outstanding common stock under the share repurchase program. As of March 31, 2024, the Company had $225 million remaining available to repurchase shares of its common stock under this share repurchase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EARNINGS PER SHARE</w:t>
      </w:r>
    </w:p>
    <w:p>
      <w:pPr>
        <w:spacing w:after="0" w:line="121" w:lineRule="exact"/>
        <w:rPr>
          <w:sz w:val="20"/>
          <w:szCs w:val="20"/>
          <w:color w:val="auto"/>
        </w:rPr>
      </w:pPr>
    </w:p>
    <w:p>
      <w:pPr>
        <w:ind w:right="120" w:firstLine="509"/>
        <w:spacing w:after="0" w:line="272" w:lineRule="auto"/>
        <w:rPr>
          <w:sz w:val="20"/>
          <w:szCs w:val="20"/>
          <w:color w:val="auto"/>
        </w:rPr>
      </w:pPr>
      <w:r>
        <w:rPr>
          <w:rFonts w:ascii="Times New Roman" w:cs="Times New Roman" w:eastAsia="Times New Roman" w:hAnsi="Times New Roman"/>
          <w:sz w:val="17"/>
          <w:szCs w:val="17"/>
          <w:color w:val="auto"/>
        </w:rPr>
        <w:t>We compute basic earnings per share ("Basic EPS") by dividing net income (loss) by the weighted average number of common shares outstanding during the period. We compute diluted earnings per share ("Diluted EPS") by dividing net income (loss) by the sum of the weighted average number of common shares outstanding including the dilutive effect of stock-based awards as determined under the treasury stock method and of our 2026 Senior Notes using the if-converted method, as share settlement is presumed, under GAAP. In periods when we recognize a net loss, we exclude the impact of outstanding stock-based awards and the potential share settlement impact related to the 2026 Senior Notes from the Diluted EPS calculation as their inclusion would have an antidilutive effect. Accordingly, for periods in which we report a net loss, such as for the three months ended March 31, 2024 and 2023, Diluted EPS is the same as Basic EPS, since dilutive common equivalent shares are not assumed to have been issued if their effect is antidilutive.</w:t>
      </w:r>
    </w:p>
    <w:p>
      <w:pPr>
        <w:spacing w:after="0" w:line="1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in periods when the 2026 Senior Notes are dilutive, interest expense, net of tax, is added back to net income (loss) (the “numerator”) to calculate Diluted EPS. The Capped Calls are excluded from the calculation of Diluted EPS, as they would be antidilutive. However, upon conversion of the 2026 Senior Notes, unless the market price of our common stock exceeds the cap price, an exercise of the Capped Calls would generally offset any dilution from the 2026 Senior Notes from the conversion price up to the cap price. As of March 31, 2024 and 2023, the market price of a share of our common stock did not exceed the $107.36 cap price.</w:t>
      </w:r>
    </w:p>
    <w:p>
      <w:pPr>
        <w:spacing w:after="0" w:line="182"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Below is a reconciliation of the weighted average number of shares of common stock outstanding used in calculating Diluted EPS for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4080" w:type="dxa"/>
            <w:vAlign w:val="bottom"/>
            <w:gridSpan w:val="6"/>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(shares in thousands and dollars in millions, except per share</w:t>
            </w:r>
          </w:p>
        </w:tc>
      </w:tr>
      <w:tr>
        <w:trPr>
          <w:trHeight w:val="187"/>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160" w:type="dxa"/>
            <w:vAlign w:val="bottom"/>
            <w:gridSpan w:val="3"/>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7"/>
              </w:rPr>
              <w:t>Numerator:</w:t>
            </w:r>
          </w:p>
        </w:tc>
        <w:tc>
          <w:tcPr>
            <w:tcW w:w="6220" w:type="dxa"/>
            <w:vAlign w:val="bottom"/>
            <w:tcBorders>
              <w:bottom w:val="single" w:sz="8" w:color="CFF0FC"/>
            </w:tcBorders>
            <w:gridSpan w:val="2"/>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(59 )</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r>
      <w:tr>
        <w:trPr>
          <w:trHeight w:val="227"/>
        </w:trPr>
        <w:tc>
          <w:tcPr>
            <w:tcW w:w="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spacing w:after="0" w:line="193" w:lineRule="exact"/>
              <w:rPr>
                <w:sz w:val="20"/>
                <w:szCs w:val="20"/>
                <w:color w:val="auto"/>
              </w:rPr>
            </w:pPr>
            <w:r>
              <w:rPr>
                <w:rFonts w:ascii="Times New Roman" w:cs="Times New Roman" w:eastAsia="Times New Roman" w:hAnsi="Times New Roman"/>
                <w:sz w:val="18"/>
                <w:szCs w:val="18"/>
                <w:b w:val="1"/>
                <w:bCs w:val="1"/>
                <w:color w:val="auto"/>
                <w:w w:val="98"/>
              </w:rPr>
              <w:t>Denominator:</w:t>
            </w:r>
          </w:p>
        </w:tc>
        <w:tc>
          <w:tcPr>
            <w:tcW w:w="60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20" w:type="dxa"/>
            <w:vAlign w:val="bottom"/>
          </w:tcPr>
          <w:p>
            <w:pPr>
              <w:spacing w:after="0"/>
              <w:rPr>
                <w:sz w:val="20"/>
                <w:szCs w:val="20"/>
                <w:color w:val="auto"/>
              </w:rPr>
            </w:pPr>
          </w:p>
        </w:tc>
        <w:tc>
          <w:tcPr>
            <w:tcW w:w="7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EPS</w:t>
            </w:r>
          </w:p>
        </w:tc>
        <w:tc>
          <w:tcPr>
            <w:tcW w:w="1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138,438</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141,451</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714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Weighted average effect of dilutive securities:</w:t>
            </w:r>
          </w:p>
        </w:tc>
        <w:tc>
          <w:tcPr>
            <w:tcW w:w="1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71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Stock-based awards (Note 10)</w:t>
            </w:r>
          </w:p>
        </w:tc>
        <w:tc>
          <w:tcPr>
            <w:tcW w:w="1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0" w:type="dxa"/>
            <w:vAlign w:val="bottom"/>
            <w:shd w:val="clear" w:color="auto" w:fill="CFF0FC"/>
          </w:tcPr>
          <w:p>
            <w:pPr>
              <w:spacing w:after="0"/>
              <w:rPr>
                <w:sz w:val="21"/>
                <w:szCs w:val="21"/>
                <w:color w:val="auto"/>
              </w:rPr>
            </w:pPr>
          </w:p>
        </w:tc>
        <w:tc>
          <w:tcPr>
            <w:tcW w:w="714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2026 Senior Notes (Note 6)</w:t>
            </w:r>
          </w:p>
        </w:tc>
        <w:tc>
          <w:tcPr>
            <w:tcW w:w="11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Borders>
              <w:top w:val="single" w:sz="8" w:color="CFF0FC"/>
            </w:tcBorders>
          </w:tcPr>
          <w:p>
            <w:pPr>
              <w:spacing w:after="0"/>
              <w:rPr>
                <w:sz w:val="20"/>
                <w:szCs w:val="20"/>
                <w:color w:val="auto"/>
              </w:rPr>
            </w:pPr>
          </w:p>
        </w:tc>
        <w:tc>
          <w:tcPr>
            <w:tcW w:w="7140" w:type="dxa"/>
            <w:vAlign w:val="bottom"/>
            <w:tcBorders>
              <w:top w:val="single" w:sz="8" w:color="CFF0FC"/>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Diluted EPS</w:t>
            </w:r>
          </w:p>
        </w:tc>
        <w:tc>
          <w:tcPr>
            <w:tcW w:w="1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138,438</w:t>
            </w:r>
          </w:p>
        </w:tc>
        <w:tc>
          <w:tcPr>
            <w:tcW w:w="360" w:type="dxa"/>
            <w:vAlign w:val="bottom"/>
            <w:tcBorders>
              <w:top w:val="single" w:sz="8" w:color="CFF0FC"/>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141,451</w:t>
            </w:r>
          </w:p>
        </w:tc>
        <w:tc>
          <w:tcPr>
            <w:tcW w:w="100" w:type="dxa"/>
            <w:vAlign w:val="bottom"/>
            <w:tcBorders>
              <w:top w:val="single" w:sz="8" w:color="CFF0FC"/>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shd w:val="clear" w:color="auto" w:fill="CFF0FC"/>
          </w:tcPr>
          <w:p>
            <w:pPr>
              <w:spacing w:after="0"/>
              <w:rPr>
                <w:sz w:val="19"/>
                <w:szCs w:val="19"/>
                <w:color w:val="auto"/>
              </w:rPr>
            </w:pPr>
          </w:p>
        </w:tc>
        <w:tc>
          <w:tcPr>
            <w:tcW w:w="71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EPS</w:t>
            </w:r>
          </w:p>
        </w:tc>
        <w:tc>
          <w:tcPr>
            <w:tcW w:w="114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(0.43 )</w:t>
            </w:r>
          </w:p>
        </w:tc>
        <w:tc>
          <w:tcPr>
            <w:tcW w:w="1120" w:type="dxa"/>
            <w:vAlign w:val="bottom"/>
            <w:shd w:val="clear" w:color="auto" w:fill="CFF0FC"/>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r>
      <w:tr>
        <w:trPr>
          <w:trHeight w:val="234"/>
        </w:trPr>
        <w:tc>
          <w:tcPr>
            <w:tcW w:w="20" w:type="dxa"/>
            <w:vAlign w:val="bottom"/>
          </w:tcPr>
          <w:p>
            <w:pPr>
              <w:spacing w:after="0"/>
              <w:rPr>
                <w:sz w:val="20"/>
                <w:szCs w:val="20"/>
                <w:color w:val="auto"/>
              </w:rPr>
            </w:pPr>
          </w:p>
        </w:tc>
        <w:tc>
          <w:tcPr>
            <w:tcW w:w="7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140" w:type="dxa"/>
            <w:vAlign w:val="bottom"/>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(0.43 )</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5707380</wp:posOffset>
            </wp:positionH>
            <wp:positionV relativeFrom="paragraph">
              <wp:posOffset>-490855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5"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Potential common shares, consisting of outstanding stock options, RSUs, and those issuable under the 2026 Senior Notes, totaling approximately 22.7 million shares and 22.9 million shares for the three months ended March 31, 2024 and 2023, respectively, have been excluded from the calculation of Diluted EPS because their effect would have been antidilutive. In addition, potential common shares of performance-based and market-based awards totaling approximately 1.5 million and 1.2 million for the three</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20" w:name="page21"/>
    <w:bookmarkEnd w:id="20"/>
    <w:p>
      <w:pPr>
        <w:ind w:right="140"/>
        <w:spacing w:after="0" w:line="281" w:lineRule="auto"/>
        <w:rPr>
          <w:sz w:val="20"/>
          <w:szCs w:val="20"/>
          <w:color w:val="auto"/>
        </w:rPr>
      </w:pPr>
      <w:r>
        <w:rPr>
          <w:rFonts w:ascii="Times New Roman" w:cs="Times New Roman" w:eastAsia="Times New Roman" w:hAnsi="Times New Roman"/>
          <w:sz w:val="18"/>
          <w:szCs w:val="18"/>
          <w:color w:val="auto"/>
        </w:rPr>
        <w:t>months ended March 31, 2024 and 2023, respectively, for which all targets required to trigger vesting had not been achieved, were also excluded from the calculation of weighted average shares used to compute Diluted EPS.</w:t>
      </w:r>
    </w:p>
    <w:p>
      <w:pPr>
        <w:spacing w:after="0" w:line="163" w:lineRule="exact"/>
        <w:rPr>
          <w:sz w:val="20"/>
          <w:szCs w:val="20"/>
          <w:color w:val="auto"/>
        </w:rPr>
      </w:pPr>
    </w:p>
    <w:p>
      <w:pPr>
        <w:ind w:right="140" w:firstLine="509"/>
        <w:spacing w:after="0" w:line="225" w:lineRule="exact"/>
        <w:rPr>
          <w:sz w:val="20"/>
          <w:szCs w:val="20"/>
          <w:color w:val="auto"/>
        </w:rPr>
      </w:pPr>
      <w:r>
        <w:rPr>
          <w:rFonts w:ascii="Times New Roman" w:cs="Times New Roman" w:eastAsia="Times New Roman" w:hAnsi="Times New Roman"/>
          <w:sz w:val="18"/>
          <w:szCs w:val="18"/>
          <w:color w:val="auto"/>
        </w:rPr>
        <w:t>The earnings per share amounts are the same for common stock and Class B common stock because the holders of each class are legally entitled to equal per share distributions whether through dividends or in liquidation. In addition, our non-vested RSUs are entitled to dividend equivalents, which are payable to the holder subject to, and only upon vesting of, the underlying awards and are therefore forfeitable. Given such dividend equivalents are forfeitable, we do not consider them to be participating securities and, consequently, they are not subject to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method of determining earnings per share.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INFORMATION</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have three reportable segments: (1) Brand Tripadvisor; (2) Viator; and (3) TheFork. Our Brand Tripadvisor segment includes the following revenue sources: (1) Tripadvisor-branded hotels – consisting of hotel meta revenue, primarily click-based advertising revenue, and also hotel B2B revenue, which includes primarily subscription-based advertising and hotel sponsored placements revenue; (2) Media and advertising revenue – consisting primarily of display-based advertising revenue (also referred to as “media advertising”); (3) Tripadvisor experiences and dining revenue – consisting of intercompany (intersegment) revenue related to affiliate marketing commissions earned primarily from experience bookings, and to a lesser extent, restaurant reservation bookings on Tripadvisor-branded websites and mobile apps, fulfilled by Viator and TheFork, respectively, which are eliminated on a consolidated basis, in addition to external revenue generated from Tripadvisor restaurant offerings; and (4) Other revenue – consisting of cruises, alternative accommodation rentals, flights, and rental cars revenue. The nature of the services provided and related revenue recognition policies are summarized by reportable segment in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Our operating segments are determined based on how our chief executive officer, who also serves as our chief operating decision maker (“CODM") manages our business, regularly accesses information, and evaluates performance for operating decision-making purposes, including allocation of resources. Adjusted EBITDA is our segment profit measure and a key measure used by our CODM and Board of Directors to understand and evaluate the operating performance of our business and on which internal budgets and forecasts are based and approved.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(7) restructuring and other related reorganization costs; and (8) non-recurring expenses and income.</w:t>
      </w:r>
    </w:p>
    <w:p>
      <w:pPr>
        <w:spacing w:after="0" w:line="187"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Direct costs are included in the applicable operating segments, including certain corporate general and administrative personnel costs, which have been allocated to each segment. We base these allocations on time-spent analyses, headcount, and other allocation methods we believe are reasonable. We do not allocate certain shared expenses to our reportable segments, such as certain information system costs, technical infrastructure costs, and other costs supporting the Tripadvisor platform and operations, that we do not believe are a material driver of individual segment performance, which is consistent with the financial information used by our CODM. We include these expenses in our Brand Tripadvisor segment. Our allocation methodology is periodically evaluated and may change.</w:t>
      </w:r>
    </w:p>
    <w:p>
      <w:pPr>
        <w:spacing w:after="0" w:line="186"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reportable segment information for the three months ended March 31, 2024 and 2023 and include a reconciliation of adjusted EBITDA to Net income (loss). We record depreciation and amortization, stock-based compensation and other stock-settled obligations, goodwill, long-lived asset and intangible asset impairments, legal reserves and settlements, and non-recurring expenses and income, net, which are excluded from segment operating performance, in "Corporate &amp; Eliminations". In addition, we do not report total assets, capital expenditures and related depreciation expense by segment as our CODM does not use this information to evaluate operating segment performance. Accordingly, we do not regularly provide such information by segment to our CODM.</w:t>
      </w:r>
    </w:p>
    <w:p>
      <w:pPr>
        <w:spacing w:after="0" w:line="18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Our segment disclosure includes intersegment revenues, which consist of affiliate marketing fees for services provided by our Brand Tripadvisor segment to both our Viator and TheFork segments. These intersegment transactions are recorded by each segment at amounts that we believe approximate fair value as if the transactions were between third parties and, therefore, impact segment performance. However, the revenue and corresponding expense are eliminated in consolidation. The elimination of such intersegment transactions is included within the “Corporate &amp; Eliminations” column in the tables below.</w:t>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1"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1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340"/>
              <w:spacing w:after="0" w:line="131" w:lineRule="exact"/>
              <w:rPr>
                <w:sz w:val="20"/>
                <w:szCs w:val="20"/>
                <w:color w:val="auto"/>
              </w:rPr>
            </w:pPr>
            <w:r>
              <w:rPr>
                <w:rFonts w:ascii="Times New Roman" w:cs="Times New Roman" w:eastAsia="Times New Roman" w:hAnsi="Times New Roman"/>
                <w:sz w:val="14"/>
                <w:szCs w:val="14"/>
                <w:b w:val="1"/>
                <w:bCs w:val="1"/>
                <w:color w:val="auto"/>
              </w:rPr>
              <w:t>Brand</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160" w:type="dxa"/>
            <w:vAlign w:val="bottom"/>
          </w:tcPr>
          <w:p>
            <w:pPr>
              <w:spacing w:after="0"/>
              <w:rPr>
                <w:sz w:val="11"/>
                <w:szCs w:val="11"/>
                <w:color w:val="auto"/>
              </w:rPr>
            </w:pPr>
          </w:p>
        </w:tc>
        <w:tc>
          <w:tcPr>
            <w:tcW w:w="1140" w:type="dxa"/>
            <w:vAlign w:val="bottom"/>
            <w:gridSpan w:val="5"/>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3"/>
          </w:tcPr>
          <w:p>
            <w:pPr>
              <w:jc w:val="right"/>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2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Tripadvisor (1)</w:t>
            </w:r>
          </w:p>
        </w:tc>
        <w:tc>
          <w:tcPr>
            <w:tcW w:w="320" w:type="dxa"/>
            <w:vAlign w:val="bottom"/>
          </w:tcPr>
          <w:p>
            <w:pPr>
              <w:spacing w:after="0"/>
              <w:rPr>
                <w:sz w:val="16"/>
                <w:szCs w:val="16"/>
                <w:color w:val="auto"/>
              </w:rPr>
            </w:pPr>
          </w:p>
        </w:tc>
        <w:tc>
          <w:tcPr>
            <w:tcW w:w="96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58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FF0FC"/>
            </w:tcBorders>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5"/>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22"/>
                <w:szCs w:val="22"/>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2"/>
                <w:szCs w:val="22"/>
                <w:color w:val="auto"/>
              </w:rPr>
            </w:pP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right w:val="single" w:sz="8" w:color="CFF0FC"/>
            </w:tcBorders>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(27 )</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(27 )</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(28 )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Legal reserves and settlements </w:t>
            </w:r>
            <w:r>
              <w:rPr>
                <w:rFonts w:ascii="Times New Roman" w:cs="Times New Roman" w:eastAsia="Times New Roman" w:hAnsi="Times New Roman"/>
                <w:sz w:val="14"/>
                <w:szCs w:val="14"/>
                <w:color w:val="auto"/>
              </w:rPr>
              <w:t>(4)</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reorganization costs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Non-recurring income (expense) </w:t>
            </w:r>
            <w:r>
              <w:rPr>
                <w:rFonts w:ascii="Times New Roman" w:cs="Times New Roman" w:eastAsia="Times New Roman" w:hAnsi="Times New Roman"/>
                <w:sz w:val="14"/>
                <w:szCs w:val="14"/>
                <w:color w:val="auto"/>
              </w:rPr>
              <w:t>(5)</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60" w:type="dxa"/>
            <w:vAlign w:val="bottom"/>
            <w:tcBorders>
              <w:right w:val="single" w:sz="8" w:color="CFF0FC"/>
            </w:tcBorders>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00" w:type="dxa"/>
            <w:vAlign w:val="bottom"/>
            <w:gridSpan w:val="10"/>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0"/>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1620" w:type="dxa"/>
            <w:vAlign w:val="bottom"/>
            <w:gridSpan w:val="3"/>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Brand Tripadvisor</w:t>
            </w:r>
          </w:p>
        </w:tc>
        <w:tc>
          <w:tcPr>
            <w:tcW w:w="108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Viator (2)</w:t>
            </w:r>
          </w:p>
        </w:tc>
        <w:tc>
          <w:tcPr>
            <w:tcW w:w="140" w:type="dxa"/>
            <w:vAlign w:val="bottom"/>
          </w:tcPr>
          <w:p>
            <w:pPr>
              <w:spacing w:after="0"/>
              <w:rPr>
                <w:sz w:val="11"/>
                <w:szCs w:val="11"/>
                <w:color w:val="auto"/>
              </w:rPr>
            </w:pPr>
          </w:p>
        </w:tc>
        <w:tc>
          <w:tcPr>
            <w:tcW w:w="128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TheFork (3)</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3"/>
          </w:tcPr>
          <w:p>
            <w:pPr>
              <w:jc w:val="right"/>
              <w:ind w:right="212"/>
              <w:spacing w:after="0" w:line="131" w:lineRule="exact"/>
              <w:rPr>
                <w:sz w:val="20"/>
                <w:szCs w:val="20"/>
                <w:color w:val="auto"/>
              </w:rPr>
            </w:pPr>
            <w:r>
              <w:rPr>
                <w:rFonts w:ascii="Times New Roman" w:cs="Times New Roman" w:eastAsia="Times New Roman" w:hAnsi="Times New Roman"/>
                <w:sz w:val="14"/>
                <w:szCs w:val="14"/>
                <w:b w:val="1"/>
                <w:bCs w:val="1"/>
                <w:color w:val="auto"/>
              </w:rPr>
              <w:t>Corporate &amp;</w:t>
            </w:r>
          </w:p>
        </w:tc>
        <w:tc>
          <w:tcPr>
            <w:tcW w:w="100" w:type="dxa"/>
            <w:vAlign w:val="bottom"/>
          </w:tcPr>
          <w:p>
            <w:pPr>
              <w:spacing w:after="0"/>
              <w:rPr>
                <w:sz w:val="11"/>
                <w:szCs w:val="11"/>
                <w:color w:val="auto"/>
              </w:rPr>
            </w:pPr>
          </w:p>
        </w:tc>
        <w:tc>
          <w:tcPr>
            <w:tcW w:w="220" w:type="dxa"/>
            <w:vAlign w:val="bottom"/>
            <w:gridSpan w:val="2"/>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82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(1)</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82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4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0"/>
                <w:szCs w:val="20"/>
                <w:color w:val="auto"/>
              </w:rPr>
            </w:pP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Intersegment revenue</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Pr>
          <w:p>
            <w:pPr>
              <w:spacing w:after="0"/>
              <w:rPr>
                <w:sz w:val="20"/>
                <w:szCs w:val="20"/>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4"/>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2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FF0FC"/>
          </w:tcPr>
          <w:p>
            <w:pPr>
              <w:spacing w:after="0"/>
              <w:rPr>
                <w:sz w:val="21"/>
                <w:szCs w:val="21"/>
                <w:color w:val="auto"/>
              </w:rPr>
            </w:pP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Non-recurring income (expense) </w:t>
            </w:r>
            <w:r>
              <w:rPr>
                <w:rFonts w:ascii="Times New Roman" w:cs="Times New Roman" w:eastAsia="Times New Roman" w:hAnsi="Times New Roman"/>
                <w:sz w:val="14"/>
                <w:szCs w:val="14"/>
                <w:color w:val="auto"/>
              </w:rPr>
              <w:t>(6)</w:t>
            </w: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40" w:type="dxa"/>
            <w:vAlign w:val="bottom"/>
            <w:tcBorders>
              <w:right w:val="single" w:sz="8" w:color="CFF0FC"/>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0"/>
        </w:trPr>
        <w:tc>
          <w:tcPr>
            <w:tcW w:w="38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3661410</wp:posOffset>
            </wp:positionH>
            <wp:positionV relativeFrom="paragraph">
              <wp:posOffset>-4331970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-4314825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-4331970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4371975</wp:posOffset>
            </wp:positionH>
            <wp:positionV relativeFrom="paragraph">
              <wp:posOffset>-4314825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-4331970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-4314825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-4331970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-4314825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-4314825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-3381375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-3064510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-1626235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-1626235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-1626235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6033135</wp:posOffset>
            </wp:positionH>
            <wp:positionV relativeFrom="paragraph">
              <wp:posOffset>-1626235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-1626235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1440" w:right="160" w:hanging="384"/>
        <w:spacing w:after="0" w:line="233"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general and administrative personnel costs of $2 million for both the three months ended March 31, 2024 and 2023, were allocated to the Viator and TheFork segments.</w:t>
      </w:r>
    </w:p>
    <w:p>
      <w:pPr>
        <w:ind w:left="1440" w:right="200" w:hanging="384"/>
        <w:spacing w:after="0" w:line="221"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the Brand Tripadvisor segment of $1 million in each of the three months ended March 31, 2024 and 2023.</w:t>
      </w:r>
    </w:p>
    <w:p>
      <w:pPr>
        <w:ind w:left="1440" w:right="200" w:hanging="384"/>
        <w:spacing w:after="0" w:line="221"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allocated corporate general and administrative personnel costs from the Brand Tripadvisor segment of $1 million in each of the three months ended March 31, 2024 and 2023.</w:t>
      </w:r>
    </w:p>
    <w:p>
      <w:pPr>
        <w:ind w:left="1440" w:right="200" w:hanging="384"/>
        <w:spacing w:after="0" w:line="221"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an estimated accrual for the potential settlement of a regulatory related matter of $10 million, expensed during the first quarter of 2024 to general and administrative expenses on our unaudited condensed consolidated statement of operations. Refer to “Note 9: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for further information.</w:t>
      </w:r>
    </w:p>
    <w:p>
      <w:pPr>
        <w:ind w:left="1440" w:right="500" w:hanging="384"/>
        <w:spacing w:after="0" w:line="221"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transaction costs of $1 million during the first quarter of 2024 to general and administrative expenses on our unaudited condensed consolidated statement of operations. The Company considers such costs to be non-recurring in nature.</w:t>
      </w:r>
    </w:p>
    <w:p>
      <w:pPr>
        <w:ind w:left="1440" w:right="260" w:hanging="384"/>
        <w:spacing w:after="0" w:line="237" w:lineRule="auto"/>
        <w:tabs>
          <w:tab w:leader="none" w:pos="14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$3 million of previously capitalized transaction costs during the first quarter of 2023 to general and administrative expenses on our unaudited condensed consolidated statement of operations. The Company considers such costs to be non-recurring in nature.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Customer Concentrations</w:t>
      </w:r>
    </w:p>
    <w:p>
      <w:pPr>
        <w:spacing w:after="0" w:line="225" w:lineRule="exact"/>
        <w:rPr>
          <w:sz w:val="20"/>
          <w:szCs w:val="20"/>
          <w:color w:val="auto"/>
        </w:rPr>
      </w:pPr>
    </w:p>
    <w:p>
      <w:pPr>
        <w:ind w:right="500" w:firstLine="509"/>
        <w:spacing w:after="0" w:line="283" w:lineRule="auto"/>
        <w:rPr>
          <w:sz w:val="20"/>
          <w:szCs w:val="20"/>
          <w:color w:val="auto"/>
        </w:rPr>
      </w:pPr>
      <w:r>
        <w:rPr>
          <w:rFonts w:ascii="Times New Roman" w:cs="Times New Roman" w:eastAsia="Times New Roman" w:hAnsi="Times New Roman"/>
          <w:sz w:val="18"/>
          <w:szCs w:val="18"/>
          <w:color w:val="auto"/>
        </w:rPr>
        <w:t xml:space="preserve">Refer to “Note 4: </w:t>
      </w:r>
      <w:r>
        <w:rPr>
          <w:rFonts w:ascii="Times New Roman" w:cs="Times New Roman" w:eastAsia="Times New Roman" w:hAnsi="Times New Roman"/>
          <w:sz w:val="18"/>
          <w:szCs w:val="18"/>
          <w:i w:val="1"/>
          <w:iCs w:val="1"/>
          <w:color w:val="auto"/>
        </w:rPr>
        <w:t>Financial Instruments and Fair Value Measurements</w:t>
      </w:r>
      <w:r>
        <w:rPr>
          <w:rFonts w:ascii="Times New Roman" w:cs="Times New Roman" w:eastAsia="Times New Roman" w:hAnsi="Times New Roman"/>
          <w:sz w:val="18"/>
          <w:szCs w:val="18"/>
          <w:color w:val="auto"/>
        </w:rPr>
        <w:t>” under the section entitled “Risks and Concentrations” for information regarding our major customer concentrations.</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Product Information</w:t>
      </w:r>
    </w:p>
    <w:p>
      <w:pPr>
        <w:spacing w:after="0" w:line="227"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color w:val="auto"/>
        </w:rPr>
        <w:t xml:space="preserve">Revenue sources within our Brand Tripadvisor segment, consisting of Tripadvisor-branded hotels revenue, Media and advertising revenue, Tripadvisor experiences and dining revenue, and other revenue, along with our Viator and TheFork segment revenue sources, comprise our products. Refer to “Note 3: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for our revenue by product.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6"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right="580" w:firstLine="509"/>
        <w:spacing w:after="0" w:line="260" w:lineRule="auto"/>
        <w:rPr>
          <w:sz w:val="20"/>
          <w:szCs w:val="20"/>
          <w:color w:val="auto"/>
        </w:rPr>
      </w:pPr>
      <w:r>
        <w:rPr>
          <w:rFonts w:ascii="Times New Roman" w:cs="Times New Roman" w:eastAsia="Times New Roman" w:hAnsi="Times New Roman"/>
          <w:sz w:val="18"/>
          <w:szCs w:val="18"/>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and the consolidated financial statements and accompanying notes, as well as Management’s Discussion and Analysis of Financial Condition and Results of Operations contained in our 2023 Annual Report.</w:t>
      </w:r>
    </w:p>
    <w:p>
      <w:pPr>
        <w:spacing w:after="0" w:line="7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our 2023 Annual Report,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as well as those discussed elsewhere in this Quarterly Report. Other unknown or unpredictable factors also could have a material adverse effect on our business, financial condition and results of operations. 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The Tripadvisor Group operates as a family of brands with a purpose of connecting people to experiences worth sharing. The Company's vision is to be the world’s most trusted source for travel and experiences. The Company operates across three business segments: Brand Tripadvisor, Viator, and TheFork. We leverage our brands, technology platforms, and capabilities to connect our large, global audience with partners by offering rich content, travel guidance products and services, and two-sided marketplaces for experiences, accommodations, restaurants, and other travel categories.</w:t>
      </w:r>
    </w:p>
    <w:p>
      <w:pPr>
        <w:spacing w:after="0" w:line="74"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Brand Tripadvisor’s purpose is to empower everyone to be a better traveler by serving as the world’s most trusted and essential travel guidance platform. Since Tripadvisor’s founding in 2000, Brand Tripadvisor has developed a relationship of trust and community with travelers and experience seekers by providing an online global platform for travelers to discover, generate, and share authentic user-generated content (“UGC”) in the form of ratings and reviews for destinations, points-of-interest (“POIs”), experiences, accommodations, restaurants, and cruises in over 40 countries and in more than 20 languages across the world. Brand Tripadvisor offers more than 1 billion user-generated ratings and reviews on over 8 million experiences, accommodations, restaurants, airlines, and cruises. Brand Tripadvisor’s online platform attracts one of the world’s largest travel audiences, with hundreds of millions of visitors annually.</w:t>
      </w:r>
    </w:p>
    <w:p>
      <w:pPr>
        <w:spacing w:after="0" w:line="7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Viator’s purpose is to bring extraordinary, unexpected, and forever memorable experiences to more people, more often, wherever they are traveling. In doing so, Viator elevates tens of thousands of businesses, large and small. Viator delivers on its purpose by enabling travelers to discover and book iconic, unique and memorable experiences from experience operators around the globe. Our online marketplace is comprehensive and easy-to-use, connecting millions of travelers to the world’s largest supply of bookable tours, activities and attractions—over 350,000 experiences from more than 55,000 operators. Viator is a pure-play experiences OTA singularly focused on the needs of both travelers and operators with the largest supply of bookable experiences available to travelers.</w:t>
      </w:r>
    </w:p>
    <w:p>
      <w:pPr>
        <w:spacing w:after="0" w:line="7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TheFork’s purpose is to deliver happiness through amazing dining experiences. TheFork delivers on its purpose by providing an online marketplace that enables diners to discover and book online reservations at approximately 55,000 restaurants in 11 countries across the U.K. and western and central Europe. TheFork has become an urban, gastronomic guide with a strong community that offers approximately 20 million restaurant reviews.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Tripadvisor Group operates in a unique position in the travel and experiences ecosystem:</w:t>
      </w:r>
    </w:p>
    <w:p>
      <w:pPr>
        <w:spacing w:after="0" w:line="117"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global, and growing addressable markets including travel, experiences, and digital advertising;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global, and engaged audience making meaningful contributions that reinforces a relationship of trust and community; and</w:t>
      </w:r>
    </w:p>
    <w:p>
      <w:pPr>
        <w:spacing w:after="0" w:line="2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1" w:right="339" w:bottom="1440" w:gutter="0" w:footer="0" w:header="0"/>
        </w:sectPr>
      </w:pPr>
    </w:p>
    <w:bookmarkStart w:id="23" w:name="page24"/>
    <w:bookmarkEnd w:id="23"/>
    <w:p>
      <w:pPr>
        <w:ind w:left="1020" w:hanging="504"/>
        <w:spacing w:after="0" w:line="281"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wealth of high-intent data that comes from serving our audience of travelers and experience seekers at different points along their journey – whether they are engaging on our platforms for inspiration on their next experience, planning a trip, or making a purchasing decision.</w:t>
      </w:r>
    </w:p>
    <w:p>
      <w:pPr>
        <w:spacing w:after="0" w:line="16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our Brand Tripadvisor segment, we offer a compelling value proposition to both travelers and partners across a number of key offerings that include accommodations, experiences, dining, and media. This value proposition is delivered through a collection of durable assets that we believe are difficult to replicate: a trusted brand, authentic UGC, a large community of contributors, and one of the largest global travel audiences. Our strategy in this segment is to leverage these core assets as well as our technology capabilities to provide travelers with a compelling user experience to help make the best decisions in each phase of the travel journey, including pre-trip planning, in-destination, and post-trip sharing. We intend to drive new traveler acquisition and repeat audience engagement on our platform by offering meaningful travel guidance solutions and services that reduce friction in the traveler journey and create a deeper, more persistent relationship with travelers. We evaluate investment opportunities across data, product, marketing, and technology that we believe will improve and diversify the monetization of our audience through deeper engagement, which, in turn, we expect will drive more value to our partners.</w:t>
      </w:r>
    </w:p>
    <w:p>
      <w:pPr>
        <w:spacing w:after="0" w:line="18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The Brand Tripadvisor segment plays an important role in our portfolio. For over two decades, we believe we have built difficult to replicate assets such as a trusted brand, authentic content, a large community of contributors, and one of the largest global travel audiences available. Our long-term strategy for the Brand Tripadvisor segment builds on our heritage and the reasons hundreds of millions of travelers come to Tripadvisor each year. Fundamental to this strategy will be: (1) innovating and enhancing world-class travel guidance and planning products to help travelers make confident decisions in a world where it is hard to find advice you can trust; (2) prioritizing deeper engagement with travelers by leveraging our rich data and technology assets to provide more relevant, curated, and contextual content throughout the traveler journey; and (3) driving a step change in the value we can deliver to our partners by accelerating and diversifying the monetization of our valuable audience across key categories, including hotel meta, media advertising, and experiences.</w:t>
      </w:r>
    </w:p>
    <w:p>
      <w:pPr>
        <w:spacing w:after="0" w:line="18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In our Viator and TheFork segments, we provide two-sided marketplaces that connect travelers and diners to operators of bookable experiences and restaurants, respectively. Within our Viator segment, we are investing in growth, future scale, and market share gains to accelerate our market leadership position, while improving unit economics on both sides of the marketplace that provide visibility to sustainable future profitability. This means driving awareness and higher quality audience engagement, which we believe will drive greater repeat behavior, more direct traffic, and translate into improved unit economics over time. Our investments on both sides of our marketplace, as well as in our primary offerings, are intended to deliver a differentiated value proposition that we believe will drive sustainable market leadership as our partners, operators, and travelers find themselves in an increasingly competitive marketplace environment. We are focused on continuing to grow both our supplier base and our user base by offering innovative tools and features on our branded platforms, and through continued awareness of our brand through marketing efforts.</w:t>
      </w:r>
    </w:p>
    <w:p>
      <w:pPr>
        <w:spacing w:after="0" w:line="189" w:lineRule="exact"/>
        <w:rPr>
          <w:sz w:val="20"/>
          <w:szCs w:val="20"/>
          <w:color w:val="auto"/>
        </w:rPr>
      </w:pPr>
    </w:p>
    <w:p>
      <w:pPr>
        <w:ind w:right="360" w:firstLine="509"/>
        <w:spacing w:after="0" w:line="265" w:lineRule="auto"/>
        <w:rPr>
          <w:sz w:val="20"/>
          <w:szCs w:val="20"/>
          <w:color w:val="auto"/>
        </w:rPr>
      </w:pPr>
      <w:r>
        <w:rPr>
          <w:rFonts w:ascii="Times New Roman" w:cs="Times New Roman" w:eastAsia="Times New Roman" w:hAnsi="Times New Roman"/>
          <w:sz w:val="18"/>
          <w:szCs w:val="18"/>
          <w:color w:val="auto"/>
        </w:rPr>
        <w:t>We are focused on executing initiatives across the Tripadvisor Group through organic investment in data, products, marketing and technology to further enhance the value we deliver to travelers and partners across our brands, platforms, and segments. In addition, we may accelerate growth inorganically by opportunistically pursuing strategic acquisitions.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online travel industry in which we operate is large, highly dynamic and competitive. We describe below current trends affecting our overall business and segments, including uncertainties that may impact our ability to execute on our objectives and strategies. Public health-related events, such as a pandemic, political instability, geopolitical conflicts, including the evolving events in the Middle East, acts of terrorism, fluctuations in currency values, and changes in global economic conditions, are examples of other events that could have a negative impact on the travel industry and, as a result, our financial results in the future.</w:t>
      </w:r>
    </w:p>
    <w:p>
      <w:pPr>
        <w:spacing w:after="0" w:line="74"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Prior to Google introducing changes to its search engine results page (“SERP”), we generated a significant amount of direct traffic from search engines, such as Google, through strong search engine optimization (“SEO”) performance across all segments. We believe our SEO traffic acquisition performance has been negatively impacted in the past, and may be impacted in the future, by metasearch and search engines (primarily Google) changing their search result placement and underlying algorithms, including to increase the prominence of their own products in search results across our business, most notably within our hotel meta offering within our Brand Tripadvisor segment.</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response to the large underpenetrated market for experiences, Viator continues to invest in marketing to drive awareness and grow market share in this attractive market. Over the long-term, we are focused on driving a greater percentage of our bookings from direct channels. We are doing this by continuing to focus on increasing our brand recognition and improving the user experience across products on our website and mobile app, providing high-quality customer service, and offering leading customer choice for online bookable experiences supply.</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The global experiences market is large, growing, and highly fragmented, with the vast majority of bookings still occurring through traditional offline sources. We are observing a secular shift, however, as this market continues to grow and accelerate the pace</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4" w:name="page25"/>
    <w:bookmarkEnd w:id="24"/>
    <w:p>
      <w:pPr>
        <w:ind w:right="180"/>
        <w:spacing w:after="0" w:line="260" w:lineRule="auto"/>
        <w:rPr>
          <w:sz w:val="20"/>
          <w:szCs w:val="20"/>
          <w:color w:val="auto"/>
        </w:rPr>
      </w:pPr>
      <w:r>
        <w:rPr>
          <w:rFonts w:ascii="Times New Roman" w:cs="Times New Roman" w:eastAsia="Times New Roman" w:hAnsi="Times New Roman"/>
          <w:sz w:val="18"/>
          <w:szCs w:val="18"/>
          <w:color w:val="auto"/>
        </w:rPr>
        <w:t>of online adoption. Likewise, the global restaurants category is also benefiting from increased online adoption by both consumers and restaurant partners, particularly in Europe. Given the competitive positioning of our businesses relative to the attractive growth prospects in these categories, we expect to continue to invest in these categories across the Tripadvisor Group and, in particular, within the Viator and TheFork segments, to continue accelerating revenue growth, operating scale, and market share gains for the long-term.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As disclosed in our 2023 Annual Report, the Company received a NOPA issued by the IRS for the 2014, 2015, and 2016 tax years during August 2020. These proposed adjustments are related to certain transfer pricing arrangements with our foreign subsidiaries. We have previously requested competent authority assistance under MAP for these tax years. In January 2024, we received notification of a MAP resolution agreement for the 2014 through 2016 tax years, which we accepted in February 2024. In the first quarter of 2024, we recorded additional income tax expense as a discrete item, inclusive of interest, of $46 million related to this settlement on our unaudited condensed consolidated statement of operations. We reviewed the impact of the acceptance of this settlement position against our existing transfer pricing income tax reserves for the subsequent open tax years during the first quarter of 2024, which resulted in an income tax benefit, inclusive of estimated interest, of $4 million. The net impact of these adjustments resulted in an incremental income tax expense on our unaudited condensed consolidated statement of operations of $42 million for the three months ended March 31, 2024. We anticipate this will result in an estimated net operating cash outflow of $110 million to $120 million, inclusive of related interest expense, to be substantially settled during the second quarter of 2024.</w:t>
      </w:r>
    </w:p>
    <w:p>
      <w:pPr>
        <w:spacing w:after="0" w:line="189" w:lineRule="exact"/>
        <w:rPr>
          <w:sz w:val="20"/>
          <w:szCs w:val="20"/>
          <w:color w:val="auto"/>
        </w:rPr>
      </w:pPr>
    </w:p>
    <w:p>
      <w:pPr>
        <w:ind w:right="340" w:firstLine="509"/>
        <w:spacing w:after="0" w:line="283"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of this Quarterly Report for further information regarding potential material contingencies related to ongoing audits regarding income taxes.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As of March 31, 2024, the Company had approximately 2,829 employees. Approximately 59%, 35%, and 6% of the Company’s current employees are based in Europe, the U.S., and the rest of world (“ROW”), respectively. Additionally, we use independent contractors to supplement our workforce. We believe we have good relationships with our employees and contractors, including relationships with employees represented by international works councils or other similar organizations.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firstLine="509"/>
        <w:spacing w:after="0" w:line="272" w:lineRule="auto"/>
        <w:rPr>
          <w:sz w:val="20"/>
          <w:szCs w:val="20"/>
          <w:color w:val="auto"/>
        </w:rPr>
      </w:pPr>
      <w:r>
        <w:rPr>
          <w:rFonts w:ascii="Times New Roman" w:cs="Times New Roman" w:eastAsia="Times New Roman" w:hAnsi="Times New Roman"/>
          <w:sz w:val="17"/>
          <w:szCs w:val="17"/>
          <w:color w:val="auto"/>
        </w:rPr>
        <w:t>Consumer travel expenditures have historically followed a seasonal pattern. Correspondingly, travel partner advertising investments, and therefore our revenue and operating profits, have also historically followed a seasonal pattern. Our financial performance tends to be seasonally highest in the second and third quarters of a given year, which includes the seasonal peak in consumer demand, including traveler accommodation stays, and travel experiences taken, compared to the first and fourth quarters, which represent seasonal low points. In addition, during the first half of the year, experience bookings typically exceed the amount of completed experiences, resulting in higher cash flow related to working capital, while during the second half of the year, particularly in the third quarter, this pattern reverses and cash flows from these transactions are typically negative. Other factors may also impact typical seasonal fluctuations, such as significant shifts in our business mix, adverse economic conditions, public health-related events, as well as other factors</w:t>
      </w:r>
      <w:r>
        <w:rPr>
          <w:rFonts w:ascii="Times New Roman" w:cs="Times New Roman" w:eastAsia="Times New Roman" w:hAnsi="Times New Roman"/>
          <w:sz w:val="17"/>
          <w:szCs w:val="17"/>
          <w:color w:val="231F20"/>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management to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87" w:lineRule="exact"/>
        <w:rPr>
          <w:sz w:val="20"/>
          <w:szCs w:val="20"/>
          <w:color w:val="auto"/>
        </w:rPr>
      </w:pPr>
    </w:p>
    <w:p>
      <w:pPr>
        <w:ind w:right="480" w:firstLine="509"/>
        <w:spacing w:after="0" w:line="281" w:lineRule="auto"/>
        <w:rPr>
          <w:sz w:val="20"/>
          <w:szCs w:val="20"/>
          <w:color w:val="auto"/>
        </w:rPr>
      </w:pPr>
      <w:r>
        <w:rPr>
          <w:rFonts w:ascii="Times New Roman" w:cs="Times New Roman" w:eastAsia="Times New Roman" w:hAnsi="Times New Roman"/>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55" w:lineRule="exact"/>
        <w:rPr>
          <w:sz w:val="20"/>
          <w:szCs w:val="20"/>
          <w:color w:val="auto"/>
        </w:rPr>
      </w:pPr>
    </w:p>
    <w:p>
      <w:pPr>
        <w:ind w:left="760" w:right="320" w:hanging="378"/>
        <w:spacing w:after="0" w:line="26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requires us to make an assumption because information was not available at the time or it included matters that were highly uncertain at the time we were making the estimate; and/or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25" w:name="page26"/>
    <w:bookmarkEnd w:id="25"/>
    <w:p>
      <w:pPr>
        <w:ind w:left="760" w:right="180" w:hanging="378"/>
        <w:spacing w:after="0" w:line="28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estimate or different estimates that we could have selected may have had a material impact on our financial condition or results of operations.</w:t>
      </w:r>
    </w:p>
    <w:p>
      <w:pPr>
        <w:spacing w:after="0" w:line="163" w:lineRule="exact"/>
        <w:rPr>
          <w:sz w:val="20"/>
          <w:szCs w:val="20"/>
          <w:color w:val="auto"/>
        </w:rPr>
      </w:pPr>
    </w:p>
    <w:p>
      <w:pPr>
        <w:ind w:right="280" w:firstLine="509"/>
        <w:spacing w:after="0" w:line="281"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as compared to the critical accounting policies and estimates described in our 2023 Annual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New Accounting Pronouncements</w:t>
      </w:r>
    </w:p>
    <w:p>
      <w:pPr>
        <w:spacing w:after="0" w:line="229" w:lineRule="exact"/>
        <w:rPr>
          <w:sz w:val="20"/>
          <w:szCs w:val="20"/>
          <w:color w:val="auto"/>
        </w:rPr>
      </w:pPr>
    </w:p>
    <w:p>
      <w:pPr>
        <w:ind w:right="260" w:firstLine="509"/>
        <w:spacing w:after="0" w:line="265"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significant accounting policies or new accounting pronouncements that we are required to adopt that may have an impact on our unaudited condensed consolidated financial statements since December 31, 2023, as compared to those described under “Note 2: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in the notes to consolidated financial statements in Item 8 of our 2023 Annual Report.</w:t>
      </w:r>
    </w:p>
    <w:p>
      <w:pPr>
        <w:spacing w:after="0" w:line="28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millions, except percentages)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254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67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80" w:type="dxa"/>
            <w:vAlign w:val="bottom"/>
          </w:tcPr>
          <w:p>
            <w:pPr>
              <w:spacing w:after="0"/>
              <w:rPr>
                <w:sz w:val="19"/>
                <w:szCs w:val="19"/>
                <w:color w:val="auto"/>
              </w:rPr>
            </w:pP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51"/>
        </w:trPr>
        <w:tc>
          <w:tcPr>
            <w:tcW w:w="6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8"/>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6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and content</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tcPr>
          <w:p>
            <w:pPr>
              <w:spacing w:after="0"/>
              <w:rPr>
                <w:sz w:val="21"/>
                <w:szCs w:val="21"/>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1"/>
                <w:szCs w:val="21"/>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5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2"/>
                <w:szCs w:val="22"/>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26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2"/>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(15 )</w:t>
            </w:r>
          </w:p>
        </w:tc>
        <w:tc>
          <w:tcPr>
            <w:tcW w:w="9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(14 )</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7"/>
        </w:trPr>
        <w:tc>
          <w:tcPr>
            <w:tcW w:w="6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(11 )</w:t>
            </w:r>
          </w:p>
        </w:tc>
        <w:tc>
          <w:tcPr>
            <w:tcW w:w="9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(11 )</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8"/>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56"/>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2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(3 )</w:t>
            </w:r>
          </w:p>
        </w:tc>
        <w:tc>
          <w:tcPr>
            <w:tcW w:w="92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9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9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0"/>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line="20" w:lineRule="exact"/>
              <w:rPr>
                <w:sz w:val="1"/>
                <w:szCs w:val="1"/>
                <w:color w:val="auto"/>
              </w:rPr>
            </w:pPr>
          </w:p>
        </w:tc>
      </w:tr>
      <w:tr>
        <w:trPr>
          <w:trHeight w:val="228"/>
        </w:trPr>
        <w:tc>
          <w:tcPr>
            <w:tcW w:w="670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(16 )</w:t>
            </w:r>
          </w:p>
        </w:tc>
        <w:tc>
          <w:tcPr>
            <w:tcW w:w="9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(15 )</w:t>
            </w:r>
          </w:p>
        </w:tc>
        <w:tc>
          <w:tcPr>
            <w:tcW w:w="14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92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(43 )</w:t>
            </w:r>
          </w:p>
        </w:tc>
        <w:tc>
          <w:tcPr>
            <w:tcW w:w="92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(59 )</w:t>
            </w: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Financial Data:</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(1)</w:t>
            </w:r>
          </w:p>
        </w:tc>
        <w:tc>
          <w:tcPr>
            <w:tcW w:w="920" w:type="dxa"/>
            <w:vAlign w:val="bottom"/>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20"/>
                <w:szCs w:val="20"/>
                <w:color w:val="auto"/>
              </w:rPr>
            </w:pPr>
          </w:p>
        </w:tc>
        <w:tc>
          <w:tcPr>
            <w:tcW w:w="920" w:type="dxa"/>
            <w:vAlign w:val="bottom"/>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-3295650</wp:posOffset>
            </wp:positionV>
            <wp:extent cx="71323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-2679700</wp:posOffset>
            </wp:positionV>
            <wp:extent cx="71323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-2371090</wp:posOffset>
            </wp:positionV>
            <wp:extent cx="713232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-2054225</wp:posOffset>
            </wp:positionV>
            <wp:extent cx="7132320" cy="1625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62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625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3" w:lineRule="exact"/>
        <w:rPr>
          <w:sz w:val="20"/>
          <w:szCs w:val="20"/>
          <w:color w:val="auto"/>
        </w:rPr>
      </w:pPr>
    </w:p>
    <w:p>
      <w:pPr>
        <w:ind w:left="840" w:right="560" w:hanging="383"/>
        <w:spacing w:after="0" w:line="239" w:lineRule="auto"/>
        <w:tabs>
          <w:tab w:leader="none" w:pos="8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Consolidated Adjusted EBITDA is considered a non-GAAP measure as defined by the SEC. Please refer to the “Adjusted EBITDA” discussion below for more information, including tabular reconciliations to the most directly comparable GAAP financial measure.</w:t>
      </w: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11"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Revenue and Segment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25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6660" w:type="dxa"/>
            <w:vAlign w:val="bottom"/>
          </w:tcPr>
          <w:p>
            <w:pPr>
              <w:spacing w:after="0"/>
              <w:rPr>
                <w:sz w:val="14"/>
                <w:szCs w:val="14"/>
                <w:color w:val="auto"/>
              </w:rPr>
            </w:pPr>
          </w:p>
        </w:tc>
        <w:tc>
          <w:tcPr>
            <w:tcW w:w="9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by Segment:</w:t>
            </w:r>
          </w:p>
        </w:tc>
        <w:tc>
          <w:tcPr>
            <w:tcW w:w="960" w:type="dxa"/>
            <w:vAlign w:val="bottom"/>
          </w:tcPr>
          <w:p>
            <w:pPr>
              <w:spacing w:after="0"/>
              <w:rPr>
                <w:sz w:val="20"/>
                <w:szCs w:val="20"/>
                <w:color w:val="auto"/>
              </w:rPr>
            </w:pPr>
          </w:p>
        </w:tc>
        <w:tc>
          <w:tcPr>
            <w:tcW w:w="1620" w:type="dxa"/>
            <w:vAlign w:val="bottom"/>
            <w:gridSpan w:val="3"/>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Brand Tripadvisor </w:t>
            </w:r>
            <w:r>
              <w:rPr>
                <w:rFonts w:ascii="Times New Roman" w:cs="Times New Roman" w:eastAsia="Times New Roman" w:hAnsi="Times New Roman"/>
                <w:sz w:val="14"/>
                <w:szCs w:val="14"/>
                <w:color w:val="auto"/>
              </w:rPr>
              <w:t>(1)</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00" w:type="dxa"/>
            <w:vAlign w:val="bottom"/>
          </w:tcPr>
          <w:p>
            <w:pPr>
              <w:spacing w:after="0"/>
              <w:rPr>
                <w:sz w:val="20"/>
                <w:szCs w:val="20"/>
                <w:color w:val="auto"/>
              </w:rPr>
            </w:pP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9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9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1"/>
                <w:szCs w:val="21"/>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5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Intersegment eliminations </w:t>
            </w:r>
            <w:r>
              <w:rPr>
                <w:rFonts w:ascii="Times New Roman" w:cs="Times New Roman" w:eastAsia="Times New Roman" w:hAnsi="Times New Roman"/>
                <w:sz w:val="14"/>
                <w:szCs w:val="14"/>
                <w:color w:val="auto"/>
              </w:rPr>
              <w:t>(1)</w:t>
            </w:r>
          </w:p>
        </w:tc>
        <w:tc>
          <w:tcPr>
            <w:tcW w:w="96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(27 )</w:t>
            </w:r>
          </w:p>
        </w:tc>
        <w:tc>
          <w:tcPr>
            <w:tcW w:w="92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by Segment:</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Tripadvisor</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21"/>
                <w:szCs w:val="21"/>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96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(27 )</w:t>
            </w:r>
          </w:p>
        </w:tc>
        <w:tc>
          <w:tcPr>
            <w:tcW w:w="92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5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960" w:type="dxa"/>
            <w:vAlign w:val="bottom"/>
          </w:tcPr>
          <w:p>
            <w:pPr>
              <w:spacing w:after="0"/>
              <w:rPr>
                <w:sz w:val="22"/>
                <w:szCs w:val="22"/>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(4 )</w:t>
            </w:r>
          </w:p>
        </w:tc>
        <w:tc>
          <w:tcPr>
            <w:tcW w:w="920" w:type="dxa"/>
            <w:vAlign w:val="bottom"/>
          </w:tcPr>
          <w:p>
            <w:pPr>
              <w:spacing w:after="0"/>
              <w:rPr>
                <w:sz w:val="22"/>
                <w:szCs w:val="2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(9 )</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6"/>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Adjusted EBITDA</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0"/>
                <w:szCs w:val="20"/>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Margin by Segment </w:t>
            </w:r>
            <w:r>
              <w:rPr>
                <w:rFonts w:ascii="Times New Roman" w:cs="Times New Roman" w:eastAsia="Times New Roman" w:hAnsi="Times New Roman"/>
                <w:sz w:val="14"/>
                <w:szCs w:val="14"/>
                <w:color w:val="auto"/>
              </w:rPr>
              <w:t>(2)</w:t>
            </w: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 Tripadvisor</w:t>
            </w:r>
          </w:p>
        </w:tc>
        <w:tc>
          <w:tcPr>
            <w:tcW w:w="9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33 %</w:t>
            </w:r>
          </w:p>
        </w:tc>
        <w:tc>
          <w:tcPr>
            <w:tcW w:w="92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Viator</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9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TheFork</w:t>
            </w:r>
          </w:p>
        </w:tc>
        <w:tc>
          <w:tcPr>
            <w:tcW w:w="96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9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-2219960</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-1911985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-1261110</wp:posOffset>
            </wp:positionV>
            <wp:extent cx="71323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-1595120</wp:posOffset>
            </wp:positionV>
            <wp:extent cx="7132320" cy="1797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-953135</wp:posOffset>
            </wp:positionV>
            <wp:extent cx="7132320" cy="1625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2" w:lineRule="exact"/>
        <w:rPr>
          <w:sz w:val="20"/>
          <w:szCs w:val="20"/>
          <w:color w:val="auto"/>
        </w:rPr>
      </w:pPr>
    </w:p>
    <w:p>
      <w:pPr>
        <w:ind w:left="840" w:right="340" w:hanging="383"/>
        <w:spacing w:after="0" w:line="230" w:lineRule="auto"/>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Brand Tripadvisor segment revenue figures are shown gross of intersegment (intercompany) revenue, which is eliminated on a consolidated basis. Refer to “Note 13: </w:t>
      </w:r>
      <w:r>
        <w:rPr>
          <w:rFonts w:ascii="Times New Roman" w:cs="Times New Roman" w:eastAsia="Times New Roman" w:hAnsi="Times New Roman"/>
          <w:sz w:val="14"/>
          <w:szCs w:val="14"/>
          <w:i w:val="1"/>
          <w:iCs w:val="1"/>
          <w:color w:val="auto"/>
        </w:rPr>
        <w:t>Segment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presented.</w:t>
      </w:r>
    </w:p>
    <w:p>
      <w:pPr>
        <w:ind w:left="840" w:hanging="383"/>
        <w:spacing w:after="0"/>
        <w:tabs>
          <w:tab w:leader="none" w:pos="8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Margin by Segment” is defined as Adjusted EBITDA by segment divided by revenue by segment.</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Brand Tripadvisor Segment</w:t>
      </w:r>
    </w:p>
    <w:p>
      <w:pPr>
        <w:spacing w:after="0" w:line="229" w:lineRule="exact"/>
        <w:rPr>
          <w:sz w:val="20"/>
          <w:szCs w:val="20"/>
          <w:color w:val="auto"/>
        </w:rPr>
      </w:pPr>
    </w:p>
    <w:p>
      <w:pPr>
        <w:ind w:right="280" w:firstLine="509"/>
        <w:spacing w:after="0" w:line="265" w:lineRule="auto"/>
        <w:rPr>
          <w:sz w:val="20"/>
          <w:szCs w:val="20"/>
          <w:color w:val="auto"/>
        </w:rPr>
      </w:pPr>
      <w:r>
        <w:rPr>
          <w:rFonts w:ascii="Times New Roman" w:cs="Times New Roman" w:eastAsia="Times New Roman" w:hAnsi="Times New Roman"/>
          <w:sz w:val="18"/>
          <w:szCs w:val="18"/>
          <w:color w:val="auto"/>
        </w:rPr>
        <w:t>Brand Tripadvisor segment revenue decreased by $4 million during the three months ended March 31, 2024, when compared to the same period in 2023, primarily due to a decrease in our hotel meta revenue and, to a lesser extent, a decrease in hotel B2B revenue, partially offset by an increase in Tripadvisor experiences revenue and media and advertising revenue.</w:t>
      </w:r>
    </w:p>
    <w:p>
      <w:pPr>
        <w:spacing w:after="0" w:line="177"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Adjusted EBITDA in our Brand Tripadvisor segment increased $6 million during the three months ended March 31, 2024 when compared to the same period in 2023, while adjusted EBITDA margin increased by 3 percentage points during the three months ended March 31, 2024 when compared to the same period in 2023. The improvement in adjusted EBITDA was primarily due to a decrease in direct selling and marketing expenses related to search engine marketing (“SEM”) and other online paid traffic acquisition costs of $9 million, and personnel and overhead costs driven by a reduction in headcount related to cost reduction measures taken during 2023. These improvements were partially offset by a decrease in revenue as noted above, and an increase in direct revenue generation costs related to data center and media production costs, primarily in media and advertising. The improvement in adjusted EBITDA margin during the three months ended March 31, 2024 when compared to the same period in 2023, was largely due to the decrease of selling and marketing costs as a percent of revenue related to more efficient marketing spend, primarily generating Tripadvisor experiences revenue.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detailed discussion of the revenue sources within our Brand Tripadvisor segment:</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342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9"/>
        </w:trPr>
        <w:tc>
          <w:tcPr>
            <w:tcW w:w="5100" w:type="dxa"/>
            <w:vAlign w:val="bottom"/>
          </w:tcPr>
          <w:p>
            <w:pPr>
              <w:spacing w:after="0"/>
              <w:rPr>
                <w:sz w:val="14"/>
                <w:szCs w:val="14"/>
                <w:color w:val="auto"/>
              </w:rPr>
            </w:pPr>
          </w:p>
        </w:tc>
        <w:tc>
          <w:tcPr>
            <w:tcW w:w="13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gridSpan w:val="2"/>
          </w:tcPr>
          <w:p>
            <w:pPr>
              <w:spacing w:after="0"/>
              <w:rPr>
                <w:sz w:val="14"/>
                <w:szCs w:val="14"/>
                <w:color w:val="auto"/>
              </w:rPr>
            </w:pPr>
          </w:p>
        </w:tc>
      </w:tr>
      <w:tr>
        <w:trPr>
          <w:trHeight w:val="169"/>
        </w:trPr>
        <w:tc>
          <w:tcPr>
            <w:tcW w:w="5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2"/>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Brand Tripadvisor:</w:t>
            </w:r>
          </w:p>
        </w:tc>
        <w:tc>
          <w:tcPr>
            <w:tcW w:w="1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Tripadvisor-branded hotels</w:t>
            </w: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20"/>
                <w:szCs w:val="20"/>
                <w:color w:val="auto"/>
              </w:rPr>
            </w:pPr>
          </w:p>
        </w:tc>
        <w:tc>
          <w:tcPr>
            <w:tcW w:w="128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8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7"/>
        </w:trPr>
        <w:tc>
          <w:tcPr>
            <w:tcW w:w="5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1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i w:val="1"/>
                <w:iCs w:val="1"/>
                <w:color w:val="auto"/>
              </w:rPr>
              <w:t>66 %</w:t>
            </w:r>
          </w:p>
        </w:tc>
        <w:tc>
          <w:tcPr>
            <w:tcW w:w="12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69 %</w:t>
            </w: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Media and advertising</w:t>
            </w:r>
          </w:p>
        </w:tc>
        <w:tc>
          <w:tcPr>
            <w:tcW w:w="1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2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47"/>
        </w:trPr>
        <w:tc>
          <w:tcPr>
            <w:tcW w:w="5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1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i w:val="1"/>
                <w:iCs w:val="1"/>
                <w:color w:val="auto"/>
              </w:rPr>
              <w:t>14 %</w:t>
            </w:r>
          </w:p>
        </w:tc>
        <w:tc>
          <w:tcPr>
            <w:tcW w:w="12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12 %</w:t>
            </w: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Tripadvisor experiences and dining </w:t>
            </w:r>
            <w:r>
              <w:rPr>
                <w:rFonts w:ascii="Times New Roman" w:cs="Times New Roman" w:eastAsia="Times New Roman" w:hAnsi="Times New Roman"/>
                <w:sz w:val="14"/>
                <w:szCs w:val="14"/>
                <w:color w:val="auto"/>
              </w:rPr>
              <w:t>(1)</w:t>
            </w:r>
          </w:p>
        </w:tc>
        <w:tc>
          <w:tcPr>
            <w:tcW w:w="1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20"/>
                <w:szCs w:val="20"/>
                <w:color w:val="auto"/>
              </w:rPr>
            </w:pPr>
          </w:p>
        </w:tc>
        <w:tc>
          <w:tcPr>
            <w:tcW w:w="2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47"/>
        </w:trPr>
        <w:tc>
          <w:tcPr>
            <w:tcW w:w="5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1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i w:val="1"/>
                <w:iCs w:val="1"/>
                <w:color w:val="auto"/>
              </w:rPr>
              <w:t>15 %</w:t>
            </w:r>
          </w:p>
        </w:tc>
        <w:tc>
          <w:tcPr>
            <w:tcW w:w="12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14 %</w:t>
            </w: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5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i w:val="1"/>
                <w:iCs w:val="1"/>
                <w:color w:val="auto"/>
              </w:rPr>
              <w:t>% of Brand Tripadvisor revenue*</w:t>
            </w:r>
          </w:p>
        </w:tc>
        <w:tc>
          <w:tcPr>
            <w:tcW w:w="130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i w:val="1"/>
                <w:iCs w:val="1"/>
                <w:color w:val="auto"/>
              </w:rPr>
              <w:t>5 %</w:t>
            </w:r>
          </w:p>
        </w:tc>
        <w:tc>
          <w:tcPr>
            <w:tcW w:w="128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i w:val="1"/>
                <w:iCs w:val="1"/>
                <w:color w:val="auto"/>
              </w:rPr>
              <w:t>5 %</w:t>
            </w:r>
          </w:p>
        </w:tc>
        <w:tc>
          <w:tcPr>
            <w:tcW w:w="1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10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Brand Tripadvisor Revenue</w:t>
            </w:r>
          </w:p>
        </w:tc>
        <w:tc>
          <w:tcPr>
            <w:tcW w:w="13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Pr>
          <w:p>
            <w:pPr>
              <w:spacing w:after="0"/>
              <w:rPr>
                <w:sz w:val="20"/>
                <w:szCs w:val="20"/>
                <w:color w:val="auto"/>
              </w:rPr>
            </w:pPr>
          </w:p>
        </w:tc>
        <w:tc>
          <w:tcPr>
            <w:tcW w:w="128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5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-187960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*Percentages may not total to 100% due to rounding.</w:t>
      </w:r>
    </w:p>
    <w:p>
      <w:pPr>
        <w:spacing w:after="0" w:line="97" w:lineRule="exact"/>
        <w:rPr>
          <w:sz w:val="20"/>
          <w:szCs w:val="20"/>
          <w:color w:val="auto"/>
        </w:rPr>
      </w:pPr>
    </w:p>
    <w:p>
      <w:pPr>
        <w:ind w:left="840" w:right="300" w:hanging="383"/>
        <w:spacing w:after="0" w:line="233" w:lineRule="auto"/>
        <w:tabs>
          <w:tab w:leader="none" w:pos="8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Tripadvisor experiences and dining revenue within the Brand Tripadvisor segment is shown gross of intersegment (intercompany) revenue, which is eliminated on a consolidated basis. Refer to “Note 13: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in the notes to our unaudited condensed consolidated financial statements in Item 1 in this Quarterly Report for a discussion of intersegment revenue for all periods presented.</w:t>
      </w: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31" w:right="23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Tripadvisor-branded Hotels Revenue</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Tripadvisor-branded hotels revenue decreased $9 million during the three months ended March 31, 2024 when compared to the same period in 2023, primarily due to a decrease in our hotel meta revenue and, to a lesser extent, a decrease in hotel B2B revenue. The decrease in our hotel meta revenue was primarily driven by our European hotel meta revenue and, to a lesser extent, U.S. and ROW hotel meta revenue, as well as an increased competitive environment in paid online marketing channels and product decisions we have implemented to provide more qualified referrals to our partners, leading to a decrease in click volumes. This decrease in click volumes was partially offset by continued strength in hotel meta monetization in the U.S. and ROW, as cost-per-click (“CPC”) rates remained robust when compared to the same period in 2023.</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Media and Advertising Revenue</w:t>
      </w:r>
    </w:p>
    <w:p>
      <w:pPr>
        <w:spacing w:after="0" w:line="119" w:lineRule="exact"/>
        <w:rPr>
          <w:sz w:val="20"/>
          <w:szCs w:val="20"/>
          <w:color w:val="auto"/>
        </w:rPr>
      </w:pPr>
    </w:p>
    <w:p>
      <w:pPr>
        <w:jc w:val="both"/>
        <w:ind w:right="160" w:firstLine="509"/>
        <w:spacing w:after="0" w:line="265" w:lineRule="auto"/>
        <w:rPr>
          <w:sz w:val="20"/>
          <w:szCs w:val="20"/>
          <w:color w:val="auto"/>
        </w:rPr>
      </w:pPr>
      <w:r>
        <w:rPr>
          <w:rFonts w:ascii="Times New Roman" w:cs="Times New Roman" w:eastAsia="Times New Roman" w:hAnsi="Times New Roman"/>
          <w:sz w:val="18"/>
          <w:szCs w:val="18"/>
          <w:color w:val="auto"/>
        </w:rPr>
        <w:t>Media and advertising revenue consists of revenue from display-based advertising (or “media advertising”) across our Tripadvisor Group platform and increased by $3 million during the three months ended March 31, 2024 when compared to the same period in 2023, primarily driven by an increase in marketing spend from our advertisers in correlation with increased consumer demand.</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Tripadvisor Experiences and Dining Revenue</w:t>
      </w:r>
    </w:p>
    <w:p>
      <w:pPr>
        <w:spacing w:after="0" w:line="119"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Tripadvisor experiences and dining revenue, which includes intercompany (intersegment) revenue consisting of affiliate marketing commissions earned primarily from experience bookings and, to a lesser extent, restaurant reservation bookings on Tripadvisor-branded websites and mobile apps, fulfilled by Viator and TheFork, respectively, are eliminated on a consolidated basis, in addition to revenue earned from Tripadvisor's restaurants service offerings. Tripadvisor experiences and dining revenue increased $3 million during the three months ended March 31, 2024 when compared to the same period in 2023, driven by strong consumer demand for experiences, combined with enhancements to our websites and mobile apps, partially offset by a decline in dining revenue as we move from a sales-led model to a self-service model.</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Other revenue includes alternative accommodation rentals revenue, in addition to click-based advertising and display-based advertising revenue from our cruise, flights, and rental cars offerings on Tripadvisor websites and mobile apps. Other revenue decreased $1 million during the three months ended March 31, 2024 when compared to the same period in 2023 primarily due to a decline in alternative accommodation rentals revenue, partially offset by an increase in cruise revenue.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Viator Segment</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Viator segment revenue increased by $26 million during the three months ended March 31, 2024 when compared to the same period in 2023, driven by strong consumer demand for experiences across all geographies, including growth in both bookings and pricing of experiences, as well as, enhancements to our websites and mobile apps. In addition, and to a lesser extent, Viator benefited from incremental demand due to the timing of the Easter holiday, which fell during the first quarter in 2024, while occurring in the second quarter in 2023. Viator is also benefiting from a larger macro trend, as the large global market in which it operates continues to grow and migrate online from traditional offline sources.</w:t>
      </w:r>
    </w:p>
    <w:p>
      <w:pPr>
        <w:spacing w:after="0" w:line="18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Adjusted EBITDA loss in our Viator segment improved by $3 million during the three months ended March 31, 2024 when compared to the same period in 2023, and adjusted EBITDA margin improved by 7 percentage points during the three months ended March 31, 2024 when compared to the same period in 2023. The improvement in adjusted EBITDA was primarily due to an increase in revenue as noted above, partially offset by an increase in selling and marketing expenses related to SEM and other online paid traffic acquisition costs of $15 million, in response to strong consumer demand for experiences and increased investment to grow market share, acquire new customers, and drive brand awareness. In addition, increases in personnel and overhead costs to support business growth related to strong consumer demand and, to a lesser extent, an increase in revenue generation costs resulting from credit card payments in direct correlation with the increase in revenue negatively impacted adjusted EBITDA. The improvement in adjusted EBITDA margin during the three months ended March 31, 2024 when compared to the same period in 2023 was primarily due to the timing of the Easter holiday, as discussed above, and a decrease of selling and marketing costs as a percent of revenue.</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TheFork Segment</w:t>
      </w:r>
    </w:p>
    <w:p>
      <w:pPr>
        <w:spacing w:after="0" w:line="229"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TheFork segment revenue increased by $6 million during the three months ended March 31, 2024 when compared to the same period in 2023. This improvement was driven by increased consumer demand for dining in Europe, including increased bookings and pricing, during the first quarter of 2024 when compared to the same period in 2023.</w:t>
      </w:r>
    </w:p>
    <w:p>
      <w:pPr>
        <w:spacing w:after="0" w:line="177" w:lineRule="exact"/>
        <w:rPr>
          <w:sz w:val="20"/>
          <w:szCs w:val="20"/>
          <w:color w:val="auto"/>
        </w:rPr>
      </w:pPr>
    </w:p>
    <w:p>
      <w:pPr>
        <w:ind w:right="340" w:firstLine="509"/>
        <w:spacing w:after="0" w:line="260" w:lineRule="auto"/>
        <w:rPr>
          <w:sz w:val="20"/>
          <w:szCs w:val="20"/>
          <w:color w:val="auto"/>
        </w:rPr>
      </w:pPr>
      <w:r>
        <w:rPr>
          <w:rFonts w:ascii="Times New Roman" w:cs="Times New Roman" w:eastAsia="Times New Roman" w:hAnsi="Times New Roman"/>
          <w:sz w:val="18"/>
          <w:szCs w:val="18"/>
          <w:color w:val="auto"/>
        </w:rPr>
        <w:t>Adjusted EBITDA loss in TheFork segment improved by $5 million during the three months ended March 31, 2024 when compared to the same period in 2023, and adjusted EBITDA margin improved by 16 percentage points during the three months ended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sectPr>
      </w:pPr>
    </w:p>
    <w:bookmarkStart w:id="28" w:name="page29"/>
    <w:bookmarkEnd w:id="28"/>
    <w:p>
      <w:pPr>
        <w:ind w:right="180"/>
        <w:spacing w:after="0" w:line="260" w:lineRule="auto"/>
        <w:rPr>
          <w:sz w:val="20"/>
          <w:szCs w:val="20"/>
          <w:color w:val="auto"/>
        </w:rPr>
      </w:pPr>
      <w:r>
        <w:rPr>
          <w:rFonts w:ascii="Times New Roman" w:cs="Times New Roman" w:eastAsia="Times New Roman" w:hAnsi="Times New Roman"/>
          <w:sz w:val="18"/>
          <w:szCs w:val="18"/>
          <w:color w:val="auto"/>
        </w:rPr>
        <w:t>March 31, 2024 when compared to the same period in 2023. The improvement in adjusted EBITDA was primarily due to an increase in revenue as noted above and, to a lesser extent, lower personnel and overhead costs. The improvement in adjusted EBITDA margin during the three months ended March 31, 2024 when compared to the same period in 2023, was primarily due to the decrease of selling and marketing costs as a percent of revenue related to more efficient marketing spend and lower personnel and overhead costs.</w:t>
      </w:r>
    </w:p>
    <w:p>
      <w:pPr>
        <w:spacing w:after="0" w:line="178" w:lineRule="exact"/>
        <w:rPr>
          <w:sz w:val="20"/>
          <w:szCs w:val="20"/>
          <w:color w:val="auto"/>
        </w:rPr>
      </w:pPr>
    </w:p>
    <w:p>
      <w:pPr>
        <w:jc w:val="right"/>
        <w:ind w:right="9560"/>
        <w:spacing w:after="0"/>
        <w:rPr>
          <w:sz w:val="20"/>
          <w:szCs w:val="20"/>
          <w:color w:val="auto"/>
        </w:rPr>
      </w:pPr>
      <w:r>
        <w:rPr>
          <w:rFonts w:ascii="Times New Roman" w:cs="Times New Roman" w:eastAsia="Times New Roman" w:hAnsi="Times New Roman"/>
          <w:sz w:val="18"/>
          <w:szCs w:val="18"/>
          <w:b w:val="1"/>
          <w:bCs w:val="1"/>
          <w:color w:val="auto"/>
        </w:rPr>
        <w:t>Consolidated Expenses</w:t>
      </w:r>
    </w:p>
    <w:p>
      <w:pPr>
        <w:spacing w:after="0" w:line="117" w:lineRule="exact"/>
        <w:rPr>
          <w:sz w:val="20"/>
          <w:szCs w:val="20"/>
          <w:color w:val="auto"/>
        </w:rPr>
      </w:pPr>
    </w:p>
    <w:p>
      <w:pPr>
        <w:jc w:val="right"/>
        <w:ind w:right="96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Cost of revenue consists of expenses that are directly related or closely correlated to revenue generation, including direct costs, such as credit card and other booking transaction payment fees, data center costs, media production costs, ad serving fees, and other revenue generating costs. In addition, cost of revenue includes personnel and overhead expenses, including salaries, benefits, stock-based compensation and bonuses for certain customer support personnel who are directly involved in revenue generation.</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720" w:type="dxa"/>
            <w:vAlign w:val="bottom"/>
            <w:gridSpan w:val="2"/>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Pr>
          <w:p>
            <w:pPr>
              <w:spacing w:after="0"/>
              <w:rPr>
                <w:sz w:val="20"/>
                <w:szCs w:val="20"/>
                <w:color w:val="auto"/>
              </w:rPr>
            </w:pPr>
          </w:p>
        </w:tc>
        <w:tc>
          <w:tcPr>
            <w:tcW w:w="1420" w:type="dxa"/>
            <w:vAlign w:val="bottom"/>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51"/>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1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1"/>
                <w:szCs w:val="21"/>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3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 of revenue</w:t>
            </w: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tcPr>
          <w:p>
            <w:pPr>
              <w:spacing w:after="0"/>
              <w:rPr>
                <w:sz w:val="20"/>
                <w:szCs w:val="20"/>
                <w:color w:val="auto"/>
              </w:rPr>
            </w:pPr>
          </w:p>
        </w:tc>
        <w:tc>
          <w:tcPr>
            <w:tcW w:w="1420" w:type="dxa"/>
            <w:vAlign w:val="bottom"/>
            <w:tcBorders>
              <w:bottom w:val="single" w:sz="8" w:color="auto"/>
            </w:tcBorders>
          </w:tcPr>
          <w:p>
            <w:pPr>
              <w:jc w:val="right"/>
              <w:ind w:right="123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of revenue</w:t>
            </w: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8.9 %</w:t>
            </w:r>
          </w:p>
        </w:tc>
        <w:tc>
          <w:tcPr>
            <w:tcW w:w="14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7.8 %</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ind w:right="220" w:firstLine="509"/>
        <w:spacing w:after="0" w:line="260" w:lineRule="auto"/>
        <w:rPr>
          <w:sz w:val="20"/>
          <w:szCs w:val="20"/>
          <w:color w:val="auto"/>
        </w:rPr>
      </w:pPr>
      <w:r>
        <w:rPr>
          <w:rFonts w:ascii="Times New Roman" w:cs="Times New Roman" w:eastAsia="Times New Roman" w:hAnsi="Times New Roman"/>
          <w:sz w:val="18"/>
          <w:szCs w:val="18"/>
          <w:color w:val="auto"/>
        </w:rPr>
        <w:t>Cost of revenue increased $6 million during the three months ended March 31, 2024 when compared to the same period in 2023, primarily due to increased direct costs from credit card payment processing fees and other revenue-related transaction costs in our Viator segment in direct correlation with the increase in revenue, as Viator serves as the merchant of record for the significant majority of its experience booking transactions, as well as increased direct revenue generation costs related to data center costs and media production costs in our Brand Tripadvisor segment.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5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Selling and marketing expenses consist of direct costs, including traffic generation costs from paid online traffic acquisition costs (including SEM and other online traffic acquisition costs), syndication costs and affiliate marketing commissions, social media costs, brand advertising (including television and other offline advertising), promotions and public relations. In addition, our selling and marketing expenses consist of indirect costs such as personnel and overhead expenses, including salaries, commissions, benefits, stock-based compensation, bonuses for sales, sales support, customer support and marketing employees.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680" w:type="dxa"/>
            <w:vAlign w:val="bottom"/>
            <w:gridSpan w:val="2"/>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costs</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00" w:type="dxa"/>
            <w:vAlign w:val="bottom"/>
          </w:tcPr>
          <w:p>
            <w:pPr>
              <w:spacing w:after="0"/>
              <w:rPr>
                <w:sz w:val="20"/>
                <w:szCs w:val="20"/>
                <w:color w:val="auto"/>
              </w:rPr>
            </w:pP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tcPr>
          <w:p>
            <w:pPr>
              <w:spacing w:after="0"/>
              <w:rPr>
                <w:sz w:val="20"/>
                <w:szCs w:val="20"/>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51"/>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1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21"/>
                <w:szCs w:val="21"/>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36"/>
        </w:trPr>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selling and marketing</w:t>
            </w: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00" w:type="dxa"/>
            <w:vAlign w:val="bottom"/>
          </w:tcPr>
          <w:p>
            <w:pPr>
              <w:spacing w:after="0"/>
              <w:rPr>
                <w:sz w:val="20"/>
                <w:szCs w:val="20"/>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40" w:type="dxa"/>
            <w:vAlign w:val="bottom"/>
          </w:tcPr>
          <w:p>
            <w:pPr>
              <w:spacing w:after="0"/>
              <w:rPr>
                <w:sz w:val="20"/>
                <w:szCs w:val="20"/>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of revenue</w:t>
            </w: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55.9 %</w:t>
            </w:r>
          </w:p>
        </w:tc>
        <w:tc>
          <w:tcPr>
            <w:tcW w:w="1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59.0 %</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jc w:val="both"/>
        <w:ind w:right="100" w:firstLine="509"/>
        <w:spacing w:after="0" w:line="258" w:lineRule="auto"/>
        <w:rPr>
          <w:sz w:val="20"/>
          <w:szCs w:val="20"/>
          <w:color w:val="auto"/>
        </w:rPr>
      </w:pPr>
      <w:r>
        <w:rPr>
          <w:rFonts w:ascii="Times New Roman" w:cs="Times New Roman" w:eastAsia="Times New Roman" w:hAnsi="Times New Roman"/>
          <w:sz w:val="18"/>
          <w:szCs w:val="18"/>
          <w:color w:val="auto"/>
        </w:rPr>
        <w:t>Direct selling and marketing costs increased $4 million during the three months ended March 31, 2024 when compared to the same period in 2023, while direct selling and marketing costs as a percentage of consolidated revenue was 43% during the three months ended March 31, 2024, a slight decrease from 44% when compared to the same period in 2023. This incremental expense was primarily driven by an increase in paid online traffic acquisition costs, including SEM and other paid online traffic acquisition spend, incurred within our Viator segment to capture strong consumer demand, including increased investment within our Viator segment to grow market share, partially offset by a decrease in SEM spend in our Brand Tripadvisor segment.</w:t>
      </w:r>
    </w:p>
    <w:p>
      <w:pPr>
        <w:spacing w:after="0" w:line="182" w:lineRule="exact"/>
        <w:rPr>
          <w:sz w:val="20"/>
          <w:szCs w:val="20"/>
          <w:color w:val="auto"/>
        </w:rPr>
      </w:pPr>
    </w:p>
    <w:p>
      <w:pPr>
        <w:ind w:right="560" w:firstLine="509"/>
        <w:spacing w:after="0" w:line="260" w:lineRule="auto"/>
        <w:rPr>
          <w:sz w:val="20"/>
          <w:szCs w:val="20"/>
          <w:color w:val="auto"/>
        </w:rPr>
      </w:pPr>
      <w:r>
        <w:rPr>
          <w:rFonts w:ascii="Times New Roman" w:cs="Times New Roman" w:eastAsia="Times New Roman" w:hAnsi="Times New Roman"/>
          <w:sz w:val="18"/>
          <w:szCs w:val="18"/>
          <w:color w:val="auto"/>
        </w:rPr>
        <w:t>Personnel and overhead costs decreased $2 million during the three months ended March 31, 2024 when compared to the same period in 2023, primarily driven by a reduction in headcount related to our cost-reduction measures taken during 2023 in our Brand Tripadvisor segment.</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27" w:right="2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w:t>
      </w:r>
    </w:p>
    <w:p>
      <w:pPr>
        <w:spacing w:after="0" w:line="255" w:lineRule="exact"/>
        <w:rPr>
          <w:sz w:val="20"/>
          <w:szCs w:val="20"/>
          <w:color w:val="auto"/>
        </w:rPr>
      </w:pPr>
    </w:p>
    <w:p>
      <w:pPr>
        <w:ind w:right="260" w:firstLine="509"/>
        <w:spacing w:after="0" w:line="288" w:lineRule="auto"/>
        <w:rPr>
          <w:sz w:val="20"/>
          <w:szCs w:val="20"/>
          <w:color w:val="auto"/>
        </w:rPr>
      </w:pPr>
      <w:r>
        <w:rPr>
          <w:rFonts w:ascii="Times New Roman" w:cs="Times New Roman" w:eastAsia="Times New Roman" w:hAnsi="Times New Roman"/>
          <w:sz w:val="17"/>
          <w:szCs w:val="17"/>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platform. Other costs include licensing, maintenance, computer supplies, telecom, content translation and localization, and consulting costs.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2"/>
          </w:tcPr>
          <w:p>
            <w:pPr>
              <w:jc w:val="right"/>
              <w:ind w:right="976"/>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Personnel and overhead</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20"/>
                <w:szCs w:val="20"/>
                <w:color w:val="auto"/>
              </w:rPr>
            </w:pP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51"/>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1"/>
                <w:szCs w:val="21"/>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6"/>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technology and content</w:t>
            </w: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60" w:type="dxa"/>
            <w:vAlign w:val="bottom"/>
          </w:tcPr>
          <w:p>
            <w:pPr>
              <w:spacing w:after="0"/>
              <w:rPr>
                <w:sz w:val="20"/>
                <w:szCs w:val="20"/>
                <w:color w:val="auto"/>
              </w:rPr>
            </w:pPr>
          </w:p>
        </w:tc>
        <w:tc>
          <w:tcPr>
            <w:tcW w:w="1240" w:type="dxa"/>
            <w:vAlign w:val="bottom"/>
            <w:tcBorders>
              <w:bottom w:val="single" w:sz="8" w:color="auto"/>
            </w:tcBorders>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 of revenue</w:t>
            </w: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19.2 %</w:t>
            </w:r>
          </w:p>
        </w:tc>
        <w:tc>
          <w:tcPr>
            <w:tcW w:w="1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18.3 %</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ind w:right="500" w:firstLine="584"/>
        <w:spacing w:after="0" w:line="265" w:lineRule="auto"/>
        <w:rPr>
          <w:sz w:val="20"/>
          <w:szCs w:val="20"/>
          <w:color w:val="auto"/>
        </w:rPr>
      </w:pPr>
      <w:r>
        <w:rPr>
          <w:rFonts w:ascii="Times New Roman" w:cs="Times New Roman" w:eastAsia="Times New Roman" w:hAnsi="Times New Roman"/>
          <w:sz w:val="18"/>
          <w:szCs w:val="18"/>
          <w:color w:val="auto"/>
        </w:rPr>
        <w:t>Technology and content costs increased $8 million during the three months ended March 31, 2024 when compared to the same period in 2023, primarily due to increased personnel and overhead costs resulting from additional headcount to support business growth within the Viator and Brand Tripadvisor segments.</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55"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operating costs including bad debt expense, non-income taxes, such as sales, use, digital services, and other non-income related taxes.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 vs. 2023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680" w:type="dxa"/>
            <w:vAlign w:val="bottom"/>
            <w:gridSpan w:val="2"/>
          </w:tcPr>
          <w:p>
            <w:pPr>
              <w:jc w:val="right"/>
              <w:ind w:right="1096"/>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680" w:type="dxa"/>
            <w:vAlign w:val="bottom"/>
          </w:tcPr>
          <w:p>
            <w:pPr>
              <w:jc w:val="right"/>
              <w:ind w:right="2850"/>
              <w:spacing w:after="0"/>
              <w:rPr>
                <w:sz w:val="20"/>
                <w:szCs w:val="20"/>
                <w:color w:val="auto"/>
              </w:rPr>
            </w:pPr>
            <w:r>
              <w:rPr>
                <w:rFonts w:ascii="Times New Roman" w:cs="Times New Roman" w:eastAsia="Times New Roman" w:hAnsi="Times New Roman"/>
                <w:sz w:val="18"/>
                <w:szCs w:val="18"/>
                <w:color w:val="auto"/>
                <w:w w:val="99"/>
              </w:rPr>
              <w:t>Personnel and overhead</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0"/>
                <w:szCs w:val="20"/>
                <w:color w:val="auto"/>
              </w:rPr>
            </w:pP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spacing w:after="0"/>
              <w:rPr>
                <w:sz w:val="20"/>
                <w:szCs w:val="20"/>
                <w:color w:val="auto"/>
              </w:rPr>
            </w:pP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51"/>
        </w:trPr>
        <w:tc>
          <w:tcPr>
            <w:tcW w:w="468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Professional service fees and other</w:t>
            </w:r>
          </w:p>
        </w:tc>
        <w:tc>
          <w:tcPr>
            <w:tcW w:w="1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6"/>
        </w:trPr>
        <w:tc>
          <w:tcPr>
            <w:tcW w:w="4680" w:type="dxa"/>
            <w:vAlign w:val="bottom"/>
          </w:tcPr>
          <w:p>
            <w:pPr>
              <w:jc w:val="right"/>
              <w:ind w:right="207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Pr>
          <w:p>
            <w:pPr>
              <w:spacing w:after="0"/>
              <w:rPr>
                <w:sz w:val="20"/>
                <w:szCs w:val="20"/>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0"/>
                <w:szCs w:val="20"/>
                <w:color w:val="auto"/>
              </w:rPr>
            </w:pPr>
          </w:p>
        </w:tc>
        <w:tc>
          <w:tcPr>
            <w:tcW w:w="2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0"/>
        </w:trPr>
        <w:tc>
          <w:tcPr>
            <w:tcW w:w="4680" w:type="dxa"/>
            <w:vAlign w:val="bottom"/>
            <w:vMerge w:val="restart"/>
          </w:tcPr>
          <w:p>
            <w:pPr>
              <w:jc w:val="right"/>
              <w:ind w:right="3430"/>
              <w:spacing w:after="0"/>
              <w:rPr>
                <w:sz w:val="20"/>
                <w:szCs w:val="20"/>
                <w:color w:val="auto"/>
              </w:rPr>
            </w:pPr>
            <w:r>
              <w:rPr>
                <w:rFonts w:ascii="Times New Roman" w:cs="Times New Roman" w:eastAsia="Times New Roman" w:hAnsi="Times New Roman"/>
                <w:sz w:val="18"/>
                <w:szCs w:val="18"/>
                <w:color w:val="auto"/>
              </w:rPr>
              <w:t>% of revenue</w:t>
            </w:r>
          </w:p>
        </w:tc>
        <w:tc>
          <w:tcPr>
            <w:tcW w:w="1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14.2 %</w:t>
            </w:r>
          </w:p>
        </w:tc>
        <w:tc>
          <w:tcPr>
            <w:tcW w:w="13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12.9 %</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-644525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-327660</wp:posOffset>
            </wp:positionV>
            <wp:extent cx="7132320" cy="1797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86" w:lineRule="exact"/>
        <w:rPr>
          <w:sz w:val="20"/>
          <w:szCs w:val="20"/>
          <w:color w:val="auto"/>
        </w:rPr>
      </w:pPr>
    </w:p>
    <w:p>
      <w:pPr>
        <w:ind w:right="320" w:firstLine="509"/>
        <w:spacing w:after="0" w:line="256" w:lineRule="auto"/>
        <w:rPr>
          <w:sz w:val="20"/>
          <w:szCs w:val="20"/>
          <w:color w:val="auto"/>
        </w:rPr>
      </w:pPr>
      <w:r>
        <w:rPr>
          <w:rFonts w:ascii="Times New Roman" w:cs="Times New Roman" w:eastAsia="Times New Roman" w:hAnsi="Times New Roman"/>
          <w:sz w:val="18"/>
          <w:szCs w:val="18"/>
          <w:color w:val="auto"/>
        </w:rPr>
        <w:t>General and administrative costs increased $8 million during the three months ended March 31, 2024 when compared to the same period in 2023. Professional service fees and other costs increased $9 million during the three months ended March 31, 2024 when compared to the same period in 2023, primarily due to an estimated accrual for the potential settlement of a regulatory related matter of $10 million during the first quarter of 2024, partially offset by a non-recurring cost incurred of $3 million related to previously capitalized transaction costs during the first quarter of 2023. Personnel and overhead costs decreased $1 million during the three months ended March 31, 2024 when compared to the same period in 2023, primarily driven by a reduction in headcount related to cost reduction measures taken during 2023 in our Brand Tripadvisor segment.</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right="380" w:firstLine="509"/>
        <w:spacing w:after="0" w:line="265" w:lineRule="auto"/>
        <w:rPr>
          <w:sz w:val="20"/>
          <w:szCs w:val="20"/>
          <w:color w:val="auto"/>
        </w:rPr>
      </w:pPr>
      <w:r>
        <w:rPr>
          <w:rFonts w:ascii="Times New Roman" w:cs="Times New Roman" w:eastAsia="Times New Roman" w:hAnsi="Times New Roman"/>
          <w:sz w:val="18"/>
          <w:szCs w:val="18"/>
          <w:color w:val="auto"/>
        </w:rPr>
        <w:t>Depreciation expense consists of depreciation on computer equipment, leasehold improvements, furniture, office equipment and other assets, and amortization of capitalized website development costs and right-of-use (“ROU”) assets related to our finance lease. Amortization consists of the amortization of definite-lived intangibles purchased in business acquisitions.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340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0" w:type="dxa"/>
            <w:vAlign w:val="bottom"/>
          </w:tcPr>
          <w:p>
            <w:pPr>
              <w:spacing w:after="0"/>
              <w:rPr>
                <w:sz w:val="14"/>
                <w:szCs w:val="14"/>
                <w:color w:val="auto"/>
              </w:rPr>
            </w:pPr>
          </w:p>
        </w:tc>
        <w:tc>
          <w:tcPr>
            <w:tcW w:w="13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100" w:type="dxa"/>
            <w:vAlign w:val="bottom"/>
            <w:gridSpan w:val="3"/>
            <w:shd w:val="clear" w:color="auto" w:fill="CFF0FC"/>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00" w:type="dxa"/>
            <w:vAlign w:val="bottom"/>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rPr>
                <w:sz w:val="20"/>
                <w:szCs w:val="20"/>
                <w:color w:val="auto"/>
              </w:rPr>
            </w:pPr>
          </w:p>
        </w:tc>
        <w:tc>
          <w:tcPr>
            <w:tcW w:w="1260" w:type="dxa"/>
            <w:vAlign w:val="bottom"/>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0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3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tcPr>
          <w:p>
            <w:pPr>
              <w:spacing w:after="0"/>
              <w:rPr>
                <w:sz w:val="20"/>
                <w:szCs w:val="20"/>
                <w:color w:val="auto"/>
              </w:rPr>
            </w:pPr>
          </w:p>
        </w:tc>
        <w:tc>
          <w:tcPr>
            <w:tcW w:w="1260" w:type="dxa"/>
            <w:vAlign w:val="bottom"/>
            <w:tcBorders>
              <w:bottom w:val="single" w:sz="8" w:color="auto"/>
            </w:tcBorders>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 of revenue</w:t>
            </w:r>
          </w:p>
        </w:tc>
        <w:tc>
          <w:tcPr>
            <w:tcW w:w="1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00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12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-147955</wp:posOffset>
            </wp:positionV>
            <wp:extent cx="570230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-336550</wp:posOffset>
            </wp:positionV>
            <wp:extent cx="596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-336550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6" w:lineRule="exact"/>
        <w:rPr>
          <w:sz w:val="20"/>
          <w:szCs w:val="20"/>
          <w:color w:val="auto"/>
        </w:rPr>
      </w:pPr>
    </w:p>
    <w:p>
      <w:pPr>
        <w:ind w:right="520" w:firstLine="509"/>
        <w:spacing w:after="0" w:line="260" w:lineRule="auto"/>
        <w:rPr>
          <w:sz w:val="20"/>
          <w:szCs w:val="20"/>
          <w:color w:val="auto"/>
        </w:rPr>
      </w:pPr>
      <w:r>
        <w:rPr>
          <w:rFonts w:ascii="Times New Roman" w:cs="Times New Roman" w:eastAsia="Times New Roman" w:hAnsi="Times New Roman"/>
          <w:sz w:val="18"/>
          <w:szCs w:val="18"/>
          <w:color w:val="auto"/>
        </w:rPr>
        <w:t>Depreciation and amortization increased $1 million during the three months ended March 31, 2024 when compared to the same period in 2023, primarily due to an increase in capitalized website development costs in previous periods.</w:t>
      </w:r>
    </w:p>
    <w:p>
      <w:pPr>
        <w:spacing w:after="0" w:line="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23" w:right="23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20" w:firstLine="509"/>
        <w:spacing w:after="0" w:line="281" w:lineRule="auto"/>
        <w:rPr>
          <w:sz w:val="20"/>
          <w:szCs w:val="20"/>
          <w:color w:val="auto"/>
        </w:rPr>
      </w:pPr>
      <w:r>
        <w:rPr>
          <w:rFonts w:ascii="Times New Roman" w:cs="Times New Roman" w:eastAsia="Times New Roman" w:hAnsi="Times New Roman"/>
          <w:sz w:val="18"/>
          <w:szCs w:val="18"/>
          <w:color w:val="auto"/>
        </w:rPr>
        <w:t>Interest expense primarily consists of interest incurred, commitment fees, and debt issuance cost amortization related to the Credit Facility, the 2025 Senior Notes, the 2026 Senior Notes, as well as imputed interest on finance leases.</w:t>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5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5000" w:type="dxa"/>
            <w:vAlign w:val="bottom"/>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6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w w:val="95"/>
              </w:rPr>
              <w:t>millions)</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(11 )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97"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 xml:space="preserve">Interest expense did not change materially during the three months ended March 31, 2024 when compared to the same period in 2023, as our capital structure did not change significantly. The majority of interest expense reported during the three months ended March 31, 2024 and 2023 was related to the 2025 Senior Notes.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the 2025 Senior Notes.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Interest income primarily consists of interest earned from available on demand bank deposits, term deposits, money market funds, and marketable securities, including amortization of discounts and premiums on our marketable securities.</w:t>
      </w:r>
    </w:p>
    <w:p>
      <w:pPr>
        <w:spacing w:after="0" w:line="6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342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13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2"/>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20" w:type="dxa"/>
            <w:vAlign w:val="bottom"/>
            <w:gridSpan w:val="2"/>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FF0FC"/>
          </w:tcPr>
          <w:p>
            <w:pPr>
              <w:spacing w:after="0"/>
              <w:rPr>
                <w:sz w:val="21"/>
                <w:szCs w:val="21"/>
                <w:color w:val="auto"/>
              </w:rPr>
            </w:pPr>
          </w:p>
        </w:tc>
      </w:tr>
    </w:tbl>
    <w:p>
      <w:pPr>
        <w:spacing w:after="0" w:line="197"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Interest income increased $2 million during the three months ended March 31, 2024 when compared to the same period in 2023, primarily due to an increase in the average amount of cash invested and increased interest rates received on bank deposits, as well as an increase in interest earned on money market funds during the quarter.</w:t>
      </w:r>
    </w:p>
    <w:p>
      <w:pPr>
        <w:spacing w:after="0" w:line="2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firstLine="509"/>
        <w:spacing w:after="0" w:line="265" w:lineRule="auto"/>
        <w:rPr>
          <w:sz w:val="20"/>
          <w:szCs w:val="20"/>
          <w:color w:val="auto"/>
        </w:rPr>
      </w:pPr>
      <w:r>
        <w:rPr>
          <w:rFonts w:ascii="Times New Roman" w:cs="Times New Roman" w:eastAsia="Times New Roman" w:hAnsi="Times New Roman"/>
          <w:sz w:val="18"/>
          <w:szCs w:val="18"/>
          <w:color w:val="auto"/>
        </w:rPr>
        <w:t>Other income (expense), net generally consists of net foreign exchange gains and losses, forward contract gains and losses, earnings/(losses) from equity method investments, gain/(loss) and impairments on non-marketable investments, gain/(loss) on sale/disposal of businesses, and other non-operating income (expenses).</w:t>
      </w:r>
    </w:p>
    <w:p>
      <w:pPr>
        <w:spacing w:after="0" w:line="7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3420" w:type="dxa"/>
            <w:vAlign w:val="bottom"/>
            <w:tcBorders>
              <w:bottom w:val="single" w:sz="8" w:color="auto"/>
            </w:tcBorders>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020" w:type="dxa"/>
            <w:vAlign w:val="bottom"/>
          </w:tcPr>
          <w:p>
            <w:pPr>
              <w:spacing w:after="0"/>
              <w:rPr>
                <w:sz w:val="14"/>
                <w:szCs w:val="14"/>
                <w:color w:val="auto"/>
              </w:rPr>
            </w:pPr>
          </w:p>
        </w:tc>
        <w:tc>
          <w:tcPr>
            <w:tcW w:w="13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2"/>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91"/>
              </w:rPr>
              <w:t>millions)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00" w:type="dxa"/>
            <w:vAlign w:val="bottom"/>
            <w:shd w:val="clear" w:color="auto" w:fill="CFF0FC"/>
          </w:tcPr>
          <w:p>
            <w:pPr>
              <w:jc w:val="right"/>
              <w:ind w:right="1122"/>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gridSpan w:val="3"/>
            <w:shd w:val="clear" w:color="auto" w:fill="CFF0FC"/>
          </w:tcPr>
          <w:p>
            <w:pPr>
              <w:jc w:val="right"/>
              <w:ind w:right="1128"/>
              <w:spacing w:after="0"/>
              <w:rPr>
                <w:sz w:val="20"/>
                <w:szCs w:val="20"/>
                <w:color w:val="auto"/>
              </w:rPr>
            </w:pPr>
            <w:r>
              <w:rPr>
                <w:rFonts w:ascii="Times New Roman" w:cs="Times New Roman" w:eastAsia="Times New Roman" w:hAnsi="Times New Roman"/>
                <w:sz w:val="18"/>
                <w:szCs w:val="18"/>
                <w:color w:val="auto"/>
              </w:rPr>
              <w:t>(3 )   $</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bl>
    <w:p>
      <w:pPr>
        <w:spacing w:after="0" w:line="197"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Other expense, net increased $2 million during the three months ended March 31, 2024 when compared to the same period in 2023, primarily due to net foreign exchange gains and losses incurred as a result of foreign currency movements.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6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94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Pr>
          <w:p>
            <w:pPr>
              <w:spacing w:after="0"/>
              <w:rPr>
                <w:sz w:val="14"/>
                <w:szCs w:val="14"/>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140" w:type="dxa"/>
            <w:vAlign w:val="bottom"/>
          </w:tcPr>
          <w:p>
            <w:pPr>
              <w:jc w:val="right"/>
              <w:ind w:right="982"/>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(43 )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20"/>
                <w:szCs w:val="20"/>
                <w:color w:val="auto"/>
              </w:rPr>
            </w:pPr>
          </w:p>
        </w:tc>
      </w:tr>
      <w:tr>
        <w:trPr>
          <w:trHeight w:val="238"/>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1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(268.8 %)</w:t>
            </w:r>
          </w:p>
        </w:tc>
        <w:tc>
          <w:tcPr>
            <w:tcW w:w="8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191" w:lineRule="exact"/>
        <w:rPr>
          <w:sz w:val="20"/>
          <w:szCs w:val="20"/>
          <w:color w:val="auto"/>
        </w:rPr>
      </w:pPr>
    </w:p>
    <w:p>
      <w:pPr>
        <w:ind w:firstLine="554"/>
        <w:spacing w:after="0" w:line="281" w:lineRule="auto"/>
        <w:rPr>
          <w:sz w:val="20"/>
          <w:szCs w:val="20"/>
          <w:color w:val="auto"/>
        </w:rPr>
      </w:pPr>
      <w:r>
        <w:rPr>
          <w:rFonts w:ascii="Times New Roman" w:cs="Times New Roman" w:eastAsia="Times New Roman" w:hAnsi="Times New Roman"/>
          <w:sz w:val="18"/>
          <w:szCs w:val="18"/>
          <w:color w:val="auto"/>
        </w:rPr>
        <w:t>Our first quarter of 2024 effective tax rate differs from the U.S. federal statutory rate of 21%, primarily as a result of a discrete item recorded during the quarter, as described below.</w:t>
      </w:r>
    </w:p>
    <w:p>
      <w:pPr>
        <w:spacing w:after="0" w:line="16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We recorded an income tax provision of $43 million for the three months ended March 31, 2024. The change in our income tax provision and our effective tax rate during the three months ended March 31, 2024, when compared to the same period in 2023, was primarily the result of an IRS audit settlement and the related adjustment to our existing transfer pricing income tax reserves for subsequent tax years, totaling a net of $42 million, recorded during the three months ended March 31, 2024. During the three months ended March 31, 2023, we recorded a net income tax expense of $55 million related to an IRS audit settlement and related adjustment to existing transfer pricing income tax reserves for subsequent tax years. Refer to “Note 8: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 the notes to our unaudited condensed consolidated financial statements in Item 1 in this Quarterly Report for further information.</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28"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4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43"/>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gridSpan w:val="3"/>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(59 )  $</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(73 )</w:t>
            </w:r>
          </w:p>
        </w:tc>
        <w:tc>
          <w:tcPr>
            <w:tcW w:w="140" w:type="dxa"/>
            <w:vAlign w:val="bottom"/>
          </w:tcPr>
          <w:p>
            <w:pPr>
              <w:spacing w:after="0"/>
              <w:rPr>
                <w:sz w:val="21"/>
                <w:szCs w:val="21"/>
                <w:color w:val="auto"/>
              </w:rPr>
            </w:pPr>
          </w:p>
        </w:tc>
      </w:tr>
      <w:tr>
        <w:trPr>
          <w:trHeight w:val="234"/>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margin</w:t>
            </w:r>
          </w:p>
        </w:tc>
        <w:tc>
          <w:tcPr>
            <w:tcW w:w="118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(19.7 %)</w:t>
            </w:r>
          </w:p>
        </w:tc>
      </w:tr>
    </w:tbl>
    <w:p>
      <w:pPr>
        <w:spacing w:after="0" w:line="206"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Net loss improved by $14 million during the three months ended March 31, 2024 when compared to the same period in 2023. The improvement in net loss was largely driven by increased revenue, as described in more detail above under “</w:t>
      </w:r>
      <w:r>
        <w:rPr>
          <w:rFonts w:ascii="Times New Roman" w:cs="Times New Roman" w:eastAsia="Times New Roman" w:hAnsi="Times New Roman"/>
          <w:sz w:val="18"/>
          <w:szCs w:val="18"/>
          <w:i w:val="1"/>
          <w:iCs w:val="1"/>
          <w:color w:val="auto"/>
        </w:rPr>
        <w:t>Revenue and Segment Information</w:t>
      </w:r>
      <w:r>
        <w:rPr>
          <w:rFonts w:ascii="Times New Roman" w:cs="Times New Roman" w:eastAsia="Times New Roman" w:hAnsi="Times New Roman"/>
          <w:sz w:val="18"/>
          <w:szCs w:val="18"/>
          <w:color w:val="auto"/>
        </w:rPr>
        <w:t>”, as well as a decrease in income tax expense of $15 million, as described in more detail above under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These improvements were largely offset by increased direct selling and marketing costs in response to strong consumer demand and investment to grow market share in our experiences offerings, increased direct costs from credit card payment and other revenue-related transaction costs in direct correlation with the increase in experiences revenue, increased personnel and overhead costs in technology and content to support the business growth, and an estimated accrual for the potential settlement of a regulatory related matter of $10 million, during the three months ended March 31, 2024, all of which is described in more detail above under “</w:t>
      </w:r>
      <w:r>
        <w:rPr>
          <w:rFonts w:ascii="Times New Roman" w:cs="Times New Roman" w:eastAsia="Times New Roman" w:hAnsi="Times New Roman"/>
          <w:sz w:val="18"/>
          <w:szCs w:val="18"/>
          <w:i w:val="1"/>
          <w:iCs w:val="1"/>
          <w:color w:val="auto"/>
        </w:rPr>
        <w:t>Consolidated Expenses.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also disclose consolidated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8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Adjusted EBITDA is also our segment profit measure and a key measure used by our management and Board of Directors to understand and evaluate the financial performance of our business and on which internal budgets and forecasts are based and approved. In particular, the exclusion of certain expenses in calculating Adjusted EBITDA can provide a useful measure for period-to-period comparisons and better enables management and investors to compare financial results between periods as these costs may vary independent of ongoing core business performance. Accordingly, we believe that Adjusted EBITDA provides useful information to investors and others in understanding and evaluating our operating results in the same manner as our management and Board of Directors. We define Adjusted EBITDA as net income (loss) plus: (1) (provision) benefit for income taxes; (2) other income (expense), net; (3) depreciation and amortization; (4) stock-based compensation and other stock-settled obligations; (5) goodwill, long-lived asset, and intangible assets impairments; (6) legal reserves and settlements; (7) restructuring and other related reorganization costs; and (8) non-recurring expenses and income.</w:t>
      </w:r>
    </w:p>
    <w:p>
      <w:pPr>
        <w:spacing w:after="0" w:line="186"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(loss) and our other GAAP results.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these limitations are:</w:t>
      </w:r>
    </w:p>
    <w:p>
      <w:pPr>
        <w:spacing w:after="0" w:line="117" w:lineRule="exact"/>
        <w:rPr>
          <w:sz w:val="20"/>
          <w:szCs w:val="20"/>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6"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6" w:lineRule="exact"/>
        <w:rPr>
          <w:rFonts w:ascii="Times New Roman" w:cs="Times New Roman" w:eastAsia="Times New Roman" w:hAnsi="Times New Roman"/>
          <w:sz w:val="18"/>
          <w:szCs w:val="18"/>
          <w:color w:val="auto"/>
        </w:rPr>
      </w:pPr>
    </w:p>
    <w:p>
      <w:pPr>
        <w:ind w:left="1400" w:right="60" w:hanging="374"/>
        <w:spacing w:after="0" w:line="281"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cash requirements necessary to service interest or principal payments on our debt;</w:t>
      </w:r>
    </w:p>
    <w:p>
      <w:pPr>
        <w:spacing w:after="0" w:line="5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 or other stock-settled obligations;</w:t>
      </w:r>
    </w:p>
    <w:p>
      <w:pPr>
        <w:spacing w:after="0" w:line="116" w:lineRule="exact"/>
        <w:rPr>
          <w:rFonts w:ascii="Times New Roman" w:cs="Times New Roman" w:eastAsia="Times New Roman" w:hAnsi="Times New Roman"/>
          <w:sz w:val="18"/>
          <w:szCs w:val="18"/>
          <w:color w:val="auto"/>
        </w:rPr>
      </w:pPr>
    </w:p>
    <w:p>
      <w:pPr>
        <w:ind w:left="1400" w:right="40" w:hanging="374"/>
        <w:spacing w:after="0" w:line="265"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9" w:lineRule="exact"/>
        <w:rPr>
          <w:rFonts w:ascii="Times New Roman" w:cs="Times New Roman" w:eastAsia="Times New Roman" w:hAnsi="Times New Roman"/>
          <w:sz w:val="18"/>
          <w:szCs w:val="18"/>
          <w:color w:val="auto"/>
        </w:rPr>
      </w:pPr>
    </w:p>
    <w:p>
      <w:pPr>
        <w:ind w:left="1400" w:right="20" w:hanging="374"/>
        <w:spacing w:after="0" w:line="281" w:lineRule="auto"/>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certain income and expenses not directly tied to the ongoing core operations of our business, such as legal reserves and settlements, restructuring and other related reorganization costs;</w:t>
      </w:r>
    </w:p>
    <w:p>
      <w:pPr>
        <w:spacing w:after="0" w:line="54"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tax payments that may represent a reduction in cash available to us;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31" w:right="379" w:bottom="1440" w:gutter="0" w:footer="0" w:header="0"/>
        </w:sectPr>
      </w:pPr>
    </w:p>
    <w:bookmarkStart w:id="32" w:name="page33"/>
    <w:bookmarkEnd w:id="32"/>
    <w:p>
      <w:pPr>
        <w:ind w:left="1400" w:right="560" w:hanging="374"/>
        <w:spacing w:after="0" w:line="281" w:lineRule="auto"/>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unaudited and does not conform to SEC Regulation S-X, and as a result such information may be presented differently in our future filings with the SEC; and</w:t>
      </w:r>
    </w:p>
    <w:p>
      <w:pPr>
        <w:spacing w:after="0" w:line="54" w:lineRule="exact"/>
        <w:rPr>
          <w:rFonts w:ascii="Times New Roman" w:cs="Times New Roman" w:eastAsia="Times New Roman" w:hAnsi="Times New Roman"/>
          <w:sz w:val="18"/>
          <w:szCs w:val="18"/>
          <w:color w:val="auto"/>
        </w:rPr>
      </w:pPr>
    </w:p>
    <w:p>
      <w:pPr>
        <w:ind w:left="1400" w:right="640" w:hanging="374"/>
        <w:spacing w:after="0" w:line="281" w:lineRule="auto"/>
        <w:tabs>
          <w:tab w:leader="none" w:pos="14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than we do, limiting its usefulness as a comparative measure.</w:t>
      </w:r>
    </w:p>
    <w:p>
      <w:pPr>
        <w:spacing w:after="0" w:line="163" w:lineRule="exact"/>
        <w:rPr>
          <w:sz w:val="20"/>
          <w:szCs w:val="20"/>
          <w:color w:val="auto"/>
        </w:rPr>
      </w:pPr>
    </w:p>
    <w:p>
      <w:pPr>
        <w:ind w:right="140" w:firstLine="509"/>
        <w:spacing w:after="0" w:line="281"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to Net income (loss), the most directly comparable financial measure calculated and presented in accordance with GAAP, for the periods presented: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60" w:type="dxa"/>
            <w:vAlign w:val="bottom"/>
          </w:tcPr>
          <w:p>
            <w:pPr>
              <w:spacing w:after="0"/>
              <w:rPr>
                <w:sz w:val="14"/>
                <w:szCs w:val="14"/>
                <w:color w:val="auto"/>
              </w:rPr>
            </w:pPr>
          </w:p>
        </w:tc>
        <w:tc>
          <w:tcPr>
            <w:tcW w:w="13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0"/>
        </w:trPr>
        <w:tc>
          <w:tcPr>
            <w:tcW w:w="6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8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(in</w:t>
            </w:r>
          </w:p>
        </w:tc>
        <w:tc>
          <w:tcPr>
            <w:tcW w:w="1260" w:type="dxa"/>
            <w:vAlign w:val="bottom"/>
            <w:gridSpan w:val="2"/>
          </w:tcPr>
          <w:p>
            <w:pPr>
              <w:jc w:val="right"/>
              <w:ind w:right="610"/>
              <w:spacing w:after="0" w:line="160"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4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360" w:type="dxa"/>
            <w:vAlign w:val="bottom"/>
          </w:tcPr>
          <w:p>
            <w:pPr>
              <w:jc w:val="right"/>
              <w:ind w:right="1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(59 )</w:t>
            </w:r>
          </w:p>
        </w:tc>
        <w:tc>
          <w:tcPr>
            <w:tcW w:w="8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(73 )</w:t>
            </w:r>
          </w:p>
        </w:tc>
      </w:tr>
      <w:tr>
        <w:trPr>
          <w:trHeight w:val="249"/>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Provision (benefit) for income taxes</w:t>
            </w:r>
          </w:p>
        </w:tc>
        <w:tc>
          <w:tcPr>
            <w:tcW w:w="1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FF0FC"/>
          </w:tcPr>
          <w:p>
            <w:pPr>
              <w:spacing w:after="0"/>
              <w:rPr>
                <w:sz w:val="21"/>
                <w:szCs w:val="21"/>
                <w:color w:val="auto"/>
              </w:rPr>
            </w:pP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Other expense (income), net</w:t>
            </w:r>
          </w:p>
        </w:tc>
        <w:tc>
          <w:tcPr>
            <w:tcW w:w="1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Add: Non-recurring (income) expense </w:t>
            </w:r>
            <w:r>
              <w:rPr>
                <w:rFonts w:ascii="Times New Roman" w:cs="Times New Roman" w:eastAsia="Times New Roman" w:hAnsi="Times New Roman"/>
                <w:sz w:val="14"/>
                <w:szCs w:val="14"/>
                <w:color w:val="auto"/>
              </w:rPr>
              <w:t>(1)</w:t>
            </w:r>
          </w:p>
        </w:tc>
        <w:tc>
          <w:tcPr>
            <w:tcW w:w="1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Restructuring and other related reorganization costs</w:t>
            </w:r>
          </w:p>
        </w:tc>
        <w:tc>
          <w:tcPr>
            <w:tcW w:w="1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Add: Legal reserves and settlements </w:t>
            </w:r>
            <w:r>
              <w:rPr>
                <w:rFonts w:ascii="Times New Roman" w:cs="Times New Roman" w:eastAsia="Times New Roman" w:hAnsi="Times New Roman"/>
                <w:sz w:val="14"/>
                <w:szCs w:val="14"/>
                <w:color w:val="auto"/>
              </w:rPr>
              <w:t>(2)</w:t>
            </w:r>
          </w:p>
        </w:tc>
        <w:tc>
          <w:tcPr>
            <w:tcW w:w="13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Stock-based compensation</w:t>
            </w:r>
          </w:p>
        </w:tc>
        <w:tc>
          <w:tcPr>
            <w:tcW w:w="1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r>
        <w:trPr>
          <w:trHeight w:val="243"/>
        </w:trPr>
        <w:tc>
          <w:tcPr>
            <w:tcW w:w="6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 Depreciation and amortization</w:t>
            </w:r>
          </w:p>
        </w:tc>
        <w:tc>
          <w:tcPr>
            <w:tcW w:w="13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360" w:type="dxa"/>
            <w:vAlign w:val="bottom"/>
            <w:tcBorders>
              <w:bottom w:val="single" w:sz="8" w:color="auto"/>
            </w:tcBorders>
          </w:tcPr>
          <w:p>
            <w:pPr>
              <w:jc w:val="right"/>
              <w:ind w:right="11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spacing w:after="0"/>
              <w:rPr>
                <w:sz w:val="20"/>
                <w:szCs w:val="20"/>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20"/>
        </w:trPr>
        <w:tc>
          <w:tcPr>
            <w:tcW w:w="6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-187960</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ind w:left="840" w:right="40" w:hanging="383"/>
        <w:spacing w:after="0" w:line="229" w:lineRule="auto"/>
        <w:tabs>
          <w:tab w:leader="none" w:pos="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expensed certain transaction costs of $1 million during the first quarter of 2024 to general and administrative expenses on our unaudited condensed consolidated statement of operations. The Company expensed $3 million of previously capitalized transaction costs during the first quarter of 2023 to general and administrative expenses on our unaudited condensed consolidated statement of operations. The Company considers such costs to be non-recurring in nature.</w:t>
      </w:r>
    </w:p>
    <w:p>
      <w:pPr>
        <w:ind w:left="840" w:right="320" w:hanging="383"/>
        <w:spacing w:after="0" w:line="237" w:lineRule="auto"/>
        <w:tabs>
          <w:tab w:leader="none" w:pos="8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estimated accrual for the potential settlement of a regulatory related matter of $10 million expensed during the first quarter of 2024 to general and administrative expenses on our unaudited condensed consolidated statement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 xml:space="preserve">For information on our relationship with LTRIP, which may be deemed to beneficially own equity securities representing approximately 57% of our voting power as of March 31, 2024, refer to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in the notes to our unaudited condensed consolidated financial statements in Item 1 in this Quarterly Report. We had no related party transactions with LTRIP during the three months ended March 31, 2024 and 2023.</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19" w:lineRule="exact"/>
        <w:rPr>
          <w:sz w:val="20"/>
          <w:szCs w:val="20"/>
          <w:color w:val="auto"/>
        </w:rPr>
      </w:pPr>
    </w:p>
    <w:p>
      <w:pPr>
        <w:ind w:right="1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Stock Based Awards and Other Equity Instruments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current year equity award activity, including the issuance of approximately 4.9 million service-based RSUs with a weighted average grant-date fair value of $26.84 during the three months ended March 31, 2024.</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flow generated from operations and our existing cash and cash equivalents balance. Our liquidity needs can also be met through drawdowns under the Credit Facility. As of March 31, 2024 and December 31, 2023, we had approximately $1.2 billion and $1.1 billion, respectively, of cash and cash equivalents, and $497 million of available borrowing capacity under the Credit Facility. As of March 31, 2024, approximately $192 million of our cash and cash equivalents were held by our international subsidiaries outside of the U.S., of which approximately 35% was located in the U.K. As of March 31, 2024, the significant majority of our cash was denominated in U.S. dollars.</w:t>
      </w:r>
    </w:p>
    <w:p>
      <w:pPr>
        <w:spacing w:after="0" w:line="182"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As of March 31, 2024, we had $469 million of cumulative undistributed earnings in foreign subsidiaries that are no longer considered to be indefinitely reinvested. As of March 31, 2024, we maintained a deferred income tax liability on our unaudited condensed consolidated balance sheet, which was not material, for the U.S. federal and state income tax and foreign withholding tax liabilities on the cumulative undistributed foreign earnings that we no longer consider indefinitely reinvested.</w:t>
      </w:r>
    </w:p>
    <w:p>
      <w:pPr>
        <w:spacing w:after="0" w:line="182"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As of March 31, 2024, we are party to a credit agreement, which, among other things, provides for a $500 million revolving credit facility (the “Credit Facility”) with a maturity date of June 29, 2028 (unless, on any date that is 91 days prior to the final scheduled maturity date in respect of any indebtedness outstanding under certain “specified debt,” the aggregate outstanding principal amount of such specified debt is $200 million or more, then the maturity date will be such business day). As of March 31, 2024 and December 31, 2023, we had no outstanding borrowings under the Credit Facility. We are required to pay a quarterly commitment fee,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33" w:name="page34"/>
    <w:bookmarkEnd w:id="33"/>
    <w:p>
      <w:pPr>
        <w:ind w:right="100"/>
        <w:spacing w:after="0" w:line="255" w:lineRule="auto"/>
        <w:rPr>
          <w:sz w:val="20"/>
          <w:szCs w:val="20"/>
          <w:color w:val="auto"/>
        </w:rPr>
      </w:pPr>
      <w:r>
        <w:rPr>
          <w:rFonts w:ascii="Times New Roman" w:cs="Times New Roman" w:eastAsia="Times New Roman" w:hAnsi="Times New Roman"/>
          <w:sz w:val="18"/>
          <w:szCs w:val="18"/>
          <w:color w:val="auto"/>
        </w:rPr>
        <w:t>at an applicable rate ranging from 0.25% to 0.40%, on the daily unused portion of the Credit Facility for each fiscal quarter and in connection with the issuance of letters of credit. As of March 31, 2024, our unused revolver capacity was subject to a commitment fee of 0.25%, given the Company’s total net leverage ratio. The Credit Facility, among other things, requires us to maintain a maximum total net leverage ratio and contains certain customary affirmative and negative covenants and events of default, including for a change of control. As of March 31, 2024 and December 31, 2023, we were in compliance with our covenant requirements in effect under the Credit Facility. While there can be no assurance that we will be able to meet the total net leverage ratio covenant in the future, based on our current projections, we do not believe there is a material risk that we will not remain in compliance throughout the next twelve months.</w:t>
      </w:r>
    </w:p>
    <w:p>
      <w:pPr>
        <w:spacing w:after="0" w:line="187"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the Company had an aggregate outstanding principal amount of $845 million in long-term debt, as a result of the 2025 Senior Notes and 2026 Senior Notes, as discussed below.</w:t>
      </w:r>
    </w:p>
    <w:p>
      <w:pPr>
        <w:spacing w:after="0" w:line="163"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July 2020, the Company completed the sale of $500 million in 2025 Senior Notes. The 2025 Senior Notes provide, among other things, that interest, at an interest rate of 7.0% per annum, is payable on January 15 and July 15 of each year, until their maturity on July 15, 2025. The 2025 Senior Notes are senior unsecured obligations of the Company, although unconditionally guaranteed on a joint and several basis by certain of the Company’s domestic subsidiaries. In March 2021, the Company completed the sale of $345 million of the 2026 Senior Notes. The 2026 Senior Notes provide, among other things, that interest, at an interest rate of 0.25% per annum, is payable on April 1 and October 1 of each year, until their maturity on April 1, 2026. The 2026 Senior Notes are senior unsecured obligations of the Company, although unconditionally guaranteed on a joint and several basis, by certain of the Company’s domestic subsidiaries.</w:t>
      </w:r>
    </w:p>
    <w:p>
      <w:pPr>
        <w:spacing w:after="0" w:line="187"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2025 Senior Notes and 2026 Senior Notes are not registered securities and there are currently no plans to register these notes as securities in the future. We may from time to time repurchase the 2025 Senior Notes or 2026 Senior Notes through tender offers, open market purchases, privately negotiated transactions or otherwise. Such repurchases, if any, will depend on prevailing market conditions, liquidity requirements, contractual restrictions and other factors.</w:t>
      </w:r>
    </w:p>
    <w:p>
      <w:pPr>
        <w:spacing w:after="0" w:line="180" w:lineRule="exact"/>
        <w:rPr>
          <w:sz w:val="20"/>
          <w:szCs w:val="20"/>
          <w:color w:val="auto"/>
        </w:rPr>
      </w:pPr>
    </w:p>
    <w:p>
      <w:pPr>
        <w:ind w:right="740" w:firstLine="509"/>
        <w:spacing w:after="0" w:line="283" w:lineRule="auto"/>
        <w:rPr>
          <w:sz w:val="20"/>
          <w:szCs w:val="20"/>
          <w:color w:val="auto"/>
        </w:rPr>
      </w:pPr>
      <w:r>
        <w:rPr>
          <w:rFonts w:ascii="Times New Roman" w:cs="Times New Roman" w:eastAsia="Times New Roman" w:hAnsi="Times New Roman"/>
          <w:sz w:val="18"/>
          <w:szCs w:val="18"/>
          <w:color w:val="auto"/>
        </w:rPr>
        <w:t xml:space="preserve">For further information related to the Credit Facility, 2025 Senior Notes, and 2026 Senior Notes,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 Item 1 in this Quarterly Report.</w:t>
      </w:r>
    </w:p>
    <w:p>
      <w:pPr>
        <w:spacing w:after="0" w:line="16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September 7, 2023, our Board of Directors authorized the repurchase of $250 million in shares of our common stock under a share repurchase program. This share repurchase program, which has a term of two years, does not obligate the Company to acquire any particular number of shares and may be modified, suspended or discontinued at any time. During the three months ended March 31, 2024, the Company did not repurchase any shares of outstanding common stock under the share repurchase program. As of March 31, 2024, we had $225 million remaining available to repurchase shares of our common stock under this share repurchase program.</w:t>
      </w:r>
    </w:p>
    <w:p>
      <w:pPr>
        <w:spacing w:after="0" w:line="18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business typically experiences seasonal fluctuations that affect the timing of our annual cash flows during the year related to working capital. As a result of our experience bookings, we generally receive cash from travelers at the time of booking or prior to the occurrence of an experience, and we record these amounts, net of commissions, on our consolidated balance sheet as deferred merchant payables. We pay the experience operator, or the supplier, after the travelers’ use. Therefore, we generally receive cash from the traveler prior to paying the experience operator and this operating cycle represents a source or use of cash to us. During the first half of the year, experiences bookings typically exceed the amount of completed experiences, resulting in higher cash flow related to working capital, while during the second half of the year, particularly in the third quarter, this pattern reverses and cash flows from these transactions are typically negative. </w:t>
      </w:r>
      <w:r>
        <w:rPr>
          <w:rFonts w:ascii="Times New Roman" w:cs="Times New Roman" w:eastAsia="Times New Roman" w:hAnsi="Times New Roman"/>
          <w:sz w:val="18"/>
          <w:szCs w:val="18"/>
          <w:color w:val="231F20"/>
        </w:rPr>
        <w:t>Other factors may also impact typical seasonal fluctuations, such as significant shifts in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business mix, adverse economic conditions, public health-related events, as well as other factors, </w:t>
      </w:r>
      <w:r>
        <w:rPr>
          <w:rFonts w:ascii="Times New Roman" w:cs="Times New Roman" w:eastAsia="Times New Roman" w:hAnsi="Times New Roman"/>
          <w:sz w:val="18"/>
          <w:szCs w:val="18"/>
          <w:color w:val="000000"/>
        </w:rPr>
        <w:t>that could result in future seasonal patterns that 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different from historical trends. In addition, new or different payment options offered to our customers could impact the timing of cash flows. For example, our “Reserve Now, Pay Later” payment option, which allows our travelers the option to reserve certain experiences and defer payment until a date no later than two days before the experience date. Usage of this payment option may continue to increase, though it is still not used in a majority of bookings to date, and affect the timing of our future cash flows and working capital.</w:t>
      </w:r>
    </w:p>
    <w:p>
      <w:pPr>
        <w:spacing w:after="0" w:line="18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we received a final notice regarding a MAP resolution agreement for the 2014 through 2016 tax years in January 2024, which the Company subsequently accepted in February 2024. We anticipate that accepting this MAP resolution agreement will result in an estimated net operating cash outflow of $110 million to $120 million, inclusive of related interest expense, to be substantially settled by the Company during the second quarter of 2024.</w:t>
      </w:r>
    </w:p>
    <w:p>
      <w:pPr>
        <w:spacing w:after="0" w:line="180" w:lineRule="exact"/>
        <w:rPr>
          <w:sz w:val="20"/>
          <w:szCs w:val="20"/>
          <w:color w:val="auto"/>
        </w:rPr>
      </w:pPr>
    </w:p>
    <w:p>
      <w:pPr>
        <w:jc w:val="both"/>
        <w:ind w:right="420" w:firstLine="509"/>
        <w:spacing w:after="0" w:line="257" w:lineRule="auto"/>
        <w:rPr>
          <w:sz w:val="20"/>
          <w:szCs w:val="20"/>
          <w:color w:val="auto"/>
        </w:rPr>
      </w:pPr>
      <w:r>
        <w:rPr>
          <w:rFonts w:ascii="Times New Roman" w:cs="Times New Roman" w:eastAsia="Times New Roman" w:hAnsi="Times New Roman"/>
          <w:sz w:val="18"/>
          <w:szCs w:val="18"/>
          <w:color w:val="auto"/>
        </w:rPr>
        <w:t>In addition, we received an issue closure notice from HMRC in the U.K. relating to adjustments for the 2012 through 2016 tax years in January 2021. These proposed adjustments are related to certain transfer pricing arrangements with our foreign subsidiaries and would result in an increase to income tax expense in an estimated range of $25 million to $35 million, exclusive of interest</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34" w:name="page35"/>
    <w:bookmarkEnd w:id="34"/>
    <w:p>
      <w:pPr>
        <w:ind w:right="260"/>
        <w:spacing w:after="0" w:line="281" w:lineRule="auto"/>
        <w:rPr>
          <w:sz w:val="20"/>
          <w:szCs w:val="20"/>
          <w:color w:val="auto"/>
        </w:rPr>
      </w:pPr>
      <w:r>
        <w:rPr>
          <w:rFonts w:ascii="Times New Roman" w:cs="Times New Roman" w:eastAsia="Times New Roman" w:hAnsi="Times New Roman"/>
          <w:sz w:val="18"/>
          <w:szCs w:val="18"/>
          <w:color w:val="auto"/>
        </w:rPr>
        <w:t>expense, at the close of the audit if HMRC prevails. Although the ultimate timing for resolution of this matter is uncertain, any future payments required would negatively impact our operating cash flows.</w:t>
      </w:r>
    </w:p>
    <w:p>
      <w:pPr>
        <w:spacing w:after="0" w:line="163"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8"/>
          <w:szCs w:val="18"/>
          <w:color w:val="auto"/>
        </w:rPr>
        <w:t>We believe that our available cash and cash equivalents will be sufficient to fund our foreseeable working capital requirements, capital expenditures, existing business growth initiatives, debt and interest obligations, lease commitments, and other financial commitments through at least the next twelve months. Our future capital requirements may also include capital needs for acquisitions and/or other expenditures in support of our business strategy, which may potentially reduce our cash balance and/or require us to borrow under the Credit Facility or to seek other financing alternatives.</w:t>
      </w:r>
    </w:p>
    <w:p>
      <w:pPr>
        <w:spacing w:after="0" w:line="182"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Our cash flows for the three months ended March 31, 2024 and 2023, as reflected in our unaudited condensed consolidated statements of cash flows, are summarized in the following table: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920" w:type="dxa"/>
            <w:vAlign w:val="bottom"/>
          </w:tcPr>
          <w:p>
            <w:pPr>
              <w:spacing w:after="0"/>
              <w:rPr>
                <w:sz w:val="14"/>
                <w:szCs w:val="14"/>
                <w:color w:val="auto"/>
              </w:rPr>
            </w:pPr>
          </w:p>
        </w:tc>
        <w:tc>
          <w:tcPr>
            <w:tcW w:w="15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920" w:type="dxa"/>
            <w:vAlign w:val="bottom"/>
            <w:shd w:val="clear" w:color="auto" w:fill="CFF0FC"/>
          </w:tcPr>
          <w:p>
            <w:pPr>
              <w:spacing w:after="0"/>
              <w:rPr>
                <w:sz w:val="14"/>
                <w:szCs w:val="14"/>
                <w:color w:val="auto"/>
              </w:rPr>
            </w:pPr>
          </w:p>
        </w:tc>
        <w:tc>
          <w:tcPr>
            <w:tcW w:w="1500" w:type="dxa"/>
            <w:vAlign w:val="bottom"/>
            <w:shd w:val="clear" w:color="auto" w:fill="CFF0FC"/>
          </w:tcPr>
          <w:p>
            <w:pPr>
              <w:spacing w:after="0"/>
              <w:rPr>
                <w:sz w:val="14"/>
                <w:szCs w:val="14"/>
                <w:color w:val="auto"/>
              </w:rPr>
            </w:pPr>
          </w:p>
        </w:tc>
        <w:tc>
          <w:tcPr>
            <w:tcW w:w="2220" w:type="dxa"/>
            <w:vAlign w:val="bottom"/>
            <w:gridSpan w:val="3"/>
            <w:shd w:val="clear" w:color="auto" w:fill="CFF0FC"/>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50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3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r>
      <w:tr>
        <w:trPr>
          <w:trHeight w:val="238"/>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5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(16 )</w:t>
            </w:r>
          </w:p>
        </w:tc>
        <w:tc>
          <w:tcPr>
            <w:tcW w:w="9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r>
      <w:tr>
        <w:trPr>
          <w:trHeight w:val="247"/>
        </w:trPr>
        <w:tc>
          <w:tcPr>
            <w:tcW w:w="5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5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(12 )</w:t>
            </w:r>
          </w:p>
        </w:tc>
        <w:tc>
          <w:tcPr>
            <w:tcW w:w="90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bl>
    <w:p>
      <w:pPr>
        <w:spacing w:after="0" w:line="197" w:lineRule="exact"/>
        <w:rPr>
          <w:sz w:val="20"/>
          <w:szCs w:val="20"/>
          <w:color w:val="auto"/>
        </w:rPr>
      </w:pPr>
    </w:p>
    <w:p>
      <w:pPr>
        <w:jc w:val="both"/>
        <w:ind w:right="100" w:firstLine="509"/>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our primary source of cash was from operations, while our primary use of cash was from financing activities (including payment of withholding taxes on net share settlements of our equity awards of $10 million), and investing activities (including capital expenditures of $16 million). This use of cash was funded with cash and cash equivalents and cash flows from operations.</w:t>
      </w:r>
    </w:p>
    <w:p>
      <w:pPr>
        <w:spacing w:after="0" w:line="177"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2023, our primary source of cash was from operations, while our primary use of cash was from financing activities (including payment of withholding taxes on net share settlements of our equity awards of $9 million), and investing activities (including capital expenditures of $16 million). This use of cash was funded with cash and cash equivalents and cash flows from operations.</w:t>
      </w:r>
    </w:p>
    <w:p>
      <w:pPr>
        <w:spacing w:after="0" w:line="177" w:lineRule="exact"/>
        <w:rPr>
          <w:sz w:val="20"/>
          <w:szCs w:val="20"/>
          <w:color w:val="auto"/>
        </w:rPr>
      </w:pPr>
    </w:p>
    <w:p>
      <w:pPr>
        <w:ind w:right="36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increased $4 million when compared to the same period in 2023, primarily due to an improvement in net losses of $14 million and an increase in non-cash items of $13 million, largely offset by a decrease in working capital of $23 million. The decrease in working capital was primarily driven by the timing of collection of cash from customers and timing of vendor payments, and to a lesser extent, an increase in cash received from deferred merchant payables resulting from cash received in advance for experiences bookings, reflecting experiences bookings growth and the timing of when cash is received from travelers and then remitted to experience operators.</w:t>
      </w:r>
    </w:p>
    <w:p>
      <w:pPr>
        <w:spacing w:after="0" w:line="186"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Net cash used in investing and financing activities for the three months ended March 31, 2024 was materially consistent when compared to the same period in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Commercial Commitments and Off-Balance Sheet Arrangements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There have been no material changes outside the normal course of business to our contractual obligations and commercial commitments since December 31, 2023. As of March 31, 2024, other than our contractual obligations and commercial commitments, we did not have any off-balance sheet arrangements, as defined in Item 303(a)(4)(ii) of Regulation S-K promulgated by the SEC. Refer to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in Part II, Item 7. — Management’s Discussion and Analysis of Financial Condition and Results of Operations of our 2023 Annual Report for a discussion of our contractual obligations and commercial commitments.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right="100" w:firstLine="509"/>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are party to legal, regulatory and administrative matters, including threats thereof, arising out of or in connection with our operations. These matters may involve claims involving patent and other intellectual property rights (including privacy, alleged infringement of third-party intellectual property rights), tax matters (including value-added, excise, transient occupancy and accommodation taxes), regulatory compliance (including competition, consumer matters and data privacy), defamation and reputational claims. Periodically, we review the status of all significant outstanding matters to assess any potential financial exposure. When (i) it is probable that an asset has been impaired or a liability has been incurred; and (ii) the amount of the loss can be reasonably estimated and is material,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35" w:name="page36"/>
    <w:bookmarkEnd w:id="35"/>
    <w:p>
      <w:pPr>
        <w:ind w:right="280"/>
        <w:spacing w:after="0" w:line="260" w:lineRule="auto"/>
        <w:rPr>
          <w:sz w:val="20"/>
          <w:szCs w:val="20"/>
          <w:color w:val="auto"/>
        </w:rPr>
      </w:pPr>
      <w:r>
        <w:rPr>
          <w:rFonts w:ascii="Times New Roman" w:cs="Times New Roman" w:eastAsia="Times New Roman" w:hAnsi="Times New Roman"/>
          <w:sz w:val="18"/>
          <w:szCs w:val="18"/>
          <w:color w:val="auto"/>
        </w:rPr>
        <w:t>adverse decisions or settlements may occur, we do not believe that the final disposition of any of these matters will have a material adverse effect on our business, except for certain known income tax matters discussed below.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are under audit by the IRS and various other domestic and foreign tax authorities with regards to income tax and non-income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8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Refer to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and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 Item 1 in this Quarterly Report for further information on other potential contingencies, including ongoing audits by the IRS and various other domestic and foreign tax authorities, and other tax and legal matters.</w:t>
      </w:r>
    </w:p>
    <w:p>
      <w:pPr>
        <w:spacing w:after="0" w:line="17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Over the last several years, the Organization for Economic Cooperation and Development (“OECD”) has been developing its “two pillar” project to address certain perceived tax challenges arising from digitalization of the economy. This OECD project, if and however implemented by all participating countries, will result in significant changes to the international taxation system under which our current income tax obligations are determined. Pillar Two of this project calls for a minimum income tax rate on corporations of 15% and has begun to be implemented by a significant number of countries starting in 2024. The OECD and implementing countries are expected to continue to offer further guidance on the impact of Pillar Two on their respective local corporate income tax rules, however, such impact for the Company is not expected to be material at this time. The Company will continue to monitor developments to determine any potential impact of Pillar Two in the countries in which we operate.</w:t>
      </w:r>
    </w:p>
    <w:p>
      <w:pPr>
        <w:spacing w:after="0" w:line="187"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7"/>
          <w:szCs w:val="17"/>
          <w:color w:val="auto"/>
        </w:rPr>
        <w:t>Pillar One, which would reallocate profits from the largest and most profitable businesses to countries where the customers of those businesses are located, remains under discussion at the OECD, and its implementation remains uncertain. If implemented, Pillar One would potentially result in the removal of unilateral digital services tax initiatives, such as those enacted in France, Italy, Spain, and the U.K. In July 2023, more than 138 countries and jurisdictions agreed to refrain from imposing newly enacted digital service tax initiatives or similar measures before December 31, 2024, provided the Pillar One negotiations have made sufficient progress by the end of 2023. In December 2023, the OECD Inclusive Framework reaffirmed their commitment to achieve a consensus-based solution and to complete the multilateral agreement by June 2024, thereby extending the standstill on new digital service tax initiatives. Furthermore, certain U.S. states, such as Maryland, have deployed comparable digital services tax initiatives. We will continue to monitor these developments to determine the financial impact to the Company. During the three months ended March 31, 2024 and 2023, we recorded $3 million and $2 million, respectively, of digital service tax to general and administrative expense on our unaudited condensed consolidated statement of operations.</w:t>
      </w:r>
    </w:p>
    <w:p>
      <w:pPr>
        <w:spacing w:after="0" w:line="17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Due to the one-time transition tax on the deemed repatriation of undistributed foreign subsidiary earnings and profits in 2017, as a result of the 2017 Tax Act, the majority of previously unremitted earnings have been subjected to U.S. federal income tax. To the extent future distributions from these subsidiaries will be taxable, a deferred income tax liability has been accrued on our unaudited condensed consolidated balance sheet, which was not material as of March 31, 2024. As of March 31, 2024, $469 million of our cumulative undistributed foreign earnings were no longer considered to be indefinitely reinvested.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509"/>
        <w:spacing w:after="0" w:line="265" w:lineRule="auto"/>
        <w:rPr>
          <w:sz w:val="20"/>
          <w:szCs w:val="20"/>
          <w:color w:val="auto"/>
        </w:rPr>
      </w:pPr>
      <w:r>
        <w:rPr>
          <w:rFonts w:ascii="Times New Roman" w:cs="Times New Roman" w:eastAsia="Times New Roman" w:hAnsi="Times New Roman"/>
          <w:sz w:val="18"/>
          <w:szCs w:val="18"/>
          <w:color w:val="auto"/>
        </w:rPr>
        <w:t>There has been no material change in our market risk profile during the three months ended March 31, 2024 since December 31, 2023. For additional information about our market risk profile, refer to “Quantitative and Qualitative Disclosures About Market Risk” in Item 7A. in Part II of our 2023 Annual Report.</w:t>
      </w:r>
    </w:p>
    <w:p>
      <w:pPr>
        <w:spacing w:after="0" w:line="177"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Market risk refers to the risk of loss arising from adverse changes in stock prices, interest rates and foreign currency exchange rates. We are exposed to market risks primarily due to our international operations, our ongoing investment and financial activities, as well as changes in economic conditions in all significant markets in which we operate. The risk of loss can be assessed from the perspective of adverse changes in our future earnings, cash flows, fair values of our assets, and financial condition. Our exposure to market risk, at any point in time, may include risks related to any borrowings under the Credit Facility, outstanding debt related to the 2025 Senior Notes and 2026 Senior Notes, derivative instruments, capped calls, cash and cash equivalents, short-term and long-term marketable securities, if any, accounts receivable, intercompany receivables/payables, accounts payable, deferred merchant payables and other balances and transactions denominated in foreign currencies. We have established policies, procedures and internal processes governing our management of market risks and the use of financial instruments to manage and attempt to mitigate our exposure to such risks.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7" w:right="339" w:bottom="1440" w:gutter="0" w:footer="0" w:header="0"/>
        </w:sectPr>
      </w:pPr>
    </w:p>
    <w:bookmarkStart w:id="36" w:name="page37"/>
    <w:bookmarkEnd w:id="36"/>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expect that we will continue to increase our operations internationally. Our exposure to potentially volatile movements in foreign currency exchange rates will increase as we increase our operations in international markets. Foreign currency exchange rate movement is linked to variability in the macroeconomic environment such as inflation and interest rates, governmental actions, and geopolitical events such as regional conflicts. We regularly monitor the macroeconomic environment, which has seen some volatility from the conflict between Russia and Ukraine, sanctions and increased cyberattacks, and, more recently, the conflict in the Middle East. Developments in the macroeconomic environment could cause us to adjust our foreign currency risk strategies. Continued uncertainty regarding our international operations and U.K. and E.U. relations may result in future currency exchange rate volatility which may impact our business and results of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2024, our management, with the participation of our Chief Executive Officer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our Chief Financial Officer concluded that, as of March 31, 2024, our disclosure controls and procedures were effective in ensuring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our Chief Financial Officer, as appropriate to allow timely decisions regarding required disclosure.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that occurred during the quarter ended March 31, 2024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In the ordinary course of business, we are party to legal, regulatory and administrative matters, including threats thereof, arising out of, or in connection with our operations. These matters may involve claims involving, but not limited to, intellectual property rights (including privacy rights and alleged infringement of third-party intellectual property rights), tax matters (including value-added, excise, transient occupancy and accommodation taxes), regulatory compliance (including competition, consumer protection matters and data privacy or cybersecurity matters), defamation and reputational claims, personal injury claims, labor and employment matters and commercial disputes. Periodically, we review the status of all significant outstanding matters to assess any potential financial exposure. We record the estimated loss in our consolidated statements of operations when (i) it is probable that an asset has been impaired or a liability has been incurred; and (ii) the amount of the loss can be reasonably estimated and is material.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except for certain known income tax matters as discussed in “Note 8: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our unaudited condensed consolidated financial statements in Item 1 in this Quarterly Report.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Refer to Part I, Item 1A, “Risk Factors” in our 2023 Annual Report for a description of the risks and uncertainties which could materially and adversely affect our business, financial condition, cash flows and results of operations, and the trading price of our common stock. The risks and uncertainties described are not the only ones we face. Additional risks and uncertainties not presently known to us or that we currently believe are immaterial may also impair our business, results of operations or financial condition. During the quarter ended March 31, 2024, there have been no material changes in our risk factors from those disclosed in Part 1, Item 1A., “Risk Factors” in our 2023 Annual Report.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21"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During the quarter ended March 31, 2024,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121"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During the quarter ended March 31, 2024, we did not repurchase any shares of our common stock under our existing share repurchase program. As of March 31, 2024, we had $225 million remaining available to repurchase shares of our common stock under our existing authorized share repurchase program.</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During the first quarter of 2024, none of the Company’s directors or officers adopted or terminated a Rule 10b5-1 trading arrangement or a non-Rule 10b5-1 trading arrangement (each as defined in Item 408(c) of Regulation S-K).</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11"/>
          </w:tcPr>
          <w:p>
            <w:pPr>
              <w:ind w:left="520"/>
              <w:spacing w:after="0"/>
              <w:rPr>
                <w:sz w:val="20"/>
                <w:szCs w:val="20"/>
                <w:color w:val="auto"/>
              </w:rPr>
            </w:pPr>
            <w:r>
              <w:rPr>
                <w:rFonts w:ascii="Times New Roman" w:cs="Times New Roman" w:eastAsia="Times New Roman" w:hAnsi="Times New Roman"/>
                <w:sz w:val="18"/>
                <w:szCs w:val="18"/>
                <w:color w:val="auto"/>
              </w:rPr>
              <w:t>The exhibits listed below are filed as part of this Quarterly Report.</w:t>
            </w:r>
          </w:p>
        </w:tc>
        <w:tc>
          <w:tcPr>
            <w:tcW w:w="0" w:type="dxa"/>
            <w:vAlign w:val="bottom"/>
          </w:tcPr>
          <w:p>
            <w:pPr>
              <w:spacing w:after="0"/>
              <w:rPr>
                <w:sz w:val="1"/>
                <w:szCs w:val="1"/>
                <w:color w:val="auto"/>
              </w:rPr>
            </w:pPr>
          </w:p>
        </w:tc>
      </w:tr>
      <w:tr>
        <w:trPr>
          <w:trHeight w:val="419"/>
        </w:trPr>
        <w:tc>
          <w:tcPr>
            <w:tcW w:w="7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No.</w:t>
            </w:r>
          </w:p>
        </w:tc>
        <w:tc>
          <w:tcPr>
            <w:tcW w:w="1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8"/>
          </w:tcPr>
          <w:p>
            <w:pPr>
              <w:ind w:left="11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82"/>
        </w:trPr>
        <w:tc>
          <w:tcPr>
            <w:tcW w:w="7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5"/>
                <w:szCs w:val="15"/>
                <w:color w:val="auto"/>
              </w:rPr>
            </w:pPr>
          </w:p>
        </w:tc>
        <w:tc>
          <w:tcPr>
            <w:tcW w:w="3880" w:type="dxa"/>
            <w:vAlign w:val="bottom"/>
            <w:tcBorders>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Form of Restricted Stock Unit Agreement (Domestic)</w:t>
            </w:r>
          </w:p>
        </w:tc>
        <w:tc>
          <w:tcPr>
            <w:tcW w:w="20" w:type="dxa"/>
            <w:vAlign w:val="bottom"/>
            <w:tcBorders>
              <w:bottom w:val="single" w:sz="8" w:color="0000EE"/>
            </w:tcBorders>
          </w:tcPr>
          <w:p>
            <w:pPr>
              <w:spacing w:after="0"/>
              <w:rPr>
                <w:sz w:val="15"/>
                <w:szCs w:val="15"/>
                <w:color w:val="auto"/>
              </w:rPr>
            </w:pPr>
          </w:p>
        </w:tc>
        <w:tc>
          <w:tcPr>
            <w:tcW w:w="23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(International)</w:t>
            </w:r>
          </w:p>
        </w:tc>
        <w:tc>
          <w:tcPr>
            <w:tcW w:w="0" w:type="dxa"/>
            <w:vAlign w:val="bottom"/>
          </w:tcPr>
          <w:p>
            <w:pPr>
              <w:spacing w:after="0"/>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9"/>
                <w:szCs w:val="19"/>
                <w:color w:val="auto"/>
              </w:rPr>
            </w:pPr>
          </w:p>
        </w:tc>
        <w:tc>
          <w:tcPr>
            <w:tcW w:w="41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Form of Restricted Stock Unit Agreement (French)</w:t>
            </w:r>
          </w:p>
        </w:tc>
        <w:tc>
          <w:tcPr>
            <w:tcW w:w="216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4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Agreement (Performance Based)</w:t>
            </w:r>
          </w:p>
        </w:tc>
        <w:tc>
          <w:tcPr>
            <w:tcW w:w="166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6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100" w:type="dxa"/>
            <w:vAlign w:val="bottom"/>
            <w:tcBorders>
              <w:bottom w:val="single" w:sz="8" w:color="0000FF"/>
            </w:tcBorders>
            <w:gridSpan w:val="8"/>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w:t>
            </w:r>
          </w:p>
        </w:tc>
        <w:tc>
          <w:tcPr>
            <w:tcW w:w="2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60" w:type="dxa"/>
            <w:vAlign w:val="bottom"/>
            <w:tcBorders>
              <w:bottom w:val="single" w:sz="8" w:color="0000FF"/>
            </w:tcBorders>
            <w:gridSpan w:val="7"/>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1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906 of the Sarbanes-</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100" w:type="dxa"/>
            <w:vAlign w:val="bottom"/>
            <w:tcBorders>
              <w:bottom w:val="single" w:sz="8" w:color="0000FF"/>
            </w:tcBorders>
            <w:gridSpan w:val="8"/>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906 of the Sarbanes-</w:t>
            </w:r>
          </w:p>
        </w:tc>
        <w:tc>
          <w:tcPr>
            <w:tcW w:w="20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60" w:type="dxa"/>
            <w:vAlign w:val="bottom"/>
            <w:tcBorders>
              <w:bottom w:val="single" w:sz="8" w:color="0000FF"/>
            </w:tcBorders>
            <w:gridSpan w:val="7"/>
            <w:vMerge w:val="continue"/>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920" w:type="dxa"/>
            <w:vAlign w:val="bottom"/>
            <w:tcBorders>
              <w:left w:val="single" w:sz="8" w:color="0000EE"/>
            </w:tcBorders>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 XBRL</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c>
          <w:tcPr>
            <w:tcW w:w="0" w:type="dxa"/>
            <w:vAlign w:val="bottom"/>
          </w:tcPr>
          <w:p>
            <w:pPr>
              <w:spacing w:after="0"/>
              <w:rPr>
                <w:sz w:val="1"/>
                <w:szCs w:val="1"/>
                <w:color w:val="auto"/>
              </w:rPr>
            </w:pPr>
          </w:p>
        </w:tc>
      </w:tr>
      <w:tr>
        <w:trPr>
          <w:trHeight w:val="36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62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920" w:hanging="899"/>
        <w:spacing w:after="0"/>
        <w:tabs>
          <w:tab w:leader="none" w:pos="92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3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Indicates a management contract or a compensatory plan, contract or arrangement.</w:t>
      </w:r>
    </w:p>
    <w:p>
      <w:pPr>
        <w:spacing w:after="0" w:line="2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8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3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r>
      <w:tr>
        <w:trPr>
          <w:trHeight w:val="197"/>
        </w:trPr>
        <w:tc>
          <w:tcPr>
            <w:tcW w:w="86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3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Form</w:t>
            </w:r>
            <w:r>
              <w:rPr>
                <w:rFonts w:ascii="Times New Roman" w:cs="Times New Roman" w:eastAsia="Times New Roman" w:hAnsi="Times New Roman"/>
                <w:sz w:val="14"/>
                <w:szCs w:val="14"/>
                <w:b w:val="1"/>
                <w:bCs w:val="1"/>
                <w:color w:val="auto"/>
              </w:rPr>
              <w:t xml:space="preserve">   SEC File No.   </w:t>
            </w:r>
            <w:r>
              <w:rPr>
                <w:rFonts w:ascii="Times New Roman" w:cs="Times New Roman" w:eastAsia="Times New Roman" w:hAnsi="Times New Roman"/>
                <w:sz w:val="14"/>
                <w:szCs w:val="14"/>
                <w:b w:val="1"/>
                <w:bCs w:val="1"/>
                <w:u w:val="single" w:color="auto"/>
                <w:color w:val="auto"/>
              </w:rPr>
              <w:t>Exhibit</w:t>
            </w:r>
            <w:r>
              <w:rPr>
                <w:rFonts w:ascii="Times New Roman" w:cs="Times New Roman" w:eastAsia="Times New Roman" w:hAnsi="Times New Roman"/>
                <w:sz w:val="14"/>
                <w:szCs w:val="14"/>
                <w:b w:val="1"/>
                <w:bCs w:val="1"/>
                <w:color w:val="auto"/>
              </w:rPr>
              <w:t xml:space="preserve">   Filing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-635</wp:posOffset>
            </wp:positionV>
            <wp:extent cx="4451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45135"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-635</wp:posOffset>
            </wp:positionV>
            <wp:extent cx="5905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90550" cy="825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-635</wp:posOffset>
            </wp:positionV>
            <wp:extent cx="5137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pacing w:after="0" w:line="1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7180" w:space="180"/>
            <w:col w:w="3880"/>
          </w:cols>
          <w:pgMar w:left="320" w:top="133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Inc.</w:t>
            </w:r>
          </w:p>
        </w:tc>
        <w:tc>
          <w:tcPr>
            <w:tcW w:w="3140" w:type="dxa"/>
            <w:vAlign w:val="bottom"/>
          </w:tcPr>
          <w:p>
            <w:pPr>
              <w:spacing w:after="0"/>
              <w:rPr>
                <w:sz w:val="20"/>
                <w:szCs w:val="20"/>
                <w:color w:val="auto"/>
              </w:rPr>
            </w:pPr>
          </w:p>
        </w:tc>
      </w:tr>
      <w:tr>
        <w:trPr>
          <w:trHeight w:val="499"/>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/s/ Michael Noonan</w:t>
            </w:r>
          </w:p>
        </w:tc>
      </w:tr>
      <w:tr>
        <w:trPr>
          <w:trHeight w:val="227"/>
        </w:trPr>
        <w:tc>
          <w:tcPr>
            <w:tcW w:w="2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Michael Noonan</w:t>
            </w:r>
          </w:p>
        </w:tc>
      </w:tr>
      <w:tr>
        <w:trPr>
          <w:trHeight w:val="238"/>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499"/>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314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8"/>
              </w:rPr>
              <w:t>/s/ Geoffrey Gouvalaris</w:t>
            </w:r>
          </w:p>
        </w:tc>
      </w:tr>
      <w:tr>
        <w:trPr>
          <w:trHeight w:val="227"/>
        </w:trPr>
        <w:tc>
          <w:tcPr>
            <w:tcW w:w="28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14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Geoffrey Gouvalaris</w:t>
            </w:r>
          </w:p>
        </w:tc>
      </w:tr>
      <w:tr>
        <w:trPr>
          <w:trHeight w:val="238"/>
        </w:trPr>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14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Chief Accounting Officer</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2024</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0" w:name="page41"/>
    <w:bookmarkEnd w:id="40"/>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TRIPADVISOR, INC. RESTRICTED STOCK UNIT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(Domestic)</w:t>
      </w:r>
    </w:p>
    <w:p>
      <w:pPr>
        <w:spacing w:after="0" w:line="181" w:lineRule="exact"/>
        <w:rPr>
          <w:sz w:val="20"/>
          <w:szCs w:val="20"/>
          <w:color w:val="auto"/>
        </w:rPr>
      </w:pPr>
    </w:p>
    <w:p>
      <w:pPr>
        <w:jc w:val="both"/>
        <w:ind w:left="300" w:right="319" w:firstLine="647"/>
        <w:spacing w:after="0" w:line="236" w:lineRule="auto"/>
        <w:rPr>
          <w:sz w:val="20"/>
          <w:szCs w:val="20"/>
          <w:color w:val="auto"/>
        </w:rPr>
      </w:pPr>
      <w:r>
        <w:rPr>
          <w:rFonts w:ascii="Times New Roman" w:cs="Times New Roman" w:eastAsia="Times New Roman" w:hAnsi="Times New Roman"/>
          <w:sz w:val="22"/>
          <w:szCs w:val="22"/>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(the “Award”) of restricted stock units (“RSUs”) to the Eligible Individual by the Company.</w:t>
      </w:r>
    </w:p>
    <w:p>
      <w:pPr>
        <w:spacing w:after="0" w:line="206"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All capitalized terms used herein, to the extent not defined, shall have the meanings set forth in the Company’s 2023 Stock and Annual Incentive Plan (as amended from time to time, the “Plan”).</w:t>
      </w:r>
    </w:p>
    <w:p>
      <w:pPr>
        <w:spacing w:after="0" w:line="168" w:lineRule="exact"/>
        <w:rPr>
          <w:sz w:val="20"/>
          <w:szCs w:val="20"/>
          <w:color w:val="auto"/>
        </w:rPr>
      </w:pPr>
    </w:p>
    <w:p>
      <w:pPr>
        <w:ind w:left="720" w:hanging="423"/>
        <w:spacing w:after="0"/>
        <w:tabs>
          <w:tab w:leader="none" w:pos="72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 and Vesting of RSUs</w:t>
      </w:r>
    </w:p>
    <w:p>
      <w:pPr>
        <w:spacing w:after="0" w:line="209" w:lineRule="exact"/>
        <w:rPr>
          <w:rFonts w:ascii="Times New Roman" w:cs="Times New Roman" w:eastAsia="Times New Roman" w:hAnsi="Times New Roman"/>
          <w:sz w:val="22"/>
          <w:szCs w:val="22"/>
          <w:b w:val="1"/>
          <w:bCs w:val="1"/>
          <w:color w:val="auto"/>
        </w:rPr>
      </w:pPr>
    </w:p>
    <w:p>
      <w:pPr>
        <w:jc w:val="both"/>
        <w:ind w:left="300" w:right="319" w:firstLine="644"/>
        <w:spacing w:after="0" w:line="234" w:lineRule="auto"/>
        <w:tabs>
          <w:tab w:leader="none" w:pos="137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22"/>
          <w:szCs w:val="22"/>
          <w:u w:val="single" w:color="auto"/>
          <w:color w:val="0000FF"/>
        </w:rPr>
        <w:t>www.netbenefits.fidelity.com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 any successor equity administration system selected by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p>
    <w:p>
      <w:pPr>
        <w:spacing w:after="0" w:line="72" w:lineRule="exact"/>
        <w:rPr>
          <w:rFonts w:ascii="Times New Roman" w:cs="Times New Roman" w:eastAsia="Times New Roman" w:hAnsi="Times New Roman"/>
          <w:sz w:val="22"/>
          <w:szCs w:val="22"/>
          <w:color w:val="auto"/>
        </w:rPr>
      </w:pPr>
    </w:p>
    <w:p>
      <w:pPr>
        <w:jc w:val="both"/>
        <w:ind w:left="300" w:right="319" w:firstLine="644"/>
        <w:spacing w:after="0" w:line="239" w:lineRule="auto"/>
        <w:tabs>
          <w:tab w:leader="none" w:pos="1379" w:val="left"/>
        </w:tabs>
        <w:numPr>
          <w:ilvl w:val="1"/>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the Grant Details and the 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RSUs shall vest and no longer subject to any restriction (such period during which restrictions apply referred to as the “RSU Restriction Period”) on the dates detailed in the Grant Details.</w:t>
      </w:r>
    </w:p>
    <w:p>
      <w:pPr>
        <w:spacing w:after="0" w:line="174" w:lineRule="exact"/>
        <w:rPr>
          <w:rFonts w:ascii="Times New Roman" w:cs="Times New Roman" w:eastAsia="Times New Roman" w:hAnsi="Times New Roman"/>
          <w:sz w:val="22"/>
          <w:szCs w:val="22"/>
          <w:color w:val="auto"/>
        </w:rPr>
      </w:pPr>
    </w:p>
    <w:p>
      <w:pPr>
        <w:ind w:left="940" w:hanging="643"/>
        <w:spacing w:after="0"/>
        <w:tabs>
          <w:tab w:leader="none" w:pos="940" w:val="left"/>
        </w:tabs>
        <w:numPr>
          <w:ilvl w:val="0"/>
          <w:numId w:val="2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Settlement of RSUs</w:t>
      </w:r>
    </w:p>
    <w:p>
      <w:pPr>
        <w:spacing w:after="0" w:line="209"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As soon as practicable after any RSUs have vested and are no longer subject to the RSU Restriction Period (but in no event later than thirty (30) days thereafter), such RSUs shall be settled. Subject to Section 8 (pertaining to the withholding of taxes), for each RSU settled pursuant to this Section 2, the Company may, in its sole discretion, settle the RSUs in cash or Shares by causing to be paid or delivered to the Eligible Individual cash or freely-transferable Shares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172" w:lineRule="exact"/>
        <w:rPr>
          <w:sz w:val="20"/>
          <w:szCs w:val="20"/>
          <w:color w:val="auto"/>
        </w:rPr>
      </w:pPr>
    </w:p>
    <w:p>
      <w:pPr>
        <w:ind w:left="940" w:hanging="643"/>
        <w:spacing w:after="0"/>
        <w:tabs>
          <w:tab w:leader="none" w:pos="940" w:val="left"/>
        </w:tabs>
        <w:numPr>
          <w:ilvl w:val="0"/>
          <w:numId w:val="2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Recoupment or “Clawback” Policy</w:t>
      </w:r>
    </w:p>
    <w:p>
      <w:pPr>
        <w:spacing w:after="0" w:line="209" w:lineRule="exact"/>
        <w:rPr>
          <w:sz w:val="20"/>
          <w:szCs w:val="20"/>
          <w:color w:val="auto"/>
        </w:rPr>
      </w:pPr>
    </w:p>
    <w:p>
      <w:pPr>
        <w:jc w:val="both"/>
        <w:ind w:left="380" w:right="319" w:firstLine="432"/>
        <w:spacing w:after="0" w:line="280" w:lineRule="auto"/>
        <w:rPr>
          <w:sz w:val="20"/>
          <w:szCs w:val="20"/>
          <w:color w:val="auto"/>
        </w:rPr>
      </w:pPr>
      <w:r>
        <w:rPr>
          <w:rFonts w:ascii="Times New Roman" w:cs="Times New Roman" w:eastAsia="Times New Roman" w:hAnsi="Times New Roman"/>
          <w:sz w:val="20"/>
          <w:szCs w:val="20"/>
          <w:color w:val="auto"/>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477520</wp:posOffset>
            </wp:positionV>
            <wp:extent cx="5368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755" w:right="1440" w:bottom="1440" w:gutter="0" w:footer="0" w:header="0"/>
        </w:sectPr>
      </w:pPr>
    </w:p>
    <w:bookmarkStart w:id="41" w:name="page42"/>
    <w:bookmarkEnd w:id="41"/>
    <w:p>
      <w:pPr>
        <w:spacing w:after="0" w:line="183" w:lineRule="exact"/>
        <w:rPr>
          <w:sz w:val="20"/>
          <w:szCs w:val="20"/>
          <w:color w:val="auto"/>
        </w:rPr>
      </w:pPr>
    </w:p>
    <w:p>
      <w:pPr>
        <w:jc w:val="both"/>
        <w:ind w:left="380" w:right="299"/>
        <w:spacing w:after="0" w:line="234" w:lineRule="auto"/>
        <w:rPr>
          <w:sz w:val="20"/>
          <w:szCs w:val="20"/>
          <w:color w:val="auto"/>
        </w:rPr>
      </w:pPr>
      <w:r>
        <w:rPr>
          <w:rFonts w:ascii="Times New Roman" w:cs="Times New Roman" w:eastAsia="Times New Roman" w:hAnsi="Times New Roman"/>
          <w:sz w:val="22"/>
          <w:szCs w:val="22"/>
          <w:color w:val="auto"/>
        </w:rPr>
        <w:t>cancellation, recoupment, rescission, payback, reduction, or other similar action in accordance with the Company’s Clawback Policy (as in effect from time to time and any successor policies) or similar policy or any applicable law related to such actions. An Eligible Individual’s acceptance of an Award will constitute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spacing w:after="0" w:line="199" w:lineRule="exact"/>
        <w:rPr>
          <w:sz w:val="20"/>
          <w:szCs w:val="20"/>
          <w:color w:val="auto"/>
        </w:rPr>
      </w:pPr>
    </w:p>
    <w:p>
      <w:pPr>
        <w:ind w:left="940" w:hanging="643"/>
        <w:spacing w:after="0"/>
        <w:tabs>
          <w:tab w:leader="none" w:pos="940" w:val="left"/>
        </w:tabs>
        <w:numPr>
          <w:ilvl w:val="0"/>
          <w:numId w:val="2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Termination of Employment</w:t>
      </w:r>
    </w:p>
    <w:p>
      <w:pPr>
        <w:spacing w:after="0" w:line="209" w:lineRule="exact"/>
        <w:rPr>
          <w:sz w:val="20"/>
          <w:szCs w:val="20"/>
          <w:color w:val="auto"/>
        </w:rPr>
      </w:pPr>
    </w:p>
    <w:p>
      <w:pPr>
        <w:jc w:val="both"/>
        <w:ind w:left="300" w:right="319" w:firstLine="647"/>
        <w:spacing w:after="0" w:line="260" w:lineRule="auto"/>
        <w:rPr>
          <w:sz w:val="20"/>
          <w:szCs w:val="20"/>
          <w:color w:val="auto"/>
        </w:rPr>
      </w:pPr>
      <w:r>
        <w:rPr>
          <w:rFonts w:ascii="Times New Roman" w:cs="Times New Roman" w:eastAsia="Times New Roman" w:hAnsi="Times New Roman"/>
          <w:sz w:val="20"/>
          <w:szCs w:val="20"/>
          <w:color w:val="auto"/>
        </w:rPr>
        <w:t>(a)In the event a Termination of Employment of the Eligible Individual occurs during the RSU Restriction Period for any reason (whether or not in breach of local labor laws), except as otherwise provided in the Plan or any written employment agreement or written offer letter between the Company and the Eligible Individual (an “Employment Arrangement”), the Eligible Individual’s right to any RSUs that have not vested as of the date of Termination of Employment will terminate effective as of the date of the Termination of Employment and will not be extended by any notice period mandated under local law. The Eligible Individual shall not be entitled by way of compensation for loss of office or otherwise to any sum or other benefit to compensate the Eligible Individual for the loss of any rights under this Agreement or the Plan.</w:t>
      </w:r>
    </w:p>
    <w:p>
      <w:pPr>
        <w:spacing w:after="0" w:line="158" w:lineRule="exact"/>
        <w:rPr>
          <w:sz w:val="20"/>
          <w:szCs w:val="20"/>
          <w:color w:val="auto"/>
        </w:rPr>
      </w:pPr>
    </w:p>
    <w:p>
      <w:pPr>
        <w:jc w:val="both"/>
        <w:ind w:left="300" w:right="299" w:firstLine="644"/>
        <w:spacing w:after="0" w:line="232" w:lineRule="auto"/>
        <w:tabs>
          <w:tab w:leader="none" w:pos="126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1 above or anything in the Plan or in any Employment Agreement to the contrary,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85"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(c)Notwithstanding anything herein to the contrary, except as provided in Section 4(b) above,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2" w:name="page43"/>
    <w:bookmarkEnd w:id="42"/>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(d)For purpose of this Agreement, employment with the Company shall include employment with the Company’s Subsidiaries or Affiliates. The Committee shall have the exclusive discretion to determine whether there has been any interruption or Termination of Employment, whether and when grounds for a Termination of Employment for Cause existed or whether there occurred a Change in Control.</w:t>
      </w:r>
    </w:p>
    <w:p>
      <w:pPr>
        <w:spacing w:after="0" w:line="176" w:lineRule="exact"/>
        <w:rPr>
          <w:sz w:val="20"/>
          <w:szCs w:val="20"/>
          <w:color w:val="auto"/>
        </w:rPr>
      </w:pPr>
    </w:p>
    <w:p>
      <w:pPr>
        <w:ind w:left="940" w:hanging="643"/>
        <w:spacing w:after="0"/>
        <w:tabs>
          <w:tab w:leader="none" w:pos="940" w:val="left"/>
        </w:tabs>
        <w:numPr>
          <w:ilvl w:val="0"/>
          <w:numId w:val="3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Non-Transferability of the RSUs</w:t>
      </w:r>
    </w:p>
    <w:p>
      <w:pPr>
        <w:spacing w:after="0" w:line="209"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Until the RSUs are settled as provided herein or on the website of the Plan Administrator, the RSUs shall not be transferable by the Eligible Individual by means of sale, assignment, exchange, encumbrance, pledge, hedge or otherwise.</w:t>
      </w:r>
    </w:p>
    <w:p>
      <w:pPr>
        <w:spacing w:after="0" w:line="168" w:lineRule="exact"/>
        <w:rPr>
          <w:sz w:val="20"/>
          <w:szCs w:val="20"/>
          <w:color w:val="auto"/>
        </w:rPr>
      </w:pPr>
    </w:p>
    <w:p>
      <w:pPr>
        <w:ind w:left="940" w:hanging="643"/>
        <w:spacing w:after="0"/>
        <w:tabs>
          <w:tab w:leader="none" w:pos="940" w:val="left"/>
        </w:tabs>
        <w:numPr>
          <w:ilvl w:val="0"/>
          <w:numId w:val="3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Rights as a Stockholder</w:t>
      </w:r>
    </w:p>
    <w:p>
      <w:pPr>
        <w:spacing w:after="0" w:line="200" w:lineRule="exact"/>
        <w:rPr>
          <w:sz w:val="20"/>
          <w:szCs w:val="20"/>
          <w:color w:val="auto"/>
        </w:rPr>
      </w:pPr>
    </w:p>
    <w:p>
      <w:pPr>
        <w:spacing w:after="0" w:line="225" w:lineRule="exact"/>
        <w:rPr>
          <w:sz w:val="20"/>
          <w:szCs w:val="20"/>
          <w:color w:val="auto"/>
        </w:rPr>
      </w:pPr>
    </w:p>
    <w:p>
      <w:pPr>
        <w:jc w:val="both"/>
        <w:ind w:left="300" w:right="319" w:firstLine="647"/>
        <w:spacing w:after="0" w:line="233" w:lineRule="auto"/>
        <w:rPr>
          <w:sz w:val="20"/>
          <w:szCs w:val="20"/>
          <w:color w:val="auto"/>
        </w:rPr>
      </w:pPr>
      <w:r>
        <w:rPr>
          <w:rFonts w:ascii="Times New Roman" w:cs="Times New Roman" w:eastAsia="Times New Roman" w:hAnsi="Times New Roman"/>
          <w:sz w:val="22"/>
          <w:szCs w:val="22"/>
          <w:color w:val="auto"/>
        </w:rPr>
        <w:t>Except as otherwise specifically provided in this Agreement, until the RSUs have vested and been settled in Shares the Eligible Individual shall not be entitled to any rights of a stockholder with respect to the RSUs. Notwithstanding the foregoing, if the Company declares and pays ordinary cash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ordinary cash dividends, if any, may result in an adjustment pursuant to Section 7 below, rather than under this Section 6.</w:t>
      </w:r>
    </w:p>
    <w:p>
      <w:pPr>
        <w:spacing w:after="0" w:line="177" w:lineRule="exact"/>
        <w:rPr>
          <w:sz w:val="20"/>
          <w:szCs w:val="20"/>
          <w:color w:val="auto"/>
        </w:rPr>
      </w:pPr>
    </w:p>
    <w:p>
      <w:pPr>
        <w:ind w:left="940" w:hanging="643"/>
        <w:spacing w:after="0"/>
        <w:tabs>
          <w:tab w:leader="none" w:pos="940" w:val="left"/>
        </w:tabs>
        <w:numPr>
          <w:ilvl w:val="0"/>
          <w:numId w:val="3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Adjustment in the Event of Change in Stock; Change in Control</w:t>
      </w:r>
    </w:p>
    <w:p>
      <w:pPr>
        <w:spacing w:after="0" w:line="200" w:lineRule="exact"/>
        <w:rPr>
          <w:sz w:val="20"/>
          <w:szCs w:val="20"/>
          <w:color w:val="auto"/>
        </w:rPr>
      </w:pPr>
    </w:p>
    <w:p>
      <w:pPr>
        <w:spacing w:after="0" w:line="225"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(a)In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a dividend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400" w:lineRule="exact"/>
        <w:rPr>
          <w:sz w:val="20"/>
          <w:szCs w:val="20"/>
          <w:color w:val="auto"/>
        </w:rPr>
      </w:pPr>
    </w:p>
    <w:p>
      <w:pPr>
        <w:jc w:val="both"/>
        <w:ind w:left="300" w:right="319" w:firstLine="647"/>
        <w:spacing w:after="0" w:line="233" w:lineRule="auto"/>
        <w:rPr>
          <w:sz w:val="20"/>
          <w:szCs w:val="20"/>
          <w:color w:val="auto"/>
        </w:rPr>
      </w:pPr>
      <w:r>
        <w:rPr>
          <w:rFonts w:ascii="Times New Roman" w:cs="Times New Roman" w:eastAsia="Times New Roman" w:hAnsi="Times New Roman"/>
          <w:sz w:val="22"/>
          <w:szCs w:val="22"/>
          <w:color w:val="auto"/>
        </w:rPr>
        <w:t>(b)In the case of Corporate Transactions, such adjustments may include, without limitation (i) the cancellation of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43" w:name="page44"/>
    <w:bookmarkEnd w:id="43"/>
    <w:p>
      <w:pPr>
        <w:spacing w:after="0" w:line="183"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22"/>
          <w:szCs w:val="22"/>
          <w:color w:val="auto"/>
        </w:rPr>
        <w:t>well as any corresponding adjustments to any RSUs that remain based upon securities of the Company).</w:t>
      </w:r>
    </w:p>
    <w:p>
      <w:pPr>
        <w:spacing w:after="0" w:line="373"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(c)The determination of the Committee regarding any such adjustment will be final and conclusive and need not be the same for all Eligible Individuals.</w:t>
      </w:r>
    </w:p>
    <w:p>
      <w:pPr>
        <w:spacing w:after="0" w:line="153" w:lineRule="exact"/>
        <w:rPr>
          <w:sz w:val="20"/>
          <w:szCs w:val="20"/>
          <w:color w:val="auto"/>
        </w:rPr>
      </w:pPr>
    </w:p>
    <w:p>
      <w:pPr>
        <w:ind w:left="940" w:hanging="643"/>
        <w:spacing w:after="0"/>
        <w:tabs>
          <w:tab w:leader="none" w:pos="940" w:val="left"/>
        </w:tabs>
        <w:numPr>
          <w:ilvl w:val="0"/>
          <w:numId w:val="3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Taxes, Fees and Withholding</w:t>
      </w:r>
    </w:p>
    <w:p>
      <w:pPr>
        <w:spacing w:after="0" w:line="200" w:lineRule="exact"/>
        <w:rPr>
          <w:sz w:val="20"/>
          <w:szCs w:val="20"/>
          <w:color w:val="auto"/>
        </w:rPr>
      </w:pPr>
    </w:p>
    <w:p>
      <w:pPr>
        <w:spacing w:after="0" w:line="225"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(a)The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79"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(b)Regardless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and the receipt of cash or any dividends or dividend equivalents with respect thereto; and (ii) do not commit to structure the terms of the Award or any aspect of the RSUs to reduce or eliminate the Eligible Individual’s liability for Tax-Related Items.</w:t>
      </w:r>
    </w:p>
    <w:p>
      <w:pPr>
        <w:spacing w:after="0" w:line="176" w:lineRule="exact"/>
        <w:rPr>
          <w:sz w:val="20"/>
          <w:szCs w:val="20"/>
          <w:color w:val="auto"/>
        </w:rPr>
      </w:pPr>
    </w:p>
    <w:p>
      <w:pPr>
        <w:jc w:val="both"/>
        <w:ind w:left="300" w:right="299" w:firstLine="647"/>
        <w:spacing w:after="0" w:line="231" w:lineRule="auto"/>
        <w:rPr>
          <w:sz w:val="20"/>
          <w:szCs w:val="20"/>
          <w:color w:val="auto"/>
        </w:rPr>
      </w:pPr>
      <w:r>
        <w:rPr>
          <w:rFonts w:ascii="Times New Roman" w:cs="Times New Roman" w:eastAsia="Times New Roman" w:hAnsi="Times New Roman"/>
          <w:sz w:val="22"/>
          <w:szCs w:val="22"/>
          <w:color w:val="auto"/>
        </w:rPr>
        <w:t>(c)In the event that the Company, Subsidiary or Affiliate is required to withhold any Tax-Related Items as a result of the Award or vesting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RSU or pay cash in settlement of the RSUs if the Eligible Individual fails to comply with his or her obligations in connection with the Tax-Related Items as described in this Section.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ind w:left="940" w:hanging="643"/>
        <w:spacing w:after="0"/>
        <w:tabs>
          <w:tab w:leader="none" w:pos="940" w:val="left"/>
        </w:tabs>
        <w:numPr>
          <w:ilvl w:val="0"/>
          <w:numId w:val="3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Other Restrictions</w:t>
      </w:r>
    </w:p>
    <w:p>
      <w:pPr>
        <w:spacing w:after="0" w:line="200" w:lineRule="exact"/>
        <w:rPr>
          <w:rFonts w:ascii="Times New Roman" w:cs="Times New Roman" w:eastAsia="Times New Roman" w:hAnsi="Times New Roman"/>
          <w:sz w:val="22"/>
          <w:szCs w:val="22"/>
          <w:b w:val="1"/>
          <w:bCs w:val="1"/>
          <w:u w:val="single" w:color="auto"/>
          <w:color w:val="auto"/>
        </w:rPr>
      </w:pPr>
    </w:p>
    <w:p>
      <w:pPr>
        <w:spacing w:after="0" w:line="225" w:lineRule="exact"/>
        <w:rPr>
          <w:rFonts w:ascii="Times New Roman" w:cs="Times New Roman" w:eastAsia="Times New Roman" w:hAnsi="Times New Roman"/>
          <w:sz w:val="22"/>
          <w:szCs w:val="22"/>
          <w:b w:val="1"/>
          <w:bCs w:val="1"/>
          <w:u w:val="single" w:color="auto"/>
          <w:color w:val="auto"/>
        </w:rPr>
      </w:pPr>
    </w:p>
    <w:p>
      <w:pPr>
        <w:jc w:val="both"/>
        <w:ind w:left="300" w:right="319" w:firstLine="644"/>
        <w:spacing w:after="0" w:line="235" w:lineRule="auto"/>
        <w:tabs>
          <w:tab w:leader="none" w:pos="137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22"/>
          <w:szCs w:val="22"/>
          <w:color w:val="auto"/>
        </w:rPr>
      </w:pPr>
    </w:p>
    <w:p>
      <w:pPr>
        <w:jc w:val="both"/>
        <w:ind w:left="300" w:right="319" w:firstLine="644"/>
        <w:spacing w:after="0" w:line="233" w:lineRule="auto"/>
        <w:tabs>
          <w:tab w:leader="none" w:pos="1379"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0" w:lineRule="exact"/>
        <w:rPr>
          <w:rFonts w:ascii="Times New Roman" w:cs="Times New Roman" w:eastAsia="Times New Roman" w:hAnsi="Times New Roman"/>
          <w:sz w:val="22"/>
          <w:szCs w:val="22"/>
          <w:color w:val="auto"/>
        </w:rPr>
      </w:pPr>
    </w:p>
    <w:p>
      <w:pPr>
        <w:ind w:left="940" w:hanging="643"/>
        <w:spacing w:after="0"/>
        <w:tabs>
          <w:tab w:leader="none" w:pos="940" w:val="left"/>
        </w:tabs>
        <w:numPr>
          <w:ilvl w:val="0"/>
          <w:numId w:val="3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Nature of Award</w:t>
      </w:r>
    </w:p>
    <w:p>
      <w:pPr>
        <w:spacing w:after="0" w:line="209" w:lineRule="exact"/>
        <w:rPr>
          <w:rFonts w:ascii="Times New Roman" w:cs="Times New Roman" w:eastAsia="Times New Roman" w:hAnsi="Times New Roman"/>
          <w:sz w:val="22"/>
          <w:szCs w:val="22"/>
          <w:b w:val="1"/>
          <w:bCs w:val="1"/>
          <w:u w:val="single" w:color="auto"/>
          <w:color w:val="auto"/>
        </w:rPr>
      </w:pPr>
    </w:p>
    <w:p>
      <w:pPr>
        <w:ind w:left="940"/>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In accepting the Award, the Eligible Individual acknowledges that:</w:t>
      </w:r>
    </w:p>
    <w:p>
      <w:pPr>
        <w:spacing w:after="0" w:line="205"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(e)the Plan is established voluntarily by the Company, it is discretionary in nature and it may be modified, amended, suspended or terminated by the Company at any time, unless otherwise provided in the Plan and this Agreement;</w:t>
      </w:r>
    </w:p>
    <w:p>
      <w:pPr>
        <w:spacing w:after="0" w:line="172"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(f)the Award is voluntary and occasional and does not create any contractual or other right to receive future Awards, or benefits in lieu of Awards, even if Awards have been made repeatedly in the past;</w:t>
      </w:r>
    </w:p>
    <w:p>
      <w:pPr>
        <w:spacing w:after="0" w:line="172"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(g)all decisions with respect to future Awards, if any, will be at the sole discretion of the Company;</w:t>
      </w:r>
    </w:p>
    <w:p>
      <w:pPr>
        <w:spacing w:after="0" w:line="157"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(h)the Eligible Individual’s participation in the Plan will not create a right to further employment or service with the Company, its Subsidiary or Affiliate and shall not interfere with the ability of the Company to terminate the Eligible Individual’s employment or service relationship at any time with or without Cause;</w:t>
      </w:r>
    </w:p>
    <w:p>
      <w:pPr>
        <w:spacing w:after="0" w:line="179" w:lineRule="exact"/>
        <w:rPr>
          <w:sz w:val="20"/>
          <w:szCs w:val="20"/>
          <w:color w:val="auto"/>
        </w:rPr>
      </w:pPr>
    </w:p>
    <w:p>
      <w:pPr>
        <w:ind w:left="1180" w:hanging="236"/>
        <w:spacing w:after="0"/>
        <w:tabs>
          <w:tab w:leader="none" w:pos="11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is voluntarily participating in the Plan;</w:t>
      </w:r>
    </w:p>
    <w:p>
      <w:pPr>
        <w:spacing w:after="0" w:line="205" w:lineRule="exact"/>
        <w:rPr>
          <w:rFonts w:ascii="Times New Roman" w:cs="Times New Roman" w:eastAsia="Times New Roman" w:hAnsi="Times New Roman"/>
          <w:sz w:val="22"/>
          <w:szCs w:val="22"/>
          <w:color w:val="auto"/>
        </w:rPr>
      </w:pPr>
    </w:p>
    <w:p>
      <w:pPr>
        <w:jc w:val="both"/>
        <w:ind w:left="300" w:right="319" w:firstLine="644"/>
        <w:spacing w:after="0" w:line="239" w:lineRule="auto"/>
        <w:tabs>
          <w:tab w:leader="none" w:pos="118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45" w:name="page46"/>
    <w:bookmarkEnd w:id="45"/>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(k)in the event that the Eligible Individual is not an employee of the Company, a Subsidiary or an Affiliate, the Award will not be interpreted to form an employment contract or relationship with the Company; and</w:t>
      </w:r>
    </w:p>
    <w:p>
      <w:pPr>
        <w:spacing w:after="0" w:line="172" w:lineRule="exact"/>
        <w:rPr>
          <w:sz w:val="20"/>
          <w:szCs w:val="20"/>
          <w:color w:val="auto"/>
        </w:rPr>
      </w:pPr>
    </w:p>
    <w:p>
      <w:pPr>
        <w:jc w:val="both"/>
        <w:ind w:left="300" w:right="319" w:firstLine="644"/>
        <w:spacing w:after="0" w:line="234" w:lineRule="auto"/>
        <w:tabs>
          <w:tab w:leader="none" w:pos="11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Award, no claim or entitlement to compensation or damages shall arise from termination of the Award or diminution in value of the Award resulting from the Eligible Individual’s Termination of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80" w:lineRule="exact"/>
        <w:rPr>
          <w:rFonts w:ascii="Times New Roman" w:cs="Times New Roman" w:eastAsia="Times New Roman" w:hAnsi="Times New Roman"/>
          <w:sz w:val="22"/>
          <w:szCs w:val="22"/>
          <w:color w:val="auto"/>
        </w:rPr>
      </w:pPr>
    </w:p>
    <w:p>
      <w:pPr>
        <w:ind w:left="940" w:hanging="643"/>
        <w:spacing w:after="0"/>
        <w:tabs>
          <w:tab w:leader="none" w:pos="940" w:val="left"/>
        </w:tabs>
        <w:numPr>
          <w:ilvl w:val="0"/>
          <w:numId w:val="3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b w:val="1"/>
          <w:bCs w:val="1"/>
          <w:color w:val="auto"/>
        </w:rPr>
        <w:t>.</w:t>
      </w:r>
    </w:p>
    <w:p>
      <w:pPr>
        <w:spacing w:after="0" w:line="209" w:lineRule="exact"/>
        <w:rPr>
          <w:rFonts w:ascii="Times New Roman" w:cs="Times New Roman" w:eastAsia="Times New Roman" w:hAnsi="Times New Roman"/>
          <w:sz w:val="22"/>
          <w:szCs w:val="22"/>
          <w:b w:val="1"/>
          <w:bCs w:val="1"/>
          <w:u w:val="single" w:color="auto"/>
          <w:color w:val="auto"/>
        </w:rPr>
      </w:pPr>
    </w:p>
    <w:p>
      <w:pPr>
        <w:ind w:left="940"/>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The Company is not providing any tax, legal or financial advice, nor is the Company</w:t>
      </w:r>
    </w:p>
    <w:p>
      <w:pPr>
        <w:spacing w:after="0" w:line="14" w:lineRule="exact"/>
        <w:rPr>
          <w:sz w:val="20"/>
          <w:szCs w:val="20"/>
          <w:color w:val="auto"/>
        </w:rPr>
      </w:pPr>
    </w:p>
    <w:p>
      <w:pPr>
        <w:jc w:val="both"/>
        <w:ind w:left="300" w:right="319"/>
        <w:spacing w:after="0" w:line="233" w:lineRule="auto"/>
        <w:rPr>
          <w:sz w:val="20"/>
          <w:szCs w:val="20"/>
          <w:color w:val="auto"/>
        </w:rPr>
      </w:pPr>
      <w:r>
        <w:rPr>
          <w:rFonts w:ascii="Times New Roman" w:cs="Times New Roman" w:eastAsia="Times New Roman" w:hAnsi="Times New Roman"/>
          <w:sz w:val="22"/>
          <w:szCs w:val="22"/>
          <w:color w:val="auto"/>
        </w:rPr>
        <w:t>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vesting, settlement or disposition of the Award before taking any action related to the Plan or the Award.</w:t>
      </w:r>
    </w:p>
    <w:p>
      <w:pPr>
        <w:spacing w:after="0" w:line="173" w:lineRule="exact"/>
        <w:rPr>
          <w:sz w:val="20"/>
          <w:szCs w:val="20"/>
          <w:color w:val="auto"/>
        </w:rPr>
      </w:pPr>
    </w:p>
    <w:p>
      <w:pPr>
        <w:ind w:left="940" w:hanging="643"/>
        <w:spacing w:after="0"/>
        <w:tabs>
          <w:tab w:leader="none" w:pos="940" w:val="left"/>
        </w:tabs>
        <w:numPr>
          <w:ilvl w:val="0"/>
          <w:numId w:val="3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Notices</w:t>
      </w:r>
    </w:p>
    <w:p>
      <w:pPr>
        <w:spacing w:after="0" w:line="209"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75" w:lineRule="exact"/>
        <w:rPr>
          <w:sz w:val="20"/>
          <w:szCs w:val="20"/>
          <w:color w:val="auto"/>
        </w:rPr>
      </w:pPr>
    </w:p>
    <w:p>
      <w:pPr>
        <w:ind w:left="940" w:hanging="643"/>
        <w:spacing w:after="0"/>
        <w:tabs>
          <w:tab w:leader="none" w:pos="940" w:val="left"/>
        </w:tabs>
        <w:numPr>
          <w:ilvl w:val="0"/>
          <w:numId w:val="3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Effect of Agreement; Severability</w:t>
      </w:r>
    </w:p>
    <w:p>
      <w:pPr>
        <w:spacing w:after="0" w:line="209"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75" w:lineRule="exact"/>
        <w:rPr>
          <w:sz w:val="20"/>
          <w:szCs w:val="20"/>
          <w:color w:val="auto"/>
        </w:rPr>
      </w:pPr>
    </w:p>
    <w:p>
      <w:pPr>
        <w:ind w:left="940" w:hanging="643"/>
        <w:spacing w:after="0"/>
        <w:tabs>
          <w:tab w:leader="none" w:pos="940" w:val="left"/>
        </w:tabs>
        <w:numPr>
          <w:ilvl w:val="0"/>
          <w:numId w:val="4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Laws Applicable to Construction; Consent to Jurisdiction</w:t>
      </w:r>
    </w:p>
    <w:p>
      <w:pPr>
        <w:spacing w:after="0" w:line="209"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(a)The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80"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(b)Any and all disputes arising under, as a result of or out of this Agreement, including without limitation any issues involving the construction, enforcement or interpretation of any of the provisions of this Agreement, the Plan or the plan prospectus, shall be determined and resolved</w:t>
      </w:r>
    </w:p>
    <w:p>
      <w:pPr>
        <w:spacing w:after="0" w:line="3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46" w:name="page47"/>
    <w:bookmarkEnd w:id="46"/>
    <w:p>
      <w:pPr>
        <w:ind w:left="300" w:right="319"/>
        <w:spacing w:after="0" w:line="258" w:lineRule="auto"/>
        <w:rPr>
          <w:sz w:val="20"/>
          <w:szCs w:val="20"/>
          <w:color w:val="auto"/>
        </w:rPr>
      </w:pPr>
      <w:r>
        <w:rPr>
          <w:rFonts w:ascii="Times New Roman" w:cs="Times New Roman" w:eastAsia="Times New Roman" w:hAnsi="Times New Roman"/>
          <w:sz w:val="22"/>
          <w:szCs w:val="22"/>
          <w:color w:val="auto"/>
        </w:rPr>
        <w:t>by the Committee or its authorized delegate. Such determination or resolution by the Committee or its authorized delegate will be final, binding and conclusive for all purposes.</w:t>
      </w:r>
    </w:p>
    <w:p>
      <w:pPr>
        <w:spacing w:after="0" w:line="153" w:lineRule="exact"/>
        <w:rPr>
          <w:sz w:val="20"/>
          <w:szCs w:val="20"/>
          <w:color w:val="auto"/>
        </w:rPr>
      </w:pPr>
    </w:p>
    <w:p>
      <w:pPr>
        <w:ind w:left="940" w:hanging="643"/>
        <w:spacing w:after="0"/>
        <w:tabs>
          <w:tab w:leader="none" w:pos="940" w:val="left"/>
        </w:tabs>
        <w:numPr>
          <w:ilvl w:val="0"/>
          <w:numId w:val="4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Conflicts; Interpretation and Correction of Errors</w:t>
      </w:r>
    </w:p>
    <w:p>
      <w:pPr>
        <w:spacing w:after="0" w:line="209"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(a)In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0"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(b)The Committee shall have the power to interpret the Plan, this Agreement, the Grant Details and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4"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(c)In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6" w:lineRule="exact"/>
        <w:rPr>
          <w:sz w:val="20"/>
          <w:szCs w:val="20"/>
          <w:color w:val="auto"/>
        </w:rPr>
      </w:pPr>
    </w:p>
    <w:p>
      <w:pPr>
        <w:ind w:left="940" w:hanging="643"/>
        <w:spacing w:after="0"/>
        <w:tabs>
          <w:tab w:leader="none" w:pos="940" w:val="left"/>
        </w:tabs>
        <w:numPr>
          <w:ilvl w:val="0"/>
          <w:numId w:val="4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Data Privacy</w:t>
      </w:r>
    </w:p>
    <w:p>
      <w:pPr>
        <w:spacing w:after="0" w:line="209"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(a)The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1"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(b)The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47" w:name="page48"/>
    <w:bookmarkEnd w:id="47"/>
    <w:p>
      <w:pPr>
        <w:jc w:val="both"/>
        <w:ind w:left="300" w:right="299"/>
        <w:spacing w:after="0" w:line="236" w:lineRule="auto"/>
        <w:rPr>
          <w:sz w:val="20"/>
          <w:szCs w:val="20"/>
          <w:color w:val="auto"/>
        </w:rPr>
      </w:pPr>
      <w:r>
        <w:rPr>
          <w:rFonts w:ascii="Times New Roman" w:cs="Times New Roman" w:eastAsia="Times New Roman" w:hAnsi="Times New Roman"/>
          <w:sz w:val="22"/>
          <w:szCs w:val="22"/>
          <w:color w:val="auto"/>
        </w:rPr>
        <w:t>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79" w:lineRule="exact"/>
        <w:rPr>
          <w:sz w:val="20"/>
          <w:szCs w:val="20"/>
          <w:color w:val="auto"/>
        </w:rPr>
      </w:pPr>
    </w:p>
    <w:p>
      <w:pPr>
        <w:jc w:val="both"/>
        <w:ind w:left="300" w:right="319" w:firstLine="647"/>
        <w:spacing w:after="0" w:line="261" w:lineRule="auto"/>
        <w:rPr>
          <w:sz w:val="20"/>
          <w:szCs w:val="20"/>
          <w:color w:val="auto"/>
        </w:rPr>
      </w:pPr>
      <w:r>
        <w:rPr>
          <w:rFonts w:ascii="Times New Roman" w:cs="Times New Roman" w:eastAsia="Times New Roman" w:hAnsi="Times New Roman"/>
          <w:sz w:val="20"/>
          <w:szCs w:val="20"/>
          <w:color w:val="auto"/>
        </w:rPr>
        <w:t>(c)The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3" w:lineRule="exact"/>
        <w:rPr>
          <w:sz w:val="20"/>
          <w:szCs w:val="20"/>
          <w:color w:val="auto"/>
        </w:rPr>
      </w:pPr>
    </w:p>
    <w:p>
      <w:pPr>
        <w:ind w:left="940" w:hanging="643"/>
        <w:spacing w:after="0"/>
        <w:tabs>
          <w:tab w:leader="none" w:pos="940" w:val="left"/>
        </w:tabs>
        <w:numPr>
          <w:ilvl w:val="0"/>
          <w:numId w:val="4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Amendment</w:t>
      </w:r>
    </w:p>
    <w:p>
      <w:pPr>
        <w:spacing w:after="0" w:line="209"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(a)The Company may modify, amend, or waive the terms of this Award, prospectively or retroactively, but no such modification, amendment or waiver shall materially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1"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(b)This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72" w:lineRule="exact"/>
        <w:rPr>
          <w:sz w:val="20"/>
          <w:szCs w:val="20"/>
          <w:color w:val="auto"/>
        </w:rPr>
      </w:pPr>
    </w:p>
    <w:p>
      <w:pPr>
        <w:ind w:left="940" w:hanging="643"/>
        <w:spacing w:after="0"/>
        <w:tabs>
          <w:tab w:leader="none" w:pos="940" w:val="left"/>
        </w:tabs>
        <w:numPr>
          <w:ilvl w:val="0"/>
          <w:numId w:val="4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Choice of Language</w:t>
      </w:r>
    </w:p>
    <w:p>
      <w:pPr>
        <w:spacing w:after="0" w:line="209"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48" w:name="page49"/>
    <w:bookmarkEnd w:id="48"/>
    <w:p>
      <w:pPr>
        <w:ind w:left="940" w:hanging="643"/>
        <w:spacing w:after="0"/>
        <w:tabs>
          <w:tab w:leader="none" w:pos="940" w:val="left"/>
        </w:tabs>
        <w:numPr>
          <w:ilvl w:val="0"/>
          <w:numId w:val="4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Electronic Delivery</w:t>
      </w:r>
    </w:p>
    <w:p>
      <w:pPr>
        <w:spacing w:after="0" w:line="209" w:lineRule="exact"/>
        <w:rPr>
          <w:sz w:val="20"/>
          <w:szCs w:val="20"/>
          <w:color w:val="auto"/>
        </w:rPr>
      </w:pPr>
    </w:p>
    <w:p>
      <w:pPr>
        <w:jc w:val="both"/>
        <w:ind w:left="300" w:right="319" w:firstLine="647"/>
        <w:spacing w:after="0" w:line="235"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1" w:lineRule="exact"/>
        <w:rPr>
          <w:sz w:val="20"/>
          <w:szCs w:val="20"/>
          <w:color w:val="auto"/>
        </w:rPr>
      </w:pPr>
    </w:p>
    <w:p>
      <w:pPr>
        <w:jc w:val="both"/>
        <w:ind w:left="300" w:right="319" w:firstLine="647"/>
        <w:spacing w:after="0" w:line="236" w:lineRule="auto"/>
        <w:rPr>
          <w:sz w:val="20"/>
          <w:szCs w:val="20"/>
          <w:color w:val="auto"/>
        </w:rPr>
      </w:pPr>
      <w:r>
        <w:rPr>
          <w:rFonts w:ascii="Times New Roman" w:cs="Times New Roman" w:eastAsia="Times New Roman" w:hAnsi="Times New Roman"/>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U.S. Employee – Version March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49" w:name="page50"/>
    <w:bookmarkEnd w:id="49"/>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TRIPADVISOR, INC. RESTRICTED STOCK UNIT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(International)</w:t>
      </w:r>
    </w:p>
    <w:p>
      <w:pPr>
        <w:spacing w:after="0" w:line="200" w:lineRule="exact"/>
        <w:rPr>
          <w:sz w:val="20"/>
          <w:szCs w:val="20"/>
          <w:color w:val="auto"/>
        </w:rPr>
      </w:pPr>
    </w:p>
    <w:p>
      <w:pPr>
        <w:spacing w:after="0" w:line="224" w:lineRule="exact"/>
        <w:rPr>
          <w:sz w:val="20"/>
          <w:szCs w:val="20"/>
          <w:color w:val="auto"/>
        </w:rPr>
      </w:pPr>
    </w:p>
    <w:p>
      <w:pPr>
        <w:jc w:val="both"/>
        <w:ind w:left="300" w:right="319" w:firstLine="647"/>
        <w:spacing w:after="0" w:line="236" w:lineRule="auto"/>
        <w:rPr>
          <w:sz w:val="20"/>
          <w:szCs w:val="20"/>
          <w:color w:val="auto"/>
        </w:rPr>
      </w:pPr>
      <w:r>
        <w:rPr>
          <w:rFonts w:ascii="Times New Roman" w:cs="Times New Roman" w:eastAsia="Times New Roman" w:hAnsi="Times New Roman"/>
          <w:sz w:val="22"/>
          <w:szCs w:val="22"/>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(the “Award”) of restricted stock units (“RSUs”) to the Eligible Individual by the Company.</w:t>
      </w:r>
    </w:p>
    <w:p>
      <w:pPr>
        <w:spacing w:after="0" w:line="206"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All capitalized terms used herein, to the extent not defined, shall have the meanings set forth in the Company’s 2023 Stock and Annual Incentive Plan (as amended from time to time, the “Plan”).</w:t>
      </w:r>
    </w:p>
    <w:p>
      <w:pPr>
        <w:spacing w:after="0" w:line="168" w:lineRule="exact"/>
        <w:rPr>
          <w:sz w:val="20"/>
          <w:szCs w:val="20"/>
          <w:color w:val="auto"/>
        </w:rPr>
      </w:pPr>
    </w:p>
    <w:p>
      <w:pPr>
        <w:ind w:left="720" w:hanging="423"/>
        <w:spacing w:after="0"/>
        <w:tabs>
          <w:tab w:leader="none" w:pos="72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 and Vesting of RSUs</w:t>
      </w:r>
    </w:p>
    <w:p>
      <w:pPr>
        <w:spacing w:after="0" w:line="209" w:lineRule="exact"/>
        <w:rPr>
          <w:rFonts w:ascii="Times New Roman" w:cs="Times New Roman" w:eastAsia="Times New Roman" w:hAnsi="Times New Roman"/>
          <w:sz w:val="22"/>
          <w:szCs w:val="22"/>
          <w:b w:val="1"/>
          <w:bCs w:val="1"/>
          <w:color w:val="auto"/>
        </w:rPr>
      </w:pPr>
    </w:p>
    <w:p>
      <w:pPr>
        <w:jc w:val="both"/>
        <w:ind w:left="300" w:right="319" w:firstLine="644"/>
        <w:spacing w:after="0" w:line="234" w:lineRule="auto"/>
        <w:tabs>
          <w:tab w:leader="none" w:pos="137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22"/>
          <w:szCs w:val="22"/>
          <w:u w:val="single" w:color="auto"/>
          <w:color w:val="0000FF"/>
        </w:rPr>
        <w:t>www.netbenefits.fidelity.com</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(or any successor equity administration system selected by the</w:t>
      </w:r>
      <w:r>
        <w:rPr>
          <w:rFonts w:ascii="Times New Roman" w:cs="Times New Roman" w:eastAsia="Times New Roman" w:hAnsi="Times New Roman"/>
          <w:sz w:val="22"/>
          <w:szCs w:val="22"/>
          <w:color w:val="0000FF"/>
        </w:rPr>
        <w:t xml:space="preserve"> </w:t>
      </w:r>
      <w:r>
        <w:rPr>
          <w:rFonts w:ascii="Times New Roman" w:cs="Times New Roman" w:eastAsia="Times New Roman" w:hAnsi="Times New Roman"/>
          <w:sz w:val="22"/>
          <w:szCs w:val="22"/>
          <w:color w:val="000000"/>
        </w:rPr>
        <w:t>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p>
    <w:p>
      <w:pPr>
        <w:spacing w:after="0" w:line="72" w:lineRule="exact"/>
        <w:rPr>
          <w:rFonts w:ascii="Times New Roman" w:cs="Times New Roman" w:eastAsia="Times New Roman" w:hAnsi="Times New Roman"/>
          <w:sz w:val="22"/>
          <w:szCs w:val="22"/>
          <w:color w:val="auto"/>
        </w:rPr>
      </w:pPr>
    </w:p>
    <w:p>
      <w:pPr>
        <w:jc w:val="both"/>
        <w:ind w:left="300" w:right="319" w:firstLine="644"/>
        <w:spacing w:after="0" w:line="239" w:lineRule="auto"/>
        <w:tabs>
          <w:tab w:leader="none" w:pos="1379"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the Grant Details and the 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RSUs shall vest and no longer subject to any restriction (such period during which restrictions apply referred to as the “RSU Restriction Period”) on the dates detailed in the Grant Details.</w:t>
      </w:r>
    </w:p>
    <w:p>
      <w:pPr>
        <w:spacing w:after="0" w:line="174" w:lineRule="exact"/>
        <w:rPr>
          <w:rFonts w:ascii="Times New Roman" w:cs="Times New Roman" w:eastAsia="Times New Roman" w:hAnsi="Times New Roman"/>
          <w:sz w:val="22"/>
          <w:szCs w:val="22"/>
          <w:color w:val="auto"/>
        </w:rPr>
      </w:pPr>
    </w:p>
    <w:p>
      <w:pPr>
        <w:ind w:left="940" w:hanging="643"/>
        <w:spacing w:after="0"/>
        <w:tabs>
          <w:tab w:leader="none" w:pos="940" w:val="left"/>
        </w:tabs>
        <w:numPr>
          <w:ilvl w:val="0"/>
          <w:numId w:val="4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Settlement of RSUs</w:t>
      </w:r>
    </w:p>
    <w:p>
      <w:pPr>
        <w:spacing w:after="0" w:line="209"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As soon as practicable after any RSUs have vested and are no longer subject to the RSU Restriction Period (but in no event later than thirty (30) days thereafter), such RSUs shall be settled. Subject to Section 8 (pertaining to the withholding of taxes), for each RSU settled pursuant to this Section 2, the Company may, in its sole discretion, settle the RSUs in cash or Shares by causing to be paid or delivered to the Eligible Individual cash or freely-transferable Shares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172" w:lineRule="exact"/>
        <w:rPr>
          <w:sz w:val="20"/>
          <w:szCs w:val="20"/>
          <w:color w:val="auto"/>
        </w:rPr>
      </w:pPr>
    </w:p>
    <w:p>
      <w:pPr>
        <w:ind w:left="940" w:hanging="643"/>
        <w:spacing w:after="0"/>
        <w:tabs>
          <w:tab w:leader="none" w:pos="940" w:val="left"/>
        </w:tabs>
        <w:numPr>
          <w:ilvl w:val="0"/>
          <w:numId w:val="4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Recoupment or “Clawback” Policy</w:t>
      </w:r>
    </w:p>
    <w:p>
      <w:pPr>
        <w:spacing w:after="0" w:line="209" w:lineRule="exact"/>
        <w:rPr>
          <w:sz w:val="20"/>
          <w:szCs w:val="20"/>
          <w:color w:val="auto"/>
        </w:rPr>
      </w:pPr>
    </w:p>
    <w:p>
      <w:pPr>
        <w:ind w:left="380" w:right="359" w:firstLine="432"/>
        <w:spacing w:after="0" w:line="307" w:lineRule="auto"/>
        <w:rPr>
          <w:sz w:val="20"/>
          <w:szCs w:val="20"/>
          <w:color w:val="auto"/>
        </w:rPr>
      </w:pPr>
      <w:r>
        <w:rPr>
          <w:rFonts w:ascii="Times New Roman" w:cs="Times New Roman" w:eastAsia="Times New Roman" w:hAnsi="Times New Roman"/>
          <w:sz w:val="20"/>
          <w:szCs w:val="20"/>
          <w:color w:val="auto"/>
        </w:rPr>
        <w:t>All awards received and any shares or other amount or property that may be issued, delivered, or paid in respect of the Award, as well as any consideration that may be received in</w:t>
      </w:r>
    </w:p>
    <w:p>
      <w:pPr>
        <w:spacing w:after="0" w:line="5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631825</wp:posOffset>
            </wp:positionV>
            <wp:extent cx="5368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755" w:right="1440" w:bottom="1440" w:gutter="0" w:footer="0" w:header="0"/>
        </w:sectPr>
      </w:pPr>
    </w:p>
    <w:bookmarkStart w:id="50" w:name="page51"/>
    <w:bookmarkEnd w:id="50"/>
    <w:p>
      <w:pPr>
        <w:spacing w:after="0" w:line="183" w:lineRule="exact"/>
        <w:rPr>
          <w:sz w:val="20"/>
          <w:szCs w:val="20"/>
          <w:color w:val="auto"/>
        </w:rPr>
      </w:pPr>
    </w:p>
    <w:p>
      <w:pPr>
        <w:jc w:val="both"/>
        <w:ind w:left="380" w:right="299"/>
        <w:spacing w:after="0" w:line="233" w:lineRule="auto"/>
        <w:rPr>
          <w:sz w:val="20"/>
          <w:szCs w:val="20"/>
          <w:color w:val="auto"/>
        </w:rPr>
      </w:pPr>
      <w:r>
        <w:rPr>
          <w:rFonts w:ascii="Times New Roman" w:cs="Times New Roman" w:eastAsia="Times New Roman" w:hAnsi="Times New Roman"/>
          <w:sz w:val="22"/>
          <w:szCs w:val="22"/>
          <w:color w:val="auto"/>
        </w:rPr>
        <w:t>respect of a sale or other disposition of any such shares or property, will be subject to clawback, cancellation, recoupment, rescission, payback, reduction, or other similar action in accordance with the Company’s Clawback Policy (as in effect from time to time and any successor policies) or similar policy or any applicable law related to such actions. An Eligible Individual’s acceptance of an Award will constitute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spacing w:after="0" w:line="207" w:lineRule="exact"/>
        <w:rPr>
          <w:sz w:val="20"/>
          <w:szCs w:val="20"/>
          <w:color w:val="auto"/>
        </w:rPr>
      </w:pPr>
    </w:p>
    <w:p>
      <w:pPr>
        <w:ind w:left="940" w:hanging="643"/>
        <w:spacing w:after="0"/>
        <w:tabs>
          <w:tab w:leader="none" w:pos="940" w:val="left"/>
        </w:tabs>
        <w:numPr>
          <w:ilvl w:val="0"/>
          <w:numId w:val="4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Termination of Employment</w:t>
      </w:r>
    </w:p>
    <w:p>
      <w:pPr>
        <w:spacing w:after="0" w:line="209" w:lineRule="exact"/>
        <w:rPr>
          <w:sz w:val="20"/>
          <w:szCs w:val="20"/>
          <w:color w:val="auto"/>
        </w:rPr>
      </w:pPr>
    </w:p>
    <w:p>
      <w:pPr>
        <w:jc w:val="both"/>
        <w:ind w:left="300" w:right="319" w:firstLine="647"/>
        <w:spacing w:after="0" w:line="260" w:lineRule="auto"/>
        <w:rPr>
          <w:sz w:val="20"/>
          <w:szCs w:val="20"/>
          <w:color w:val="auto"/>
        </w:rPr>
      </w:pPr>
      <w:r>
        <w:rPr>
          <w:rFonts w:ascii="Times New Roman" w:cs="Times New Roman" w:eastAsia="Times New Roman" w:hAnsi="Times New Roman"/>
          <w:sz w:val="20"/>
          <w:szCs w:val="20"/>
          <w:color w:val="auto"/>
        </w:rPr>
        <w:t>(a)In the event a Termination of Employment of the Eligible Individual occurs during the RSU Restriction Period for any reason (whether or not in breach of local labor laws), except as otherwise provided in the Plan or any written employment agreement or written offer letter between the Company and the Eligible Individual (an “Employment Arrangement”), the Eligible Individual’s right to any RSUs that have not vested as of the date of Termination of Employment will terminate effective as of the date of the Termination of Employment and will not be extended by any notice period mandated under local law. The Eligible Individual shall not be entitled by way of compensation for loss of office or otherwise to any sum or other benefit to compensate the Eligible Individual for the loss of any rights under this Agreement or the Plan.</w:t>
      </w:r>
    </w:p>
    <w:p>
      <w:pPr>
        <w:spacing w:after="0" w:line="158" w:lineRule="exact"/>
        <w:rPr>
          <w:sz w:val="20"/>
          <w:szCs w:val="20"/>
          <w:color w:val="auto"/>
        </w:rPr>
      </w:pPr>
    </w:p>
    <w:p>
      <w:pPr>
        <w:jc w:val="both"/>
        <w:ind w:left="300" w:right="299" w:firstLine="644"/>
        <w:spacing w:after="0" w:line="232" w:lineRule="auto"/>
        <w:tabs>
          <w:tab w:leader="none" w:pos="126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1 above or anything in the Plan or in any Employment Agreement to the contrary,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RSUs that vested during the two-year period after the events or circumstances giving rise to or constituting grounds for such Termination of Employment for Cause (i.e., the value of the RSUs upon vesting), in each case including any dividend equivalents or other distributions received in respect of any such RSUs.</w:t>
      </w:r>
    </w:p>
    <w:p>
      <w:pPr>
        <w:spacing w:after="0" w:line="185"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(c)Notwithstanding anything herein to the contrary, except as provided in Section 4(b) above,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1" w:name="page52"/>
    <w:bookmarkEnd w:id="51"/>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benefits under both the Plan and any Employment Arrangement for the same event or qualifying termination.</w:t>
      </w:r>
    </w:p>
    <w:p>
      <w:pPr>
        <w:spacing w:after="0" w:line="157"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(d)For purpose of this Agreement, employment with the Company shall include employment with the Company’s Subsidiaries or Affiliates. The Committee shall have the exclusive discretion to determine whether there has been any interruption or Termination of Employment, whether and when grounds for a Termination of Employment for Cause existed or whether there occurred a Change in Control.</w:t>
      </w:r>
    </w:p>
    <w:p>
      <w:pPr>
        <w:spacing w:after="0" w:line="176" w:lineRule="exact"/>
        <w:rPr>
          <w:sz w:val="20"/>
          <w:szCs w:val="20"/>
          <w:color w:val="auto"/>
        </w:rPr>
      </w:pPr>
    </w:p>
    <w:p>
      <w:pPr>
        <w:ind w:left="940" w:hanging="643"/>
        <w:spacing w:after="0"/>
        <w:tabs>
          <w:tab w:leader="none" w:pos="940" w:val="left"/>
        </w:tabs>
        <w:numPr>
          <w:ilvl w:val="0"/>
          <w:numId w:val="5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Non-Transferability of the RSUs</w:t>
      </w:r>
    </w:p>
    <w:p>
      <w:pPr>
        <w:spacing w:after="0" w:line="209"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Until the RSUs are settled as provided herein or on the website of the Plan Administrator, the RSUs shall not be transferable by the Eligible Individual by means of sale, assignment, exchange, encumbrance, pledge, hedge or otherwise.</w:t>
      </w:r>
    </w:p>
    <w:p>
      <w:pPr>
        <w:spacing w:after="0" w:line="168" w:lineRule="exact"/>
        <w:rPr>
          <w:sz w:val="20"/>
          <w:szCs w:val="20"/>
          <w:color w:val="auto"/>
        </w:rPr>
      </w:pPr>
    </w:p>
    <w:p>
      <w:pPr>
        <w:ind w:left="940" w:hanging="643"/>
        <w:spacing w:after="0"/>
        <w:tabs>
          <w:tab w:leader="none" w:pos="940" w:val="left"/>
        </w:tabs>
        <w:numPr>
          <w:ilvl w:val="0"/>
          <w:numId w:val="5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Rights as a Stockholder</w:t>
      </w:r>
    </w:p>
    <w:p>
      <w:pPr>
        <w:spacing w:after="0" w:line="200" w:lineRule="exact"/>
        <w:rPr>
          <w:sz w:val="20"/>
          <w:szCs w:val="20"/>
          <w:color w:val="auto"/>
        </w:rPr>
      </w:pPr>
    </w:p>
    <w:p>
      <w:pPr>
        <w:spacing w:after="0" w:line="225" w:lineRule="exact"/>
        <w:rPr>
          <w:sz w:val="20"/>
          <w:szCs w:val="20"/>
          <w:color w:val="auto"/>
        </w:rPr>
      </w:pPr>
    </w:p>
    <w:p>
      <w:pPr>
        <w:jc w:val="both"/>
        <w:ind w:left="300" w:right="319" w:firstLine="647"/>
        <w:spacing w:after="0" w:line="233" w:lineRule="auto"/>
        <w:rPr>
          <w:sz w:val="20"/>
          <w:szCs w:val="20"/>
          <w:color w:val="auto"/>
        </w:rPr>
      </w:pPr>
      <w:r>
        <w:rPr>
          <w:rFonts w:ascii="Times New Roman" w:cs="Times New Roman" w:eastAsia="Times New Roman" w:hAnsi="Times New Roman"/>
          <w:sz w:val="22"/>
          <w:szCs w:val="22"/>
          <w:color w:val="auto"/>
        </w:rPr>
        <w:t>Except as otherwise specifically provided in this Agreement, until the RSUs have vested and been settled in Shares the Eligible Individual shall not be entitled to any rights of a stockholder with respect to the RSUs. Notwithstanding the foregoing, if the Company declares and pays ordinary cash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ordinary cash dividends, if any, may result in an adjustment pursuant to Section 7 below, rather than under this Section 6.</w:t>
      </w:r>
    </w:p>
    <w:p>
      <w:pPr>
        <w:spacing w:after="0" w:line="177" w:lineRule="exact"/>
        <w:rPr>
          <w:sz w:val="20"/>
          <w:szCs w:val="20"/>
          <w:color w:val="auto"/>
        </w:rPr>
      </w:pPr>
    </w:p>
    <w:p>
      <w:pPr>
        <w:ind w:left="940" w:hanging="643"/>
        <w:spacing w:after="0"/>
        <w:tabs>
          <w:tab w:leader="none" w:pos="940" w:val="left"/>
        </w:tabs>
        <w:numPr>
          <w:ilvl w:val="0"/>
          <w:numId w:val="5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Adjustment in the Event of Change in Stock; Change in Control</w:t>
      </w:r>
    </w:p>
    <w:p>
      <w:pPr>
        <w:spacing w:after="0" w:line="200" w:lineRule="exact"/>
        <w:rPr>
          <w:sz w:val="20"/>
          <w:szCs w:val="20"/>
          <w:color w:val="auto"/>
        </w:rPr>
      </w:pPr>
    </w:p>
    <w:p>
      <w:pPr>
        <w:spacing w:after="0" w:line="225"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(a)In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a dividend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400"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(b)In the case of Corporate Transactions, such adjustments may include, without limitation (i) the cancellation of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2" w:name="page53"/>
    <w:bookmarkEnd w:id="52"/>
    <w:p>
      <w:pPr>
        <w:spacing w:after="0" w:line="183" w:lineRule="exact"/>
        <w:rPr>
          <w:sz w:val="20"/>
          <w:szCs w:val="20"/>
          <w:color w:val="auto"/>
        </w:rPr>
      </w:pPr>
    </w:p>
    <w:p>
      <w:pPr>
        <w:jc w:val="both"/>
        <w:ind w:left="300" w:right="319"/>
        <w:spacing w:after="0" w:line="239" w:lineRule="auto"/>
        <w:rPr>
          <w:sz w:val="20"/>
          <w:szCs w:val="20"/>
          <w:color w:val="auto"/>
        </w:rPr>
      </w:pPr>
      <w:r>
        <w:rPr>
          <w:rFonts w:ascii="Times New Roman" w:cs="Times New Roman" w:eastAsia="Times New Roman" w:hAnsi="Times New Roman"/>
          <w:sz w:val="22"/>
          <w:szCs w:val="22"/>
          <w:color w:val="auto"/>
        </w:rPr>
        <w:t>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395"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(c)The determination of the Committee regarding any such adjustment will be final and conclusive and need not be the same for all Eligible Individuals.</w:t>
      </w:r>
    </w:p>
    <w:p>
      <w:pPr>
        <w:spacing w:after="0" w:line="153" w:lineRule="exact"/>
        <w:rPr>
          <w:sz w:val="20"/>
          <w:szCs w:val="20"/>
          <w:color w:val="auto"/>
        </w:rPr>
      </w:pPr>
    </w:p>
    <w:p>
      <w:pPr>
        <w:ind w:left="940" w:hanging="643"/>
        <w:spacing w:after="0"/>
        <w:tabs>
          <w:tab w:leader="none" w:pos="940" w:val="left"/>
        </w:tabs>
        <w:numPr>
          <w:ilvl w:val="0"/>
          <w:numId w:val="5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Taxes, Fees and Withholding</w:t>
      </w:r>
    </w:p>
    <w:p>
      <w:pPr>
        <w:spacing w:after="0" w:line="200" w:lineRule="exact"/>
        <w:rPr>
          <w:sz w:val="20"/>
          <w:szCs w:val="20"/>
          <w:color w:val="auto"/>
        </w:rPr>
      </w:pPr>
    </w:p>
    <w:p>
      <w:pPr>
        <w:spacing w:after="0" w:line="225"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(a)The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79"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(b)Regardless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and the receipt of cash or any dividends or dividend equivalents with respect thereto; and (ii) do not commit to structure the terms of the Award or any aspect of the RSUs to reduce or eliminate the Eligible Individual’s liability for Tax-Related Items.</w:t>
      </w:r>
    </w:p>
    <w:p>
      <w:pPr>
        <w:spacing w:after="0" w:line="176" w:lineRule="exact"/>
        <w:rPr>
          <w:sz w:val="20"/>
          <w:szCs w:val="20"/>
          <w:color w:val="auto"/>
        </w:rPr>
      </w:pPr>
    </w:p>
    <w:p>
      <w:pPr>
        <w:jc w:val="both"/>
        <w:ind w:left="300" w:right="299" w:firstLine="647"/>
        <w:spacing w:after="0" w:line="232" w:lineRule="auto"/>
        <w:rPr>
          <w:sz w:val="20"/>
          <w:szCs w:val="20"/>
          <w:color w:val="auto"/>
        </w:rPr>
      </w:pPr>
      <w:r>
        <w:rPr>
          <w:rFonts w:ascii="Times New Roman" w:cs="Times New Roman" w:eastAsia="Times New Roman" w:hAnsi="Times New Roman"/>
          <w:sz w:val="22"/>
          <w:szCs w:val="22"/>
          <w:color w:val="auto"/>
        </w:rPr>
        <w:t>(c)In the event that the Company, Subsidiary or Affiliate is required to withhold any Tax-Related Items as a result of the Award or vesting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3" w:name="page54"/>
    <w:bookmarkEnd w:id="53"/>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RSU or pay cash in settlement of the RSUs if the Eligible Individual fails to comply with his or her obligations in connection with the Tax-Related Items as described in this Section.</w:t>
      </w:r>
    </w:p>
    <w:p>
      <w:pPr>
        <w:spacing w:after="0" w:line="157" w:lineRule="exact"/>
        <w:rPr>
          <w:sz w:val="20"/>
          <w:szCs w:val="20"/>
          <w:color w:val="auto"/>
        </w:rPr>
      </w:pPr>
    </w:p>
    <w:p>
      <w:pPr>
        <w:jc w:val="both"/>
        <w:ind w:left="300" w:right="319" w:firstLine="647"/>
        <w:spacing w:after="0" w:line="233" w:lineRule="auto"/>
        <w:rPr>
          <w:sz w:val="20"/>
          <w:szCs w:val="20"/>
          <w:color w:val="auto"/>
        </w:rPr>
      </w:pPr>
      <w:r>
        <w:rPr>
          <w:rFonts w:ascii="Times New Roman" w:cs="Times New Roman" w:eastAsia="Times New Roman" w:hAnsi="Times New Roman"/>
          <w:sz w:val="22"/>
          <w:szCs w:val="22"/>
          <w:color w:val="auto"/>
        </w:rPr>
        <w:t>(e)In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77" w:lineRule="exact"/>
        <w:rPr>
          <w:sz w:val="20"/>
          <w:szCs w:val="20"/>
          <w:color w:val="auto"/>
        </w:rPr>
      </w:pPr>
    </w:p>
    <w:p>
      <w:pPr>
        <w:ind w:left="940" w:hanging="643"/>
        <w:spacing w:after="0"/>
        <w:tabs>
          <w:tab w:leader="none" w:pos="940" w:val="left"/>
        </w:tabs>
        <w:numPr>
          <w:ilvl w:val="0"/>
          <w:numId w:val="5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Other Restrictions</w:t>
      </w:r>
    </w:p>
    <w:p>
      <w:pPr>
        <w:spacing w:after="0" w:line="200" w:lineRule="exact"/>
        <w:rPr>
          <w:rFonts w:ascii="Times New Roman" w:cs="Times New Roman" w:eastAsia="Times New Roman" w:hAnsi="Times New Roman"/>
          <w:sz w:val="22"/>
          <w:szCs w:val="22"/>
          <w:b w:val="1"/>
          <w:bCs w:val="1"/>
          <w:u w:val="single" w:color="auto"/>
          <w:color w:val="auto"/>
        </w:rPr>
      </w:pPr>
    </w:p>
    <w:p>
      <w:pPr>
        <w:spacing w:after="0" w:line="225" w:lineRule="exact"/>
        <w:rPr>
          <w:rFonts w:ascii="Times New Roman" w:cs="Times New Roman" w:eastAsia="Times New Roman" w:hAnsi="Times New Roman"/>
          <w:sz w:val="22"/>
          <w:szCs w:val="22"/>
          <w:b w:val="1"/>
          <w:bCs w:val="1"/>
          <w:u w:val="single" w:color="auto"/>
          <w:color w:val="auto"/>
        </w:rPr>
      </w:pPr>
    </w:p>
    <w:p>
      <w:pPr>
        <w:jc w:val="both"/>
        <w:ind w:left="300" w:right="319" w:firstLine="644"/>
        <w:spacing w:after="0" w:line="235" w:lineRule="auto"/>
        <w:tabs>
          <w:tab w:leader="none" w:pos="137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22"/>
          <w:szCs w:val="22"/>
          <w:color w:val="auto"/>
        </w:rPr>
      </w:pPr>
    </w:p>
    <w:p>
      <w:pPr>
        <w:jc w:val="both"/>
        <w:ind w:left="300" w:right="319" w:firstLine="644"/>
        <w:spacing w:after="0" w:line="233" w:lineRule="auto"/>
        <w:tabs>
          <w:tab w:leader="none" w:pos="1379"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0" w:lineRule="exact"/>
        <w:rPr>
          <w:rFonts w:ascii="Times New Roman" w:cs="Times New Roman" w:eastAsia="Times New Roman" w:hAnsi="Times New Roman"/>
          <w:sz w:val="22"/>
          <w:szCs w:val="22"/>
          <w:color w:val="auto"/>
        </w:rPr>
      </w:pPr>
    </w:p>
    <w:p>
      <w:pPr>
        <w:ind w:left="940" w:hanging="643"/>
        <w:spacing w:after="0"/>
        <w:tabs>
          <w:tab w:leader="none" w:pos="940" w:val="left"/>
        </w:tabs>
        <w:numPr>
          <w:ilvl w:val="0"/>
          <w:numId w:val="5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Nature of Award</w:t>
      </w:r>
    </w:p>
    <w:p>
      <w:pPr>
        <w:spacing w:after="0" w:line="209" w:lineRule="exact"/>
        <w:rPr>
          <w:rFonts w:ascii="Times New Roman" w:cs="Times New Roman" w:eastAsia="Times New Roman" w:hAnsi="Times New Roman"/>
          <w:sz w:val="22"/>
          <w:szCs w:val="22"/>
          <w:b w:val="1"/>
          <w:bCs w:val="1"/>
          <w:u w:val="single" w:color="auto"/>
          <w:color w:val="auto"/>
        </w:rPr>
      </w:pPr>
    </w:p>
    <w:p>
      <w:pPr>
        <w:ind w:left="940"/>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In accepting the Award, the Eligible Individual acknowledges that:</w:t>
      </w:r>
    </w:p>
    <w:p>
      <w:pPr>
        <w:spacing w:after="0" w:line="205"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(f)the Plan is established voluntarily by the Company, it is discretionary in nature and it may be modified, amended, suspended or terminated by the Company at any time, unless otherwise provided in the Plan and this Agreement;</w:t>
      </w:r>
    </w:p>
    <w:p>
      <w:pPr>
        <w:spacing w:after="0" w:line="172"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(g)the Award is voluntary and occasional and does not create any contractual or other right to receive future Awards, or benefits in lieu of Awards, even if Awards have been made repeatedly in the past;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4" w:name="page55"/>
    <w:bookmarkEnd w:id="54"/>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(h)all decisions with respect to future Awards, if any, will be at the sole discretion of the Company;</w:t>
      </w:r>
    </w:p>
    <w:p>
      <w:pPr>
        <w:spacing w:after="0" w:line="157" w:lineRule="exact"/>
        <w:rPr>
          <w:sz w:val="20"/>
          <w:szCs w:val="20"/>
          <w:color w:val="auto"/>
        </w:rPr>
      </w:pPr>
    </w:p>
    <w:p>
      <w:pPr>
        <w:jc w:val="both"/>
        <w:ind w:left="300" w:right="299" w:firstLine="644"/>
        <w:spacing w:after="0" w:line="239" w:lineRule="auto"/>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Individual’s participation in the Plan will not create a right to further employment or service with the Company, its Subsidiary or Affiliate and shall not interfere with the ability of the Company to terminate the Eligible Individual’s employment or service relationship at any time with or without Cause;</w:t>
      </w:r>
    </w:p>
    <w:p>
      <w:pPr>
        <w:spacing w:after="0" w:line="178" w:lineRule="exact"/>
        <w:rPr>
          <w:rFonts w:ascii="Times New Roman" w:cs="Times New Roman" w:eastAsia="Times New Roman" w:hAnsi="Times New Roman"/>
          <w:sz w:val="22"/>
          <w:szCs w:val="22"/>
          <w:color w:val="auto"/>
        </w:rPr>
      </w:pPr>
    </w:p>
    <w:p>
      <w:pPr>
        <w:ind w:left="1180" w:hanging="236"/>
        <w:spacing w:after="0"/>
        <w:tabs>
          <w:tab w:leader="none" w:pos="118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is voluntarily participating in the Plan;</w:t>
      </w:r>
    </w:p>
    <w:p>
      <w:pPr>
        <w:spacing w:after="0" w:line="205"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(k)the Award is not part of normal or expected compensation or salary for any purposes, including, but not limited to, calculating any severance, resignation, termination, redundancy, end of service payments, bonuses, long-service awards, pension or retirement benefits or similar payments;</w:t>
      </w:r>
    </w:p>
    <w:p>
      <w:pPr>
        <w:spacing w:after="0" w:line="179" w:lineRule="exact"/>
        <w:rPr>
          <w:sz w:val="20"/>
          <w:szCs w:val="20"/>
          <w:color w:val="auto"/>
        </w:rPr>
      </w:pPr>
    </w:p>
    <w:p>
      <w:pPr>
        <w:jc w:val="both"/>
        <w:ind w:left="300" w:right="319" w:firstLine="644"/>
        <w:spacing w:after="0" w:line="244" w:lineRule="auto"/>
        <w:tabs>
          <w:tab w:leader="none" w:pos="118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Eligible Individual is not an employee of the Company, a Subsidiary or an Affiliate, the Award will not be interpreted to form an employment contract or relationship with the Company; and</w:t>
      </w:r>
    </w:p>
    <w:p>
      <w:pPr>
        <w:spacing w:after="0" w:line="172"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(m)in consideration of the Award, no claim or entitlement to compensation or damages shall arise from termination of the Award or diminution in value of the Award resulting from the Eligible Individual’s Termination of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80" w:lineRule="exact"/>
        <w:rPr>
          <w:sz w:val="20"/>
          <w:szCs w:val="20"/>
          <w:color w:val="auto"/>
        </w:rPr>
      </w:pPr>
    </w:p>
    <w:p>
      <w:pPr>
        <w:ind w:left="940" w:hanging="643"/>
        <w:spacing w:after="0"/>
        <w:tabs>
          <w:tab w:leader="none" w:pos="940" w:val="left"/>
        </w:tabs>
        <w:numPr>
          <w:ilvl w:val="0"/>
          <w:numId w:val="5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b w:val="1"/>
          <w:bCs w:val="1"/>
          <w:color w:val="auto"/>
        </w:rPr>
        <w:t>.</w:t>
      </w:r>
    </w:p>
    <w:p>
      <w:pPr>
        <w:spacing w:after="0" w:line="209"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vesting, settlement or disposition of the Award before taking any action related to the Plan or the Award.</w:t>
      </w:r>
    </w:p>
    <w:p>
      <w:pPr>
        <w:spacing w:after="0" w:line="175" w:lineRule="exact"/>
        <w:rPr>
          <w:sz w:val="20"/>
          <w:szCs w:val="20"/>
          <w:color w:val="auto"/>
        </w:rPr>
      </w:pPr>
    </w:p>
    <w:p>
      <w:pPr>
        <w:ind w:left="940" w:hanging="643"/>
        <w:spacing w:after="0"/>
        <w:tabs>
          <w:tab w:leader="none" w:pos="940" w:val="left"/>
        </w:tabs>
        <w:numPr>
          <w:ilvl w:val="0"/>
          <w:numId w:val="5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Notices</w:t>
      </w:r>
    </w:p>
    <w:p>
      <w:pPr>
        <w:spacing w:after="0" w:line="209"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75" w:lineRule="exact"/>
        <w:rPr>
          <w:sz w:val="20"/>
          <w:szCs w:val="20"/>
          <w:color w:val="auto"/>
        </w:rPr>
      </w:pPr>
    </w:p>
    <w:p>
      <w:pPr>
        <w:ind w:left="940" w:hanging="643"/>
        <w:spacing w:after="0"/>
        <w:tabs>
          <w:tab w:leader="none" w:pos="940" w:val="left"/>
        </w:tabs>
        <w:numPr>
          <w:ilvl w:val="0"/>
          <w:numId w:val="5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Effect of Agreement; Severability</w:t>
      </w:r>
    </w:p>
    <w:p>
      <w:pPr>
        <w:spacing w:after="0" w:line="209"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Except as otherwise provided hereunder, this Agreement shall be binding upon and shall inure to the benefit of any successor or successors of the Company. The invalidity or enforceability</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5" w:name="page56"/>
    <w:bookmarkEnd w:id="55"/>
    <w:p>
      <w:pPr>
        <w:ind w:left="300" w:right="319"/>
        <w:spacing w:after="0" w:line="258" w:lineRule="auto"/>
        <w:rPr>
          <w:sz w:val="20"/>
          <w:szCs w:val="20"/>
          <w:color w:val="auto"/>
        </w:rPr>
      </w:pPr>
      <w:r>
        <w:rPr>
          <w:rFonts w:ascii="Times New Roman" w:cs="Times New Roman" w:eastAsia="Times New Roman" w:hAnsi="Times New Roman"/>
          <w:sz w:val="22"/>
          <w:szCs w:val="22"/>
          <w:color w:val="auto"/>
        </w:rPr>
        <w:t>of any provision of this Agreement shall not affect the validity or enforceability of any other provision of this Agreement.</w:t>
      </w:r>
    </w:p>
    <w:p>
      <w:pPr>
        <w:spacing w:after="0" w:line="153" w:lineRule="exact"/>
        <w:rPr>
          <w:sz w:val="20"/>
          <w:szCs w:val="20"/>
          <w:color w:val="auto"/>
        </w:rPr>
      </w:pPr>
    </w:p>
    <w:p>
      <w:pPr>
        <w:ind w:left="940" w:hanging="643"/>
        <w:spacing w:after="0"/>
        <w:tabs>
          <w:tab w:leader="none" w:pos="940" w:val="left"/>
        </w:tabs>
        <w:numPr>
          <w:ilvl w:val="0"/>
          <w:numId w:val="6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Laws Applicable to Construction; Consent to Jurisdiction</w:t>
      </w:r>
    </w:p>
    <w:p>
      <w:pPr>
        <w:spacing w:after="0" w:line="209"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(a)The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80"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(b)Any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76" w:lineRule="exact"/>
        <w:rPr>
          <w:sz w:val="20"/>
          <w:szCs w:val="20"/>
          <w:color w:val="auto"/>
        </w:rPr>
      </w:pPr>
    </w:p>
    <w:p>
      <w:pPr>
        <w:ind w:left="940" w:hanging="643"/>
        <w:spacing w:after="0"/>
        <w:tabs>
          <w:tab w:leader="none" w:pos="940" w:val="left"/>
        </w:tabs>
        <w:numPr>
          <w:ilvl w:val="0"/>
          <w:numId w:val="6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Conflicts; Interpretation and Correction of Errors</w:t>
      </w:r>
    </w:p>
    <w:p>
      <w:pPr>
        <w:spacing w:after="0" w:line="209"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(a)In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0"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(b)The Committee shall have the power to interpret the Plan, this Agreement, the Grant Details and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4"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(c)In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6" w:lineRule="exact"/>
        <w:rPr>
          <w:sz w:val="20"/>
          <w:szCs w:val="20"/>
          <w:color w:val="auto"/>
        </w:rPr>
      </w:pPr>
    </w:p>
    <w:p>
      <w:pPr>
        <w:ind w:left="940" w:hanging="643"/>
        <w:spacing w:after="0"/>
        <w:tabs>
          <w:tab w:leader="none" w:pos="940" w:val="left"/>
        </w:tabs>
        <w:numPr>
          <w:ilvl w:val="0"/>
          <w:numId w:val="6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Data Privacy</w:t>
      </w:r>
    </w:p>
    <w:p>
      <w:pPr>
        <w:spacing w:after="0" w:line="209"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(a)The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6" w:name="page57"/>
    <w:bookmarkEnd w:id="56"/>
    <w:p>
      <w:pPr>
        <w:jc w:val="both"/>
        <w:ind w:left="300" w:right="319"/>
        <w:spacing w:after="0" w:line="234" w:lineRule="auto"/>
        <w:rPr>
          <w:sz w:val="20"/>
          <w:szCs w:val="20"/>
          <w:color w:val="auto"/>
        </w:rPr>
      </w:pPr>
      <w:r>
        <w:rPr>
          <w:rFonts w:ascii="Times New Roman" w:cs="Times New Roman" w:eastAsia="Times New Roman" w:hAnsi="Times New Roman"/>
          <w:sz w:val="22"/>
          <w:szCs w:val="22"/>
          <w:color w:val="auto"/>
        </w:rPr>
        <w:t>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4"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(b)The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84" w:lineRule="exact"/>
        <w:rPr>
          <w:sz w:val="20"/>
          <w:szCs w:val="20"/>
          <w:color w:val="auto"/>
        </w:rPr>
      </w:pPr>
    </w:p>
    <w:p>
      <w:pPr>
        <w:jc w:val="both"/>
        <w:ind w:left="300" w:right="319" w:firstLine="647"/>
        <w:spacing w:after="0" w:line="261" w:lineRule="auto"/>
        <w:rPr>
          <w:sz w:val="20"/>
          <w:szCs w:val="20"/>
          <w:color w:val="auto"/>
        </w:rPr>
      </w:pPr>
      <w:r>
        <w:rPr>
          <w:rFonts w:ascii="Times New Roman" w:cs="Times New Roman" w:eastAsia="Times New Roman" w:hAnsi="Times New Roman"/>
          <w:sz w:val="20"/>
          <w:szCs w:val="20"/>
          <w:color w:val="auto"/>
        </w:rPr>
        <w:t>(c)The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3" w:lineRule="exact"/>
        <w:rPr>
          <w:sz w:val="20"/>
          <w:szCs w:val="20"/>
          <w:color w:val="auto"/>
        </w:rPr>
      </w:pPr>
    </w:p>
    <w:p>
      <w:pPr>
        <w:ind w:left="940" w:hanging="643"/>
        <w:spacing w:after="0"/>
        <w:tabs>
          <w:tab w:leader="none" w:pos="940" w:val="left"/>
        </w:tabs>
        <w:numPr>
          <w:ilvl w:val="0"/>
          <w:numId w:val="6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Amendment</w:t>
      </w:r>
    </w:p>
    <w:p>
      <w:pPr>
        <w:spacing w:after="0" w:line="209"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(a)The Company may modify, amend, or waive the terms of this Award, prospectively or retroactively, but no such modification, amendment or waiver shall materially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1"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(b)This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7" w:name="page58"/>
    <w:bookmarkEnd w:id="57"/>
    <w:p>
      <w:pPr>
        <w:ind w:left="300" w:right="319"/>
        <w:spacing w:after="0" w:line="258" w:lineRule="auto"/>
        <w:rPr>
          <w:sz w:val="20"/>
          <w:szCs w:val="20"/>
          <w:color w:val="auto"/>
        </w:rPr>
      </w:pPr>
      <w:r>
        <w:rPr>
          <w:rFonts w:ascii="Times New Roman" w:cs="Times New Roman" w:eastAsia="Times New Roman" w:hAnsi="Times New Roman"/>
          <w:sz w:val="22"/>
          <w:szCs w:val="22"/>
          <w:color w:val="auto"/>
        </w:rPr>
        <w:t>value of money resulting from a delay in the timing of payments hereunder for a period of approximately six months or such longer period as may be required).</w:t>
      </w:r>
    </w:p>
    <w:p>
      <w:pPr>
        <w:spacing w:after="0" w:line="153" w:lineRule="exact"/>
        <w:rPr>
          <w:sz w:val="20"/>
          <w:szCs w:val="20"/>
          <w:color w:val="auto"/>
        </w:rPr>
      </w:pPr>
    </w:p>
    <w:p>
      <w:pPr>
        <w:ind w:left="940" w:hanging="643"/>
        <w:spacing w:after="0"/>
        <w:tabs>
          <w:tab w:leader="none" w:pos="940" w:val="left"/>
        </w:tabs>
        <w:numPr>
          <w:ilvl w:val="0"/>
          <w:numId w:val="6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Choice of Language</w:t>
      </w:r>
    </w:p>
    <w:p>
      <w:pPr>
        <w:spacing w:after="0" w:line="209"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spacing w:after="0" w:line="176" w:lineRule="exact"/>
        <w:rPr>
          <w:sz w:val="20"/>
          <w:szCs w:val="20"/>
          <w:color w:val="auto"/>
        </w:rPr>
      </w:pPr>
    </w:p>
    <w:p>
      <w:pPr>
        <w:ind w:left="940" w:hanging="643"/>
        <w:spacing w:after="0"/>
        <w:tabs>
          <w:tab w:leader="none" w:pos="940" w:val="left"/>
        </w:tabs>
        <w:numPr>
          <w:ilvl w:val="0"/>
          <w:numId w:val="6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Electronic Delivery</w:t>
      </w:r>
    </w:p>
    <w:p>
      <w:pPr>
        <w:spacing w:after="0" w:line="209" w:lineRule="exact"/>
        <w:rPr>
          <w:sz w:val="20"/>
          <w:szCs w:val="20"/>
          <w:color w:val="auto"/>
        </w:rPr>
      </w:pPr>
    </w:p>
    <w:p>
      <w:pPr>
        <w:jc w:val="both"/>
        <w:ind w:left="300" w:right="319" w:firstLine="647"/>
        <w:spacing w:after="0" w:line="235"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81" w:lineRule="exact"/>
        <w:rPr>
          <w:sz w:val="20"/>
          <w:szCs w:val="20"/>
          <w:color w:val="auto"/>
        </w:rPr>
      </w:pPr>
    </w:p>
    <w:p>
      <w:pPr>
        <w:jc w:val="both"/>
        <w:ind w:left="300" w:right="319" w:firstLine="647"/>
        <w:spacing w:after="0" w:line="264" w:lineRule="auto"/>
        <w:rPr>
          <w:sz w:val="20"/>
          <w:szCs w:val="20"/>
          <w:color w:val="auto"/>
        </w:rPr>
      </w:pPr>
      <w:r>
        <w:rPr>
          <w:rFonts w:ascii="Times New Roman" w:cs="Times New Roman" w:eastAsia="Times New Roman" w:hAnsi="Times New Roman"/>
          <w:sz w:val="20"/>
          <w:szCs w:val="20"/>
          <w:color w:val="auto"/>
        </w:rPr>
        <w:t>By electronically accepting this Agreement and participating in the Plan, the Eligible Individual agrees to be bound by the terms and conditions of the Plan and this Agreement, including the Grant Details and Appendix.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Appendix.</w:t>
      </w:r>
    </w:p>
    <w:p>
      <w:pPr>
        <w:spacing w:after="0" w:line="150" w:lineRule="exact"/>
        <w:rPr>
          <w:sz w:val="20"/>
          <w:szCs w:val="20"/>
          <w:color w:val="auto"/>
        </w:rPr>
      </w:pPr>
    </w:p>
    <w:p>
      <w:pPr>
        <w:ind w:left="940" w:hanging="643"/>
        <w:spacing w:after="0"/>
        <w:tabs>
          <w:tab w:leader="none" w:pos="940" w:val="left"/>
        </w:tabs>
        <w:numPr>
          <w:ilvl w:val="0"/>
          <w:numId w:val="6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Currency Exchange Risk</w:t>
      </w:r>
    </w:p>
    <w:p>
      <w:pPr>
        <w:spacing w:after="0" w:line="209"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u w:val="single" w:color="auto"/>
          <w:color w:val="auto"/>
        </w:rPr>
        <w:t>21. Appendix</w:t>
      </w:r>
    </w:p>
    <w:p>
      <w:pPr>
        <w:spacing w:after="0" w:line="209"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Notwithstanding any provisions in this Agreement to the contrary, the RSUs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8" w:name="page59"/>
    <w:bookmarkEnd w:id="58"/>
    <w:p>
      <w:pPr>
        <w:ind w:left="300" w:right="319"/>
        <w:spacing w:after="0" w:line="258" w:lineRule="auto"/>
        <w:rPr>
          <w:sz w:val="20"/>
          <w:szCs w:val="20"/>
          <w:color w:val="auto"/>
        </w:rPr>
      </w:pPr>
      <w:r>
        <w:rPr>
          <w:rFonts w:ascii="Times New Roman" w:cs="Times New Roman" w:eastAsia="Times New Roman" w:hAnsi="Times New Roman"/>
          <w:sz w:val="22"/>
          <w:szCs w:val="22"/>
          <w:color w:val="auto"/>
        </w:rPr>
        <w:t>Individual’s relocation). The Appendix constitutes a part of this Agreement and is incorporated by reference as fully as though set forth herein.</w:t>
      </w:r>
    </w:p>
    <w:p>
      <w:pPr>
        <w:spacing w:after="0" w:line="153" w:lineRule="exact"/>
        <w:rPr>
          <w:sz w:val="20"/>
          <w:szCs w:val="20"/>
          <w:color w:val="auto"/>
        </w:rPr>
      </w:pPr>
    </w:p>
    <w:p>
      <w:pPr>
        <w:ind w:left="940" w:hanging="643"/>
        <w:spacing w:after="0"/>
        <w:tabs>
          <w:tab w:leader="none" w:pos="940" w:val="left"/>
        </w:tabs>
        <w:numPr>
          <w:ilvl w:val="0"/>
          <w:numId w:val="6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Public Offer</w:t>
      </w:r>
    </w:p>
    <w:p>
      <w:pPr>
        <w:spacing w:after="0" w:line="209"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u w:val="single" w:color="auto"/>
          <w:color w:val="auto"/>
        </w:rPr>
        <w:t>23. Imposition of Other Requirements</w:t>
      </w:r>
    </w:p>
    <w:p>
      <w:pPr>
        <w:spacing w:after="0" w:line="209" w:lineRule="exact"/>
        <w:rPr>
          <w:sz w:val="20"/>
          <w:szCs w:val="20"/>
          <w:color w:val="auto"/>
        </w:rPr>
      </w:pPr>
    </w:p>
    <w:p>
      <w:pPr>
        <w:jc w:val="both"/>
        <w:ind w:left="300" w:right="299" w:firstLine="647"/>
        <w:spacing w:after="0" w:line="266" w:lineRule="auto"/>
        <w:rPr>
          <w:sz w:val="20"/>
          <w:szCs w:val="20"/>
          <w:color w:val="auto"/>
        </w:rPr>
      </w:pPr>
      <w:r>
        <w:rPr>
          <w:rFonts w:ascii="Times New Roman" w:cs="Times New Roman" w:eastAsia="Times New Roman" w:hAnsi="Times New Roman"/>
          <w:sz w:val="20"/>
          <w:szCs w:val="20"/>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b w:val="1"/>
          <w:bCs w:val="1"/>
          <w:color w:val="auto"/>
        </w:rPr>
        <w:t>APPENDIX</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ADDITIONAL TERMS AND CONDITIONS OF THE TRIPADVISOR, INC.</w:t>
      </w:r>
    </w:p>
    <w:p>
      <w:pPr>
        <w:ind w:left="3560"/>
        <w:spacing w:after="0" w:line="230" w:lineRule="auto"/>
        <w:rPr>
          <w:sz w:val="20"/>
          <w:szCs w:val="20"/>
          <w:color w:val="auto"/>
        </w:rPr>
      </w:pPr>
      <w:r>
        <w:rPr>
          <w:rFonts w:ascii="Times New Roman" w:cs="Times New Roman" w:eastAsia="Times New Roman" w:hAnsi="Times New Roman"/>
          <w:sz w:val="22"/>
          <w:szCs w:val="22"/>
          <w:b w:val="1"/>
          <w:bCs w:val="1"/>
          <w:color w:val="auto"/>
        </w:rPr>
        <w:t>RSU AGREEMENT</w:t>
      </w:r>
    </w:p>
    <w:p>
      <w:pPr>
        <w:ind w:left="3520"/>
        <w:spacing w:after="0"/>
        <w:rPr>
          <w:sz w:val="20"/>
          <w:szCs w:val="20"/>
          <w:color w:val="auto"/>
        </w:rPr>
      </w:pPr>
      <w:r>
        <w:rPr>
          <w:rFonts w:ascii="Times New Roman" w:cs="Times New Roman" w:eastAsia="Times New Roman" w:hAnsi="Times New Roman"/>
          <w:sz w:val="22"/>
          <w:szCs w:val="22"/>
          <w:b w:val="1"/>
          <w:bCs w:val="1"/>
          <w:color w:val="auto"/>
        </w:rPr>
        <w:t>(INTERNATIONAL)</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09"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Notifications</w:t>
      </w:r>
    </w:p>
    <w:p>
      <w:pPr>
        <w:spacing w:after="0" w:line="209"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March 2022.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84" w:lineRule="exact"/>
        <w:rPr>
          <w:sz w:val="20"/>
          <w:szCs w:val="20"/>
          <w:color w:val="auto"/>
        </w:rPr>
      </w:pPr>
    </w:p>
    <w:p>
      <w:pPr>
        <w:jc w:val="both"/>
        <w:ind w:left="300" w:right="319" w:firstLine="647"/>
        <w:spacing w:after="0" w:line="262"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European Union (“EU”)/ European Economic Area (“EEA”) Data Privacy</w:t>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following replaces Section 16 of the Agreement:</w:t>
      </w:r>
    </w:p>
    <w:p>
      <w:pPr>
        <w:spacing w:after="0" w:line="152" w:lineRule="exact"/>
        <w:rPr>
          <w:sz w:val="20"/>
          <w:szCs w:val="20"/>
          <w:color w:val="auto"/>
        </w:rPr>
      </w:pPr>
    </w:p>
    <w:p>
      <w:pPr>
        <w:jc w:val="both"/>
        <w:ind w:left="300" w:right="299" w:firstLine="647"/>
        <w:spacing w:after="0" w:line="258" w:lineRule="auto"/>
        <w:rPr>
          <w:sz w:val="20"/>
          <w:szCs w:val="20"/>
          <w:color w:val="auto"/>
        </w:rPr>
      </w:pPr>
      <w:r>
        <w:rPr>
          <w:rFonts w:ascii="Times New Roman" w:cs="Times New Roman" w:eastAsia="Times New Roman" w:hAnsi="Times New Roman"/>
          <w:sz w:val="22"/>
          <w:szCs w:val="22"/>
          <w:color w:val="auto"/>
        </w:rPr>
        <w:t>In order to offer participation in the Plan, it is necessary for the Company to collect and process certain information about Eligible Individual. Further detail about this is set out below.</w:t>
      </w:r>
    </w:p>
    <w:p>
      <w:pPr>
        <w:spacing w:after="0" w:line="103"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25"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If Eligible Individual withdraws from the Plan, the Company will cease to use Eligible Individual’s information for the purpose of the Plan (subject to the data retention requirements set out below).</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60" w:name="page61"/>
    <w:bookmarkEnd w:id="60"/>
    <w:p>
      <w:pPr>
        <w:spacing w:after="0" w:line="125" w:lineRule="exact"/>
        <w:rPr>
          <w:sz w:val="20"/>
          <w:szCs w:val="20"/>
          <w:color w:val="auto"/>
        </w:rPr>
      </w:pPr>
    </w:p>
    <w:p>
      <w:pPr>
        <w:jc w:val="both"/>
        <w:ind w:left="300" w:right="319" w:firstLine="647"/>
        <w:spacing w:after="0" w:line="263" w:lineRule="auto"/>
        <w:rPr>
          <w:sz w:val="20"/>
          <w:szCs w:val="20"/>
          <w:color w:val="auto"/>
        </w:rPr>
      </w:pPr>
      <w:r>
        <w:rPr>
          <w:rFonts w:ascii="Times New Roman" w:cs="Times New Roman" w:eastAsia="Times New Roman" w:hAnsi="Times New Roman"/>
          <w:sz w:val="20"/>
          <w:szCs w:val="20"/>
          <w:b w:val="1"/>
          <w:bCs w:val="1"/>
          <w:color w:val="auto"/>
        </w:rPr>
        <w:t>Data Collection and Usage</w:t>
      </w:r>
      <w:r>
        <w:rPr>
          <w:rFonts w:ascii="Times New Roman" w:cs="Times New Roman" w:eastAsia="Times New Roman" w:hAnsi="Times New Roman"/>
          <w:sz w:val="20"/>
          <w:szCs w:val="20"/>
          <w:color w:val="auto"/>
        </w:rPr>
        <w:t>. The Company collects personal information about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 for purposes of 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spacing w:after="0" w:line="101"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21"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Stock Plan Administration Service Providers. </w:t>
      </w:r>
      <w:r>
        <w:rPr>
          <w:rFonts w:ascii="Times New Roman" w:cs="Times New Roman" w:eastAsia="Times New Roman" w:hAnsi="Times New Roman"/>
          <w:sz w:val="22"/>
          <w:szCs w:val="22"/>
          <w:color w:val="auto"/>
        </w:rPr>
        <w:t>The Company currently uses Fidelity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affiliated companies (“Fidelity”)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26"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International Data Transfers. </w:t>
      </w:r>
      <w:r>
        <w:rPr>
          <w:rFonts w:ascii="Times New Roman" w:cs="Times New Roman" w:eastAsia="Times New Roman" w:hAnsi="Times New Roman"/>
          <w:sz w:val="22"/>
          <w:szCs w:val="22"/>
          <w:color w:val="auto"/>
        </w:rPr>
        <w:t>The Company and its service provider(s),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Fidelity, are based in the United 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19" w:lineRule="exact"/>
        <w:rPr>
          <w:sz w:val="20"/>
          <w:szCs w:val="20"/>
          <w:color w:val="auto"/>
        </w:rPr>
      </w:pPr>
    </w:p>
    <w:p>
      <w:pPr>
        <w:jc w:val="both"/>
        <w:ind w:left="300" w:right="319" w:firstLine="64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Data Retention. </w:t>
      </w:r>
      <w:r>
        <w:rPr>
          <w:rFonts w:ascii="Times New Roman" w:cs="Times New Roman" w:eastAsia="Times New Roman" w:hAnsi="Times New Roman"/>
          <w:sz w:val="22"/>
          <w:szCs w:val="22"/>
          <w:color w:val="auto"/>
        </w:rPr>
        <w:t>The Company will use Eligible Individual Data only as long as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to implement, administer 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21" w:lineRule="exact"/>
        <w:rPr>
          <w:sz w:val="20"/>
          <w:szCs w:val="20"/>
          <w:color w:val="auto"/>
        </w:rPr>
      </w:pPr>
    </w:p>
    <w:p>
      <w:pPr>
        <w:jc w:val="both"/>
        <w:ind w:left="300" w:right="299" w:firstLine="647"/>
        <w:spacing w:after="0" w:line="263" w:lineRule="auto"/>
        <w:rPr>
          <w:sz w:val="20"/>
          <w:szCs w:val="20"/>
          <w:color w:val="auto"/>
        </w:rPr>
      </w:pPr>
      <w:r>
        <w:rPr>
          <w:rFonts w:ascii="Times New Roman" w:cs="Times New Roman" w:eastAsia="Times New Roman" w:hAnsi="Times New Roman"/>
          <w:sz w:val="20"/>
          <w:szCs w:val="20"/>
          <w:b w:val="1"/>
          <w:bCs w:val="1"/>
          <w:color w:val="auto"/>
        </w:rPr>
        <w:t>Data Subject Rights</w:t>
      </w:r>
      <w:r>
        <w:rPr>
          <w:rFonts w:ascii="Times New Roman" w:cs="Times New Roman" w:eastAsia="Times New Roman" w:hAnsi="Times New Roman"/>
          <w:sz w:val="20"/>
          <w:szCs w:val="20"/>
          <w:color w:val="auto"/>
        </w:rPr>
        <w:t>. Eligible Individual has a number of rights under data privacy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his or her country. Depending on where Eligible Individual is based, his or her rights may include: (a) the right of access to the Eligible Individual’s personal data held by the Company,</w:t>
      </w:r>
    </w:p>
    <w:p>
      <w:pPr>
        <w:ind w:left="300" w:right="319" w:hanging="3"/>
        <w:spacing w:after="0" w:line="237" w:lineRule="auto"/>
        <w:tabs>
          <w:tab w:leader="none" w:pos="63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rectification of incorrect data, (c) the right to erasure of data, (d) the right to restriction of processing, and (e) the right to data portability.</w:t>
      </w:r>
    </w:p>
    <w:p>
      <w:pPr>
        <w:spacing w:after="0" w:line="124"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If you have any questions about any aspect of the Plan or these terms, please contact privacy@tripadvisor.com.</w:t>
      </w:r>
    </w:p>
    <w:p>
      <w:pPr>
        <w:spacing w:after="0" w:line="3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European Union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6" w:lineRule="exact"/>
        <w:rPr>
          <w:sz w:val="20"/>
          <w:szCs w:val="20"/>
          <w:color w:val="auto"/>
        </w:rPr>
      </w:pPr>
    </w:p>
    <w:p>
      <w:pPr>
        <w:jc w:val="both"/>
        <w:ind w:left="300" w:right="319" w:firstLine="431"/>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Securities Law Notice. </w:t>
      </w:r>
      <w:r>
        <w:rPr>
          <w:rFonts w:ascii="Times New Roman" w:cs="Times New Roman" w:eastAsia="Times New Roman" w:hAnsi="Times New Roman"/>
          <w:sz w:val="20"/>
          <w:szCs w:val="20"/>
          <w:color w:val="auto"/>
        </w:rPr>
        <w:t>This offer is being made to Eligible Individuals as part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incentive program in order to provide an additional incentive and to encourage employee share ownership and to increase employee’s interest in the success of the Company. The shares which are the subject of these rights are new or existing shares of Common Stock of the Company. More information in relation to the Company, including the share price can be found at the following web address: http://ir.tripadvisor.com/investor-relations. The obligation to publish a prospectus does not apply under Article 1(4)(i) of the EU Prospectus Regulation. The total maximum number of Shares which are the subject of this offer is less than one million.</w:t>
      </w: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Australia</w:t>
      </w:r>
    </w:p>
    <w:p>
      <w:pPr>
        <w:spacing w:after="0" w:line="290"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The offer to participate in the Plan is made in reliance of Division 1A of Part 7.12 of the Corporations Act 2001 (Cth).</w:t>
      </w:r>
    </w:p>
    <w:p>
      <w:pPr>
        <w:spacing w:after="0" w:line="238"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Notwithstanding any other provision of this Agreement, (a) the RSUs may not be settled in cash; and (b) the vesting of RSUs may be accelerated by the Plan Administrator only upon the death or total permanent disablement of Eligible Individual, and to the extent permitted by applicable law.</w:t>
      </w:r>
    </w:p>
    <w:p>
      <w:pPr>
        <w:spacing w:after="0" w:line="260"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 xml:space="preserve">An Eligible Individual will cease to be an Eligible Individual for the purposes of the Plan and this Agreement if he or she is no longer an “Eligible Individual” as defined in the Plan, or Eligible Individual is no longer employed by any of the following: (a) Eligible Individual’s employer in the employment in respect of which Eligible Individual acquired the RSUs; (b) a holding company (within the meaning of the </w:t>
      </w:r>
      <w:r>
        <w:rPr>
          <w:rFonts w:ascii="Times New Roman" w:cs="Times New Roman" w:eastAsia="Times New Roman" w:hAnsi="Times New Roman"/>
          <w:sz w:val="22"/>
          <w:szCs w:val="22"/>
          <w:i w:val="1"/>
          <w:iCs w:val="1"/>
          <w:color w:val="auto"/>
        </w:rPr>
        <w:t>Corporations Act 2001</w:t>
      </w:r>
      <w:r>
        <w:rPr>
          <w:rFonts w:ascii="Times New Roman" w:cs="Times New Roman" w:eastAsia="Times New Roman" w:hAnsi="Times New Roman"/>
          <w:sz w:val="22"/>
          <w:szCs w:val="22"/>
          <w:color w:val="auto"/>
        </w:rPr>
        <w:t xml:space="preserve"> (Cth)) of Eligible Individual’s employer in the employment in respect of which Eligible Individual acquired the RSUs; (c) a subsidiary (within the meaning of the </w:t>
      </w:r>
      <w:r>
        <w:rPr>
          <w:rFonts w:ascii="Times New Roman" w:cs="Times New Roman" w:eastAsia="Times New Roman" w:hAnsi="Times New Roman"/>
          <w:sz w:val="22"/>
          <w:szCs w:val="22"/>
          <w:i w:val="1"/>
          <w:iCs w:val="1"/>
          <w:color w:val="auto"/>
        </w:rPr>
        <w:t>Income Tax Assessment Act 1997</w:t>
      </w:r>
      <w:r>
        <w:rPr>
          <w:rFonts w:ascii="Times New Roman" w:cs="Times New Roman" w:eastAsia="Times New Roman" w:hAnsi="Times New Roman"/>
          <w:sz w:val="22"/>
          <w:szCs w:val="22"/>
          <w:color w:val="auto"/>
        </w:rPr>
        <w:t xml:space="preserve"> (Cth)) of Eligible Individual’s employer in the employment in respect of which Eligible Individual acquired the RSUs; or (d) a subsidiary (within the meaning of the </w:t>
      </w:r>
      <w:r>
        <w:rPr>
          <w:rFonts w:ascii="Times New Roman" w:cs="Times New Roman" w:eastAsia="Times New Roman" w:hAnsi="Times New Roman"/>
          <w:sz w:val="22"/>
          <w:szCs w:val="22"/>
          <w:i w:val="1"/>
          <w:iCs w:val="1"/>
          <w:color w:val="auto"/>
        </w:rPr>
        <w:t>Income Tax Assessment Act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1997 </w:t>
      </w:r>
      <w:r>
        <w:rPr>
          <w:rFonts w:ascii="Times New Roman" w:cs="Times New Roman" w:eastAsia="Times New Roman" w:hAnsi="Times New Roman"/>
          <w:sz w:val="22"/>
          <w:szCs w:val="22"/>
          <w:color w:val="auto"/>
        </w:rPr>
        <w:t>(Cth) of a holding company (within the meaning of the</w:t>
      </w:r>
      <w:r>
        <w:rPr>
          <w:rFonts w:ascii="Times New Roman" w:cs="Times New Roman" w:eastAsia="Times New Roman" w:hAnsi="Times New Roman"/>
          <w:sz w:val="22"/>
          <w:szCs w:val="22"/>
          <w:i w:val="1"/>
          <w:iCs w:val="1"/>
          <w:color w:val="auto"/>
        </w:rPr>
        <w:t xml:space="preserve"> Corporations Act 2001 </w:t>
      </w:r>
      <w:r>
        <w:rPr>
          <w:rFonts w:ascii="Times New Roman" w:cs="Times New Roman" w:eastAsia="Times New Roman" w:hAnsi="Times New Roman"/>
          <w:sz w:val="22"/>
          <w:szCs w:val="22"/>
          <w:color w:val="auto"/>
        </w:rPr>
        <w:t>(Cth))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Eligible Individual’s employer in the employment in respect of which Eligible Individual acquired the RSUs.</w:t>
      </w:r>
    </w:p>
    <w:p>
      <w:pPr>
        <w:spacing w:after="0" w:line="177"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b w:val="1"/>
          <w:bCs w:val="1"/>
          <w:color w:val="auto"/>
        </w:rPr>
        <w:t>Data Privacy</w:t>
      </w:r>
      <w:r>
        <w:rPr>
          <w:rFonts w:ascii="Times New Roman" w:cs="Times New Roman" w:eastAsia="Times New Roman" w:hAnsi="Times New Roman"/>
          <w:sz w:val="22"/>
          <w:szCs w:val="22"/>
          <w:color w:val="auto"/>
        </w:rPr>
        <w:t>. If you participate in the Plan, you consent to the Company,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related corporate bodies or any third-party, collecting the personal information (including sensitive information) necessary to administer the Plan and disclosing any personal information necessary to administer the Plan to the Company, any of its related bodies corporate or any third-party engaged to assist in implementing the Plan, who may be situated in or outside Australia including in jurisdictions that may not afford your information the same level of protection as under Australian laws do; and the Company will not be required to take steps to ensure that the Company, any of its related bodies corporate or any third-party engaged to assist in implementing the Plan do not breach the Australian Privacy Principles.</w:t>
      </w:r>
    </w:p>
    <w:p>
      <w:pPr>
        <w:spacing w:after="0" w:line="49"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You acknowledge that neither the Company (nor any other company within group) will be required to take steps to ensure that any of its related bodies corporate or any third-party engaged to whom your personal information is disclosed do not breach data privacy principles.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2" w:name="page63"/>
    <w:bookmarkEnd w:id="62"/>
    <w:p>
      <w:pPr>
        <w:spacing w:after="0" w:line="44" w:lineRule="exact"/>
        <w:rPr>
          <w:sz w:val="20"/>
          <w:szCs w:val="20"/>
          <w:color w:val="auto"/>
        </w:rPr>
      </w:pPr>
    </w:p>
    <w:p>
      <w:pPr>
        <w:jc w:val="both"/>
        <w:ind w:left="300" w:right="31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Taxes, Fees and Withholding. </w:t>
      </w:r>
      <w:r>
        <w:rPr>
          <w:rFonts w:ascii="Times New Roman" w:cs="Times New Roman" w:eastAsia="Times New Roman" w:hAnsi="Times New Roman"/>
          <w:sz w:val="22"/>
          <w:szCs w:val="22"/>
          <w:color w:val="auto"/>
        </w:rPr>
        <w:t>This provision supplements Section 7 of the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is a scheme to which Subdivision 83A-C of the Income Tax Assessment Act 1997 applies, subject to the requirements in that Act.</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Austria</w:t>
      </w:r>
    </w:p>
    <w:p>
      <w:pPr>
        <w:spacing w:after="0" w:line="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Belgium</w:t>
      </w:r>
    </w:p>
    <w:p>
      <w:pPr>
        <w:spacing w:after="0" w:line="205" w:lineRule="exact"/>
        <w:rPr>
          <w:sz w:val="20"/>
          <w:szCs w:val="20"/>
          <w:color w:val="auto"/>
        </w:rPr>
      </w:pPr>
    </w:p>
    <w:p>
      <w:pPr>
        <w:jc w:val="both"/>
        <w:ind w:left="300" w:right="319" w:firstLine="647"/>
        <w:spacing w:after="0" w:line="261" w:lineRule="auto"/>
        <w:rPr>
          <w:sz w:val="20"/>
          <w:szCs w:val="20"/>
          <w:color w:val="auto"/>
        </w:rPr>
      </w:pPr>
      <w:r>
        <w:rPr>
          <w:rFonts w:ascii="Times New Roman" w:cs="Times New Roman" w:eastAsia="Times New Roman" w:hAnsi="Times New Roman"/>
          <w:sz w:val="22"/>
          <w:szCs w:val="22"/>
          <w:color w:val="auto"/>
        </w:rPr>
        <w:t>The Eligible Individual is required to report any securities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or bank accounts opened and maintained outside Belgium on his or her annual tax return.</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Canada</w:t>
      </w:r>
    </w:p>
    <w:p>
      <w:pPr>
        <w:spacing w:after="0" w:line="286" w:lineRule="exact"/>
        <w:rPr>
          <w:sz w:val="20"/>
          <w:szCs w:val="20"/>
          <w:color w:val="auto"/>
        </w:rPr>
      </w:pPr>
    </w:p>
    <w:p>
      <w:pPr>
        <w:jc w:val="both"/>
        <w:ind w:left="300" w:right="31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Settlement of RSUs. </w:t>
      </w:r>
      <w:r>
        <w:rPr>
          <w:rFonts w:ascii="Times New Roman" w:cs="Times New Roman" w:eastAsia="Times New Roman" w:hAnsi="Times New Roman"/>
          <w:sz w:val="22"/>
          <w:szCs w:val="22"/>
          <w:color w:val="auto"/>
        </w:rPr>
        <w:t>Notwithstanding any discretion or anything to the contrary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the grant of the RSUs does not provide any right for Eligible Individual to receive a cash payment and the Awards will be settled in Shares only.</w:t>
      </w:r>
    </w:p>
    <w:p>
      <w:pPr>
        <w:spacing w:after="0" w:line="247" w:lineRule="exact"/>
        <w:rPr>
          <w:sz w:val="20"/>
          <w:szCs w:val="20"/>
          <w:color w:val="auto"/>
        </w:rPr>
      </w:pPr>
    </w:p>
    <w:p>
      <w:pPr>
        <w:jc w:val="both"/>
        <w:ind w:left="300" w:right="31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Taxes, Fees and Withholding. </w:t>
      </w:r>
      <w:r>
        <w:rPr>
          <w:rFonts w:ascii="Times New Roman" w:cs="Times New Roman" w:eastAsia="Times New Roman" w:hAnsi="Times New Roman"/>
          <w:sz w:val="22"/>
          <w:szCs w:val="22"/>
          <w:color w:val="auto"/>
        </w:rPr>
        <w:t>This provision supplements Section 7 of the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share withholding by the Company is subject to the consent of the Eligible Individual at the time of vesting.</w:t>
      </w:r>
    </w:p>
    <w:p>
      <w:pPr>
        <w:spacing w:after="0" w:line="112" w:lineRule="exact"/>
        <w:rPr>
          <w:sz w:val="20"/>
          <w:szCs w:val="20"/>
          <w:color w:val="auto"/>
        </w:rPr>
      </w:pPr>
    </w:p>
    <w:p>
      <w:pPr>
        <w:jc w:val="both"/>
        <w:ind w:left="300" w:right="319" w:firstLine="647"/>
        <w:spacing w:after="0" w:line="243" w:lineRule="auto"/>
        <w:rPr>
          <w:sz w:val="20"/>
          <w:szCs w:val="20"/>
          <w:color w:val="auto"/>
        </w:rPr>
      </w:pPr>
      <w:r>
        <w:rPr>
          <w:rFonts w:ascii="Times New Roman" w:cs="Times New Roman" w:eastAsia="Times New Roman" w:hAnsi="Times New Roman"/>
          <w:sz w:val="22"/>
          <w:szCs w:val="22"/>
          <w:b w:val="1"/>
          <w:bCs w:val="1"/>
          <w:color w:val="auto"/>
        </w:rPr>
        <w:t xml:space="preserve">Authorization to Release and Transfer Necessary Personal Information. </w:t>
      </w:r>
      <w:r>
        <w:rPr>
          <w:rFonts w:ascii="Times New Roman" w:cs="Times New Roman" w:eastAsia="Times New Roman" w:hAnsi="Times New Roman"/>
          <w:sz w:val="22"/>
          <w:szCs w:val="22"/>
          <w:color w:val="auto"/>
        </w:rPr>
        <w:t>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supplements Section 15 of the Agreement:</w:t>
      </w:r>
    </w:p>
    <w:p>
      <w:pPr>
        <w:spacing w:after="0" w:line="1" w:lineRule="exact"/>
        <w:rPr>
          <w:sz w:val="20"/>
          <w:szCs w:val="20"/>
          <w:color w:val="auto"/>
        </w:rPr>
      </w:pPr>
    </w:p>
    <w:p>
      <w:pPr>
        <w:jc w:val="both"/>
        <w:ind w:left="300" w:right="319"/>
        <w:spacing w:after="0" w:line="259" w:lineRule="auto"/>
        <w:rPr>
          <w:sz w:val="20"/>
          <w:szCs w:val="20"/>
          <w:color w:val="auto"/>
        </w:rPr>
      </w:pPr>
      <w:r>
        <w:rPr>
          <w:rFonts w:ascii="Times New Roman" w:cs="Times New Roman" w:eastAsia="Times New Roman" w:hAnsi="Times New Roman"/>
          <w:sz w:val="20"/>
          <w:szCs w:val="20"/>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Croatia</w:t>
      </w:r>
    </w:p>
    <w:p>
      <w:pPr>
        <w:spacing w:after="0" w:line="209" w:lineRule="exact"/>
        <w:rPr>
          <w:sz w:val="20"/>
          <w:szCs w:val="20"/>
          <w:color w:val="auto"/>
        </w:rPr>
      </w:pPr>
    </w:p>
    <w:p>
      <w:pPr>
        <w:jc w:val="both"/>
        <w:ind w:left="300" w:right="299" w:firstLine="493"/>
        <w:spacing w:after="0" w:line="236" w:lineRule="auto"/>
        <w:rPr>
          <w:sz w:val="20"/>
          <w:szCs w:val="20"/>
          <w:color w:val="auto"/>
        </w:rPr>
      </w:pPr>
      <w:r>
        <w:rPr>
          <w:rFonts w:ascii="Times New Roman" w:cs="Times New Roman" w:eastAsia="Times New Roman" w:hAnsi="Times New Roman"/>
          <w:sz w:val="22"/>
          <w:szCs w:val="22"/>
          <w:color w:val="auto"/>
        </w:rPr>
        <w:t>This offer is being made to Eligible Individuals as part of an employee incentive program in order to provide an additional incentive and to encourage employee share ownership and to increase your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w:t>
      </w:r>
    </w:p>
    <w:p>
      <w:pPr>
        <w:spacing w:after="0" w:line="206" w:lineRule="exact"/>
        <w:rPr>
          <w:sz w:val="20"/>
          <w:szCs w:val="20"/>
          <w:color w:val="auto"/>
        </w:rPr>
      </w:pPr>
    </w:p>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The obligation to publish a prospectus does not apply because of Article 1(4)(i) of the EU Prospectus Regulation. The total maximum number of Shares which are the subject of this offer is less than one million.</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Germany</w:t>
      </w:r>
    </w:p>
    <w:p>
      <w:pPr>
        <w:spacing w:after="0" w:line="205" w:lineRule="exact"/>
        <w:rPr>
          <w:sz w:val="20"/>
          <w:szCs w:val="20"/>
          <w:color w:val="auto"/>
        </w:rPr>
      </w:pPr>
    </w:p>
    <w:p>
      <w:pPr>
        <w:jc w:val="both"/>
        <w:ind w:left="300" w:right="319" w:firstLine="647"/>
        <w:spacing w:after="0" w:line="311" w:lineRule="auto"/>
        <w:rPr>
          <w:sz w:val="20"/>
          <w:szCs w:val="20"/>
          <w:color w:val="auto"/>
        </w:rPr>
      </w:pPr>
      <w:r>
        <w:rPr>
          <w:rFonts w:ascii="Times New Roman" w:cs="Times New Roman" w:eastAsia="Times New Roman" w:hAnsi="Times New Roman"/>
          <w:sz w:val="20"/>
          <w:szCs w:val="20"/>
          <w:b w:val="1"/>
          <w:bCs w:val="1"/>
          <w:color w:val="auto"/>
        </w:rPr>
        <w:t>Exchange Control Information</w:t>
      </w:r>
      <w:r>
        <w:rPr>
          <w:rFonts w:ascii="Times New Roman" w:cs="Times New Roman" w:eastAsia="Times New Roman" w:hAnsi="Times New Roman"/>
          <w:sz w:val="20"/>
          <w:szCs w:val="20"/>
          <w:color w:val="auto"/>
        </w:rPr>
        <w:t>. Cross-border payments in excess of €12,500 must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reported monthly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In case of payments in connection</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jc w:val="both"/>
        <w:ind w:left="300" w:right="319"/>
        <w:spacing w:after="0" w:line="227" w:lineRule="auto"/>
        <w:rPr>
          <w:sz w:val="20"/>
          <w:szCs w:val="20"/>
          <w:color w:val="auto"/>
        </w:rPr>
      </w:pPr>
      <w:r>
        <w:rPr>
          <w:rFonts w:ascii="Times New Roman" w:cs="Times New Roman" w:eastAsia="Times New Roman" w:hAnsi="Times New Roman"/>
          <w:sz w:val="22"/>
          <w:szCs w:val="22"/>
          <w:color w:val="auto"/>
        </w:rPr>
        <w:t>with the sale of Shares acquired under the Plan or the receipt of any cash dividends, the report must be filed electronically by the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the month following the month in which the payment was received. The form of report (“</w:t>
      </w:r>
      <w:r>
        <w:rPr>
          <w:rFonts w:ascii="Times New Roman" w:cs="Times New Roman" w:eastAsia="Times New Roman" w:hAnsi="Times New Roman"/>
          <w:sz w:val="22"/>
          <w:szCs w:val="22"/>
          <w:i w:val="1"/>
          <w:iCs w:val="1"/>
          <w:color w:val="auto"/>
        </w:rPr>
        <w:t>Allgemeine Meldeportal Statistik</w:t>
      </w:r>
      <w:r>
        <w:rPr>
          <w:rFonts w:ascii="Times New Roman" w:cs="Times New Roman" w:eastAsia="Times New Roman" w:hAnsi="Times New Roman"/>
          <w:sz w:val="22"/>
          <w:szCs w:val="22"/>
          <w:color w:val="auto"/>
        </w:rPr>
        <w:t>”) can be accessed via the Bundesbank’s website (www.bundesbank.de) and is available in both German and English.</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Iceland</w:t>
      </w:r>
    </w:p>
    <w:p>
      <w:pPr>
        <w:spacing w:after="0" w:line="205" w:lineRule="exact"/>
        <w:rPr>
          <w:sz w:val="20"/>
          <w:szCs w:val="20"/>
          <w:color w:val="auto"/>
        </w:rPr>
      </w:pPr>
    </w:p>
    <w:p>
      <w:pPr>
        <w:jc w:val="both"/>
        <w:ind w:left="300" w:right="319" w:firstLine="1079"/>
        <w:spacing w:after="0" w:line="261" w:lineRule="auto"/>
        <w:rPr>
          <w:sz w:val="20"/>
          <w:szCs w:val="20"/>
          <w:color w:val="auto"/>
        </w:rPr>
      </w:pPr>
      <w:r>
        <w:rPr>
          <w:rFonts w:ascii="Times New Roman" w:cs="Times New Roman" w:eastAsia="Times New Roman" w:hAnsi="Times New Roman"/>
          <w:sz w:val="20"/>
          <w:szCs w:val="20"/>
          <w:b w:val="1"/>
          <w:bCs w:val="1"/>
          <w:color w:val="auto"/>
        </w:rPr>
        <w:t xml:space="preserve">Securities Law Notice. </w:t>
      </w:r>
      <w:r>
        <w:rPr>
          <w:rFonts w:ascii="Times New Roman" w:cs="Times New Roman" w:eastAsia="Times New Roman" w:hAnsi="Times New Roman"/>
          <w:sz w:val="20"/>
          <w:szCs w:val="20"/>
          <w:color w:val="auto"/>
        </w:rPr>
        <w:t>This offer is being made to Eligible Individuals as part of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 incentive program in order to provide an additional incentive and to encourage employee share ownership and to increase employee’s interest in the success of the Company. The shares which are the subject of these rights are new or existing shares of Common Stock of the Company. More information in relation to the Company, including the share price can be found at the following web address: http://ir.tripadvisor.com/investor-relations. The obligation to publish a prospectus does not apply under Article 1(4)(i) of the EU Prospectus Regulation. The total maximum number of Shares which are the subject of this offer is less than one million.</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05"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b w:val="1"/>
          <w:bCs w:val="1"/>
          <w:color w:val="auto"/>
        </w:rPr>
        <w:t>Director Notification Obligation</w:t>
      </w:r>
      <w:r>
        <w:rPr>
          <w:rFonts w:ascii="Times New Roman" w:cs="Times New Roman" w:eastAsia="Times New Roman" w:hAnsi="Times New Roman"/>
          <w:sz w:val="22"/>
          <w:szCs w:val="22"/>
          <w:color w:val="auto"/>
        </w:rPr>
        <w:t>. Directors, shadow directors and secretaries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Irish Affiliates are subject to certain notification requirements under the Irish Companies Act. Directors, shadow directors and secretaries must notify the Irish Affiliates in writing of their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Ireland</w:t>
      </w:r>
    </w:p>
    <w:p>
      <w:pPr>
        <w:spacing w:after="0" w:line="205"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b w:val="1"/>
          <w:bCs w:val="1"/>
          <w:color w:val="auto"/>
        </w:rPr>
        <w:t>Director Notification Obligation</w:t>
      </w:r>
      <w:r>
        <w:rPr>
          <w:rFonts w:ascii="Times New Roman" w:cs="Times New Roman" w:eastAsia="Times New Roman" w:hAnsi="Times New Roman"/>
          <w:sz w:val="22"/>
          <w:szCs w:val="22"/>
          <w:color w:val="auto"/>
        </w:rPr>
        <w:t>. Directors, shadow directors and secretaries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Company’s Irish Affiliates are subject to certain notification requirements under the Irish Companies Act. Directors, shadow directors and secretaries must notify the Irish Affiliates in writing of their interest in the Company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Italy</w:t>
      </w:r>
    </w:p>
    <w:p>
      <w:pPr>
        <w:spacing w:after="0" w:line="205" w:lineRule="exact"/>
        <w:rPr>
          <w:sz w:val="20"/>
          <w:szCs w:val="20"/>
          <w:color w:val="auto"/>
        </w:rPr>
      </w:pPr>
    </w:p>
    <w:p>
      <w:pPr>
        <w:jc w:val="both"/>
        <w:ind w:left="300" w:right="319" w:firstLine="647"/>
        <w:spacing w:after="0" w:line="265" w:lineRule="auto"/>
        <w:rPr>
          <w:sz w:val="20"/>
          <w:szCs w:val="20"/>
          <w:color w:val="auto"/>
        </w:rPr>
      </w:pPr>
      <w:r>
        <w:rPr>
          <w:rFonts w:ascii="Times New Roman" w:cs="Times New Roman" w:eastAsia="Times New Roman" w:hAnsi="Times New Roman"/>
          <w:sz w:val="20"/>
          <w:szCs w:val="20"/>
          <w:b w:val="1"/>
          <w:bCs w:val="1"/>
          <w:color w:val="auto"/>
        </w:rPr>
        <w:t>Grant Terms Acknowledgment</w:t>
      </w:r>
      <w:r>
        <w:rPr>
          <w:rFonts w:ascii="Times New Roman" w:cs="Times New Roman" w:eastAsia="Times New Roman" w:hAnsi="Times New Roman"/>
          <w:sz w:val="20"/>
          <w:szCs w:val="20"/>
          <w:color w:val="auto"/>
        </w:rPr>
        <w:t>. By accepting the RSUs, the Eligible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that the Eligible Individual has received 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w:t>
      </w:r>
    </w:p>
    <w:p>
      <w:pPr>
        <w:spacing w:after="0" w:line="200" w:lineRule="exact"/>
        <w:rPr>
          <w:sz w:val="20"/>
          <w:szCs w:val="20"/>
          <w:color w:val="auto"/>
        </w:rPr>
      </w:pP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64" w:name="page65"/>
    <w:bookmarkEnd w:id="64"/>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Law and Venue and Imposition of Other Requirements, and the Data Privacy section in this Appendix.</w:t>
      </w:r>
    </w:p>
    <w:p>
      <w:pPr>
        <w:spacing w:after="0" w:line="153"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If the Eligible Individual holds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investments abroad or foreign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cash, 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spacing w:after="0" w:line="173" w:lineRule="exact"/>
        <w:rPr>
          <w:sz w:val="20"/>
          <w:szCs w:val="20"/>
          <w:color w:val="auto"/>
        </w:rPr>
      </w:pPr>
    </w:p>
    <w:p>
      <w:pPr>
        <w:jc w:val="both"/>
        <w:ind w:left="300" w:right="31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Foreign Asset Tax</w:t>
      </w:r>
      <w:r>
        <w:rPr>
          <w:rFonts w:ascii="Times New Roman" w:cs="Times New Roman" w:eastAsia="Times New Roman" w:hAnsi="Times New Roman"/>
          <w:sz w:val="22"/>
          <w:szCs w:val="22"/>
          <w:color w:val="auto"/>
        </w:rPr>
        <w:t>. The value of the financial assets held outside of Italy by individuals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resident of Italy is subject to a foreign asset tax. The taxable amount will be the fair market value of the financial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assessed at the end of the calendar year.</w:t>
      </w:r>
    </w:p>
    <w:p>
      <w:pPr>
        <w:spacing w:after="0" w:line="1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Japan</w:t>
      </w:r>
    </w:p>
    <w:p>
      <w:pPr>
        <w:spacing w:after="0" w:line="205"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The Eligible Individual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required to report details of any assets held outside of 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RSUs, as well as Shares, in the report.</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Netherlands</w:t>
      </w:r>
    </w:p>
    <w:p>
      <w:pPr>
        <w:spacing w:after="0" w:line="200" w:lineRule="exact"/>
        <w:rPr>
          <w:sz w:val="20"/>
          <w:szCs w:val="20"/>
          <w:color w:val="auto"/>
        </w:rPr>
      </w:pPr>
    </w:p>
    <w:p>
      <w:pPr>
        <w:spacing w:after="0" w:line="2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0" w:lineRule="exact"/>
        <w:rPr>
          <w:sz w:val="20"/>
          <w:szCs w:val="20"/>
          <w:color w:val="auto"/>
        </w:rPr>
      </w:pP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Poland</w:t>
      </w:r>
    </w:p>
    <w:p>
      <w:pPr>
        <w:spacing w:after="0" w:line="200" w:lineRule="exact"/>
        <w:rPr>
          <w:sz w:val="20"/>
          <w:szCs w:val="20"/>
          <w:color w:val="auto"/>
        </w:rPr>
      </w:pPr>
    </w:p>
    <w:p>
      <w:pPr>
        <w:spacing w:after="0" w:line="252"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The RSUs offered under the Plan to employees in Poland are addressed to fewer than 150 persons, and therefore the obligation to publish a prospectus does not apply because of Article 1(4)(b) of the EU Prospectus Regulation.</w:t>
      </w: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Portugal</w:t>
      </w:r>
    </w:p>
    <w:p>
      <w:pPr>
        <w:spacing w:after="0" w:line="205" w:lineRule="exact"/>
        <w:rPr>
          <w:sz w:val="20"/>
          <w:szCs w:val="20"/>
          <w:color w:val="auto"/>
        </w:rPr>
      </w:pPr>
    </w:p>
    <w:p>
      <w:pPr>
        <w:jc w:val="both"/>
        <w:ind w:left="300" w:right="29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Language Consent. </w:t>
      </w:r>
      <w:r>
        <w:rPr>
          <w:rFonts w:ascii="Times New Roman" w:cs="Times New Roman" w:eastAsia="Times New Roman" w:hAnsi="Times New Roman"/>
          <w:sz w:val="22"/>
          <w:szCs w:val="22"/>
          <w:color w:val="auto"/>
        </w:rPr>
        <w:t>The Eligible Individual hereby express declares that he or she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 knowledge of the English language and has read, understood and fully accepted and agreed with the terms and conditions established in the Plan and the Agreement.</w:t>
      </w:r>
    </w:p>
    <w:p>
      <w:pPr>
        <w:spacing w:after="0" w:line="193" w:lineRule="exact"/>
        <w:rPr>
          <w:sz w:val="20"/>
          <w:szCs w:val="20"/>
          <w:color w:val="auto"/>
        </w:rPr>
      </w:pPr>
    </w:p>
    <w:p>
      <w:pPr>
        <w:jc w:val="both"/>
        <w:ind w:left="300" w:right="319" w:firstLine="647"/>
        <w:spacing w:after="0"/>
        <w:rPr>
          <w:sz w:val="20"/>
          <w:szCs w:val="20"/>
          <w:color w:val="auto"/>
        </w:rPr>
      </w:pPr>
      <w:r>
        <w:rPr>
          <w:rFonts w:ascii="Times New Roman" w:cs="Times New Roman" w:eastAsia="Times New Roman" w:hAnsi="Times New Roman"/>
          <w:sz w:val="22"/>
          <w:szCs w:val="22"/>
          <w:b w:val="1"/>
          <w:bCs w:val="1"/>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202" w:lineRule="exact"/>
        <w:rPr>
          <w:sz w:val="20"/>
          <w:szCs w:val="20"/>
          <w:color w:val="auto"/>
        </w:rPr>
      </w:pPr>
    </w:p>
    <w:p>
      <w:pPr>
        <w:jc w:val="both"/>
        <w:ind w:left="300" w:right="319" w:firstLine="647"/>
        <w:spacing w:after="0" w:line="311" w:lineRule="auto"/>
        <w:rPr>
          <w:sz w:val="20"/>
          <w:szCs w:val="20"/>
          <w:color w:val="auto"/>
        </w:rPr>
      </w:pPr>
      <w:r>
        <w:rPr>
          <w:rFonts w:ascii="Times New Roman" w:cs="Times New Roman" w:eastAsia="Times New Roman" w:hAnsi="Times New Roman"/>
          <w:sz w:val="20"/>
          <w:szCs w:val="20"/>
          <w:b w:val="1"/>
          <w:bCs w:val="1"/>
          <w:color w:val="auto"/>
        </w:rPr>
        <w:t>Exchange Control Notification</w:t>
      </w:r>
      <w:r>
        <w:rPr>
          <w:rFonts w:ascii="Times New Roman" w:cs="Times New Roman" w:eastAsia="Times New Roman" w:hAnsi="Times New Roman"/>
          <w:sz w:val="20"/>
          <w:szCs w:val="20"/>
          <w:color w:val="auto"/>
        </w:rPr>
        <w:t>. If the Eligible Individual holds Shares issued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settlement of the RSUs, the acquisition of Shares would be reported to the Banco de Portugal for</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65" w:name="page66"/>
    <w:bookmarkEnd w:id="65"/>
    <w:p>
      <w:pPr>
        <w:spacing w:after="0" w:line="210" w:lineRule="exact"/>
        <w:rPr>
          <w:sz w:val="20"/>
          <w:szCs w:val="20"/>
          <w:color w:val="auto"/>
        </w:rPr>
      </w:pPr>
    </w:p>
    <w:p>
      <w:pPr>
        <w:jc w:val="both"/>
        <w:ind w:left="300" w:right="319"/>
        <w:spacing w:after="0" w:line="237" w:lineRule="auto"/>
        <w:rPr>
          <w:sz w:val="20"/>
          <w:szCs w:val="20"/>
          <w:color w:val="auto"/>
        </w:rPr>
      </w:pPr>
      <w:r>
        <w:rPr>
          <w:rFonts w:ascii="Times New Roman" w:cs="Times New Roman" w:eastAsia="Times New Roman" w:hAnsi="Times New Roman"/>
          <w:sz w:val="22"/>
          <w:szCs w:val="22"/>
          <w:color w:val="auto"/>
        </w:rPr>
        <w:t>statistical purposes. If the Shares are deposited with a commercial bank or financial intermediary in Portugal, such bank or financial intermediary will submit the report on Eligible Individual’s behalf. If the Shares are not deposited with a commercial bank or financial intermediary in Portugal, the Eligible Individual is responsible for submitting the report to the Banco de Portugal.</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Republic of Korea</w:t>
      </w:r>
    </w:p>
    <w:p>
      <w:pPr>
        <w:spacing w:after="0" w:line="200" w:lineRule="exact"/>
        <w:rPr>
          <w:sz w:val="20"/>
          <w:szCs w:val="20"/>
          <w:color w:val="auto"/>
        </w:rPr>
      </w:pPr>
    </w:p>
    <w:p>
      <w:pPr>
        <w:spacing w:after="0" w:line="248" w:lineRule="exact"/>
        <w:rPr>
          <w:sz w:val="20"/>
          <w:szCs w:val="20"/>
          <w:color w:val="auto"/>
        </w:rPr>
      </w:pPr>
    </w:p>
    <w:p>
      <w:pPr>
        <w:jc w:val="both"/>
        <w:ind w:left="300" w:firstLine="647"/>
        <w:spacing w:after="0" w:line="282" w:lineRule="auto"/>
        <w:rPr>
          <w:sz w:val="20"/>
          <w:szCs w:val="20"/>
          <w:color w:val="auto"/>
        </w:rPr>
      </w:pPr>
      <w:r>
        <w:rPr>
          <w:rFonts w:ascii="Times New Roman" w:cs="Times New Roman" w:eastAsia="Times New Roman" w:hAnsi="Times New Roman"/>
          <w:sz w:val="20"/>
          <w:szCs w:val="20"/>
          <w:b w:val="1"/>
          <w:bCs w:val="1"/>
          <w:color w:val="auto"/>
        </w:rPr>
        <w:t xml:space="preserve">Securities Law Notice. </w:t>
      </w:r>
      <w:r>
        <w:rPr>
          <w:rFonts w:ascii="Times New Roman" w:cs="Times New Roman" w:eastAsia="Times New Roman" w:hAnsi="Times New Roman"/>
          <w:sz w:val="20"/>
          <w:szCs w:val="20"/>
          <w:color w:val="auto"/>
        </w:rPr>
        <w:t>then, notwithstanding anything Company, not your employer.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19" w:firstLine="62"/>
        <w:spacing w:after="0" w:line="258" w:lineRule="auto"/>
        <w:rPr>
          <w:sz w:val="20"/>
          <w:szCs w:val="20"/>
          <w:color w:val="auto"/>
        </w:rPr>
      </w:pPr>
      <w:r>
        <w:rPr>
          <w:rFonts w:ascii="Times New Roman" w:cs="Times New Roman" w:eastAsia="Times New Roman" w:hAnsi="Times New Roman"/>
          <w:sz w:val="22"/>
          <w:szCs w:val="22"/>
          <w:color w:val="auto"/>
        </w:rPr>
        <w:t>If an Eligible Individual is employed in the Republic of Korea set forth in the Plan documents, your RSUs are granted by the</w:t>
      </w:r>
    </w:p>
    <w:p>
      <w:pPr>
        <w:spacing w:after="0" w:line="395" w:lineRule="exact"/>
        <w:rPr>
          <w:sz w:val="20"/>
          <w:szCs w:val="20"/>
          <w:color w:val="auto"/>
        </w:rPr>
      </w:pPr>
    </w:p>
    <w:p>
      <w:pPr>
        <w:sectPr>
          <w:pgSz w:w="11900" w:h="16838" w:orient="portrait"/>
          <w:cols w:equalWidth="0" w:num="2">
            <w:col w:w="3020" w:space="80"/>
            <w:col w:w="5919"/>
          </w:cols>
          <w:pgMar w:left="1440" w:top="1440" w:right="1440" w:bottom="1440" w:gutter="0" w:footer="0" w:header="0"/>
          <w:type w:val="continuous"/>
        </w:sectPr>
      </w:pPr>
    </w:p>
    <w:p>
      <w:pPr>
        <w:jc w:val="both"/>
        <w:ind w:left="300" w:right="29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Foreign Asset/Account Reporting Notice. </w:t>
      </w:r>
      <w:r>
        <w:rPr>
          <w:rFonts w:ascii="Times New Roman" w:cs="Times New Roman" w:eastAsia="Times New Roman" w:hAnsi="Times New Roman"/>
          <w:sz w:val="22"/>
          <w:szCs w:val="22"/>
          <w:color w:val="auto"/>
        </w:rPr>
        <w:t>Eligible Individual must declare all of his or 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foreign held assets (i.e., non-Korean bank accounts, brokerage accounts, etc.) to the Korean tax authorities and file a report (Form 45) with respect to such accounts annually by 30 June of the immediately following year, if the value of such accounts exceeds KRW 0.5 billion (or an equivalent amount in foreign currency) on any month-end date during the year.</w:t>
      </w:r>
    </w:p>
    <w:p>
      <w:pPr>
        <w:spacing w:after="0" w:line="1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Romania</w:t>
      </w:r>
    </w:p>
    <w:p>
      <w:pPr>
        <w:spacing w:after="0" w:line="273" w:lineRule="exact"/>
        <w:rPr>
          <w:sz w:val="20"/>
          <w:szCs w:val="20"/>
          <w:color w:val="auto"/>
        </w:rPr>
      </w:pPr>
    </w:p>
    <w:p>
      <w:pPr>
        <w:jc w:val="both"/>
        <w:ind w:left="300" w:right="319" w:firstLine="647"/>
        <w:spacing w:after="0"/>
        <w:rPr>
          <w:sz w:val="20"/>
          <w:szCs w:val="20"/>
          <w:color w:val="auto"/>
        </w:rPr>
      </w:pPr>
      <w:r>
        <w:rPr>
          <w:rFonts w:ascii="Times New Roman" w:cs="Times New Roman" w:eastAsia="Times New Roman" w:hAnsi="Times New Roman"/>
          <w:sz w:val="22"/>
          <w:szCs w:val="22"/>
          <w:b w:val="1"/>
          <w:bCs w:val="1"/>
          <w:color w:val="auto"/>
        </w:rPr>
        <w:t xml:space="preserve">Foreign Asset/Account Reporting Notice. </w:t>
      </w:r>
      <w:r>
        <w:rPr>
          <w:rFonts w:ascii="Times New Roman" w:cs="Times New Roman" w:eastAsia="Times New Roman" w:hAnsi="Times New Roman"/>
          <w:sz w:val="22"/>
          <w:szCs w:val="22"/>
          <w:color w:val="auto"/>
        </w:rPr>
        <w:t>Eligible Individual who is a Romanian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resident that acquires 10% or more of the registered capital of a non-resident company, is subject to reporting by the resident to the National Bank of Romania (NBR) within 30 days from the date the participation level was reached.</w:t>
      </w: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Singapore</w:t>
      </w:r>
    </w:p>
    <w:p>
      <w:pPr>
        <w:spacing w:after="0" w:line="284" w:lineRule="exact"/>
        <w:rPr>
          <w:sz w:val="20"/>
          <w:szCs w:val="20"/>
          <w:color w:val="auto"/>
        </w:rPr>
      </w:pPr>
    </w:p>
    <w:p>
      <w:pPr>
        <w:jc w:val="both"/>
        <w:ind w:left="300" w:right="31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Securities Law Notice</w:t>
      </w:r>
      <w:r>
        <w:rPr>
          <w:rFonts w:ascii="Times New Roman" w:cs="Times New Roman" w:eastAsia="Times New Roman" w:hAnsi="Times New Roman"/>
          <w:sz w:val="22"/>
          <w:szCs w:val="22"/>
          <w:b w:val="1"/>
          <w:bCs w:val="1"/>
          <w:i w:val="1"/>
          <w:iCs w:val="1"/>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 of this Award is made in reliance on section 273(1)(f)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Securities and Futures Act (Cap. 289) (“SFA”) for which it is exempt from the prospectus and registration requirements under the SFA.</w:t>
      </w:r>
    </w:p>
    <w:p>
      <w:pPr>
        <w:spacing w:after="0" w:line="114"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Director Notification Obligation. </w:t>
      </w:r>
      <w:r>
        <w:rPr>
          <w:rFonts w:ascii="Times New Roman" w:cs="Times New Roman" w:eastAsia="Times New Roman" w:hAnsi="Times New Roman"/>
          <w:sz w:val="22"/>
          <w:szCs w:val="22"/>
          <w:color w:val="auto"/>
        </w:rPr>
        <w:t>If Eligible Individual is a director, associate director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shadow director (i.e., a non-director who has 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 entity in Singapore or the form of the notification, he or she should consult with his or her personal legal advisor.</w:t>
      </w:r>
    </w:p>
    <w:p>
      <w:pPr>
        <w:spacing w:after="0" w:line="175" w:lineRule="exact"/>
        <w:rPr>
          <w:sz w:val="20"/>
          <w:szCs w:val="20"/>
          <w:color w:val="auto"/>
        </w:rPr>
      </w:pPr>
    </w:p>
    <w:p>
      <w:pPr>
        <w:jc w:val="both"/>
        <w:ind w:left="300" w:right="319"/>
        <w:spacing w:after="0" w:line="311" w:lineRule="auto"/>
        <w:rPr>
          <w:sz w:val="20"/>
          <w:szCs w:val="20"/>
          <w:color w:val="auto"/>
        </w:rPr>
      </w:pPr>
      <w:r>
        <w:rPr>
          <w:rFonts w:ascii="Times New Roman" w:cs="Times New Roman" w:eastAsia="Times New Roman" w:hAnsi="Times New Roman"/>
          <w:sz w:val="20"/>
          <w:szCs w:val="20"/>
          <w:b w:val="1"/>
          <w:bCs w:val="1"/>
          <w:color w:val="auto"/>
        </w:rPr>
        <w:t xml:space="preserve">Resale restriction wording. </w:t>
      </w:r>
      <w:r>
        <w:rPr>
          <w:rFonts w:ascii="Times New Roman" w:cs="Times New Roman" w:eastAsia="Times New Roman" w:hAnsi="Times New Roman"/>
          <w:sz w:val="20"/>
          <w:szCs w:val="20"/>
          <w:color w:val="auto"/>
        </w:rPr>
        <w:t>The Eligible Individual acknowledges that this Award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not been registered as a prospectus with the Monetary Authority of Singapore. Accordingly,</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66" w:name="page67"/>
    <w:bookmarkEnd w:id="66"/>
    <w:p>
      <w:pPr>
        <w:jc w:val="both"/>
        <w:ind w:left="300" w:right="319"/>
        <w:spacing w:after="0" w:line="235" w:lineRule="auto"/>
        <w:rPr>
          <w:sz w:val="20"/>
          <w:szCs w:val="20"/>
          <w:color w:val="auto"/>
        </w:rPr>
      </w:pPr>
      <w:r>
        <w:rPr>
          <w:rFonts w:ascii="Times New Roman" w:cs="Times New Roman" w:eastAsia="Times New Roman" w:hAnsi="Times New Roman"/>
          <w:sz w:val="22"/>
          <w:szCs w:val="22"/>
          <w:color w:val="auto"/>
        </w:rPr>
        <w:t>this Award Agreement and any other document or material in connection with the offer or sale, or invitation for subscription or purchase of the Shares under the Plan may not be circulated or distributed, nor may the Shares be offered or sold, or be made the subject of an invitation for subscription or purchase, whether directly or indirectly, to persons in Singapore other than pursuant to, and in accordance with the conditions of, an exemption under any provision (other than Section 280) of Subdivision (4) of Division 1 of Part XIII of the Securities and Futures Act, Chapter 289 of Singapore.</w:t>
      </w:r>
    </w:p>
    <w:p>
      <w:pPr>
        <w:spacing w:after="0" w:line="181" w:lineRule="exact"/>
        <w:rPr>
          <w:sz w:val="20"/>
          <w:szCs w:val="20"/>
          <w:color w:val="auto"/>
        </w:rPr>
      </w:pPr>
    </w:p>
    <w:p>
      <w:pPr>
        <w:jc w:val="both"/>
        <w:ind w:left="300" w:right="299"/>
        <w:spacing w:after="0" w:line="244" w:lineRule="auto"/>
        <w:rPr>
          <w:sz w:val="20"/>
          <w:szCs w:val="20"/>
          <w:color w:val="auto"/>
        </w:rPr>
      </w:pPr>
      <w:r>
        <w:rPr>
          <w:rFonts w:ascii="Times New Roman" w:cs="Times New Roman" w:eastAsia="Times New Roman" w:hAnsi="Times New Roman"/>
          <w:sz w:val="22"/>
          <w:szCs w:val="22"/>
          <w:color w:val="auto"/>
        </w:rPr>
        <w:t>Awards under the Plan are prescribed capital markets products (as defined in the Securities and Futures (Capital Markets Products) Regulations 2018 and Excluded Investment Products (as defined in MAS Notices SFA 04-N12 and FAA-N16).</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Spain</w:t>
      </w:r>
    </w:p>
    <w:p>
      <w:pPr>
        <w:spacing w:after="0" w:line="2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b w:val="1"/>
          <w:bCs w:val="1"/>
          <w:color w:val="auto"/>
        </w:rPr>
        <w:t>Nature of Grant</w:t>
      </w:r>
      <w:r>
        <w:rPr>
          <w:rFonts w:ascii="Times New Roman" w:cs="Times New Roman" w:eastAsia="Times New Roman" w:hAnsi="Times New Roman"/>
          <w:sz w:val="22"/>
          <w:szCs w:val="22"/>
          <w:color w:val="auto"/>
        </w:rPr>
        <w:t>. This provision supplements the “Nature of Award” section of the</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Award Agreement:</w:t>
      </w:r>
    </w:p>
    <w:p>
      <w:pPr>
        <w:spacing w:after="0" w:line="181"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In accepting the RSUs, the Eligible Individual consents to participation in the Plan and acknowledges that he or she has received a copy of the Plan.</w:t>
      </w:r>
    </w:p>
    <w:p>
      <w:pPr>
        <w:spacing w:after="0" w:line="157" w:lineRule="exact"/>
        <w:rPr>
          <w:sz w:val="20"/>
          <w:szCs w:val="20"/>
          <w:color w:val="auto"/>
        </w:rPr>
      </w:pPr>
    </w:p>
    <w:p>
      <w:pPr>
        <w:jc w:val="both"/>
        <w:ind w:left="300" w:right="299" w:firstLine="647"/>
        <w:spacing w:after="0" w:line="232" w:lineRule="auto"/>
        <w:rPr>
          <w:sz w:val="20"/>
          <w:szCs w:val="20"/>
          <w:color w:val="auto"/>
        </w:rPr>
      </w:pPr>
      <w:r>
        <w:rPr>
          <w:rFonts w:ascii="Times New Roman" w:cs="Times New Roman" w:eastAsia="Times New Roman" w:hAnsi="Times New Roman"/>
          <w:sz w:val="22"/>
          <w:szCs w:val="22"/>
          <w:color w:val="auto"/>
        </w:rPr>
        <w:t>Further, the Eligible Individual understands that the Company has unilaterally, gratuitously and in its sole discretion decided to grant RSUs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RSUs or the Shares acquired upon settlement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90" w:lineRule="exact"/>
        <w:rPr>
          <w:sz w:val="20"/>
          <w:szCs w:val="20"/>
          <w:color w:val="auto"/>
        </w:rPr>
      </w:pPr>
    </w:p>
    <w:p>
      <w:pPr>
        <w:jc w:val="both"/>
        <w:ind w:left="300" w:right="299" w:firstLine="647"/>
        <w:spacing w:after="0" w:line="232" w:lineRule="auto"/>
        <w:rPr>
          <w:sz w:val="20"/>
          <w:szCs w:val="20"/>
          <w:color w:val="auto"/>
        </w:rPr>
      </w:pPr>
      <w:r>
        <w:rPr>
          <w:rFonts w:ascii="Times New Roman" w:cs="Times New Roman" w:eastAsia="Times New Roman" w:hAnsi="Times New Roman"/>
          <w:sz w:val="22"/>
          <w:szCs w:val="22"/>
          <w:color w:val="auto"/>
        </w:rPr>
        <w:t>The Eligible Individual also understands and agrees that, as a condition of the grant and vesting of the RSUs, the termination of the Eligible Individual’s employment for any reason (including the reasons listed below), the RSUs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Eligible Individual acknowledges that he or she has read and specifically accepts the conditions referred to in the “Termination of Employment” and “Nature of Award” sections of the Award Agreement. “Cause”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67" w:name="page68"/>
    <w:bookmarkEnd w:id="67"/>
    <w:p>
      <w:pPr>
        <w:jc w:val="both"/>
        <w:ind w:left="300" w:right="299"/>
        <w:spacing w:after="0" w:line="258" w:lineRule="auto"/>
        <w:rPr>
          <w:sz w:val="20"/>
          <w:szCs w:val="20"/>
          <w:color w:val="auto"/>
        </w:rPr>
      </w:pPr>
      <w:r>
        <w:rPr>
          <w:rFonts w:ascii="Times New Roman" w:cs="Times New Roman" w:eastAsia="Times New Roman" w:hAnsi="Times New Roman"/>
          <w:sz w:val="22"/>
          <w:szCs w:val="22"/>
          <w:color w:val="auto"/>
        </w:rPr>
        <w:t>shall be as defined in the Agreement, regardless of whether the termination is considered a fair termination (i.e. despido procedente”) under Spanish legislation.</w:t>
      </w:r>
    </w:p>
    <w:p>
      <w:pPr>
        <w:spacing w:after="0" w:line="153" w:lineRule="exact"/>
        <w:rPr>
          <w:sz w:val="20"/>
          <w:szCs w:val="20"/>
          <w:color w:val="auto"/>
        </w:rPr>
      </w:pPr>
    </w:p>
    <w:p>
      <w:pPr>
        <w:jc w:val="both"/>
        <w:ind w:left="300" w:right="29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grant of the RSUs and the Shares issued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vesting of the RSUs are considered a private placement outside of the scope of Spanish laws on public offerings and issuances of securities.</w:t>
      </w:r>
    </w:p>
    <w:p>
      <w:pPr>
        <w:spacing w:after="0" w:line="166"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b w:val="1"/>
          <w:bCs w:val="1"/>
          <w:color w:val="auto"/>
        </w:rPr>
        <w:t>Exchange Control Information</w:t>
      </w:r>
      <w:r>
        <w:rPr>
          <w:rFonts w:ascii="Times New Roman" w:cs="Times New Roman" w:eastAsia="Times New Roman" w:hAnsi="Times New Roman"/>
          <w:sz w:val="22"/>
          <w:szCs w:val="22"/>
          <w:color w:val="auto"/>
        </w:rPr>
        <w:t>. To participate in the Plan, the Eligible Individual must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comply with exchange control regulations in Spain. The acquisition of Shares upon </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xml:space="preserve"> of the RSUs and the sale of Shares must be declared on Form D-6, for statistical purposes, to the </w:t>
      </w:r>
      <w:r>
        <w:rPr>
          <w:rFonts w:ascii="Times New Roman" w:cs="Times New Roman" w:eastAsia="Times New Roman" w:hAnsi="Times New Roman"/>
          <w:sz w:val="22"/>
          <w:szCs w:val="22"/>
          <w:i w:val="1"/>
          <w:iCs w:val="1"/>
          <w:color w:val="auto"/>
        </w:rPr>
        <w:t xml:space="preserve">Dirección General de Comercio e Inversiones </w:t>
      </w:r>
      <w:r>
        <w:rPr>
          <w:rFonts w:ascii="Times New Roman" w:cs="Times New Roman" w:eastAsia="Times New Roman" w:hAnsi="Times New Roman"/>
          <w:sz w:val="22"/>
          <w:szCs w:val="22"/>
          <w:color w:val="auto"/>
        </w:rPr>
        <w:t>(the “DGCI”) of the Ministry of Industry, Tourism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Commerce. Generally, the D-6 form must be filed by each 31 January while the shares are owned or to report the sale of Shares.</w:t>
      </w:r>
    </w:p>
    <w:p>
      <w:pPr>
        <w:spacing w:after="0" w:line="177"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Whenever receiving foreign currency payments derived from the ownership of Stock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80"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b w:val="1"/>
          <w:bCs w:val="1"/>
          <w:color w:val="auto"/>
        </w:rPr>
        <w:t>Foreign Asset/Account Reporting Information</w:t>
      </w:r>
      <w:r>
        <w:rPr>
          <w:rFonts w:ascii="Times New Roman" w:cs="Times New Roman" w:eastAsia="Times New Roman" w:hAnsi="Times New Roman"/>
          <w:sz w:val="22"/>
          <w:szCs w:val="22"/>
          <w:color w:val="auto"/>
        </w:rPr>
        <w:t>. To the extent that the Eligible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holds rights or assets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or cash held in a bank or brokerage account) outside of Spain with a value in excess of €50,000 per type of right or asset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80"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Sweden</w:t>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There are no country-specific provisions.</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Switzerland</w:t>
      </w:r>
    </w:p>
    <w:p>
      <w:pPr>
        <w:spacing w:after="0" w:line="205"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b w:val="1"/>
          <w:bCs w:val="1"/>
          <w:color w:val="auto"/>
        </w:rPr>
        <w:t>Securities Law Information</w:t>
      </w:r>
      <w:r>
        <w:rPr>
          <w:rFonts w:ascii="Times New Roman" w:cs="Times New Roman" w:eastAsia="Times New Roman" w:hAnsi="Times New Roman"/>
          <w:sz w:val="22"/>
          <w:szCs w:val="22"/>
          <w:color w:val="auto"/>
        </w:rPr>
        <w:t>. The Award is considered a private offering in Switzerland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is therefore not subject to registration. Neither this document nor any other materials relating to the RSUs (a) constitutes a prospectus as such term is understood pursuant to article 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United Kingdom</w:t>
      </w:r>
    </w:p>
    <w:p>
      <w:pPr>
        <w:spacing w:after="0" w:line="205"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Securities Laws Notice. </w:t>
      </w:r>
      <w:r>
        <w:rPr>
          <w:rFonts w:ascii="Times New Roman" w:cs="Times New Roman" w:eastAsia="Times New Roman" w:hAnsi="Times New Roman"/>
          <w:sz w:val="22"/>
          <w:szCs w:val="22"/>
          <w:color w:val="auto"/>
        </w:rPr>
        <w:t>This offer is being made to Eligible Individuals as part of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incentive program in order to provide an additional incentive and to encourage employee share ownership and to increase employee’s interest in the success of the Company. The shares which are the subject of these rights are existing shares of Common Stock of the Company. More information in relation to the Company including the share price can be found at the following web address: http://ir.tripadvisor.com/investor-relations.</w:t>
      </w:r>
    </w:p>
    <w:p>
      <w:pPr>
        <w:spacing w:after="0" w:line="258"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The obligation to publish a prospectus does not apply because of Section 86(1)(aa) of the Financial Services and Markets Act 2000 (as amended, supplemented or substituted by any UK legislation enacted in connection with the UK’s exit from the European Union). The total maximum number of Shares which are the subject of this offer is less than one million.</w:t>
      </w:r>
    </w:p>
    <w:p>
      <w:pPr>
        <w:spacing w:after="0" w:line="40" w:lineRule="exact"/>
        <w:rPr>
          <w:sz w:val="20"/>
          <w:szCs w:val="20"/>
          <w:color w:val="auto"/>
        </w:rPr>
      </w:pPr>
    </w:p>
    <w:p>
      <w:pPr>
        <w:jc w:val="both"/>
        <w:ind w:left="300" w:right="319" w:firstLine="647"/>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Settlement of Stock Awards. </w:t>
      </w:r>
      <w:r>
        <w:rPr>
          <w:rFonts w:ascii="Times New Roman" w:cs="Times New Roman" w:eastAsia="Times New Roman" w:hAnsi="Times New Roman"/>
          <w:sz w:val="22"/>
          <w:szCs w:val="22"/>
          <w:color w:val="auto"/>
        </w:rPr>
        <w:t>Notwithstanding any discretion or anything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Plan, the grant of the Award does not provide any right for Eligible Individual to receive a cash payment and the Awards will be settled in Shares only.</w:t>
      </w:r>
    </w:p>
    <w:p>
      <w:pPr>
        <w:spacing w:after="0" w:line="112" w:lineRule="exact"/>
        <w:rPr>
          <w:sz w:val="20"/>
          <w:szCs w:val="20"/>
          <w:color w:val="auto"/>
        </w:rPr>
      </w:pPr>
    </w:p>
    <w:p>
      <w:pPr>
        <w:jc w:val="both"/>
        <w:ind w:left="300" w:right="319" w:firstLine="647"/>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Tax and National Insurance Contributions Acknowledgment. </w:t>
      </w:r>
      <w:r>
        <w:rPr>
          <w:rFonts w:ascii="Times New Roman" w:cs="Times New Roman" w:eastAsia="Times New Roman" w:hAnsi="Times New Roman"/>
          <w:sz w:val="22"/>
          <w:szCs w:val="22"/>
          <w:color w:val="auto"/>
        </w:rPr>
        <w:t>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supplements Section 7 of the Agreement:</w:t>
      </w:r>
    </w:p>
    <w:p>
      <w:pPr>
        <w:spacing w:after="0" w:line="155" w:lineRule="exact"/>
        <w:rPr>
          <w:sz w:val="20"/>
          <w:szCs w:val="20"/>
          <w:color w:val="auto"/>
        </w:rPr>
      </w:pPr>
    </w:p>
    <w:p>
      <w:pPr>
        <w:jc w:val="both"/>
        <w:ind w:left="300" w:right="299" w:firstLine="647"/>
        <w:spacing w:after="0" w:line="232" w:lineRule="auto"/>
        <w:rPr>
          <w:sz w:val="20"/>
          <w:szCs w:val="20"/>
          <w:color w:val="auto"/>
        </w:rPr>
      </w:pPr>
      <w:r>
        <w:rPr>
          <w:rFonts w:ascii="Times New Roman" w:cs="Times New Roman" w:eastAsia="Times New Roman" w:hAnsi="Times New Roman"/>
          <w:sz w:val="22"/>
          <w:szCs w:val="22"/>
          <w:color w:val="auto"/>
        </w:rPr>
        <w:t>Eligible Individual agrees that if Eligible Individual does not pay or the Employer or the Company does not withhold from Eligible Individual the full amount of Tax-Related Items that Eligible Individual owes in connection with the vesting of the Stock Award and/or the acquisition of Shares pursuant to the vesting of the Stock Award, or the release or assignment of the Stock Award for consideration, or the receipt of any other benefit in connection with the Award (the “</w:t>
      </w:r>
      <w:r>
        <w:rPr>
          <w:rFonts w:ascii="Times New Roman" w:cs="Times New Roman" w:eastAsia="Times New Roman" w:hAnsi="Times New Roman"/>
          <w:sz w:val="22"/>
          <w:szCs w:val="22"/>
          <w:i w:val="1"/>
          <w:iCs w:val="1"/>
          <w:color w:val="auto"/>
        </w:rPr>
        <w:t>Taxable Event</w:t>
      </w:r>
      <w:r>
        <w:rPr>
          <w:rFonts w:ascii="Times New Roman" w:cs="Times New Roman" w:eastAsia="Times New Roman" w:hAnsi="Times New Roman"/>
          <w:sz w:val="22"/>
          <w:szCs w:val="22"/>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w:t>
      </w:r>
    </w:p>
    <w:p>
      <w:pPr>
        <w:spacing w:after="0" w:line="1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69" w:name="page70"/>
    <w:bookmarkEnd w:id="69"/>
    <w:p>
      <w:pPr>
        <w:spacing w:after="0" w:line="183"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Individual. Eligible Individual also authorizes the Company to withhold the transfer of any Shares unless and until the loan is repaid in full.</w:t>
      </w:r>
    </w:p>
    <w:p>
      <w:pPr>
        <w:spacing w:after="0" w:line="103" w:lineRule="exact"/>
        <w:rPr>
          <w:sz w:val="20"/>
          <w:szCs w:val="20"/>
          <w:color w:val="auto"/>
        </w:rPr>
      </w:pPr>
    </w:p>
    <w:p>
      <w:pPr>
        <w:jc w:val="both"/>
        <w:ind w:left="300" w:right="319"/>
        <w:spacing w:after="0" w:line="260" w:lineRule="auto"/>
        <w:rPr>
          <w:sz w:val="20"/>
          <w:szCs w:val="20"/>
          <w:color w:val="auto"/>
        </w:rPr>
      </w:pPr>
      <w:r>
        <w:rPr>
          <w:rFonts w:ascii="Times New Roman" w:cs="Times New Roman" w:eastAsia="Times New Roman" w:hAnsi="Times New Roman"/>
          <w:sz w:val="20"/>
          <w:szCs w:val="20"/>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Non-U.S. Employee – Version March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462280</wp:posOffset>
            </wp:positionV>
            <wp:extent cx="5368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0" w:name="page71"/>
    <w:bookmarkEnd w:id="70"/>
    <w:p>
      <w:pPr>
        <w:jc w:val="right"/>
        <w:ind w:right="299"/>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TRIPADVISOR, INC. RESTRICTED STOCK UNIT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(French)</w:t>
      </w:r>
    </w:p>
    <w:p>
      <w:pPr>
        <w:spacing w:after="0" w:line="181"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(the “Award”) of restricted stock units qualified for favorable income tax and social security treatment in France as set out in Article 135 of the Macron Law (“Qualified RSUs”) to the Eligible Individual by the Company.</w:t>
      </w:r>
    </w:p>
    <w:p>
      <w:pPr>
        <w:spacing w:after="0" w:line="211"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All capitalized terms used herein, to the extent not defined, shall have the meanings set forth in the Company’s 2023 Stock and Annual Incentive Plan (as amended from time to time, the “Plan” or the French Schedule attached hereto.”).</w:t>
      </w:r>
    </w:p>
    <w:p>
      <w:pPr>
        <w:spacing w:after="0" w:line="384" w:lineRule="exact"/>
        <w:rPr>
          <w:sz w:val="20"/>
          <w:szCs w:val="20"/>
          <w:color w:val="auto"/>
        </w:rPr>
      </w:pPr>
    </w:p>
    <w:p>
      <w:pPr>
        <w:ind w:left="720" w:hanging="423"/>
        <w:spacing w:after="0"/>
        <w:tabs>
          <w:tab w:leader="none" w:pos="72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 and Vesting of Qualified RSUs</w:t>
      </w:r>
    </w:p>
    <w:p>
      <w:pPr>
        <w:spacing w:after="0" w:line="209" w:lineRule="exact"/>
        <w:rPr>
          <w:rFonts w:ascii="Times New Roman" w:cs="Times New Roman" w:eastAsia="Times New Roman" w:hAnsi="Times New Roman"/>
          <w:sz w:val="22"/>
          <w:szCs w:val="22"/>
          <w:b w:val="1"/>
          <w:bCs w:val="1"/>
          <w:color w:val="auto"/>
        </w:rPr>
      </w:pPr>
    </w:p>
    <w:p>
      <w:pPr>
        <w:jc w:val="both"/>
        <w:ind w:left="300" w:right="299" w:firstLine="644"/>
        <w:spacing w:after="0" w:line="260" w:lineRule="auto"/>
        <w:tabs>
          <w:tab w:leader="none" w:pos="1379"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of this Agreement, the Plan and the Grant Details, the Company hereby grants Qualified RSUs to the Eligible Individual. Reference is made to the “Grant Details” that can be found on the equity plan website of the current professional selected by the Company to administer the Plan (the “Plan Administrator”), currently located at </w:t>
      </w:r>
      <w:r>
        <w:rPr>
          <w:rFonts w:ascii="Times New Roman" w:cs="Times New Roman" w:eastAsia="Times New Roman" w:hAnsi="Times New Roman"/>
          <w:sz w:val="20"/>
          <w:szCs w:val="20"/>
          <w:u w:val="single" w:color="auto"/>
          <w:color w:val="0000FF"/>
        </w:rPr>
        <w:t>www.netbenefits.fidelity.com</w:t>
      </w:r>
      <w:r>
        <w:rPr>
          <w:rFonts w:ascii="Times New Roman" w:cs="Times New Roman" w:eastAsia="Times New Roman" w:hAnsi="Times New Roman"/>
          <w:sz w:val="20"/>
          <w:szCs w:val="20"/>
          <w:color w:val="auto"/>
        </w:rPr>
        <w:t xml:space="preserve"> (or any successor equity administration system selected by the Company to manage the Plan from time to time). The Grant Details, which set forth the number of Qualified RSUs granted to the Eligible Individual by the Company, the Grant Date and the vesting schedule of the Qualified RSUs (among other information), are hereby incorporated by reference into, and shall be read as part and parcel of, this Agreement.</w:t>
      </w:r>
    </w:p>
    <w:p>
      <w:pPr>
        <w:spacing w:after="0" w:line="50" w:lineRule="exact"/>
        <w:rPr>
          <w:rFonts w:ascii="Times New Roman" w:cs="Times New Roman" w:eastAsia="Times New Roman" w:hAnsi="Times New Roman"/>
          <w:sz w:val="20"/>
          <w:szCs w:val="20"/>
          <w:color w:val="auto"/>
        </w:rPr>
      </w:pPr>
    </w:p>
    <w:p>
      <w:pPr>
        <w:jc w:val="both"/>
        <w:ind w:left="300" w:right="319" w:firstLine="644"/>
        <w:spacing w:after="0" w:line="239" w:lineRule="auto"/>
        <w:tabs>
          <w:tab w:leader="none" w:pos="1379"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the Grant Details and the 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Qualified RSUs shall vest and no longer subject to any restriction (such period during which restrictions apply referred to as the “RSU Restriction Period”) on the dates detailed in the Grant Details.</w:t>
      </w:r>
    </w:p>
    <w:p>
      <w:pPr>
        <w:spacing w:after="0" w:line="174" w:lineRule="exact"/>
        <w:rPr>
          <w:rFonts w:ascii="Times New Roman" w:cs="Times New Roman" w:eastAsia="Times New Roman" w:hAnsi="Times New Roman"/>
          <w:sz w:val="22"/>
          <w:szCs w:val="22"/>
          <w:color w:val="auto"/>
        </w:rPr>
      </w:pPr>
    </w:p>
    <w:p>
      <w:pPr>
        <w:ind w:left="940" w:hanging="643"/>
        <w:spacing w:after="0"/>
        <w:tabs>
          <w:tab w:leader="none" w:pos="940" w:val="left"/>
        </w:tabs>
        <w:numPr>
          <w:ilvl w:val="0"/>
          <w:numId w:val="6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Settlement of Qualified RSUs</w:t>
      </w:r>
    </w:p>
    <w:p>
      <w:pPr>
        <w:spacing w:after="0" w:line="209" w:lineRule="exact"/>
        <w:rPr>
          <w:sz w:val="20"/>
          <w:szCs w:val="20"/>
          <w:color w:val="auto"/>
        </w:rPr>
      </w:pPr>
    </w:p>
    <w:p>
      <w:pPr>
        <w:jc w:val="both"/>
        <w:ind w:left="300" w:right="319" w:firstLine="647"/>
        <w:spacing w:after="0" w:line="233" w:lineRule="auto"/>
        <w:rPr>
          <w:sz w:val="20"/>
          <w:szCs w:val="20"/>
          <w:color w:val="auto"/>
        </w:rPr>
      </w:pPr>
      <w:r>
        <w:rPr>
          <w:rFonts w:ascii="Times New Roman" w:cs="Times New Roman" w:eastAsia="Times New Roman" w:hAnsi="Times New Roman"/>
          <w:sz w:val="22"/>
          <w:szCs w:val="22"/>
          <w:color w:val="auto"/>
        </w:rPr>
        <w:t>As soon as practicable after any Qualified RSUs have vested and are no longer subject to the RSU Restriction Period (but in no event later than thirty (30) days thereafter), such Qualified RSUs shall be settled. Subject to Section 8 (pertaining to the withholding of taxes), for each RSU settled pursuant to this Section 2, the Company may, in its sole discretion, settle the Qualified RSUs in cash or Shares by causing to be paid or delivered to the Eligible Individual cash or freely-transferable Shares upon settlement of the number of Shares in respect of which the Qualified RSUs have Vested. The Shares issued or transferred shall be recorded in the name of the Eligible Individual in an account controlled by the Company or Broker, or in such other manner as the Company or the empowered corporate body may otherwise determine, to ensure compliance with applicable restrictions provided under French law. Notwithstanding the foregoing, the Company shall be entitled to hold the Shares issuable upon settlement of Qualified RSUs that have vested until the Company or Plan Administrator shall have received from the Eligible Individual a duly</w:t>
      </w:r>
    </w:p>
    <w:p>
      <w:pPr>
        <w:spacing w:after="0" w:line="3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French Employee – Version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wp:posOffset>
            </wp:positionH>
            <wp:positionV relativeFrom="paragraph">
              <wp:posOffset>614680</wp:posOffset>
            </wp:positionV>
            <wp:extent cx="5368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368290" cy="42545"/>
                    </a:xfrm>
                    <a:prstGeom prst="rect">
                      <a:avLst/>
                    </a:prstGeom>
                    <a:noFill/>
                  </pic:spPr>
                </pic:pic>
              </a:graphicData>
            </a:graphic>
          </wp:anchor>
        </w:drawing>
      </w:r>
    </w:p>
    <w:p>
      <w:pPr>
        <w:sectPr>
          <w:pgSz w:w="11900" w:h="16838" w:orient="portrait"/>
          <w:cols w:equalWidth="0" w:num="1">
            <w:col w:w="9019"/>
          </w:cols>
          <w:pgMar w:left="1440" w:top="755" w:right="1440" w:bottom="1440" w:gutter="0" w:footer="0" w:header="0"/>
        </w:sectPr>
      </w:pPr>
    </w:p>
    <w:bookmarkStart w:id="71" w:name="page72"/>
    <w:bookmarkEnd w:id="71"/>
    <w:p>
      <w:pPr>
        <w:ind w:left="300" w:right="319"/>
        <w:spacing w:after="0" w:line="258" w:lineRule="auto"/>
        <w:rPr>
          <w:sz w:val="20"/>
          <w:szCs w:val="20"/>
          <w:color w:val="auto"/>
        </w:rPr>
      </w:pPr>
      <w:r>
        <w:rPr>
          <w:rFonts w:ascii="Times New Roman" w:cs="Times New Roman" w:eastAsia="Times New Roman" w:hAnsi="Times New Roman"/>
          <w:sz w:val="22"/>
          <w:szCs w:val="22"/>
          <w:color w:val="auto"/>
        </w:rPr>
        <w:t>executed Form W-9 or Form W-8, as applicable, as well as such other documents as may be legally required.</w:t>
      </w:r>
    </w:p>
    <w:p>
      <w:pPr>
        <w:spacing w:after="0" w:line="153" w:lineRule="exact"/>
        <w:rPr>
          <w:sz w:val="20"/>
          <w:szCs w:val="20"/>
          <w:color w:val="auto"/>
        </w:rPr>
      </w:pPr>
    </w:p>
    <w:p>
      <w:pPr>
        <w:ind w:left="940" w:hanging="643"/>
        <w:spacing w:after="0"/>
        <w:tabs>
          <w:tab w:leader="none" w:pos="940" w:val="left"/>
        </w:tabs>
        <w:numPr>
          <w:ilvl w:val="0"/>
          <w:numId w:val="7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Recoupment or “Clawback” Policy</w:t>
      </w:r>
    </w:p>
    <w:p>
      <w:pPr>
        <w:spacing w:after="0" w:line="209" w:lineRule="exact"/>
        <w:rPr>
          <w:sz w:val="20"/>
          <w:szCs w:val="20"/>
          <w:color w:val="auto"/>
        </w:rPr>
      </w:pPr>
    </w:p>
    <w:p>
      <w:pPr>
        <w:jc w:val="both"/>
        <w:ind w:left="380" w:right="299" w:firstLine="432"/>
        <w:spacing w:after="0" w:line="233" w:lineRule="auto"/>
        <w:rPr>
          <w:sz w:val="20"/>
          <w:szCs w:val="20"/>
          <w:color w:val="auto"/>
        </w:rPr>
      </w:pPr>
      <w:r>
        <w:rPr>
          <w:rFonts w:ascii="Times New Roman" w:cs="Times New Roman" w:eastAsia="Times New Roman" w:hAnsi="Times New Roman"/>
          <w:sz w:val="22"/>
          <w:szCs w:val="22"/>
          <w:color w:val="auto"/>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the Company’s Clawback Policy (as in effect from time to time and any successor policies) or similar policy or any applicable law related to such actions. An Eligible Individual’s acceptance of an Award will constitute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spacing w:after="0" w:line="201" w:lineRule="exact"/>
        <w:rPr>
          <w:sz w:val="20"/>
          <w:szCs w:val="20"/>
          <w:color w:val="auto"/>
        </w:rPr>
      </w:pPr>
    </w:p>
    <w:p>
      <w:pPr>
        <w:ind w:left="940" w:hanging="643"/>
        <w:spacing w:after="0"/>
        <w:tabs>
          <w:tab w:leader="none" w:pos="940" w:val="left"/>
        </w:tabs>
        <w:numPr>
          <w:ilvl w:val="0"/>
          <w:numId w:val="7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Termination of Employment</w:t>
      </w:r>
    </w:p>
    <w:p>
      <w:pPr>
        <w:spacing w:after="0" w:line="209"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(a)In the event a Termination of Employment of the Eligible Individual occurs during the RSU Restriction Period for any reason (whether or not in breach of local labor laws), except as otherwise provided in the Plan or any written employment agreement or written offer letter between the Company and the Eligible Individual (an “Employment Arrangement”), the Eligible Individual’s right to any Qualified RSUs that have not vested as of the date of Termination of Employment will terminate effective as of the date of the Termination of Employment and will not be extended by any notice period mandated under local law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active employment would not include a period of “garden leave” or similar period pursuant to local law); The Eligible Individual shall not be entitled by way of compensation for loss of office or otherwise to any sum or other benefit to compensate the Eligible Individual for the loss of any rights under this Agreement or the Plan.</w:t>
      </w:r>
    </w:p>
    <w:p>
      <w:pPr>
        <w:spacing w:after="0" w:line="184" w:lineRule="exact"/>
        <w:rPr>
          <w:sz w:val="20"/>
          <w:szCs w:val="20"/>
          <w:color w:val="auto"/>
        </w:rPr>
      </w:pPr>
    </w:p>
    <w:p>
      <w:pPr>
        <w:jc w:val="both"/>
        <w:ind w:left="300" w:right="299" w:firstLine="644"/>
        <w:spacing w:after="0" w:line="232" w:lineRule="auto"/>
        <w:tabs>
          <w:tab w:leader="none" w:pos="1269"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1 above or anything in the Plan or in any Employment Agreement to the contrary, in the event the Eligible Individual incurs a Termination of Employment by the Company for Cause, or the Eligible Individual voluntarily incurs a Termination of Employment within two years after any event or circumstance that would have been grounds for a Termination of Employment for Cause, the Eligible Individual’s RSUs (whether or not vested) shall be forfeited and cancelled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the Qualified RSUs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the Qualified RSUs that vested during the two-year period after the events or circumstances giving rise to or</w:t>
      </w:r>
    </w:p>
    <w:p>
      <w:pPr>
        <w:spacing w:after="0" w:line="200" w:lineRule="exact"/>
        <w:rPr>
          <w:sz w:val="20"/>
          <w:szCs w:val="20"/>
          <w:color w:val="auto"/>
        </w:rPr>
      </w:pPr>
    </w:p>
    <w:p>
      <w:pPr>
        <w:spacing w:after="0" w:line="393"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2</w:t>
            </w:r>
          </w:p>
        </w:tc>
      </w:tr>
      <w:tr>
        <w:trPr>
          <w:trHeight w:val="750"/>
        </w:trPr>
        <w:tc>
          <w:tcPr>
            <w:tcW w:w="5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72" w:name="page73"/>
    <w:bookmarkEnd w:id="72"/>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constituting grounds for such Termination of Employment for Cause (i.e., the value of the Qualified RSUs upon vesting), in each case including any dividend equivalents or other distributions received in respect of any such RSUs.</w:t>
      </w:r>
    </w:p>
    <w:p>
      <w:pPr>
        <w:spacing w:after="0" w:line="172"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(c)Notwithstanding anything herein to the contrary, except as provided in Section 4(b) above,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81"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(d)For purpose of this Agreement, employment with the Company shall include employment with the Company’s Subsidiaries or Affiliates. The Committee shall have the exclusive discretion to determine whether there has been any interruption or Termination of Employment, whether and when grounds for a Termination of Employment for Cause existed or whether there occurred a Change in Control.</w:t>
      </w:r>
    </w:p>
    <w:p>
      <w:pPr>
        <w:spacing w:after="0" w:line="176" w:lineRule="exact"/>
        <w:rPr>
          <w:sz w:val="20"/>
          <w:szCs w:val="20"/>
          <w:color w:val="auto"/>
        </w:rPr>
      </w:pPr>
    </w:p>
    <w:p>
      <w:pPr>
        <w:ind w:left="940" w:hanging="643"/>
        <w:spacing w:after="0"/>
        <w:tabs>
          <w:tab w:leader="none" w:pos="940" w:val="left"/>
        </w:tabs>
        <w:numPr>
          <w:ilvl w:val="0"/>
          <w:numId w:val="7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French Qualified RSUs</w:t>
      </w:r>
    </w:p>
    <w:p>
      <w:pPr>
        <w:spacing w:after="0" w:line="209" w:lineRule="exact"/>
        <w:rPr>
          <w:sz w:val="20"/>
          <w:szCs w:val="20"/>
          <w:color w:val="auto"/>
        </w:rPr>
      </w:pPr>
    </w:p>
    <w:p>
      <w:pPr>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(e)The following additional terms and conditions are also applicable to Awards of Qualified RSUs granted pursuant to this Agreement and the French Schedule attached hereto.</w:t>
      </w:r>
    </w:p>
    <w:p>
      <w:pPr>
        <w:spacing w:after="0" w:line="157" w:lineRule="exact"/>
        <w:rPr>
          <w:sz w:val="20"/>
          <w:szCs w:val="20"/>
          <w:color w:val="auto"/>
        </w:rPr>
      </w:pPr>
    </w:p>
    <w:p>
      <w:pPr>
        <w:jc w:val="both"/>
        <w:ind w:left="1600" w:right="299" w:hanging="332"/>
        <w:spacing w:after="0" w:line="236" w:lineRule="auto"/>
        <w:tabs>
          <w:tab w:leader="none" w:pos="16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Eligible Individuals are officers or employees of the Company or a company in which the Company owns directly or indirectly at least 10% of the equity or voting rights, who are located in France. Eligible Individuals are selected by their employer and approved by the Company or the empowered corporate body. No Qualified RSU Unit can be granted to an Eligible Individual who:</w:t>
      </w:r>
    </w:p>
    <w:p>
      <w:pPr>
        <w:spacing w:after="0" w:line="179" w:lineRule="exact"/>
        <w:rPr>
          <w:rFonts w:ascii="Times New Roman" w:cs="Times New Roman" w:eastAsia="Times New Roman" w:hAnsi="Times New Roman"/>
          <w:sz w:val="22"/>
          <w:szCs w:val="22"/>
          <w:color w:val="auto"/>
        </w:rPr>
      </w:pPr>
    </w:p>
    <w:p>
      <w:pPr>
        <w:ind w:left="2240" w:right="319" w:hanging="649"/>
        <w:spacing w:after="0" w:line="258" w:lineRule="auto"/>
        <w:tabs>
          <w:tab w:leader="none" w:pos="22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holds directly or indirectly, more than ten percent (10%) of the outstanding Shares of the Company; or</w:t>
      </w:r>
    </w:p>
    <w:p>
      <w:pPr>
        <w:spacing w:after="0" w:line="157" w:lineRule="exact"/>
        <w:rPr>
          <w:rFonts w:ascii="Times New Roman" w:cs="Times New Roman" w:eastAsia="Times New Roman" w:hAnsi="Times New Roman"/>
          <w:sz w:val="22"/>
          <w:szCs w:val="22"/>
          <w:color w:val="auto"/>
        </w:rPr>
      </w:pPr>
    </w:p>
    <w:p>
      <w:pPr>
        <w:ind w:left="2240" w:right="319" w:hanging="649"/>
        <w:spacing w:after="0" w:line="258" w:lineRule="auto"/>
        <w:tabs>
          <w:tab w:leader="none" w:pos="224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as a result of a grant of a Qualified RSU, hold more than ten percent (10%) of the outstanding Shares of the Company.</w:t>
      </w:r>
    </w:p>
    <w:p>
      <w:pPr>
        <w:spacing w:after="0" w:line="157" w:lineRule="exact"/>
        <w:rPr>
          <w:sz w:val="20"/>
          <w:szCs w:val="20"/>
          <w:color w:val="auto"/>
        </w:rPr>
      </w:pPr>
    </w:p>
    <w:p>
      <w:pPr>
        <w:jc w:val="both"/>
        <w:ind w:left="300" w:right="319" w:firstLine="863"/>
        <w:spacing w:after="0" w:line="236" w:lineRule="auto"/>
        <w:rPr>
          <w:sz w:val="20"/>
          <w:szCs w:val="20"/>
          <w:color w:val="auto"/>
        </w:rPr>
      </w:pPr>
      <w:r>
        <w:rPr>
          <w:rFonts w:ascii="Times New Roman" w:cs="Times New Roman" w:eastAsia="Times New Roman" w:hAnsi="Times New Roman"/>
          <w:sz w:val="22"/>
          <w:szCs w:val="22"/>
          <w:color w:val="auto"/>
        </w:rPr>
        <w:t xml:space="preserve">Any Eligible Individual who, on the Grant Date of a Qualified RSU,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RSUs under the Plan as adjusted to meet the requirements of the French </w:t>
      </w:r>
      <w:r>
        <w:rPr>
          <w:rFonts w:ascii="Times New Roman" w:cs="Times New Roman" w:eastAsia="Times New Roman" w:hAnsi="Times New Roman"/>
          <w:sz w:val="22"/>
          <w:szCs w:val="22"/>
          <w:i w:val="1"/>
          <w:iCs w:val="1"/>
          <w:color w:val="auto"/>
        </w:rPr>
        <w:t>Code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commerce</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1600" w:right="299" w:hanging="332"/>
        <w:spacing w:after="0" w:line="237" w:lineRule="auto"/>
        <w:tabs>
          <w:tab w:leader="none" w:pos="16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will take place on the dates outlined in the Grant Details and will be subject to the Plan, the Agreement, this Appendix and the Eligible Individual’s continuous employment. The awards will Vest over a four year period, Vesting 25% each year. Notwithstanding any other rule of the Plan, the Agreement or the Schedule:</w:t>
      </w:r>
    </w:p>
    <w:p>
      <w:pPr>
        <w:spacing w:after="0" w:line="200" w:lineRule="exact"/>
        <w:rPr>
          <w:sz w:val="20"/>
          <w:szCs w:val="20"/>
          <w:color w:val="auto"/>
        </w:rPr>
      </w:pPr>
    </w:p>
    <w:p>
      <w:pPr>
        <w:spacing w:after="0" w:line="385"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3</w:t>
            </w:r>
          </w:p>
        </w:tc>
      </w:tr>
      <w:tr>
        <w:trPr>
          <w:trHeight w:val="750"/>
        </w:trPr>
        <w:tc>
          <w:tcPr>
            <w:tcW w:w="5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73" w:name="page74"/>
    <w:bookmarkEnd w:id="73"/>
    <w:p>
      <w:pPr>
        <w:jc w:val="both"/>
        <w:ind w:left="2240" w:right="299" w:hanging="649"/>
        <w:spacing w:after="0" w:line="235" w:lineRule="auto"/>
        <w:tabs>
          <w:tab w:leader="none" w:pos="2240" w:val="left"/>
        </w:tabs>
        <w:numPr>
          <w:ilvl w:val="2"/>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 an Eligible Individual leaves employment for reason of death during the Vesting Period or any Holding Period, his or her personal representatives may require, within six months from the date of death, Vesting of the deceased’s Qualified RSUs (if not already Vested) and the transfer of the underlying Shares (the Shares will be transferred to the personal representatives of the Eligible Individual as soon as practicably possible following their request); and</w:t>
      </w:r>
    </w:p>
    <w:p>
      <w:pPr>
        <w:spacing w:after="0" w:line="180" w:lineRule="exact"/>
        <w:rPr>
          <w:rFonts w:ascii="Times New Roman" w:cs="Times New Roman" w:eastAsia="Times New Roman" w:hAnsi="Times New Roman"/>
          <w:sz w:val="22"/>
          <w:szCs w:val="22"/>
          <w:color w:val="auto"/>
        </w:rPr>
      </w:pPr>
    </w:p>
    <w:p>
      <w:pPr>
        <w:jc w:val="both"/>
        <w:ind w:left="2240" w:right="319" w:hanging="649"/>
        <w:spacing w:after="0" w:line="266" w:lineRule="auto"/>
        <w:tabs>
          <w:tab w:leader="none" w:pos="2240" w:val="left"/>
        </w:tabs>
        <w:numPr>
          <w:ilvl w:val="2"/>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disability (as defined under the second or third category of Article L.341-4 of the French </w:t>
      </w:r>
      <w:r>
        <w:rPr>
          <w:rFonts w:ascii="Times New Roman" w:cs="Times New Roman" w:eastAsia="Times New Roman" w:hAnsi="Times New Roman"/>
          <w:sz w:val="20"/>
          <w:szCs w:val="20"/>
          <w:i w:val="1"/>
          <w:iCs w:val="1"/>
          <w:color w:val="auto"/>
        </w:rPr>
        <w:t>Code de la sécurité sociale</w:t>
      </w:r>
      <w:r>
        <w:rPr>
          <w:rFonts w:ascii="Times New Roman" w:cs="Times New Roman" w:eastAsia="Times New Roman" w:hAnsi="Times New Roman"/>
          <w:sz w:val="20"/>
          <w:szCs w:val="20"/>
          <w:color w:val="auto"/>
        </w:rPr>
        <w:t>), Vesting of the Eligible Individual’s Qualified RSUs may be accelerated at the discretion of the empowered corporate body (and the underlying Shares shall then be transferred to the Eligible Individual as soon as practicably possible).</w:t>
      </w:r>
    </w:p>
    <w:p>
      <w:pPr>
        <w:spacing w:after="0" w:line="154" w:lineRule="exact"/>
        <w:rPr>
          <w:rFonts w:ascii="Times New Roman" w:cs="Times New Roman" w:eastAsia="Times New Roman" w:hAnsi="Times New Roman"/>
          <w:sz w:val="20"/>
          <w:szCs w:val="20"/>
          <w:color w:val="auto"/>
        </w:rPr>
      </w:pPr>
    </w:p>
    <w:p>
      <w:pPr>
        <w:jc w:val="both"/>
        <w:ind w:left="1600" w:right="299" w:hanging="332"/>
        <w:spacing w:after="0" w:line="232" w:lineRule="auto"/>
        <w:tabs>
          <w:tab w:leader="none" w:pos="16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relation to the first 25% of the Award which Vests after one year, there will be a Holding Period, so that a minimum two-year period is observed between the Grant Date and the end of the compulsory Holding Period. The Holding Period shall therefore mean the period of at least one year following Vesting during which the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w:t>
      </w:r>
    </w:p>
    <w:p>
      <w:pPr>
        <w:spacing w:after="0" w:line="179" w:lineRule="exact"/>
        <w:rPr>
          <w:rFonts w:ascii="Times New Roman" w:cs="Times New Roman" w:eastAsia="Times New Roman" w:hAnsi="Times New Roman"/>
          <w:sz w:val="22"/>
          <w:szCs w:val="22"/>
          <w:color w:val="auto"/>
        </w:rPr>
      </w:pPr>
    </w:p>
    <w:p>
      <w:pPr>
        <w:ind w:left="1600" w:right="319" w:hanging="332"/>
        <w:spacing w:after="0" w:line="258" w:lineRule="auto"/>
        <w:tabs>
          <w:tab w:leader="none" w:pos="160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price of a Qualified RSU cannot exceed 5% of the nominal value of the Share.</w:t>
      </w:r>
    </w:p>
    <w:p>
      <w:pPr>
        <w:spacing w:after="0" w:line="153" w:lineRule="exact"/>
        <w:rPr>
          <w:rFonts w:ascii="Times New Roman" w:cs="Times New Roman" w:eastAsia="Times New Roman" w:hAnsi="Times New Roman"/>
          <w:sz w:val="22"/>
          <w:szCs w:val="22"/>
          <w:color w:val="auto"/>
        </w:rPr>
      </w:pPr>
    </w:p>
    <w:p>
      <w:pPr>
        <w:ind w:left="940" w:hanging="643"/>
        <w:spacing w:after="0"/>
        <w:tabs>
          <w:tab w:leader="none" w:pos="940" w:val="left"/>
        </w:tabs>
        <w:numPr>
          <w:ilvl w:val="0"/>
          <w:numId w:val="7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Non-Transferability of the Qualified RSUs</w:t>
      </w:r>
    </w:p>
    <w:p>
      <w:pPr>
        <w:spacing w:after="0" w:line="209"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 xml:space="preserve">Until the Qualified RSUs are settled as provided herein or on the website of the Plan Administrator, the Qualified RSUs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Times New Roman" w:cs="Times New Roman" w:eastAsia="Times New Roman" w:hAnsi="Times New Roman"/>
          <w:sz w:val="22"/>
          <w:szCs w:val="22"/>
          <w:i w:val="1"/>
          <w:iCs w:val="1"/>
          <w:color w:val="auto"/>
        </w:rPr>
        <w:t>Code de la sécurité sociale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Shares also cannot be sold or transferred during the Closed Period.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4</w:t>
            </w:r>
          </w:p>
        </w:tc>
      </w:tr>
      <w:tr>
        <w:trPr>
          <w:trHeight w:val="750"/>
        </w:trPr>
        <w:tc>
          <w:tcPr>
            <w:tcW w:w="5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74" w:name="page75"/>
    <w:bookmarkEnd w:id="74"/>
    <w:p>
      <w:pPr>
        <w:ind w:left="940" w:hanging="643"/>
        <w:spacing w:after="0"/>
        <w:tabs>
          <w:tab w:leader="none" w:pos="940" w:val="left"/>
        </w:tabs>
        <w:numPr>
          <w:ilvl w:val="0"/>
          <w:numId w:val="7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Rights as a Stockholder</w:t>
      </w:r>
    </w:p>
    <w:p>
      <w:pPr>
        <w:spacing w:after="0" w:line="209"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An Eligible Individual shall not be entitled to any dividends (or other distributions) and shall have no right to vote in respect of the Shares subject to Awards of Qualified RSUs under the French Schedule until the Shares have vested. After Vesting and during the Holding Period, the Eligible Individual shall be entitled to the dividends, distributions or other rights attached to his Vested Shares as they arise.</w:t>
      </w:r>
    </w:p>
    <w:p>
      <w:pPr>
        <w:spacing w:after="0" w:line="176" w:lineRule="exact"/>
        <w:rPr>
          <w:sz w:val="20"/>
          <w:szCs w:val="20"/>
          <w:color w:val="auto"/>
        </w:rPr>
      </w:pPr>
    </w:p>
    <w:p>
      <w:pPr>
        <w:ind w:left="940" w:hanging="643"/>
        <w:spacing w:after="0"/>
        <w:tabs>
          <w:tab w:leader="none" w:pos="940" w:val="left"/>
        </w:tabs>
        <w:numPr>
          <w:ilvl w:val="0"/>
          <w:numId w:val="8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Adjustment in the Event of Change in Stock; Change in Control</w:t>
      </w:r>
    </w:p>
    <w:p>
      <w:pPr>
        <w:spacing w:after="0" w:line="209" w:lineRule="exact"/>
        <w:rPr>
          <w:sz w:val="20"/>
          <w:szCs w:val="20"/>
          <w:color w:val="auto"/>
        </w:rPr>
      </w:pPr>
    </w:p>
    <w:p>
      <w:pPr>
        <w:jc w:val="both"/>
        <w:ind w:left="300" w:right="299" w:firstLine="611"/>
        <w:spacing w:after="0" w:line="236" w:lineRule="auto"/>
        <w:rPr>
          <w:sz w:val="20"/>
          <w:szCs w:val="20"/>
          <w:color w:val="auto"/>
        </w:rPr>
      </w:pPr>
      <w:r>
        <w:rPr>
          <w:rFonts w:ascii="Times New Roman" w:cs="Times New Roman" w:eastAsia="Times New Roman" w:hAnsi="Times New Roman"/>
          <w:sz w:val="22"/>
          <w:szCs w:val="22"/>
          <w:color w:val="auto"/>
        </w:rPr>
        <w:t xml:space="preserve">On the occurrence of one of the events specified under Article L.225-181 of the French </w:t>
      </w:r>
      <w:r>
        <w:rPr>
          <w:rFonts w:ascii="Times New Roman" w:cs="Times New Roman" w:eastAsia="Times New Roman" w:hAnsi="Times New Roman"/>
          <w:sz w:val="22"/>
          <w:szCs w:val="22"/>
          <w:i w:val="1"/>
          <w:iCs w:val="1"/>
          <w:color w:val="auto"/>
        </w:rPr>
        <w:t>Code de commerce</w:t>
      </w:r>
      <w:r>
        <w:rPr>
          <w:rFonts w:ascii="Times New Roman" w:cs="Times New Roman" w:eastAsia="Times New Roman" w:hAnsi="Times New Roman"/>
          <w:sz w:val="22"/>
          <w:szCs w:val="22"/>
          <w:color w:val="auto"/>
        </w:rPr>
        <w:t>, the Company or the empowered corporate body may make such adjustments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as it considers appropriate to restore the value of the Qualified RSUs. An adjustment made under this rule shall only be permissible to the extent that it is intended to, and that its sole effect is to, restore the value of the Qualified RSUs and it is made in compliance with the rules set out in the French </w:t>
      </w:r>
      <w:r>
        <w:rPr>
          <w:rFonts w:ascii="Times New Roman" w:cs="Times New Roman" w:eastAsia="Times New Roman" w:hAnsi="Times New Roman"/>
          <w:sz w:val="22"/>
          <w:szCs w:val="22"/>
          <w:i w:val="1"/>
          <w:iCs w:val="1"/>
          <w:color w:val="auto"/>
        </w:rPr>
        <w:t>Code de commerce</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ind w:left="940" w:hanging="643"/>
        <w:spacing w:after="0"/>
        <w:tabs>
          <w:tab w:leader="none" w:pos="940" w:val="left"/>
        </w:tabs>
        <w:numPr>
          <w:ilvl w:val="0"/>
          <w:numId w:val="8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Taxes, Fees and Withholding</w:t>
      </w:r>
    </w:p>
    <w:p>
      <w:pPr>
        <w:spacing w:after="0" w:line="209"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(a)The Company agrees to pay any and all original issue taxes and stock transfer taxes that may be imposed on the issuance of shares received by an Eligible Individual in connection with the Qualified RSUs, together with any and all other fees and expenses necessarily incurred by the Company in connection therewith.</w:t>
      </w:r>
    </w:p>
    <w:p>
      <w:pPr>
        <w:spacing w:after="0" w:line="179"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(b)Regardless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Qualified RSUs and the receipt of cash or any dividends or dividend equivalents with respect thereto; and (ii) do not commit to structure the terms of the Award or any aspect of the Qualified RSUs to reduce or eliminate the Eligible Individual’s liability for Tax-Related Items.</w:t>
      </w:r>
    </w:p>
    <w:p>
      <w:pPr>
        <w:spacing w:after="0" w:line="176" w:lineRule="exact"/>
        <w:rPr>
          <w:sz w:val="20"/>
          <w:szCs w:val="20"/>
          <w:color w:val="auto"/>
        </w:rPr>
      </w:pPr>
    </w:p>
    <w:p>
      <w:pPr>
        <w:jc w:val="both"/>
        <w:ind w:left="300" w:right="319" w:firstLine="647"/>
        <w:spacing w:after="0" w:line="233" w:lineRule="auto"/>
        <w:rPr>
          <w:sz w:val="20"/>
          <w:szCs w:val="20"/>
          <w:color w:val="auto"/>
        </w:rPr>
      </w:pPr>
      <w:r>
        <w:rPr>
          <w:rFonts w:ascii="Times New Roman" w:cs="Times New Roman" w:eastAsia="Times New Roman" w:hAnsi="Times New Roman"/>
          <w:sz w:val="22"/>
          <w:szCs w:val="22"/>
          <w:color w:val="auto"/>
        </w:rPr>
        <w:t>(c)In the event that the Company, Subsidiary or Affiliate is required to withhold any Tax-Related Items as a result of the Award or vesting of the Qualified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In connection herewith, the Eligible Individual (i) authorizes, empowers and directs the Company and the Plan Administrator (or such brokerage firm as is contracted to manage the Company’s employee equity award program, (the</w:t>
      </w:r>
    </w:p>
    <w:p>
      <w:pPr>
        <w:spacing w:after="0" w:line="200" w:lineRule="exact"/>
        <w:rPr>
          <w:sz w:val="20"/>
          <w:szCs w:val="20"/>
          <w:color w:val="auto"/>
        </w:rPr>
      </w:pPr>
    </w:p>
    <w:p>
      <w:pPr>
        <w:spacing w:after="0" w:line="383"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5</w:t>
            </w:r>
          </w:p>
        </w:tc>
      </w:tr>
      <w:tr>
        <w:trPr>
          <w:trHeight w:val="750"/>
        </w:trPr>
        <w:tc>
          <w:tcPr>
            <w:tcW w:w="5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75" w:name="page76"/>
    <w:bookmarkEnd w:id="75"/>
    <w:p>
      <w:pPr>
        <w:jc w:val="both"/>
        <w:ind w:left="300" w:right="319"/>
        <w:spacing w:after="0" w:line="233" w:lineRule="auto"/>
        <w:rPr>
          <w:sz w:val="20"/>
          <w:szCs w:val="20"/>
          <w:color w:val="auto"/>
        </w:rPr>
      </w:pPr>
      <w:r>
        <w:rPr>
          <w:rFonts w:ascii="Times New Roman" w:cs="Times New Roman" w:eastAsia="Times New Roman" w:hAnsi="Times New Roman"/>
          <w:sz w:val="22"/>
          <w:szCs w:val="22"/>
          <w:color w:val="auto"/>
        </w:rPr>
        <w:t>“Broker”)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Qualified RSUs or pay cash in settlement of the Qualified RSUs if the Eligible Individual fails to comply with his or her obligations in connection with the Tax-Related Items as described in this Section.</w:t>
      </w:r>
    </w:p>
    <w:p>
      <w:pPr>
        <w:spacing w:after="0" w:line="184" w:lineRule="exact"/>
        <w:rPr>
          <w:sz w:val="20"/>
          <w:szCs w:val="20"/>
          <w:color w:val="auto"/>
        </w:rPr>
      </w:pPr>
    </w:p>
    <w:p>
      <w:pPr>
        <w:jc w:val="both"/>
        <w:ind w:left="1600" w:right="299" w:hanging="332"/>
        <w:spacing w:after="0" w:line="232" w:lineRule="auto"/>
        <w:tabs>
          <w:tab w:leader="none" w:pos="1600" w:val="left"/>
        </w:tabs>
        <w:numPr>
          <w:ilvl w:val="2"/>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90" w:lineRule="exact"/>
        <w:rPr>
          <w:rFonts w:ascii="Times New Roman" w:cs="Times New Roman" w:eastAsia="Times New Roman" w:hAnsi="Times New Roman"/>
          <w:sz w:val="22"/>
          <w:szCs w:val="22"/>
          <w:color w:val="auto"/>
        </w:rPr>
      </w:pPr>
    </w:p>
    <w:p>
      <w:pPr>
        <w:ind w:left="300" w:right="319" w:firstLine="644"/>
        <w:spacing w:after="0" w:line="307" w:lineRule="auto"/>
        <w:tabs>
          <w:tab w:leader="none" w:pos="1379"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Eligible Individuals (or beneficiaries, if applicable) are responsible for reporting the receipt of any income under the Plan, however received, to the appropriate tax authorities.</w:t>
      </w:r>
    </w:p>
    <w:p>
      <w:pPr>
        <w:spacing w:after="0" w:line="108" w:lineRule="exact"/>
        <w:rPr>
          <w:rFonts w:ascii="Times New Roman" w:cs="Times New Roman" w:eastAsia="Times New Roman" w:hAnsi="Times New Roman"/>
          <w:sz w:val="20"/>
          <w:szCs w:val="20"/>
          <w:color w:val="auto"/>
        </w:rPr>
      </w:pPr>
    </w:p>
    <w:p>
      <w:pPr>
        <w:ind w:left="940" w:hanging="643"/>
        <w:spacing w:after="0"/>
        <w:tabs>
          <w:tab w:leader="none" w:pos="940" w:val="left"/>
        </w:tabs>
        <w:numPr>
          <w:ilvl w:val="0"/>
          <w:numId w:val="84"/>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Other Restrictions</w:t>
      </w:r>
    </w:p>
    <w:p>
      <w:pPr>
        <w:spacing w:after="0" w:line="209" w:lineRule="exact"/>
        <w:rPr>
          <w:rFonts w:ascii="Times New Roman" w:cs="Times New Roman" w:eastAsia="Times New Roman" w:hAnsi="Times New Roman"/>
          <w:sz w:val="22"/>
          <w:szCs w:val="22"/>
          <w:b w:val="1"/>
          <w:bCs w:val="1"/>
          <w:u w:val="single" w:color="auto"/>
          <w:color w:val="auto"/>
        </w:rPr>
      </w:pPr>
    </w:p>
    <w:p>
      <w:pPr>
        <w:jc w:val="both"/>
        <w:ind w:left="300" w:right="319" w:firstLine="644"/>
        <w:spacing w:after="0" w:line="235" w:lineRule="auto"/>
        <w:tabs>
          <w:tab w:leader="none" w:pos="1379"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80" w:lineRule="exact"/>
        <w:rPr>
          <w:rFonts w:ascii="Times New Roman" w:cs="Times New Roman" w:eastAsia="Times New Roman" w:hAnsi="Times New Roman"/>
          <w:sz w:val="22"/>
          <w:szCs w:val="22"/>
          <w:color w:val="auto"/>
        </w:rPr>
      </w:pPr>
    </w:p>
    <w:p>
      <w:pPr>
        <w:jc w:val="both"/>
        <w:ind w:left="300" w:right="319" w:firstLine="644"/>
        <w:spacing w:after="0" w:line="234" w:lineRule="auto"/>
        <w:tabs>
          <w:tab w:leader="none" w:pos="1379"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Qualified RSUs, and may be prohibited from selling such shares other than during an open</w:t>
      </w:r>
    </w:p>
    <w:p>
      <w:pPr>
        <w:spacing w:after="0" w:line="200" w:lineRule="exact"/>
        <w:rPr>
          <w:sz w:val="20"/>
          <w:szCs w:val="20"/>
          <w:color w:val="auto"/>
        </w:rPr>
      </w:pPr>
    </w:p>
    <w:p>
      <w:pPr>
        <w:spacing w:after="0" w:line="389"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6</w:t>
            </w:r>
          </w:p>
        </w:tc>
      </w:tr>
      <w:tr>
        <w:trPr>
          <w:trHeight w:val="750"/>
        </w:trPr>
        <w:tc>
          <w:tcPr>
            <w:tcW w:w="5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76" w:name="page77"/>
    <w:bookmarkEnd w:id="76"/>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72" w:lineRule="exact"/>
        <w:rPr>
          <w:sz w:val="20"/>
          <w:szCs w:val="20"/>
          <w:color w:val="auto"/>
        </w:rPr>
      </w:pPr>
    </w:p>
    <w:p>
      <w:pPr>
        <w:jc w:val="both"/>
        <w:ind w:left="300" w:right="319" w:firstLine="644"/>
        <w:spacing w:after="0" w:line="239" w:lineRule="auto"/>
        <w:tabs>
          <w:tab w:leader="none" w:pos="1379"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rule of the Plan, this Agreement or the Schedule, the total number of Qualified Restricted Stock Units granted under the Plan or any other plan subject to provisions of Articles L.225-197-1 et seq. of the French </w:t>
      </w:r>
      <w:r>
        <w:rPr>
          <w:rFonts w:ascii="Times New Roman" w:cs="Times New Roman" w:eastAsia="Times New Roman" w:hAnsi="Times New Roman"/>
          <w:sz w:val="22"/>
          <w:szCs w:val="22"/>
          <w:i w:val="1"/>
          <w:iCs w:val="1"/>
          <w:color w:val="auto"/>
        </w:rPr>
        <w:t>Code de commerce</w:t>
      </w:r>
      <w:r>
        <w:rPr>
          <w:rFonts w:ascii="Times New Roman" w:cs="Times New Roman" w:eastAsia="Times New Roman" w:hAnsi="Times New Roman"/>
          <w:sz w:val="22"/>
          <w:szCs w:val="22"/>
          <w:color w:val="auto"/>
        </w:rPr>
        <w:t xml:space="preserve"> shall not exceed 10 per cent of the Shares in issue at the Grant Date.</w:t>
      </w:r>
    </w:p>
    <w:p>
      <w:pPr>
        <w:spacing w:after="0" w:line="174" w:lineRule="exact"/>
        <w:rPr>
          <w:rFonts w:ascii="Times New Roman" w:cs="Times New Roman" w:eastAsia="Times New Roman" w:hAnsi="Times New Roman"/>
          <w:sz w:val="22"/>
          <w:szCs w:val="22"/>
          <w:color w:val="auto"/>
        </w:rPr>
      </w:pPr>
    </w:p>
    <w:p>
      <w:pPr>
        <w:ind w:left="940" w:hanging="643"/>
        <w:spacing w:after="0"/>
        <w:tabs>
          <w:tab w:leader="none" w:pos="940" w:val="left"/>
        </w:tabs>
        <w:numPr>
          <w:ilvl w:val="0"/>
          <w:numId w:val="8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Nature of Award</w:t>
      </w:r>
    </w:p>
    <w:p>
      <w:pPr>
        <w:spacing w:after="0" w:line="209" w:lineRule="exact"/>
        <w:rPr>
          <w:rFonts w:ascii="Times New Roman" w:cs="Times New Roman" w:eastAsia="Times New Roman" w:hAnsi="Times New Roman"/>
          <w:sz w:val="22"/>
          <w:szCs w:val="22"/>
          <w:b w:val="1"/>
          <w:bCs w:val="1"/>
          <w:u w:val="single" w:color="auto"/>
          <w:color w:val="auto"/>
        </w:rPr>
      </w:pPr>
    </w:p>
    <w:p>
      <w:pPr>
        <w:ind w:left="940"/>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In accepting the Award, the Eligible Individual acknowledges that:</w:t>
      </w:r>
    </w:p>
    <w:p>
      <w:pPr>
        <w:spacing w:after="0" w:line="205" w:lineRule="exact"/>
        <w:rPr>
          <w:rFonts w:ascii="Times New Roman" w:cs="Times New Roman" w:eastAsia="Times New Roman" w:hAnsi="Times New Roman"/>
          <w:sz w:val="22"/>
          <w:szCs w:val="22"/>
          <w:b w:val="1"/>
          <w:bCs w:val="1"/>
          <w:u w:val="single" w:color="auto"/>
          <w:color w:val="auto"/>
        </w:rPr>
      </w:pPr>
    </w:p>
    <w:p>
      <w:pPr>
        <w:ind w:left="940"/>
        <w:spacing w:after="0"/>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color w:val="auto"/>
        </w:rPr>
        <w:t>(f)the Plan is established voluntarily by the Company, it is discretionary in nature and it</w:t>
      </w:r>
    </w:p>
    <w:p>
      <w:pPr>
        <w:spacing w:after="0" w:line="14" w:lineRule="exact"/>
        <w:rPr>
          <w:sz w:val="20"/>
          <w:szCs w:val="20"/>
          <w:color w:val="auto"/>
        </w:rPr>
      </w:pPr>
    </w:p>
    <w:p>
      <w:pPr>
        <w:jc w:val="both"/>
        <w:ind w:left="300" w:right="319"/>
        <w:spacing w:after="0" w:line="237" w:lineRule="auto"/>
        <w:rPr>
          <w:sz w:val="20"/>
          <w:szCs w:val="20"/>
          <w:color w:val="auto"/>
        </w:rPr>
      </w:pPr>
      <w:r>
        <w:rPr>
          <w:rFonts w:ascii="Times New Roman" w:cs="Times New Roman" w:eastAsia="Times New Roman" w:hAnsi="Times New Roman"/>
          <w:sz w:val="22"/>
          <w:szCs w:val="22"/>
          <w:color w:val="auto"/>
        </w:rPr>
        <w:t>may be modified, amended, suspended or terminated by the Company at any time, unless otherwise provided in the Plan and this Agreement;</w:t>
      </w:r>
    </w:p>
    <w:p>
      <w:pPr>
        <w:spacing w:after="0" w:line="178"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(g)the Award is voluntary and occasional and does not create any contractual or other right to receive future Awards, or benefits in lieu of Awards, even if Awards have been made repeatedly in the past;</w:t>
      </w:r>
    </w:p>
    <w:p>
      <w:pPr>
        <w:spacing w:after="0" w:line="172" w:lineRule="exact"/>
        <w:rPr>
          <w:sz w:val="20"/>
          <w:szCs w:val="20"/>
          <w:color w:val="auto"/>
        </w:rPr>
      </w:pPr>
    </w:p>
    <w:p>
      <w:pPr>
        <w:jc w:val="both"/>
        <w:ind w:left="300" w:right="319" w:firstLine="647"/>
        <w:spacing w:after="0" w:line="258" w:lineRule="auto"/>
        <w:rPr>
          <w:sz w:val="20"/>
          <w:szCs w:val="20"/>
          <w:color w:val="auto"/>
        </w:rPr>
      </w:pPr>
      <w:r>
        <w:rPr>
          <w:rFonts w:ascii="Times New Roman" w:cs="Times New Roman" w:eastAsia="Times New Roman" w:hAnsi="Times New Roman"/>
          <w:sz w:val="22"/>
          <w:szCs w:val="22"/>
          <w:color w:val="auto"/>
        </w:rPr>
        <w:t>(h)all decisions with respect to future Awards, if any, will be at the sole discretion of the Company;</w:t>
      </w:r>
    </w:p>
    <w:p>
      <w:pPr>
        <w:spacing w:after="0" w:line="157" w:lineRule="exact"/>
        <w:rPr>
          <w:sz w:val="20"/>
          <w:szCs w:val="20"/>
          <w:color w:val="auto"/>
        </w:rPr>
      </w:pPr>
    </w:p>
    <w:p>
      <w:pPr>
        <w:jc w:val="both"/>
        <w:ind w:left="300" w:right="299" w:firstLine="644"/>
        <w:spacing w:after="0" w:line="239" w:lineRule="auto"/>
        <w:tabs>
          <w:tab w:leader="none" w:pos="11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Individual’s participation in the Plan will not create a right to further employment or service with the Company, its Subsidiary or Affiliate and shall not interfere with the ability of the Company to terminate the Eligible Individual’s employment or service relationship at any time with or without Cause;</w:t>
      </w:r>
    </w:p>
    <w:p>
      <w:pPr>
        <w:spacing w:after="0" w:line="178" w:lineRule="exact"/>
        <w:rPr>
          <w:rFonts w:ascii="Times New Roman" w:cs="Times New Roman" w:eastAsia="Times New Roman" w:hAnsi="Times New Roman"/>
          <w:sz w:val="22"/>
          <w:szCs w:val="22"/>
          <w:color w:val="auto"/>
        </w:rPr>
      </w:pPr>
    </w:p>
    <w:p>
      <w:pPr>
        <w:ind w:left="1180" w:hanging="236"/>
        <w:spacing w:after="0"/>
        <w:tabs>
          <w:tab w:leader="none" w:pos="118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is voluntarily participating in the Plan;</w:t>
      </w:r>
    </w:p>
    <w:p>
      <w:pPr>
        <w:spacing w:after="0" w:line="205"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(k)the Award is not part of normal or expected compensation or salary for any purposes, including, but not limited to, calculating any severance, resignation, termination, redundancy, end of service payments, bonuses, long-service awards, pension or retirement benefits or similar payments;</w:t>
      </w:r>
    </w:p>
    <w:p>
      <w:pPr>
        <w:spacing w:after="0" w:line="179" w:lineRule="exact"/>
        <w:rPr>
          <w:sz w:val="20"/>
          <w:szCs w:val="20"/>
          <w:color w:val="auto"/>
        </w:rPr>
      </w:pPr>
    </w:p>
    <w:p>
      <w:pPr>
        <w:jc w:val="both"/>
        <w:ind w:left="300" w:right="319" w:firstLine="644"/>
        <w:spacing w:after="0" w:line="244" w:lineRule="auto"/>
        <w:tabs>
          <w:tab w:leader="none" w:pos="11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Eligible Individual is not an employee of the Company, a Subsidiary or an Affiliate, the Award will not be interpreted to form an employment contract or relationship with the Company; and</w:t>
      </w:r>
    </w:p>
    <w:p>
      <w:pPr>
        <w:spacing w:after="0" w:line="172"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(m)in consideration of the Award, no claim or entitlement to compensation or damages shall arise from termination of the Award or diminution in value of the Award resulting from the Eligible Individual’s Termination of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200" w:lineRule="exact"/>
        <w:rPr>
          <w:sz w:val="20"/>
          <w:szCs w:val="20"/>
          <w:color w:val="auto"/>
        </w:rPr>
      </w:pPr>
    </w:p>
    <w:p>
      <w:pPr>
        <w:spacing w:after="0" w:line="389"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7</w:t>
            </w:r>
          </w:p>
        </w:tc>
      </w:tr>
      <w:tr>
        <w:trPr>
          <w:trHeight w:val="750"/>
        </w:trPr>
        <w:tc>
          <w:tcPr>
            <w:tcW w:w="5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6" w:right="1440" w:bottom="1440" w:gutter="0" w:footer="0" w:header="0"/>
        </w:sectPr>
      </w:pPr>
    </w:p>
    <w:bookmarkStart w:id="77" w:name="page78"/>
    <w:bookmarkEnd w:id="77"/>
    <w:p>
      <w:pPr>
        <w:ind w:left="940" w:hanging="643"/>
        <w:spacing w:after="0"/>
        <w:tabs>
          <w:tab w:leader="none" w:pos="940" w:val="left"/>
        </w:tabs>
        <w:numPr>
          <w:ilvl w:val="0"/>
          <w:numId w:val="89"/>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b w:val="1"/>
          <w:bCs w:val="1"/>
          <w:color w:val="auto"/>
        </w:rPr>
        <w:t>.</w:t>
      </w:r>
    </w:p>
    <w:p>
      <w:pPr>
        <w:spacing w:after="0" w:line="209" w:lineRule="exact"/>
        <w:rPr>
          <w:sz w:val="20"/>
          <w:szCs w:val="20"/>
          <w:color w:val="auto"/>
        </w:rPr>
      </w:pPr>
    </w:p>
    <w:p>
      <w:pPr>
        <w:jc w:val="both"/>
        <w:ind w:left="300" w:right="299" w:firstLine="647"/>
        <w:spacing w:after="0" w:line="236" w:lineRule="auto"/>
        <w:rPr>
          <w:sz w:val="20"/>
          <w:szCs w:val="20"/>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vesting, settlement or disposition of the Award before taking any action related to the Plan or the Award.</w:t>
      </w:r>
    </w:p>
    <w:p>
      <w:pPr>
        <w:spacing w:after="0" w:line="175" w:lineRule="exact"/>
        <w:rPr>
          <w:sz w:val="20"/>
          <w:szCs w:val="20"/>
          <w:color w:val="auto"/>
        </w:rPr>
      </w:pPr>
    </w:p>
    <w:p>
      <w:pPr>
        <w:ind w:left="940" w:hanging="643"/>
        <w:spacing w:after="0"/>
        <w:tabs>
          <w:tab w:leader="none" w:pos="940" w:val="left"/>
        </w:tabs>
        <w:numPr>
          <w:ilvl w:val="0"/>
          <w:numId w:val="90"/>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Notices</w:t>
      </w:r>
    </w:p>
    <w:p>
      <w:pPr>
        <w:spacing w:after="0" w:line="209"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75" w:lineRule="exact"/>
        <w:rPr>
          <w:sz w:val="20"/>
          <w:szCs w:val="20"/>
          <w:color w:val="auto"/>
        </w:rPr>
      </w:pPr>
    </w:p>
    <w:p>
      <w:pPr>
        <w:ind w:left="940" w:hanging="643"/>
        <w:spacing w:after="0"/>
        <w:tabs>
          <w:tab w:leader="none" w:pos="940" w:val="left"/>
        </w:tabs>
        <w:numPr>
          <w:ilvl w:val="0"/>
          <w:numId w:val="91"/>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Effect of Agreement; Severability</w:t>
      </w:r>
    </w:p>
    <w:p>
      <w:pPr>
        <w:spacing w:after="0" w:line="209" w:lineRule="exact"/>
        <w:rPr>
          <w:sz w:val="20"/>
          <w:szCs w:val="20"/>
          <w:color w:val="auto"/>
        </w:rPr>
      </w:pPr>
    </w:p>
    <w:p>
      <w:pPr>
        <w:jc w:val="both"/>
        <w:ind w:left="300" w:right="299" w:firstLine="647"/>
        <w:spacing w:after="0" w:line="239" w:lineRule="auto"/>
        <w:rPr>
          <w:sz w:val="20"/>
          <w:szCs w:val="20"/>
          <w:color w:val="auto"/>
        </w:rPr>
      </w:pPr>
      <w:r>
        <w:rPr>
          <w:rFonts w:ascii="Times New Roman" w:cs="Times New Roman" w:eastAsia="Times New Roman" w:hAnsi="Times New Roman"/>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75" w:lineRule="exact"/>
        <w:rPr>
          <w:sz w:val="20"/>
          <w:szCs w:val="20"/>
          <w:color w:val="auto"/>
        </w:rPr>
      </w:pPr>
    </w:p>
    <w:p>
      <w:pPr>
        <w:ind w:left="940" w:hanging="643"/>
        <w:spacing w:after="0"/>
        <w:tabs>
          <w:tab w:leader="none" w:pos="940" w:val="left"/>
        </w:tabs>
        <w:numPr>
          <w:ilvl w:val="0"/>
          <w:numId w:val="92"/>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Laws Applicable to Construction; Consent to Jurisdiction</w:t>
      </w:r>
    </w:p>
    <w:p>
      <w:pPr>
        <w:spacing w:after="0" w:line="209"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(a)The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RSUs are subject to the terms and conditions of the Plan, which are hereby incorporated by reference.</w:t>
      </w:r>
    </w:p>
    <w:p>
      <w:pPr>
        <w:spacing w:after="0" w:line="180"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(b)Any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76" w:lineRule="exact"/>
        <w:rPr>
          <w:sz w:val="20"/>
          <w:szCs w:val="20"/>
          <w:color w:val="auto"/>
        </w:rPr>
      </w:pPr>
    </w:p>
    <w:p>
      <w:pPr>
        <w:ind w:left="940" w:hanging="643"/>
        <w:spacing w:after="0"/>
        <w:tabs>
          <w:tab w:leader="none" w:pos="940" w:val="left"/>
        </w:tabs>
        <w:numPr>
          <w:ilvl w:val="0"/>
          <w:numId w:val="93"/>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Conflicts; Interpretation and Correction of Errors</w:t>
      </w:r>
    </w:p>
    <w:p>
      <w:pPr>
        <w:spacing w:after="0" w:line="209"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(a)In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80" w:lineRule="exact"/>
        <w:rPr>
          <w:sz w:val="20"/>
          <w:szCs w:val="20"/>
          <w:color w:val="auto"/>
        </w:rPr>
      </w:pPr>
    </w:p>
    <w:p>
      <w:pPr>
        <w:jc w:val="both"/>
        <w:ind w:left="300" w:right="299" w:firstLine="647"/>
        <w:spacing w:after="0" w:line="244" w:lineRule="auto"/>
        <w:rPr>
          <w:sz w:val="20"/>
          <w:szCs w:val="20"/>
          <w:color w:val="auto"/>
        </w:rPr>
      </w:pPr>
      <w:r>
        <w:rPr>
          <w:rFonts w:ascii="Times New Roman" w:cs="Times New Roman" w:eastAsia="Times New Roman" w:hAnsi="Times New Roman"/>
          <w:sz w:val="22"/>
          <w:szCs w:val="22"/>
          <w:color w:val="auto"/>
        </w:rPr>
        <w:t>(b)The Committee shall have the power to interpret the Plan, this Agreement, the Grant Details and any information posted on the system of the Plan Administrator and/or in the books and records of the Company, and to adopt such rules for the administration, interpretation and</w:t>
      </w:r>
    </w:p>
    <w:p>
      <w:pPr>
        <w:spacing w:after="0" w:line="200" w:lineRule="exact"/>
        <w:rPr>
          <w:sz w:val="20"/>
          <w:szCs w:val="20"/>
          <w:color w:val="auto"/>
        </w:rPr>
      </w:pP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8</w:t>
            </w:r>
          </w:p>
        </w:tc>
      </w:tr>
      <w:tr>
        <w:trPr>
          <w:trHeight w:val="750"/>
        </w:trPr>
        <w:tc>
          <w:tcPr>
            <w:tcW w:w="5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78" w:name="page79"/>
    <w:bookmarkEnd w:id="78"/>
    <w:p>
      <w:pPr>
        <w:jc w:val="both"/>
        <w:ind w:left="300" w:right="299"/>
        <w:spacing w:after="0" w:line="234" w:lineRule="auto"/>
        <w:rPr>
          <w:sz w:val="20"/>
          <w:szCs w:val="20"/>
          <w:color w:val="auto"/>
        </w:rPr>
      </w:pPr>
      <w:r>
        <w:rPr>
          <w:rFonts w:ascii="Times New Roman" w:cs="Times New Roman" w:eastAsia="Times New Roman" w:hAnsi="Times New Roman"/>
          <w:sz w:val="22"/>
          <w:szCs w:val="22"/>
          <w:color w:val="auto"/>
        </w:rPr>
        <w:t>application of the Plan and the Award as are consistent therewith and to interpret or revoke any such rules (including, but not limited to, the determination of whether or not any Qualified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4" w:lineRule="exact"/>
        <w:rPr>
          <w:sz w:val="20"/>
          <w:szCs w:val="20"/>
          <w:color w:val="auto"/>
        </w:rPr>
      </w:pPr>
    </w:p>
    <w:p>
      <w:pPr>
        <w:jc w:val="both"/>
        <w:ind w:left="1600" w:right="299" w:hanging="332"/>
        <w:spacing w:after="0" w:line="234" w:lineRule="auto"/>
        <w:tabs>
          <w:tab w:leader="none" w:pos="160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It is intended that the Qualified RSUs shall qualify for the special tax and social security treatment applicable to free shares granted under sections L. 225-197-1 to L.225-197-6 of the French </w:t>
      </w:r>
      <w:r>
        <w:rPr>
          <w:rFonts w:ascii="Times New Roman" w:cs="Times New Roman" w:eastAsia="Times New Roman" w:hAnsi="Times New Roman"/>
          <w:sz w:val="22"/>
          <w:szCs w:val="22"/>
          <w:i w:val="1"/>
          <w:iCs w:val="1"/>
          <w:color w:val="auto"/>
        </w:rPr>
        <w:t>Code de commerce</w:t>
      </w:r>
      <w:r>
        <w:rPr>
          <w:rFonts w:ascii="Times New Roman" w:cs="Times New Roman" w:eastAsia="Times New Roman" w:hAnsi="Times New Roman"/>
          <w:sz w:val="22"/>
          <w:szCs w:val="22"/>
          <w:color w:val="auto"/>
        </w:rPr>
        <w:t xml:space="preserve"> (which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spacing w:after="0" w:line="180"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(c)In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76" w:lineRule="exact"/>
        <w:rPr>
          <w:sz w:val="20"/>
          <w:szCs w:val="20"/>
          <w:color w:val="auto"/>
        </w:rPr>
      </w:pPr>
    </w:p>
    <w:p>
      <w:pPr>
        <w:ind w:left="940" w:hanging="643"/>
        <w:spacing w:after="0"/>
        <w:tabs>
          <w:tab w:leader="none" w:pos="940" w:val="left"/>
        </w:tabs>
        <w:numPr>
          <w:ilvl w:val="0"/>
          <w:numId w:val="95"/>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Data Privacy</w:t>
      </w:r>
    </w:p>
    <w:p>
      <w:pPr>
        <w:spacing w:after="0" w:line="209" w:lineRule="exact"/>
        <w:rPr>
          <w:sz w:val="20"/>
          <w:szCs w:val="20"/>
          <w:color w:val="auto"/>
        </w:rPr>
      </w:pPr>
    </w:p>
    <w:p>
      <w:pPr>
        <w:jc w:val="both"/>
        <w:ind w:left="300" w:right="299" w:firstLine="647"/>
        <w:spacing w:after="0" w:line="233" w:lineRule="auto"/>
        <w:rPr>
          <w:sz w:val="20"/>
          <w:szCs w:val="20"/>
          <w:color w:val="auto"/>
        </w:rPr>
      </w:pPr>
      <w:r>
        <w:rPr>
          <w:rFonts w:ascii="Times New Roman" w:cs="Times New Roman" w:eastAsia="Times New Roman" w:hAnsi="Times New Roman"/>
          <w:sz w:val="22"/>
          <w:szCs w:val="22"/>
          <w:color w:val="auto"/>
        </w:rPr>
        <w:t>(a)The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1" w:lineRule="exact"/>
        <w:rPr>
          <w:sz w:val="20"/>
          <w:szCs w:val="20"/>
          <w:color w:val="auto"/>
        </w:rPr>
      </w:pPr>
    </w:p>
    <w:p>
      <w:pPr>
        <w:jc w:val="both"/>
        <w:ind w:left="300" w:right="299" w:firstLine="647"/>
        <w:spacing w:after="0" w:line="234" w:lineRule="auto"/>
        <w:rPr>
          <w:sz w:val="20"/>
          <w:szCs w:val="20"/>
          <w:color w:val="auto"/>
        </w:rPr>
      </w:pPr>
      <w:r>
        <w:rPr>
          <w:rFonts w:ascii="Times New Roman" w:cs="Times New Roman" w:eastAsia="Times New Roman" w:hAnsi="Times New Roman"/>
          <w:sz w:val="22"/>
          <w:szCs w:val="22"/>
          <w:color w:val="auto"/>
        </w:rPr>
        <w:t>(b)The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w:t>
      </w:r>
    </w:p>
    <w:p>
      <w:pPr>
        <w:spacing w:after="0" w:line="200" w:lineRule="exact"/>
        <w:rPr>
          <w:sz w:val="20"/>
          <w:szCs w:val="20"/>
          <w:color w:val="auto"/>
        </w:rPr>
      </w:pPr>
    </w:p>
    <w:p>
      <w:pPr>
        <w:spacing w:after="0" w:line="381"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900" w:type="dxa"/>
            <w:vAlign w:val="bottom"/>
          </w:tcPr>
          <w:p>
            <w:pPr>
              <w:ind w:left="200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20" w:type="dxa"/>
            <w:vAlign w:val="bottom"/>
          </w:tcPr>
          <w:p>
            <w:pPr>
              <w:jc w:val="right"/>
              <w:ind w:right="1892"/>
              <w:spacing w:after="0"/>
              <w:rPr>
                <w:sz w:val="20"/>
                <w:szCs w:val="20"/>
                <w:color w:val="auto"/>
              </w:rPr>
            </w:pPr>
            <w:r>
              <w:rPr>
                <w:rFonts w:ascii="Times New Roman" w:cs="Times New Roman" w:eastAsia="Times New Roman" w:hAnsi="Times New Roman"/>
                <w:sz w:val="22"/>
                <w:szCs w:val="22"/>
                <w:color w:val="auto"/>
              </w:rPr>
              <w:t>9</w:t>
            </w:r>
          </w:p>
        </w:tc>
      </w:tr>
      <w:tr>
        <w:trPr>
          <w:trHeight w:val="750"/>
        </w:trPr>
        <w:tc>
          <w:tcPr>
            <w:tcW w:w="590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79" w:name="page80"/>
    <w:bookmarkEnd w:id="79"/>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for the sole purpose of implementing, administering and managing the Eligible Individual’s participation in the Plan.</w:t>
      </w:r>
    </w:p>
    <w:p>
      <w:pPr>
        <w:spacing w:after="0" w:line="157" w:lineRule="exact"/>
        <w:rPr>
          <w:sz w:val="20"/>
          <w:szCs w:val="20"/>
          <w:color w:val="auto"/>
        </w:rPr>
      </w:pPr>
    </w:p>
    <w:p>
      <w:pPr>
        <w:jc w:val="both"/>
        <w:ind w:left="300" w:right="319" w:firstLine="647"/>
        <w:spacing w:after="0" w:line="261" w:lineRule="auto"/>
        <w:rPr>
          <w:sz w:val="20"/>
          <w:szCs w:val="20"/>
          <w:color w:val="auto"/>
        </w:rPr>
      </w:pPr>
      <w:r>
        <w:rPr>
          <w:rFonts w:ascii="Times New Roman" w:cs="Times New Roman" w:eastAsia="Times New Roman" w:hAnsi="Times New Roman"/>
          <w:sz w:val="20"/>
          <w:szCs w:val="20"/>
          <w:color w:val="auto"/>
        </w:rPr>
        <w:t>(c)The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53" w:lineRule="exact"/>
        <w:rPr>
          <w:sz w:val="20"/>
          <w:szCs w:val="20"/>
          <w:color w:val="auto"/>
        </w:rPr>
      </w:pPr>
    </w:p>
    <w:p>
      <w:pPr>
        <w:ind w:left="940" w:hanging="643"/>
        <w:spacing w:after="0"/>
        <w:tabs>
          <w:tab w:leader="none" w:pos="940" w:val="left"/>
        </w:tabs>
        <w:numPr>
          <w:ilvl w:val="0"/>
          <w:numId w:val="96"/>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Amendment</w:t>
      </w:r>
    </w:p>
    <w:p>
      <w:pPr>
        <w:spacing w:after="0" w:line="209"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color w:val="auto"/>
        </w:rPr>
        <w:t>(a)The Company may modify, amend, or waive the terms of this Award, prospectively or retroactively, but no such modification, amendment or waiver shall materially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u w:val="single" w:color="auto"/>
          <w:color w:val="auto"/>
        </w:rPr>
        <w:t>19. Currency Risk</w:t>
      </w:r>
    </w:p>
    <w:p>
      <w:pPr>
        <w:spacing w:after="0" w:line="209" w:lineRule="exact"/>
        <w:rPr>
          <w:sz w:val="20"/>
          <w:szCs w:val="20"/>
          <w:color w:val="auto"/>
        </w:rPr>
      </w:pPr>
    </w:p>
    <w:p>
      <w:pPr>
        <w:jc w:val="both"/>
        <w:ind w:left="300" w:right="319" w:firstLine="647"/>
        <w:spacing w:after="0" w:line="234" w:lineRule="auto"/>
        <w:rPr>
          <w:sz w:val="20"/>
          <w:szCs w:val="20"/>
          <w:color w:val="auto"/>
        </w:rPr>
      </w:pPr>
      <w:r>
        <w:rPr>
          <w:rFonts w:ascii="Times New Roman" w:cs="Times New Roman" w:eastAsia="Times New Roman" w:hAnsi="Times New Roman"/>
          <w:sz w:val="22"/>
          <w:szCs w:val="22"/>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40" w:hanging="643"/>
        <w:spacing w:after="0"/>
        <w:tabs>
          <w:tab w:leader="none" w:pos="940" w:val="left"/>
        </w:tabs>
        <w:numPr>
          <w:ilvl w:val="0"/>
          <w:numId w:val="97"/>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Choice of Language</w:t>
      </w:r>
    </w:p>
    <w:p>
      <w:pPr>
        <w:spacing w:after="0" w:line="209" w:lineRule="exact"/>
        <w:rPr>
          <w:sz w:val="20"/>
          <w:szCs w:val="20"/>
          <w:color w:val="auto"/>
        </w:rPr>
      </w:pPr>
    </w:p>
    <w:p>
      <w:pPr>
        <w:jc w:val="both"/>
        <w:ind w:left="300" w:right="299" w:firstLine="647"/>
        <w:spacing w:after="0" w:line="237" w:lineRule="auto"/>
        <w:rPr>
          <w:sz w:val="20"/>
          <w:szCs w:val="20"/>
          <w:color w:val="auto"/>
        </w:rPr>
      </w:pPr>
      <w:r>
        <w:rPr>
          <w:rFonts w:ascii="Times New Roman" w:cs="Times New Roman" w:eastAsia="Times New Roman" w:hAnsi="Times New Roman"/>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spacing w:after="0" w:line="176" w:lineRule="exact"/>
        <w:rPr>
          <w:sz w:val="20"/>
          <w:szCs w:val="20"/>
          <w:color w:val="auto"/>
        </w:rPr>
      </w:pPr>
    </w:p>
    <w:p>
      <w:pPr>
        <w:ind w:left="940" w:hanging="643"/>
        <w:spacing w:after="0"/>
        <w:tabs>
          <w:tab w:leader="none" w:pos="940" w:val="left"/>
        </w:tabs>
        <w:numPr>
          <w:ilvl w:val="0"/>
          <w:numId w:val="98"/>
        </w:numPr>
        <w:rPr>
          <w:rFonts w:ascii="Times New Roman" w:cs="Times New Roman" w:eastAsia="Times New Roman" w:hAnsi="Times New Roman"/>
          <w:sz w:val="22"/>
          <w:szCs w:val="22"/>
          <w:b w:val="1"/>
          <w:bCs w:val="1"/>
          <w:u w:val="single" w:color="auto"/>
          <w:color w:val="auto"/>
        </w:rPr>
      </w:pPr>
      <w:r>
        <w:rPr>
          <w:rFonts w:ascii="Times New Roman" w:cs="Times New Roman" w:eastAsia="Times New Roman" w:hAnsi="Times New Roman"/>
          <w:sz w:val="22"/>
          <w:szCs w:val="22"/>
          <w:b w:val="1"/>
          <w:bCs w:val="1"/>
          <w:u w:val="single" w:color="auto"/>
          <w:color w:val="auto"/>
        </w:rPr>
        <w:t>Electronic Delivery</w:t>
      </w:r>
    </w:p>
    <w:p>
      <w:pPr>
        <w:spacing w:after="0" w:line="209"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w:t>
      </w:r>
    </w:p>
    <w:p>
      <w:pPr>
        <w:spacing w:after="0" w:line="200" w:lineRule="exact"/>
        <w:rPr>
          <w:sz w:val="20"/>
          <w:szCs w:val="20"/>
          <w:color w:val="auto"/>
        </w:rPr>
      </w:pP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8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10</w:t>
            </w:r>
          </w:p>
        </w:tc>
      </w:tr>
      <w:tr>
        <w:trPr>
          <w:trHeight w:val="750"/>
        </w:trPr>
        <w:tc>
          <w:tcPr>
            <w:tcW w:w="58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80" w:name="page81"/>
    <w:bookmarkEnd w:id="80"/>
    <w:p>
      <w:pPr>
        <w:jc w:val="both"/>
        <w:ind w:left="300" w:right="319"/>
        <w:spacing w:after="0" w:line="239" w:lineRule="auto"/>
        <w:rPr>
          <w:sz w:val="20"/>
          <w:szCs w:val="20"/>
          <w:color w:val="auto"/>
        </w:rPr>
      </w:pPr>
      <w:r>
        <w:rPr>
          <w:rFonts w:ascii="Times New Roman" w:cs="Times New Roman" w:eastAsia="Times New Roman" w:hAnsi="Times New Roman"/>
          <w:sz w:val="22"/>
          <w:szCs w:val="22"/>
          <w:color w:val="auto"/>
        </w:rPr>
        <w:t>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jc w:val="both"/>
        <w:ind w:left="300" w:right="319" w:firstLine="647"/>
        <w:spacing w:after="0" w:line="264" w:lineRule="auto"/>
        <w:rPr>
          <w:sz w:val="20"/>
          <w:szCs w:val="20"/>
          <w:color w:val="auto"/>
        </w:rPr>
      </w:pPr>
      <w:r>
        <w:rPr>
          <w:rFonts w:ascii="Times New Roman" w:cs="Times New Roman" w:eastAsia="Times New Roman" w:hAnsi="Times New Roman"/>
          <w:sz w:val="20"/>
          <w:szCs w:val="20"/>
          <w:color w:val="auto"/>
        </w:rPr>
        <w:t>By electronically accepting this Agreement and participating in the Plan, the Eligible Individual agrees to be bound by the terms and conditions of the Plan and this Agreement, including the Grant Details and Schedule. .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Schedule.</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u w:val="single" w:color="auto"/>
          <w:color w:val="auto"/>
        </w:rPr>
        <w:t>22. Schedule</w:t>
      </w:r>
    </w:p>
    <w:p>
      <w:pPr>
        <w:spacing w:after="0" w:line="209" w:lineRule="exact"/>
        <w:rPr>
          <w:sz w:val="20"/>
          <w:szCs w:val="20"/>
          <w:color w:val="auto"/>
        </w:rPr>
      </w:pPr>
    </w:p>
    <w:p>
      <w:pPr>
        <w:jc w:val="both"/>
        <w:ind w:left="300" w:right="319" w:firstLine="647"/>
        <w:spacing w:after="0" w:line="235" w:lineRule="auto"/>
        <w:rPr>
          <w:sz w:val="20"/>
          <w:szCs w:val="20"/>
          <w:color w:val="auto"/>
        </w:rPr>
      </w:pPr>
      <w:r>
        <w:rPr>
          <w:rFonts w:ascii="Times New Roman" w:cs="Times New Roman" w:eastAsia="Times New Roman" w:hAnsi="Times New Roman"/>
          <w:sz w:val="22"/>
          <w:szCs w:val="22"/>
          <w:color w:val="auto"/>
        </w:rPr>
        <w:t>Notwithstanding any provisions in this Agreement to the contrary, the Qualified RSUs shall be subject to any special terms and conditions set forth in the French Schedule to the Agreement. The Schedule constitutes a part of this Agreement. If, however, the Eligible Individual receives this or any other document related to the Plan translated into a language other than English and if the translated version is different than the English version in any way, the English version will control. If necessary, an Eligible Individual may request translated versions in their mother tongue.</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u w:val="single" w:color="auto"/>
          <w:color w:val="auto"/>
        </w:rPr>
        <w:t>23. No Public Offer</w:t>
      </w:r>
    </w:p>
    <w:p>
      <w:pPr>
        <w:spacing w:after="0" w:line="209"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color w:val="auto"/>
        </w:rPr>
        <w:t>The grant of Qualified RSUs is not intended to be a public offering of securities in the Eligible Individual’s country. The Company has not submitted any registration statement, prospectus or other filings with the local securities authorities (unless otherwise required under local law), and the grant of Qualified RSUs is not subject to the supervision of the local securities authorities.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b w:val="1"/>
          <w:bCs w:val="1"/>
          <w:u w:val="single" w:color="auto"/>
          <w:color w:val="auto"/>
        </w:rPr>
        <w:t>24. Imposition of Other Requirements</w:t>
      </w:r>
    </w:p>
    <w:p>
      <w:pPr>
        <w:spacing w:after="0" w:line="209" w:lineRule="exact"/>
        <w:rPr>
          <w:sz w:val="20"/>
          <w:szCs w:val="20"/>
          <w:color w:val="auto"/>
        </w:rPr>
      </w:pPr>
    </w:p>
    <w:p>
      <w:pPr>
        <w:jc w:val="both"/>
        <w:ind w:left="300" w:right="299" w:firstLine="647"/>
        <w:spacing w:after="0" w:line="266" w:lineRule="auto"/>
        <w:rPr>
          <w:sz w:val="20"/>
          <w:szCs w:val="20"/>
          <w:color w:val="auto"/>
        </w:rPr>
      </w:pPr>
      <w:r>
        <w:rPr>
          <w:rFonts w:ascii="Times New Roman" w:cs="Times New Roman" w:eastAsia="Times New Roman" w:hAnsi="Times New Roman"/>
          <w:sz w:val="20"/>
          <w:szCs w:val="20"/>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6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6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11</w:t>
            </w:r>
          </w:p>
        </w:tc>
      </w:tr>
      <w:tr>
        <w:trPr>
          <w:trHeight w:val="750"/>
        </w:trPr>
        <w:tc>
          <w:tcPr>
            <w:tcW w:w="58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7" w:right="1440" w:bottom="1440" w:gutter="0" w:footer="0" w:header="0"/>
        </w:sectPr>
      </w:pPr>
    </w:p>
    <w:bookmarkStart w:id="81" w:name="page82"/>
    <w:bookmarkEnd w:id="81"/>
    <w:p>
      <w:pPr>
        <w:jc w:val="center"/>
        <w:ind w:left="300" w:right="319"/>
        <w:spacing w:after="0" w:line="520" w:lineRule="auto"/>
        <w:rPr>
          <w:sz w:val="20"/>
          <w:szCs w:val="20"/>
          <w:color w:val="auto"/>
        </w:rPr>
      </w:pPr>
      <w:r>
        <w:rPr>
          <w:rFonts w:ascii="Times New Roman" w:cs="Times New Roman" w:eastAsia="Times New Roman" w:hAnsi="Times New Roman"/>
          <w:sz w:val="22"/>
          <w:szCs w:val="22"/>
          <w:b w:val="1"/>
          <w:bCs w:val="1"/>
          <w:color w:val="auto"/>
        </w:rPr>
        <w:t>ADDITIONAL TERMS AND CONDITIONS OF THE TRIPADVISOR, INC. RESTRICTED STOCK UNIT AGREEMENT (FRANCE)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color w:val="auto"/>
        </w:rPr>
        <w:t>FRENCH SCHEDULE</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Terms and Conditions</w:t>
      </w:r>
    </w:p>
    <w:p>
      <w:pPr>
        <w:spacing w:after="0" w:line="209" w:lineRule="exact"/>
        <w:rPr>
          <w:sz w:val="20"/>
          <w:szCs w:val="20"/>
          <w:color w:val="auto"/>
        </w:rPr>
      </w:pPr>
    </w:p>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This French Schedule includes special terms and conditions applicable to Eligible Individuals residing in France. These terms and conditions are in addition to, or if so indicated, in place of, the terms and conditions set forth in the Agreement and the Appendix.</w:t>
      </w:r>
    </w:p>
    <w:p>
      <w:pPr>
        <w:spacing w:after="0" w:line="172" w:lineRule="exact"/>
        <w:rPr>
          <w:sz w:val="20"/>
          <w:szCs w:val="20"/>
          <w:color w:val="auto"/>
        </w:rPr>
      </w:pPr>
    </w:p>
    <w:p>
      <w:pPr>
        <w:jc w:val="both"/>
        <w:ind w:left="300" w:right="299"/>
        <w:spacing w:after="0" w:line="235" w:lineRule="auto"/>
        <w:rPr>
          <w:sz w:val="20"/>
          <w:szCs w:val="20"/>
          <w:color w:val="auto"/>
        </w:rPr>
      </w:pPr>
      <w:r>
        <w:rPr>
          <w:rFonts w:ascii="Times New Roman" w:cs="Times New Roman" w:eastAsia="Times New Roman" w:hAnsi="Times New Roman"/>
          <w:sz w:val="22"/>
          <w:szCs w:val="22"/>
          <w:color w:val="auto"/>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Times New Roman" w:cs="Times New Roman" w:eastAsia="Times New Roman" w:hAnsi="Times New Roman"/>
          <w:sz w:val="22"/>
          <w:szCs w:val="22"/>
          <w:i w:val="1"/>
          <w:iCs w:val="1"/>
          <w:color w:val="auto"/>
        </w:rPr>
        <w:t>Code 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commerce</w:t>
      </w:r>
      <w:r>
        <w:rPr>
          <w:rFonts w:ascii="Times New Roman" w:cs="Times New Roman" w:eastAsia="Times New Roman" w:hAnsi="Times New Roman"/>
          <w:sz w:val="22"/>
          <w:szCs w:val="22"/>
          <w:color w:val="auto"/>
        </w:rPr>
        <w:t>) to qualify Awards of Restricted Stock Units for favourable income tax and social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security treatment in France as set out in Article 135 of the Macron Law (</w:t>
      </w:r>
      <w:r>
        <w:rPr>
          <w:rFonts w:ascii="Times New Roman" w:cs="Times New Roman" w:eastAsia="Times New Roman" w:hAnsi="Times New Roman"/>
          <w:sz w:val="22"/>
          <w:szCs w:val="22"/>
          <w:i w:val="1"/>
          <w:iCs w:val="1"/>
          <w:color w:val="auto"/>
        </w:rPr>
        <w:t>loi n° 2015-990 du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août 2015 pour la croissance, l'activité et l'égalité des chances économiques</w:t>
      </w:r>
      <w:r>
        <w:rPr>
          <w:rFonts w:ascii="Times New Roman" w:cs="Times New Roman" w:eastAsia="Times New Roman" w:hAnsi="Times New Roman"/>
          <w:sz w:val="22"/>
          <w:szCs w:val="22"/>
          <w:color w:val="auto"/>
        </w:rPr>
        <w:t>) (“Qualified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w:t>
      </w:r>
    </w:p>
    <w:p>
      <w:pPr>
        <w:spacing w:after="0" w:line="181" w:lineRule="exact"/>
        <w:rPr>
          <w:sz w:val="20"/>
          <w:szCs w:val="20"/>
          <w:color w:val="auto"/>
        </w:rPr>
      </w:pPr>
    </w:p>
    <w:p>
      <w:pPr>
        <w:jc w:val="both"/>
        <w:ind w:left="300" w:right="299"/>
        <w:spacing w:after="0" w:line="237" w:lineRule="auto"/>
        <w:rPr>
          <w:sz w:val="20"/>
          <w:szCs w:val="20"/>
          <w:color w:val="auto"/>
        </w:rPr>
      </w:pPr>
      <w:r>
        <w:rPr>
          <w:rFonts w:ascii="Times New Roman" w:cs="Times New Roman" w:eastAsia="Times New Roman" w:hAnsi="Times New Roman"/>
          <w:sz w:val="22"/>
          <w:szCs w:val="22"/>
          <w:color w:val="auto"/>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spacing w:after="0" w:line="180" w:lineRule="exact"/>
        <w:rPr>
          <w:sz w:val="20"/>
          <w:szCs w:val="20"/>
          <w:color w:val="auto"/>
        </w:rPr>
      </w:pPr>
    </w:p>
    <w:p>
      <w:pPr>
        <w:jc w:val="both"/>
        <w:ind w:left="300" w:right="299"/>
        <w:spacing w:after="0" w:line="237" w:lineRule="auto"/>
        <w:rPr>
          <w:sz w:val="20"/>
          <w:szCs w:val="20"/>
          <w:color w:val="auto"/>
        </w:rPr>
      </w:pPr>
      <w:r>
        <w:rPr>
          <w:rFonts w:ascii="Times New Roman" w:cs="Times New Roman" w:eastAsia="Times New Roman" w:hAnsi="Times New Roman"/>
          <w:sz w:val="22"/>
          <w:szCs w:val="22"/>
          <w:color w:val="auto"/>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spacing w:after="0" w:line="1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This French Schedule will be approved by the Committee (as the empowered foreign corporate body) on April 14, 2020, as required by the French tax authorities.</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Definitions</w:t>
      </w:r>
    </w:p>
    <w:p>
      <w:pPr>
        <w:spacing w:after="0" w:line="209" w:lineRule="exact"/>
        <w:rPr>
          <w:sz w:val="20"/>
          <w:szCs w:val="20"/>
          <w:color w:val="auto"/>
        </w:rPr>
      </w:pPr>
    </w:p>
    <w:p>
      <w:pPr>
        <w:jc w:val="both"/>
        <w:ind w:left="300" w:right="439"/>
        <w:spacing w:after="0" w:line="244" w:lineRule="auto"/>
        <w:rPr>
          <w:sz w:val="20"/>
          <w:szCs w:val="20"/>
          <w:color w:val="auto"/>
        </w:rPr>
      </w:pPr>
      <w:r>
        <w:rPr>
          <w:rFonts w:ascii="Times New Roman" w:cs="Times New Roman" w:eastAsia="Times New Roman" w:hAnsi="Times New Roman"/>
          <w:sz w:val="22"/>
          <w:szCs w:val="22"/>
          <w:color w:val="auto"/>
        </w:rPr>
        <w:t>Unless provided otherwise or unless the context requires otherwise, capitalized terms used but not defined in this French Schedule shall have the meaning assigned to them in the Plan, the Agreement and/or the Appendix.</w:t>
      </w:r>
    </w:p>
    <w:p>
      <w:pPr>
        <w:spacing w:after="0" w:line="172" w:lineRule="exact"/>
        <w:rPr>
          <w:sz w:val="20"/>
          <w:szCs w:val="20"/>
          <w:color w:val="auto"/>
        </w:rPr>
      </w:pPr>
    </w:p>
    <w:p>
      <w:pPr>
        <w:jc w:val="both"/>
        <w:ind w:left="300" w:right="439"/>
        <w:spacing w:after="0" w:line="244" w:lineRule="auto"/>
        <w:rPr>
          <w:sz w:val="20"/>
          <w:szCs w:val="20"/>
          <w:color w:val="auto"/>
        </w:rPr>
      </w:pPr>
      <w:r>
        <w:rPr>
          <w:rFonts w:ascii="Times New Roman" w:cs="Times New Roman" w:eastAsia="Times New Roman" w:hAnsi="Times New Roman"/>
          <w:sz w:val="22"/>
          <w:szCs w:val="22"/>
          <w:color w:val="auto"/>
        </w:rPr>
        <w:t>The terms of a “Restricted Stock Unit” under this French Schedule shall be on similar terms to the equivalent “Restricted Stock Unit” under the Agreement, except to the extent that this French Schedule provides to the contrary.</w:t>
      </w:r>
    </w:p>
    <w:p>
      <w:pPr>
        <w:spacing w:after="0" w:line="172" w:lineRule="exact"/>
        <w:rPr>
          <w:sz w:val="20"/>
          <w:szCs w:val="20"/>
          <w:color w:val="auto"/>
        </w:rPr>
      </w:pPr>
    </w:p>
    <w:p>
      <w:pPr>
        <w:jc w:val="both"/>
        <w:ind w:left="300" w:right="439"/>
        <w:spacing w:after="0" w:line="258" w:lineRule="auto"/>
        <w:rPr>
          <w:sz w:val="20"/>
          <w:szCs w:val="20"/>
          <w:color w:val="auto"/>
        </w:rPr>
      </w:pPr>
      <w:r>
        <w:rPr>
          <w:rFonts w:ascii="Times New Roman" w:cs="Times New Roman" w:eastAsia="Times New Roman" w:hAnsi="Times New Roman"/>
          <w:sz w:val="22"/>
          <w:szCs w:val="22"/>
          <w:color w:val="auto"/>
        </w:rPr>
        <w:t>For the purposes of this French Schedule only, the following additional definitions shall be used:</w:t>
      </w:r>
    </w:p>
    <w:p>
      <w:pPr>
        <w:spacing w:after="0" w:line="200" w:lineRule="exact"/>
        <w:rPr>
          <w:sz w:val="20"/>
          <w:szCs w:val="20"/>
          <w:color w:val="auto"/>
        </w:rPr>
      </w:pPr>
    </w:p>
    <w:p>
      <w:pPr>
        <w:spacing w:after="0" w:line="362"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8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12</w:t>
            </w:r>
          </w:p>
        </w:tc>
      </w:tr>
      <w:tr>
        <w:trPr>
          <w:trHeight w:val="750"/>
        </w:trPr>
        <w:tc>
          <w:tcPr>
            <w:tcW w:w="58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3" w:right="1440" w:bottom="1440" w:gutter="0" w:footer="0" w:header="0"/>
        </w:sectPr>
      </w:pPr>
    </w:p>
    <w:bookmarkStart w:id="82" w:name="page83"/>
    <w:bookmarkEnd w:id="82"/>
    <w:p>
      <w:pPr>
        <w:ind w:left="300" w:right="439" w:firstLine="632"/>
        <w:spacing w:after="0" w:line="258" w:lineRule="auto"/>
        <w:tabs>
          <w:tab w:leader="none" w:pos="127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Closed Period</w:t>
      </w:r>
      <w:r>
        <w:rPr>
          <w:rFonts w:ascii="Times New Roman" w:cs="Times New Roman" w:eastAsia="Times New Roman" w:hAnsi="Times New Roman"/>
          <w:sz w:val="22"/>
          <w:szCs w:val="22"/>
          <w:color w:val="auto"/>
        </w:rPr>
        <w:t xml:space="preserve">” will have the meaning defined in Section L. 225-197-1 of the French </w:t>
      </w:r>
      <w:r>
        <w:rPr>
          <w:rFonts w:ascii="Times New Roman" w:cs="Times New Roman" w:eastAsia="Times New Roman" w:hAnsi="Times New Roman"/>
          <w:sz w:val="22"/>
          <w:szCs w:val="22"/>
          <w:i w:val="1"/>
          <w:iCs w:val="1"/>
          <w:color w:val="auto"/>
        </w:rPr>
        <w:t>Code de commerce</w:t>
      </w:r>
      <w:r>
        <w:rPr>
          <w:rFonts w:ascii="Times New Roman" w:cs="Times New Roman" w:eastAsia="Times New Roman" w:hAnsi="Times New Roman"/>
          <w:sz w:val="22"/>
          <w:szCs w:val="22"/>
          <w:color w:val="auto"/>
        </w:rPr>
        <w:t>, being:</w:t>
      </w:r>
    </w:p>
    <w:p>
      <w:pPr>
        <w:spacing w:after="0" w:line="157" w:lineRule="exact"/>
        <w:rPr>
          <w:rFonts w:ascii="Times New Roman" w:cs="Times New Roman" w:eastAsia="Times New Roman" w:hAnsi="Times New Roman"/>
          <w:sz w:val="22"/>
          <w:szCs w:val="22"/>
          <w:color w:val="auto"/>
        </w:rPr>
      </w:pPr>
    </w:p>
    <w:p>
      <w:pPr>
        <w:jc w:val="both"/>
        <w:ind w:left="2200" w:right="439" w:hanging="635"/>
        <w:spacing w:after="0" w:line="244" w:lineRule="auto"/>
        <w:tabs>
          <w:tab w:leader="none" w:pos="22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ten quotation days preceding and three quotation days following disclosure to the public of the consolidated financial statements or the annual statements of the Company; or</w:t>
      </w:r>
    </w:p>
    <w:p>
      <w:pPr>
        <w:spacing w:after="0" w:line="172" w:lineRule="exact"/>
        <w:rPr>
          <w:rFonts w:ascii="Times New Roman" w:cs="Times New Roman" w:eastAsia="Times New Roman" w:hAnsi="Times New Roman"/>
          <w:sz w:val="22"/>
          <w:szCs w:val="22"/>
          <w:color w:val="auto"/>
        </w:rPr>
      </w:pPr>
    </w:p>
    <w:p>
      <w:pPr>
        <w:jc w:val="both"/>
        <w:ind w:left="2200" w:right="439" w:hanging="635"/>
        <w:spacing w:after="0" w:line="239" w:lineRule="auto"/>
        <w:tabs>
          <w:tab w:leader="none" w:pos="220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spacing w:after="0" w:line="178" w:lineRule="exact"/>
        <w:rPr>
          <w:rFonts w:ascii="Times New Roman" w:cs="Times New Roman" w:eastAsia="Times New Roman" w:hAnsi="Times New Roman"/>
          <w:sz w:val="22"/>
          <w:szCs w:val="22"/>
          <w:color w:val="auto"/>
        </w:rPr>
      </w:pPr>
    </w:p>
    <w:p>
      <w:pPr>
        <w:ind w:left="1660" w:hanging="729"/>
        <w:spacing w:after="0"/>
        <w:tabs>
          <w:tab w:leader="none" w:pos="166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Grant Date</w:t>
      </w:r>
      <w:r>
        <w:rPr>
          <w:rFonts w:ascii="Times New Roman" w:cs="Times New Roman" w:eastAsia="Times New Roman" w:hAnsi="Times New Roman"/>
          <w:sz w:val="22"/>
          <w:szCs w:val="22"/>
          <w:color w:val="auto"/>
        </w:rPr>
        <w:t>” shall be the date on which the Committee:</w:t>
      </w:r>
    </w:p>
    <w:p>
      <w:pPr>
        <w:spacing w:after="0" w:line="205" w:lineRule="exact"/>
        <w:rPr>
          <w:rFonts w:ascii="Times New Roman" w:cs="Times New Roman" w:eastAsia="Times New Roman" w:hAnsi="Times New Roman"/>
          <w:sz w:val="22"/>
          <w:szCs w:val="22"/>
          <w:color w:val="auto"/>
        </w:rPr>
      </w:pPr>
    </w:p>
    <w:p>
      <w:pPr>
        <w:ind w:left="2220" w:hanging="655"/>
        <w:spacing w:after="0"/>
        <w:tabs>
          <w:tab w:leader="none" w:pos="222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designates the Eligible Individuals; and</w:t>
      </w:r>
    </w:p>
    <w:p>
      <w:pPr>
        <w:spacing w:after="0" w:line="205" w:lineRule="exact"/>
        <w:rPr>
          <w:rFonts w:ascii="Times New Roman" w:cs="Times New Roman" w:eastAsia="Times New Roman" w:hAnsi="Times New Roman"/>
          <w:sz w:val="22"/>
          <w:szCs w:val="22"/>
          <w:color w:val="auto"/>
        </w:rPr>
      </w:pPr>
    </w:p>
    <w:p>
      <w:pPr>
        <w:jc w:val="both"/>
        <w:ind w:left="2220" w:right="439" w:hanging="655"/>
        <w:spacing w:after="0" w:line="237" w:lineRule="auto"/>
        <w:tabs>
          <w:tab w:leader="none" w:pos="2220"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spacing w:after="0" w:line="180" w:lineRule="exact"/>
        <w:rPr>
          <w:sz w:val="20"/>
          <w:szCs w:val="20"/>
          <w:color w:val="auto"/>
        </w:rPr>
      </w:pPr>
    </w:p>
    <w:p>
      <w:pPr>
        <w:jc w:val="both"/>
        <w:ind w:left="300" w:right="439" w:firstLine="635"/>
        <w:spacing w:after="0" w:line="235" w:lineRule="auto"/>
        <w:rPr>
          <w:sz w:val="20"/>
          <w:szCs w:val="20"/>
          <w:color w:val="auto"/>
        </w:rPr>
      </w:pPr>
      <w:r>
        <w:rPr>
          <w:rFonts w:ascii="Times New Roman" w:cs="Times New Roman" w:eastAsia="Times New Roman" w:hAnsi="Times New Roman"/>
          <w:sz w:val="22"/>
          <w:szCs w:val="22"/>
          <w:color w:val="auto"/>
        </w:rPr>
        <w:t>(c)“</w:t>
      </w:r>
      <w:r>
        <w:rPr>
          <w:rFonts w:ascii="Times New Roman" w:cs="Times New Roman" w:eastAsia="Times New Roman" w:hAnsi="Times New Roman"/>
          <w:sz w:val="22"/>
          <w:szCs w:val="22"/>
          <w:u w:val="single" w:color="auto"/>
          <w:color w:val="auto"/>
        </w:rPr>
        <w:t>Holding Period</w:t>
      </w:r>
      <w:r>
        <w:rPr>
          <w:rFonts w:ascii="Times New Roman" w:cs="Times New Roman" w:eastAsia="Times New Roman" w:hAnsi="Times New Roman"/>
          <w:sz w:val="22"/>
          <w:szCs w:val="22"/>
          <w:color w:val="auto"/>
        </w:rPr>
        <w:t xml:space="preserve">” means the period (applicable under Article L. 225-197-1 of the French </w:t>
      </w:r>
      <w:r>
        <w:rPr>
          <w:rFonts w:ascii="Times New Roman" w:cs="Times New Roman" w:eastAsia="Times New Roman" w:hAnsi="Times New Roman"/>
          <w:sz w:val="22"/>
          <w:szCs w:val="22"/>
          <w:i w:val="1"/>
          <w:iCs w:val="1"/>
          <w:color w:val="auto"/>
        </w:rPr>
        <w:t>Code de commerce</w:t>
      </w:r>
      <w:r>
        <w:rPr>
          <w:rFonts w:ascii="Times New Roman" w:cs="Times New Roman" w:eastAsia="Times New Roman" w:hAnsi="Times New Roman"/>
          <w:sz w:val="22"/>
          <w:szCs w:val="22"/>
          <w:color w:val="auto"/>
        </w:rPr>
        <w:t>) following the relevant Vesting date of an Award during which the Vested Shares shall either be held by the 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w:t>
      </w:r>
    </w:p>
    <w:p>
      <w:pPr>
        <w:spacing w:after="0" w:line="181" w:lineRule="exact"/>
        <w:rPr>
          <w:sz w:val="20"/>
          <w:szCs w:val="20"/>
          <w:color w:val="auto"/>
        </w:rPr>
      </w:pPr>
    </w:p>
    <w:p>
      <w:pPr>
        <w:jc w:val="both"/>
        <w:ind w:left="300" w:right="439" w:firstLine="635"/>
        <w:spacing w:after="0" w:line="244" w:lineRule="auto"/>
        <w:rPr>
          <w:sz w:val="20"/>
          <w:szCs w:val="20"/>
          <w:color w:val="auto"/>
        </w:rPr>
      </w:pPr>
      <w:r>
        <w:rPr>
          <w:rFonts w:ascii="Times New Roman" w:cs="Times New Roman" w:eastAsia="Times New Roman" w:hAnsi="Times New Roman"/>
          <w:sz w:val="22"/>
          <w:szCs w:val="22"/>
          <w:color w:val="auto"/>
        </w:rPr>
        <w:t>(d)“</w:t>
      </w:r>
      <w:r>
        <w:rPr>
          <w:rFonts w:ascii="Times New Roman" w:cs="Times New Roman" w:eastAsia="Times New Roman" w:hAnsi="Times New Roman"/>
          <w:sz w:val="22"/>
          <w:szCs w:val="22"/>
          <w:u w:val="single" w:color="auto"/>
          <w:color w:val="auto"/>
        </w:rPr>
        <w:t>Broker</w:t>
      </w:r>
      <w:r>
        <w:rPr>
          <w:rFonts w:ascii="Times New Roman" w:cs="Times New Roman" w:eastAsia="Times New Roman" w:hAnsi="Times New Roman"/>
          <w:sz w:val="22"/>
          <w:szCs w:val="22"/>
          <w:color w:val="auto"/>
        </w:rPr>
        <w:t>” means such person or persons designated by the Company or the empowered corporate body to hold Vested Shares as nominee on behalf of an Eligible Individual during the Holding Period.</w:t>
      </w:r>
    </w:p>
    <w:p>
      <w:pPr>
        <w:spacing w:after="0" w:line="172" w:lineRule="exact"/>
        <w:rPr>
          <w:sz w:val="20"/>
          <w:szCs w:val="20"/>
          <w:color w:val="auto"/>
        </w:rPr>
      </w:pPr>
    </w:p>
    <w:p>
      <w:pPr>
        <w:jc w:val="both"/>
        <w:ind w:left="300" w:right="439" w:firstLine="635"/>
        <w:spacing w:after="0" w:line="244" w:lineRule="auto"/>
        <w:rPr>
          <w:sz w:val="20"/>
          <w:szCs w:val="20"/>
          <w:color w:val="auto"/>
        </w:rPr>
      </w:pPr>
      <w:r>
        <w:rPr>
          <w:rFonts w:ascii="Times New Roman" w:cs="Times New Roman" w:eastAsia="Times New Roman" w:hAnsi="Times New Roman"/>
          <w:sz w:val="22"/>
          <w:szCs w:val="22"/>
          <w:color w:val="auto"/>
        </w:rPr>
        <w:t>(e)“</w:t>
      </w: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in relation to Qualified Restricted Stock Units, means an Eligible Individual becoming entitled to have the Shares transferred to him subject to the Plan, and the terms “Vest” and “Vested” shall be construed accordingly.</w:t>
      </w:r>
    </w:p>
    <w:p>
      <w:pPr>
        <w:spacing w:after="0" w:line="172" w:lineRule="exact"/>
        <w:rPr>
          <w:sz w:val="20"/>
          <w:szCs w:val="20"/>
          <w:color w:val="auto"/>
        </w:rPr>
      </w:pPr>
    </w:p>
    <w:p>
      <w:pPr>
        <w:jc w:val="both"/>
        <w:ind w:left="300" w:right="439" w:firstLine="635"/>
        <w:spacing w:after="0" w:line="258" w:lineRule="auto"/>
        <w:rPr>
          <w:sz w:val="20"/>
          <w:szCs w:val="20"/>
          <w:color w:val="auto"/>
        </w:rPr>
      </w:pPr>
      <w:r>
        <w:rPr>
          <w:rFonts w:ascii="Times New Roman" w:cs="Times New Roman" w:eastAsia="Times New Roman" w:hAnsi="Times New Roman"/>
          <w:sz w:val="22"/>
          <w:szCs w:val="22"/>
          <w:color w:val="auto"/>
        </w:rPr>
        <w:t>(f)“</w:t>
      </w:r>
      <w:r>
        <w:rPr>
          <w:rFonts w:ascii="Times New Roman" w:cs="Times New Roman" w:eastAsia="Times New Roman" w:hAnsi="Times New Roman"/>
          <w:sz w:val="22"/>
          <w:szCs w:val="22"/>
          <w:u w:val="single" w:color="auto"/>
          <w:color w:val="auto"/>
        </w:rPr>
        <w:t>Vesting Period</w:t>
      </w:r>
      <w:r>
        <w:rPr>
          <w:rFonts w:ascii="Times New Roman" w:cs="Times New Roman" w:eastAsia="Times New Roman" w:hAnsi="Times New Roman"/>
          <w:sz w:val="22"/>
          <w:szCs w:val="22"/>
          <w:color w:val="auto"/>
        </w:rPr>
        <w:t>” means the period from the Grant Date to the date of Vesting of an Award, such period lasting at least one year.</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Notifications</w:t>
      </w:r>
    </w:p>
    <w:p>
      <w:pPr>
        <w:spacing w:after="0" w:line="209" w:lineRule="exact"/>
        <w:rPr>
          <w:sz w:val="20"/>
          <w:szCs w:val="20"/>
          <w:color w:val="auto"/>
        </w:rPr>
      </w:pPr>
    </w:p>
    <w:p>
      <w:pPr>
        <w:jc w:val="both"/>
        <w:ind w:left="300" w:right="319" w:firstLine="647"/>
        <w:spacing w:after="0" w:line="266" w:lineRule="auto"/>
        <w:rPr>
          <w:sz w:val="20"/>
          <w:szCs w:val="20"/>
          <w:color w:val="auto"/>
        </w:rPr>
      </w:pPr>
      <w:r>
        <w:rPr>
          <w:rFonts w:ascii="Times New Roman" w:cs="Times New Roman" w:eastAsia="Times New Roman" w:hAnsi="Times New Roman"/>
          <w:sz w:val="20"/>
          <w:szCs w:val="20"/>
          <w:color w:val="auto"/>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w:t>
      </w:r>
    </w:p>
    <w:p>
      <w:pPr>
        <w:spacing w:after="0" w:line="200" w:lineRule="exact"/>
        <w:rPr>
          <w:sz w:val="20"/>
          <w:szCs w:val="20"/>
          <w:color w:val="auto"/>
        </w:rPr>
      </w:pPr>
    </w:p>
    <w:p>
      <w:pPr>
        <w:spacing w:after="0" w:line="359"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8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13</w:t>
            </w:r>
          </w:p>
        </w:tc>
      </w:tr>
      <w:tr>
        <w:trPr>
          <w:trHeight w:val="750"/>
        </w:trPr>
        <w:tc>
          <w:tcPr>
            <w:tcW w:w="58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06" w:right="1440" w:bottom="1440" w:gutter="0" w:footer="0" w:header="0"/>
        </w:sectPr>
      </w:pPr>
    </w:p>
    <w:bookmarkStart w:id="83" w:name="page84"/>
    <w:bookmarkEnd w:id="83"/>
    <w:p>
      <w:pPr>
        <w:spacing w:after="0" w:line="48" w:lineRule="exact"/>
        <w:rPr>
          <w:sz w:val="20"/>
          <w:szCs w:val="20"/>
          <w:color w:val="auto"/>
        </w:rPr>
      </w:pPr>
    </w:p>
    <w:p>
      <w:pPr>
        <w:jc w:val="both"/>
        <w:ind w:left="300" w:right="319"/>
        <w:spacing w:after="0" w:line="244" w:lineRule="auto"/>
        <w:rPr>
          <w:sz w:val="20"/>
          <w:szCs w:val="20"/>
          <w:color w:val="auto"/>
        </w:rPr>
      </w:pPr>
      <w:r>
        <w:rPr>
          <w:rFonts w:ascii="Times New Roman" w:cs="Times New Roman" w:eastAsia="Times New Roman" w:hAnsi="Times New Roman"/>
          <w:sz w:val="22"/>
          <w:szCs w:val="22"/>
          <w:color w:val="auto"/>
        </w:rPr>
        <w:t>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72" w:lineRule="exact"/>
        <w:rPr>
          <w:sz w:val="20"/>
          <w:szCs w:val="20"/>
          <w:color w:val="auto"/>
        </w:rPr>
      </w:pPr>
    </w:p>
    <w:p>
      <w:pPr>
        <w:jc w:val="both"/>
        <w:ind w:left="300" w:right="319" w:firstLine="647"/>
        <w:spacing w:after="0" w:line="262"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b w:val="1"/>
          <w:bCs w:val="1"/>
          <w:u w:val="single" w:color="auto"/>
          <w:color w:val="auto"/>
        </w:rPr>
        <w:t>European Union (“EU”)/ European Economic Area (“EEA”) Data Privacy</w:t>
      </w:r>
    </w:p>
    <w:p>
      <w:pPr>
        <w:spacing w:after="0" w:line="20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following replaces Section 17 of the Agreement:</w:t>
      </w:r>
    </w:p>
    <w:p>
      <w:pPr>
        <w:spacing w:after="0" w:line="205" w:lineRule="exact"/>
        <w:rPr>
          <w:sz w:val="20"/>
          <w:szCs w:val="20"/>
          <w:color w:val="auto"/>
        </w:rPr>
      </w:pPr>
    </w:p>
    <w:p>
      <w:pPr>
        <w:jc w:val="both"/>
        <w:ind w:left="300" w:right="299" w:firstLine="647"/>
        <w:spacing w:after="0" w:line="258" w:lineRule="auto"/>
        <w:rPr>
          <w:sz w:val="20"/>
          <w:szCs w:val="20"/>
          <w:color w:val="auto"/>
        </w:rPr>
      </w:pPr>
      <w:r>
        <w:rPr>
          <w:rFonts w:ascii="Times New Roman" w:cs="Times New Roman" w:eastAsia="Times New Roman" w:hAnsi="Times New Roman"/>
          <w:sz w:val="22"/>
          <w:szCs w:val="22"/>
          <w:color w:val="auto"/>
        </w:rPr>
        <w:t>In order to offer participation in the Plan, it is necessary for the Company to collect and process certain information about Eligible Individual. Further detail about this is set out below.</w:t>
      </w:r>
    </w:p>
    <w:p>
      <w:pPr>
        <w:spacing w:after="0" w:line="157"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79" w:lineRule="exact"/>
        <w:rPr>
          <w:sz w:val="20"/>
          <w:szCs w:val="20"/>
          <w:color w:val="auto"/>
        </w:rPr>
      </w:pPr>
    </w:p>
    <w:p>
      <w:pPr>
        <w:jc w:val="both"/>
        <w:ind w:left="300" w:right="319" w:firstLine="647"/>
        <w:spacing w:after="0" w:line="244" w:lineRule="auto"/>
        <w:rPr>
          <w:sz w:val="20"/>
          <w:szCs w:val="20"/>
          <w:color w:val="auto"/>
        </w:rPr>
      </w:pPr>
      <w:r>
        <w:rPr>
          <w:rFonts w:ascii="Times New Roman" w:cs="Times New Roman" w:eastAsia="Times New Roman" w:hAnsi="Times New Roman"/>
          <w:sz w:val="22"/>
          <w:szCs w:val="22"/>
          <w:color w:val="auto"/>
        </w:rPr>
        <w:t>If Eligible Individual withdraws from the Plan, the Company will cease to use Eligible Individual’s information for the purpose of the Plan (subject to the data retention requirements set out below).</w:t>
      </w:r>
    </w:p>
    <w:p>
      <w:pPr>
        <w:spacing w:after="0" w:line="168" w:lineRule="exact"/>
        <w:rPr>
          <w:sz w:val="20"/>
          <w:szCs w:val="20"/>
          <w:color w:val="auto"/>
        </w:rPr>
      </w:pPr>
    </w:p>
    <w:p>
      <w:pPr>
        <w:jc w:val="both"/>
        <w:ind w:left="300" w:right="319" w:firstLine="647"/>
        <w:spacing w:after="0" w:line="263" w:lineRule="auto"/>
        <w:rPr>
          <w:sz w:val="20"/>
          <w:szCs w:val="20"/>
          <w:color w:val="auto"/>
        </w:rPr>
      </w:pPr>
      <w:r>
        <w:rPr>
          <w:rFonts w:ascii="Times New Roman" w:cs="Times New Roman" w:eastAsia="Times New Roman" w:hAnsi="Times New Roman"/>
          <w:sz w:val="20"/>
          <w:szCs w:val="20"/>
          <w:b w:val="1"/>
          <w:bCs w:val="1"/>
          <w:color w:val="auto"/>
        </w:rPr>
        <w:t>Data Collection and Usage</w:t>
      </w:r>
      <w:r>
        <w:rPr>
          <w:rFonts w:ascii="Times New Roman" w:cs="Times New Roman" w:eastAsia="Times New Roman" w:hAnsi="Times New Roman"/>
          <w:sz w:val="20"/>
          <w:szCs w:val="20"/>
          <w:color w:val="auto"/>
        </w:rPr>
        <w:t>. The Company collects personal information about Eligible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 for purposes of 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spacing w:after="0" w:line="155" w:lineRule="exact"/>
        <w:rPr>
          <w:sz w:val="20"/>
          <w:szCs w:val="20"/>
          <w:color w:val="auto"/>
        </w:rPr>
      </w:pPr>
    </w:p>
    <w:p>
      <w:pPr>
        <w:jc w:val="both"/>
        <w:ind w:left="300" w:right="319" w:firstLine="647"/>
        <w:spacing w:after="0" w:line="239" w:lineRule="auto"/>
        <w:rPr>
          <w:sz w:val="20"/>
          <w:szCs w:val="20"/>
          <w:color w:val="auto"/>
        </w:rPr>
      </w:pPr>
      <w:r>
        <w:rPr>
          <w:rFonts w:ascii="Times New Roman" w:cs="Times New Roman" w:eastAsia="Times New Roman" w:hAnsi="Times New Roman"/>
          <w:sz w:val="22"/>
          <w:szCs w:val="22"/>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75" w:lineRule="exact"/>
        <w:rPr>
          <w:sz w:val="20"/>
          <w:szCs w:val="20"/>
          <w:color w:val="auto"/>
        </w:rPr>
      </w:pPr>
    </w:p>
    <w:p>
      <w:pPr>
        <w:jc w:val="both"/>
        <w:ind w:left="300" w:right="299" w:firstLine="647"/>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Stock Plan Administration Service Providers. </w:t>
      </w:r>
      <w:r>
        <w:rPr>
          <w:rFonts w:ascii="Times New Roman" w:cs="Times New Roman" w:eastAsia="Times New Roman" w:hAnsi="Times New Roman"/>
          <w:sz w:val="22"/>
          <w:szCs w:val="22"/>
          <w:color w:val="auto"/>
        </w:rPr>
        <w:t>The Company currently uses Fidelity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its affiliated companies (“Fidelity”)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w:t>
      </w:r>
    </w:p>
    <w:p>
      <w:pPr>
        <w:spacing w:after="0" w:line="200" w:lineRule="exact"/>
        <w:rPr>
          <w:sz w:val="20"/>
          <w:szCs w:val="20"/>
          <w:color w:val="auto"/>
        </w:rPr>
      </w:pPr>
    </w:p>
    <w:p>
      <w:pPr>
        <w:spacing w:after="0" w:line="384"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8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14</w:t>
            </w:r>
          </w:p>
        </w:tc>
      </w:tr>
      <w:tr>
        <w:trPr>
          <w:trHeight w:val="750"/>
        </w:trPr>
        <w:tc>
          <w:tcPr>
            <w:tcW w:w="58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4" w:name="page85"/>
    <w:bookmarkEnd w:id="84"/>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22"/>
          <w:szCs w:val="22"/>
          <w:color w:val="auto"/>
        </w:rPr>
        <w:t>processing practices with the service provider(s), which is a condition to his or her participation in the Plan.</w:t>
      </w:r>
    </w:p>
    <w:p>
      <w:pPr>
        <w:spacing w:after="0" w:line="153" w:lineRule="exact"/>
        <w:rPr>
          <w:sz w:val="20"/>
          <w:szCs w:val="20"/>
          <w:color w:val="auto"/>
        </w:rPr>
      </w:pPr>
    </w:p>
    <w:p>
      <w:pPr>
        <w:jc w:val="both"/>
        <w:ind w:left="300" w:right="319" w:firstLine="647"/>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International Data Transfers. </w:t>
      </w:r>
      <w:r>
        <w:rPr>
          <w:rFonts w:ascii="Times New Roman" w:cs="Times New Roman" w:eastAsia="Times New Roman" w:hAnsi="Times New Roman"/>
          <w:sz w:val="22"/>
          <w:szCs w:val="22"/>
          <w:color w:val="auto"/>
        </w:rPr>
        <w:t>The Company and its service provider(s),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Fidelity, are based in the United States, 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73" w:lineRule="exact"/>
        <w:rPr>
          <w:sz w:val="20"/>
          <w:szCs w:val="20"/>
          <w:color w:val="auto"/>
        </w:rPr>
      </w:pPr>
    </w:p>
    <w:p>
      <w:pPr>
        <w:jc w:val="both"/>
        <w:ind w:left="300" w:right="319" w:firstLine="647"/>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Data Retention. </w:t>
      </w:r>
      <w:r>
        <w:rPr>
          <w:rFonts w:ascii="Times New Roman" w:cs="Times New Roman" w:eastAsia="Times New Roman" w:hAnsi="Times New Roman"/>
          <w:sz w:val="22"/>
          <w:szCs w:val="22"/>
          <w:color w:val="auto"/>
        </w:rPr>
        <w:t>The Company will use Eligible Individual Data only as long as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to implement, administer and 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75" w:lineRule="exact"/>
        <w:rPr>
          <w:sz w:val="20"/>
          <w:szCs w:val="20"/>
          <w:color w:val="auto"/>
        </w:rPr>
      </w:pPr>
    </w:p>
    <w:p>
      <w:pPr>
        <w:jc w:val="both"/>
        <w:ind w:left="300" w:right="299" w:firstLine="647"/>
        <w:spacing w:after="0" w:line="263" w:lineRule="auto"/>
        <w:rPr>
          <w:sz w:val="20"/>
          <w:szCs w:val="20"/>
          <w:color w:val="auto"/>
        </w:rPr>
      </w:pPr>
      <w:r>
        <w:rPr>
          <w:rFonts w:ascii="Times New Roman" w:cs="Times New Roman" w:eastAsia="Times New Roman" w:hAnsi="Times New Roman"/>
          <w:sz w:val="20"/>
          <w:szCs w:val="20"/>
          <w:b w:val="1"/>
          <w:bCs w:val="1"/>
          <w:color w:val="auto"/>
        </w:rPr>
        <w:t>Data Subject Rights</w:t>
      </w:r>
      <w:r>
        <w:rPr>
          <w:rFonts w:ascii="Times New Roman" w:cs="Times New Roman" w:eastAsia="Times New Roman" w:hAnsi="Times New Roman"/>
          <w:sz w:val="20"/>
          <w:szCs w:val="20"/>
          <w:color w:val="auto"/>
        </w:rPr>
        <w:t>. Eligible Individual has a number of rights under data privacy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his or her country. Depending on where Eligible Individual is based, his or her rights may include: (a) the right of access to the Eligible Individual’s personal data held by the Company,</w:t>
      </w:r>
    </w:p>
    <w:p>
      <w:pPr>
        <w:ind w:left="300" w:right="319" w:hanging="3"/>
        <w:spacing w:after="0" w:line="237" w:lineRule="auto"/>
        <w:tabs>
          <w:tab w:leader="none" w:pos="636"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of rectification of incorrect data, (c) the right to erasure of data, (d) the right to restriction of processing, and (e) the right to data portability.</w:t>
      </w:r>
    </w:p>
    <w:p>
      <w:pPr>
        <w:spacing w:after="0" w:line="178" w:lineRule="exact"/>
        <w:rPr>
          <w:sz w:val="20"/>
          <w:szCs w:val="20"/>
          <w:color w:val="auto"/>
        </w:rPr>
      </w:pPr>
    </w:p>
    <w:p>
      <w:pPr>
        <w:jc w:val="both"/>
        <w:ind w:left="300" w:right="319" w:firstLine="485"/>
        <w:spacing w:after="0" w:line="258" w:lineRule="auto"/>
        <w:rPr>
          <w:sz w:val="20"/>
          <w:szCs w:val="20"/>
          <w:color w:val="auto"/>
        </w:rPr>
      </w:pPr>
      <w:r>
        <w:rPr>
          <w:rFonts w:ascii="Times New Roman" w:cs="Times New Roman" w:eastAsia="Times New Roman" w:hAnsi="Times New Roman"/>
          <w:sz w:val="22"/>
          <w:szCs w:val="22"/>
          <w:color w:val="auto"/>
        </w:rPr>
        <w:t>If you have any questions about any aspect of the Plan or these terms, please contact privacy@tripadvisor.com.</w:t>
      </w:r>
    </w:p>
    <w:p>
      <w:pPr>
        <w:spacing w:after="0" w:line="153" w:lineRule="exact"/>
        <w:rPr>
          <w:sz w:val="20"/>
          <w:szCs w:val="20"/>
          <w:color w:val="auto"/>
        </w:rPr>
      </w:pPr>
    </w:p>
    <w:p>
      <w:pPr>
        <w:jc w:val="both"/>
        <w:ind w:left="300" w:right="319" w:firstLine="485"/>
        <w:spacing w:after="0" w:line="261" w:lineRule="auto"/>
        <w:rPr>
          <w:sz w:val="20"/>
          <w:szCs w:val="20"/>
          <w:color w:val="auto"/>
        </w:rPr>
      </w:pPr>
      <w:r>
        <w:rPr>
          <w:rFonts w:ascii="Times New Roman" w:cs="Times New Roman" w:eastAsia="Times New Roman" w:hAnsi="Times New Roman"/>
          <w:sz w:val="22"/>
          <w:szCs w:val="22"/>
          <w:b w:val="1"/>
          <w:bCs w:val="1"/>
          <w:color w:val="auto"/>
        </w:rPr>
        <w:t xml:space="preserve">Taxation of Award. </w:t>
      </w:r>
      <w:r>
        <w:rPr>
          <w:rFonts w:ascii="Times New Roman" w:cs="Times New Roman" w:eastAsia="Times New Roman" w:hAnsi="Times New Roman"/>
          <w:sz w:val="22"/>
          <w:szCs w:val="22"/>
          <w:color w:val="auto"/>
        </w:rPr>
        <w:t>This Award is intended to be French tax-qualified and is subject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special terms and conditions set forth in the French Schedule to this Schedule.”</w:t>
      </w:r>
    </w:p>
    <w:p>
      <w:pPr>
        <w:spacing w:after="0" w:line="151" w:lineRule="exact"/>
        <w:rPr>
          <w:sz w:val="20"/>
          <w:szCs w:val="20"/>
          <w:color w:val="auto"/>
        </w:rPr>
      </w:pPr>
    </w:p>
    <w:p>
      <w:pPr>
        <w:jc w:val="both"/>
        <w:ind w:left="300" w:right="299" w:firstLine="485"/>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Exchange Control Information. </w:t>
      </w:r>
      <w:r>
        <w:rPr>
          <w:rFonts w:ascii="Times New Roman" w:cs="Times New Roman" w:eastAsia="Times New Roman" w:hAnsi="Times New Roman"/>
          <w:sz w:val="22"/>
          <w:szCs w:val="22"/>
          <w:color w:val="auto"/>
        </w:rPr>
        <w:t>Eligible Individual may hold Shares acquired under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outside of France provided he or she 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00" w:type="dxa"/>
        <w:tblCellMar>
          <w:top w:w="0" w:type="dxa"/>
          <w:left w:w="0" w:type="dxa"/>
          <w:bottom w:w="0" w:type="dxa"/>
          <w:right w:w="0" w:type="dxa"/>
        </w:tblCellMar>
      </w:tblPr>
      <w:tr>
        <w:trPr>
          <w:trHeight w:val="282"/>
        </w:trPr>
        <w:tc>
          <w:tcPr>
            <w:tcW w:w="5840" w:type="dxa"/>
            <w:vAlign w:val="bottom"/>
          </w:tcPr>
          <w:p>
            <w:pPr>
              <w:ind w:left="1940"/>
              <w:spacing w:after="0"/>
              <w:rPr>
                <w:sz w:val="20"/>
                <w:szCs w:val="20"/>
                <w:color w:val="auto"/>
              </w:rPr>
            </w:pPr>
            <w:r>
              <w:rPr>
                <w:rFonts w:ascii="Times New Roman" w:cs="Times New Roman" w:eastAsia="Times New Roman" w:hAnsi="Times New Roman"/>
                <w:sz w:val="22"/>
                <w:szCs w:val="22"/>
                <w:color w:val="auto"/>
              </w:rPr>
              <w:t>French Employee – Version March 2024</w:t>
            </w:r>
          </w:p>
        </w:tc>
        <w:tc>
          <w:tcPr>
            <w:tcW w:w="2580" w:type="dxa"/>
            <w:vAlign w:val="bottom"/>
          </w:tcPr>
          <w:p>
            <w:pPr>
              <w:jc w:val="right"/>
              <w:ind w:right="1852"/>
              <w:spacing w:after="0"/>
              <w:rPr>
                <w:sz w:val="20"/>
                <w:szCs w:val="20"/>
                <w:color w:val="auto"/>
              </w:rPr>
            </w:pPr>
            <w:r>
              <w:rPr>
                <w:rFonts w:ascii="Times New Roman" w:cs="Times New Roman" w:eastAsia="Times New Roman" w:hAnsi="Times New Roman"/>
                <w:sz w:val="22"/>
                <w:szCs w:val="22"/>
                <w:color w:val="auto"/>
              </w:rPr>
              <w:t>15</w:t>
            </w:r>
          </w:p>
        </w:tc>
      </w:tr>
      <w:tr>
        <w:trPr>
          <w:trHeight w:val="750"/>
        </w:trPr>
        <w:tc>
          <w:tcPr>
            <w:tcW w:w="584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5514340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180340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TRIPADVISOR, INC. RESTRICTED STOCK UNIT AGREEMENT</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(Performance Based)</w:t>
      </w:r>
    </w:p>
    <w:p>
      <w:pPr>
        <w:spacing w:after="0" w:line="181"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(the “Award”) of performance-based restricted stock units (“PSUs”) to the Eligible Individual by the Company.</w:t>
      </w:r>
    </w:p>
    <w:p>
      <w:pPr>
        <w:spacing w:after="0" w:line="7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All capitalized terms used herein, to the extent not defined, shall have the meanings set forth in the Company’s 2023 Stock and Annual Incentive Plan (as amended from time to time, the “Plan”).</w:t>
      </w:r>
    </w:p>
    <w:p>
      <w:pPr>
        <w:spacing w:after="0" w:line="153" w:lineRule="exact"/>
        <w:rPr>
          <w:sz w:val="20"/>
          <w:szCs w:val="20"/>
          <w:color w:val="auto"/>
        </w:rPr>
      </w:pPr>
    </w:p>
    <w:p>
      <w:pPr>
        <w:ind w:left="720" w:hanging="623"/>
        <w:spacing w:after="0"/>
        <w:tabs>
          <w:tab w:leader="none" w:pos="720" w:val="left"/>
        </w:tabs>
        <w:numPr>
          <w:ilvl w:val="0"/>
          <w:numId w:val="10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Award and Vesting of PSUs</w:t>
      </w:r>
    </w:p>
    <w:p>
      <w:pPr>
        <w:spacing w:after="0" w:line="209" w:lineRule="exact"/>
        <w:rPr>
          <w:rFonts w:ascii="Times New Roman" w:cs="Times New Roman" w:eastAsia="Times New Roman" w:hAnsi="Times New Roman"/>
          <w:sz w:val="22"/>
          <w:szCs w:val="22"/>
          <w:b w:val="1"/>
          <w:bCs w:val="1"/>
          <w:color w:val="auto"/>
        </w:rPr>
      </w:pPr>
    </w:p>
    <w:p>
      <w:pPr>
        <w:jc w:val="both"/>
        <w:ind w:firstLine="757"/>
        <w:spacing w:after="0" w:line="234" w:lineRule="auto"/>
        <w:tabs>
          <w:tab w:leader="none" w:pos="118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of this Agreement, the Plan and the Grant Details, the Company grants a target number of PSUs to the Eligible Individual (“Target PSUs”). The actual number of PSUs earned pursuant to this Agreement (the “Earned PSUs”) will be based on the extent to which the revenue and adjusted EBITDA performance metrics established by the Company (the “Performance Metrics”) are achieved relative to the targets over the two-year performance period beginning on January 1, 2024 and ending on December 31, 2025 (the “Performance Period”) and may be more or less than the Target PSUs. Each Performance Metric is weighted 50%. In no event will the number of Earned PSUs exceed 200% of the Target PSUs.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which are hereby incorporated by reference into, and shall be read as part and parcel of, this Agreement.</w:t>
      </w:r>
    </w:p>
    <w:p>
      <w:pPr>
        <w:spacing w:after="0" w:line="6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(b)The number of Earned PSUs shall be calculated following the completion of the Performance Period. No PSUs will be earned or vest unless the Company achieves at least 90% of either of the Performance Metric targets for the Performance Period. If the Company achieves 105% or more of both Performance Metric targets, then 200% of the Target PSUs will become Earned PSUs. In no event may more than 200% of the Target PSUs be earned and vest.</w:t>
      </w:r>
    </w:p>
    <w:p>
      <w:pPr>
        <w:spacing w:after="0" w:line="179" w:lineRule="exact"/>
        <w:rPr>
          <w:sz w:val="20"/>
          <w:szCs w:val="20"/>
          <w:color w:val="auto"/>
        </w:rPr>
      </w:pPr>
    </w:p>
    <w:p>
      <w:pPr>
        <w:jc w:val="both"/>
        <w:ind w:firstLine="757"/>
        <w:spacing w:after="0" w:line="244" w:lineRule="auto"/>
        <w:tabs>
          <w:tab w:leader="none" w:pos="101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60 days of the completion of the Performance Period, the Committee will determine in its sole discretion the extent to which the Performance Metrics have been satisfied. The day the Committee certifies the extent to which the Performance Metrics have been satisfied is the “Determination Date”.</w:t>
      </w:r>
    </w:p>
    <w:p>
      <w:pPr>
        <w:spacing w:after="0" w:line="17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(d)Subject to the terms and conditions of this Agreement, the Grant Details, and the Plan, the Earned PSUs will vest 50% on the Determination Date, and the remaining 50% on December 31, 2026. The time during which restrictions apply shall be referred to as the “PSU Restriction Period”.</w:t>
      </w:r>
    </w:p>
    <w:p>
      <w:pPr>
        <w:spacing w:after="0" w:line="168" w:lineRule="exact"/>
        <w:rPr>
          <w:sz w:val="20"/>
          <w:szCs w:val="20"/>
          <w:color w:val="auto"/>
        </w:rPr>
      </w:pPr>
    </w:p>
    <w:p>
      <w:pPr>
        <w:ind w:left="760" w:hanging="663"/>
        <w:spacing w:after="0"/>
        <w:tabs>
          <w:tab w:leader="none" w:pos="760" w:val="left"/>
        </w:tabs>
        <w:numPr>
          <w:ilvl w:val="0"/>
          <w:numId w:val="10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Employment by the Company for Cause</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631825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86" w:name="page87"/>
    <w:bookmarkEnd w:id="86"/>
    <w:p>
      <w:pPr>
        <w:jc w:val="both"/>
        <w:ind w:firstLine="757"/>
        <w:spacing w:after="0" w:line="237" w:lineRule="auto"/>
        <w:tabs>
          <w:tab w:leader="none" w:pos="1018"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provisions of Section 1(d) above, in the event the Eligible Individual incurs a Termination of Employment by the Company or any Subsidiary or Affiliate for Cause, or the Eligible Individual voluntarily incurs a Termination of Employment within two years after any event or circumstance that would have been grounds for a Termination of Employment for Cause, the Eligible Individual’s unvested PSUs shall be forfeited and canceled in their entirety upon such Termination of Employment.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(b)For purposes of this Agreement, employment with the Company shall include employment with the Company’s Subsidiaries or Affiliates. The Committee shall have the exclusive discretion to determine whether there has been any Termination of Employment and/or whether and when grounds for a Termination of Employment for Cause existed.</w:t>
      </w:r>
    </w:p>
    <w:p>
      <w:pPr>
        <w:spacing w:after="0" w:line="168" w:lineRule="exact"/>
        <w:rPr>
          <w:sz w:val="20"/>
          <w:szCs w:val="20"/>
          <w:color w:val="auto"/>
        </w:rPr>
      </w:pPr>
    </w:p>
    <w:p>
      <w:pPr>
        <w:ind w:left="720" w:hanging="623"/>
        <w:spacing w:after="0"/>
        <w:tabs>
          <w:tab w:leader="none" w:pos="720"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Settlement of PSUs</w:t>
      </w:r>
    </w:p>
    <w:p>
      <w:pPr>
        <w:spacing w:after="0" w:line="20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As soon as practicable after any PSUs have vested and are no longer subject to the PSU Restriction Period (but in no event later than thirty (30) days thereafter or, in the case of PSUs that vest on the Determination Date, no later than March 15 of the year following the end of the Performance Period), such PSUs shall be settled (“Settlement Date”). Subject to Section 10 (pertaining to the withholding of taxes), for each PSU settled pursuant to this Section 3, the Company shall issue one Share for each vested PSU and cause to be delivered to the Eligible Individual one or more unlegended, freely-transferable stock certificates in respect of such Shares issued upon settlement of the vested PSUs. Notwithstanding the foregoing, the Company shall be entitled to hold the Shares issuable upon settlement of PSUs that have vested until the Company or Plan Administrator shall have received from the Eligible Individual a duly executed Form W-9 or Form W-8, as applicable, as well as such other documents as may be legally required.</w:t>
      </w:r>
    </w:p>
    <w:p>
      <w:pPr>
        <w:spacing w:after="0" w:line="176" w:lineRule="exact"/>
        <w:rPr>
          <w:sz w:val="20"/>
          <w:szCs w:val="20"/>
          <w:color w:val="auto"/>
        </w:rPr>
      </w:pPr>
    </w:p>
    <w:p>
      <w:pPr>
        <w:ind w:left="760" w:hanging="752"/>
        <w:spacing w:after="0"/>
        <w:tabs>
          <w:tab w:leader="none" w:pos="76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Recoupment or “Clawback” Policy</w:t>
      </w:r>
    </w:p>
    <w:p>
      <w:pPr>
        <w:spacing w:after="0" w:line="209" w:lineRule="exact"/>
        <w:rPr>
          <w:sz w:val="20"/>
          <w:szCs w:val="20"/>
          <w:color w:val="auto"/>
        </w:rPr>
      </w:pPr>
    </w:p>
    <w:p>
      <w:pPr>
        <w:jc w:val="both"/>
        <w:ind w:left="100" w:firstLine="432"/>
        <w:spacing w:after="0" w:line="234" w:lineRule="auto"/>
        <w:rPr>
          <w:sz w:val="20"/>
          <w:szCs w:val="20"/>
          <w:color w:val="auto"/>
        </w:rPr>
      </w:pPr>
      <w:r>
        <w:rPr>
          <w:rFonts w:ascii="Times New Roman" w:cs="Times New Roman" w:eastAsia="Times New Roman" w:hAnsi="Times New Roman"/>
          <w:sz w:val="22"/>
          <w:szCs w:val="22"/>
          <w:color w:val="auto"/>
        </w:rPr>
        <w:t>All awards received and any shares or other amount or property that may be issued, delivered, or paid in respect of the Award, as well as any consideration that may be received in respect of a sale or other disposition of any such shares or property, will be subject to clawback, cancellation, recoupment, rescission, payback, reduction, or other similar action in accordance with the Company’s Clawback Policy (as in effect from time to time and any successor policies) or similar policy or any applicable law related to such actions. An Eligible Individual’s acceptance of an Award will constitute the Eligible Individual’s acknowledgment of and consent to the Company’s application, implementation, and enforcement of the Company’s Clawback Policy or similar policy that may apply to the Eligible Individual, whether adopted before or after the Grant Date, and any applicable law relating to clawback, cancellation, recoupment, rescission, payback, or reduction of compensation, and the Eligible Individual’s agreement that the Company may take any actions that may be necessary to effectuate any such policy or applicable law, without further consideration or action.</w:t>
      </w:r>
    </w:p>
    <w:p>
      <w:pPr>
        <w:spacing w:after="0" w:line="172" w:lineRule="exact"/>
        <w:rPr>
          <w:sz w:val="20"/>
          <w:szCs w:val="20"/>
          <w:color w:val="auto"/>
        </w:rPr>
      </w:pPr>
    </w:p>
    <w:p>
      <w:pPr>
        <w:ind w:left="720" w:hanging="623"/>
        <w:spacing w:after="0"/>
        <w:tabs>
          <w:tab w:leader="none" w:pos="7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the PSUs</w:t>
      </w:r>
    </w:p>
    <w:p>
      <w:pPr>
        <w:spacing w:after="0" w:line="20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Until the PSUs are settled as provided herein or on the website of the Plan Administrator, the PSUs shall not be transferable by the Eligible Individual by means of sale, assignment, exchange, encumbrance, pledge, hedge or otherwise.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7" w:name="page88"/>
    <w:bookmarkEnd w:id="87"/>
    <w:p>
      <w:pPr>
        <w:spacing w:after="0" w:line="179" w:lineRule="exact"/>
        <w:rPr>
          <w:sz w:val="20"/>
          <w:szCs w:val="20"/>
          <w:color w:val="auto"/>
        </w:rPr>
      </w:pPr>
    </w:p>
    <w:p>
      <w:pPr>
        <w:ind w:left="760" w:hanging="663"/>
        <w:spacing w:after="0"/>
        <w:tabs>
          <w:tab w:leader="none" w:pos="76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p>
    <w:p>
      <w:pPr>
        <w:spacing w:after="0" w:line="20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Except as otherwise specifically provided in this Agreement, until the PSUs have vested and settled in Shares, the Eligible Individual shall not be entitled to any rights of a stockholder with respect to the PSUs. Notwithstanding the foregoing, if the Company declares and pays ordinary cash dividends on the Common Stock prior to the time that the PSUs are settled, the Eligible Individual will be credited with additional amounts for each PSU equal to the dividend that would have been paid with respect to such PSU if it had been an actual share of Common Stock, which amount shall remain subject to restrictions (and as determined by the Committee may be reinvested in PSUs or may be held in kind as restricted property) and shall vest concurrently with the vesting of the PSUs upon which such dividend equivalent amounts were paid. Notwithstanding the foregoing, dividends and distributions other than ordinary cash dividends, if any, may result in an adjustment pursuant to Section 7 below, rather than under this Section 6.</w:t>
      </w:r>
    </w:p>
    <w:p>
      <w:pPr>
        <w:spacing w:after="0" w:line="176" w:lineRule="exact"/>
        <w:rPr>
          <w:sz w:val="20"/>
          <w:szCs w:val="20"/>
          <w:color w:val="auto"/>
        </w:rPr>
      </w:pPr>
    </w:p>
    <w:p>
      <w:pPr>
        <w:ind w:left="720" w:hanging="623"/>
        <w:spacing w:after="0"/>
        <w:tabs>
          <w:tab w:leader="none" w:pos="7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 in the Event of Change in Stock; Change in Control</w:t>
      </w:r>
    </w:p>
    <w:p>
      <w:pPr>
        <w:spacing w:after="0" w:line="209" w:lineRule="exact"/>
        <w:rPr>
          <w:rFonts w:ascii="Times New Roman" w:cs="Times New Roman" w:eastAsia="Times New Roman" w:hAnsi="Times New Roman"/>
          <w:sz w:val="22"/>
          <w:szCs w:val="22"/>
          <w:b w:val="1"/>
          <w:bCs w:val="1"/>
          <w:color w:val="auto"/>
        </w:rPr>
      </w:pPr>
    </w:p>
    <w:p>
      <w:pPr>
        <w:jc w:val="both"/>
        <w:ind w:firstLine="757"/>
        <w:spacing w:after="0" w:line="236" w:lineRule="auto"/>
        <w:tabs>
          <w:tab w:leader="none" w:pos="1018"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a dividend other than an ordinary dividend, or similar event affecting the Company or any of its Subsidiaries (each, a “Corporate Transaction”), the Committee or the Board, may in its discretion make such substitutions or adjustments as it deems appropriate and equitable to the number of PSUs and the number and kind of shares of Common Stock underlying the PSUs.</w:t>
      </w:r>
    </w:p>
    <w:p>
      <w:pPr>
        <w:spacing w:after="0" w:line="314"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(b)In the case of Corporate Transactions, such adjustments may include, without limitation (i) the cancellation of the PSUs in exchange for payments of cash, property or a combination thereof having an aggregate value equal to the value of such PSUs, as determined by the Committee or the Board in its sole discretion, (ii) the substitution of other property (including, without limitation, cash or other securities of the Company and securities of entities other than the Company) for the shares of Common Stock underlying the PSUs and (iii) in connection with any Disaffiliation, arranging for the assumption of the PSUs, or the replacement of the PSUs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PSUs that remain based upon securities of the Company).</w:t>
      </w:r>
    </w:p>
    <w:p>
      <w:pPr>
        <w:spacing w:after="0" w:line="315" w:lineRule="exact"/>
        <w:rPr>
          <w:sz w:val="20"/>
          <w:szCs w:val="20"/>
          <w:color w:val="auto"/>
        </w:rPr>
      </w:pPr>
    </w:p>
    <w:p>
      <w:pPr>
        <w:ind w:left="1020" w:hanging="263"/>
        <w:spacing w:after="0"/>
        <w:tabs>
          <w:tab w:leader="none" w:pos="102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Change in Control:</w:t>
      </w:r>
    </w:p>
    <w:p>
      <w:pPr>
        <w:spacing w:after="0" w:line="340" w:lineRule="exact"/>
        <w:rPr>
          <w:rFonts w:ascii="Times New Roman" w:cs="Times New Roman" w:eastAsia="Times New Roman" w:hAnsi="Times New Roman"/>
          <w:sz w:val="22"/>
          <w:szCs w:val="22"/>
          <w:color w:val="auto"/>
        </w:rPr>
      </w:pPr>
    </w:p>
    <w:p>
      <w:pPr>
        <w:ind w:left="1320" w:right="20" w:hanging="369"/>
        <w:spacing w:after="0" w:line="307" w:lineRule="auto"/>
        <w:tabs>
          <w:tab w:leader="none" w:pos="1320"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Before the Determination Date, the Target PSUs will be deemed earned and will vest 50% on December 31, 2025, and 50% on December 31, 2026, subject to any substitutions or adjustments made pursuant to this Section 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ind w:left="2260" w:hanging="755"/>
        <w:spacing w:after="0" w:line="258" w:lineRule="auto"/>
        <w:tabs>
          <w:tab w:leader="none" w:pos="2260"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Determination Date, the PSU Award will be calculated and will vest in accordance with Section 1, subject to any substitutions or adjustments made pursuant to this Section 7.</w:t>
      </w:r>
    </w:p>
    <w:p>
      <w:pPr>
        <w:spacing w:after="0" w:line="400"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(d)The determination of the Committee regarding any substitutions or adjustment or the amount of PSUs awarded, vested and/or distributed pursuant to this Section need not be the same for all Participants and will be final and conclusive.</w:t>
      </w:r>
    </w:p>
    <w:p>
      <w:pPr>
        <w:spacing w:after="0" w:line="400" w:lineRule="exact"/>
        <w:rPr>
          <w:sz w:val="20"/>
          <w:szCs w:val="20"/>
          <w:color w:val="auto"/>
        </w:rPr>
      </w:pPr>
    </w:p>
    <w:p>
      <w:pPr>
        <w:jc w:val="both"/>
        <w:ind w:firstLine="757"/>
        <w:spacing w:after="0" w:line="244" w:lineRule="auto"/>
        <w:tabs>
          <w:tab w:leader="none" w:pos="101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Termination of Employment during the three (3) months prior to or twelve (12) months following a Change in Control (the “CIC Period”), the provisions of Section 13 of the Plan shall apply; provided, however, that the Committee in its discretion may provide for earlier accelerated vesting.</w:t>
      </w:r>
    </w:p>
    <w:p>
      <w:pPr>
        <w:spacing w:after="0" w:line="168"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 of Employment without Cause or Resignation for Good Reason</w:t>
      </w:r>
    </w:p>
    <w:p>
      <w:pPr>
        <w:spacing w:after="0" w:line="344" w:lineRule="exact"/>
        <w:rPr>
          <w:sz w:val="20"/>
          <w:szCs w:val="20"/>
          <w:color w:val="auto"/>
        </w:rPr>
      </w:pPr>
    </w:p>
    <w:p>
      <w:pPr>
        <w:jc w:val="both"/>
        <w:ind w:firstLine="839"/>
        <w:spacing w:after="0" w:line="237" w:lineRule="auto"/>
        <w:rPr>
          <w:sz w:val="20"/>
          <w:szCs w:val="20"/>
          <w:color w:val="auto"/>
        </w:rPr>
      </w:pPr>
      <w:r>
        <w:rPr>
          <w:rFonts w:ascii="Times New Roman" w:cs="Times New Roman" w:eastAsia="Times New Roman" w:hAnsi="Times New Roman"/>
          <w:sz w:val="22"/>
          <w:szCs w:val="22"/>
          <w:color w:val="auto"/>
        </w:rPr>
        <w:t>(a)In the event of Termination of Employment without Cause or resignation for Good Reason, not in connection with a Change in Control, a pro-rated portion of Target PSUs determined by multiplying the Target PSUs by a fraction, the numerator of which is the number of days the Eligible Individual worked during the Performance Period and the denominator is the total number of days in the Performance Period, will be deemed earned and will vest in accordance with the vesting schedule described in Section 1 above.</w:t>
      </w:r>
    </w:p>
    <w:p>
      <w:pPr>
        <w:spacing w:after="0" w:line="315" w:lineRule="exact"/>
        <w:rPr>
          <w:sz w:val="20"/>
          <w:szCs w:val="20"/>
          <w:color w:val="auto"/>
        </w:rPr>
      </w:pPr>
    </w:p>
    <w:p>
      <w:pPr>
        <w:jc w:val="both"/>
        <w:ind w:firstLine="839"/>
        <w:spacing w:after="0" w:line="244" w:lineRule="auto"/>
        <w:rPr>
          <w:sz w:val="20"/>
          <w:szCs w:val="20"/>
          <w:color w:val="auto"/>
        </w:rPr>
      </w:pPr>
      <w:r>
        <w:rPr>
          <w:rFonts w:ascii="Times New Roman" w:cs="Times New Roman" w:eastAsia="Times New Roman" w:hAnsi="Times New Roman"/>
          <w:sz w:val="22"/>
          <w:szCs w:val="22"/>
          <w:color w:val="auto"/>
        </w:rPr>
        <w:t>(b)In the event of Termination of Employment without Cause or resignation for Good Reason in connection with a Change in Control that occurs (i) before the Determination Date and (ii) during the CIC Period, the Target PSUs will be deemed earned and will accelerate and vest as of the date of the Termination of Employment.</w:t>
      </w:r>
    </w:p>
    <w:p>
      <w:pPr>
        <w:spacing w:after="0" w:line="199" w:lineRule="exact"/>
        <w:rPr>
          <w:sz w:val="20"/>
          <w:szCs w:val="20"/>
          <w:color w:val="auto"/>
        </w:rPr>
      </w:pPr>
    </w:p>
    <w:p>
      <w:pPr>
        <w:jc w:val="both"/>
        <w:ind w:firstLine="839"/>
        <w:spacing w:after="0" w:line="244" w:lineRule="auto"/>
        <w:rPr>
          <w:sz w:val="20"/>
          <w:szCs w:val="20"/>
          <w:color w:val="auto"/>
        </w:rPr>
      </w:pPr>
      <w:r>
        <w:rPr>
          <w:rFonts w:ascii="Times New Roman" w:cs="Times New Roman" w:eastAsia="Times New Roman" w:hAnsi="Times New Roman"/>
          <w:sz w:val="22"/>
          <w:szCs w:val="22"/>
          <w:color w:val="auto"/>
        </w:rPr>
        <w:t>(c)In the event of Termination of Employment without Cause or resignation for Good Reason in connection with a Change in Control that occurs (i) after the Determination Date and (ii) within the CIC Period, the Earned PSUs will accelerate and vest as of the date of the Termination of Employment.</w:t>
      </w:r>
    </w:p>
    <w:p>
      <w:pPr>
        <w:spacing w:after="0" w:line="168" w:lineRule="exact"/>
        <w:rPr>
          <w:sz w:val="20"/>
          <w:szCs w:val="20"/>
          <w:color w:val="auto"/>
        </w:rPr>
      </w:pPr>
    </w:p>
    <w:p>
      <w:pPr>
        <w:ind w:left="700" w:hanging="692"/>
        <w:spacing w:after="0"/>
        <w:tabs>
          <w:tab w:leader="none" w:pos="700" w:val="left"/>
        </w:tabs>
        <w:numPr>
          <w:ilvl w:val="0"/>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Death or Disability</w:t>
      </w:r>
    </w:p>
    <w:p>
      <w:pPr>
        <w:spacing w:after="0" w:line="209" w:lineRule="exact"/>
        <w:rPr>
          <w:sz w:val="20"/>
          <w:szCs w:val="20"/>
          <w:color w:val="auto"/>
        </w:rPr>
      </w:pPr>
    </w:p>
    <w:p>
      <w:pPr>
        <w:ind w:right="80" w:firstLine="839"/>
        <w:spacing w:after="0" w:line="244" w:lineRule="auto"/>
        <w:rPr>
          <w:sz w:val="20"/>
          <w:szCs w:val="20"/>
          <w:color w:val="auto"/>
        </w:rPr>
      </w:pPr>
      <w:r>
        <w:rPr>
          <w:rFonts w:ascii="Times New Roman" w:cs="Times New Roman" w:eastAsia="Times New Roman" w:hAnsi="Times New Roman"/>
          <w:sz w:val="22"/>
          <w:szCs w:val="22"/>
          <w:color w:val="auto"/>
        </w:rPr>
        <w:t>(a)In the event of a Termination of Employment due to the Eligible Individual’s death or Disability, as defined in the Plan, occurring before the Determination Date, the Target PSUs will be deemed earned and will accelerate and vest as of the date of the Termination of Employment.</w:t>
      </w:r>
    </w:p>
    <w:p>
      <w:pPr>
        <w:spacing w:after="0" w:line="172" w:lineRule="exact"/>
        <w:rPr>
          <w:sz w:val="20"/>
          <w:szCs w:val="20"/>
          <w:color w:val="auto"/>
        </w:rPr>
      </w:pPr>
    </w:p>
    <w:p>
      <w:pPr>
        <w:ind w:right="200" w:firstLine="839"/>
        <w:spacing w:after="0" w:line="258" w:lineRule="auto"/>
        <w:rPr>
          <w:sz w:val="20"/>
          <w:szCs w:val="20"/>
          <w:color w:val="auto"/>
        </w:rPr>
      </w:pPr>
      <w:r>
        <w:rPr>
          <w:rFonts w:ascii="Times New Roman" w:cs="Times New Roman" w:eastAsia="Times New Roman" w:hAnsi="Times New Roman"/>
          <w:sz w:val="22"/>
          <w:szCs w:val="22"/>
          <w:color w:val="auto"/>
        </w:rPr>
        <w:t>(b)In the event of a Termination of Employment due to the Eligible Individual’s death or Disability occurring after the Determination Date, all Earned PSUs will accelerate and vest as of the date of the Termination of Employment.</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89" w:name="page90"/>
    <w:bookmarkEnd w:id="89"/>
    <w:p>
      <w:pPr>
        <w:ind w:left="760" w:hanging="752"/>
        <w:spacing w:after="0"/>
        <w:tabs>
          <w:tab w:leader="none" w:pos="760"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Taxes, Fees and Withholding</w:t>
      </w:r>
    </w:p>
    <w:p>
      <w:pPr>
        <w:spacing w:after="0" w:line="209" w:lineRule="exact"/>
        <w:rPr>
          <w:rFonts w:ascii="Times New Roman" w:cs="Times New Roman" w:eastAsia="Times New Roman" w:hAnsi="Times New Roman"/>
          <w:sz w:val="22"/>
          <w:szCs w:val="22"/>
          <w:b w:val="1"/>
          <w:bCs w:val="1"/>
          <w:color w:val="auto"/>
        </w:rPr>
      </w:pPr>
    </w:p>
    <w:p>
      <w:pPr>
        <w:jc w:val="both"/>
        <w:ind w:firstLine="757"/>
        <w:spacing w:after="0" w:line="244" w:lineRule="auto"/>
        <w:tabs>
          <w:tab w:leader="none" w:pos="101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any and all original issue taxes and stock transfer taxes that may be imposed on the issuance of shares received by an Eligible Individual in connection with the PSUs, together with any and all other fees and expenses necessarily incurred by the Company in connection therewith.</w:t>
      </w:r>
    </w:p>
    <w:p>
      <w:pPr>
        <w:spacing w:after="0" w:line="17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0"/>
          <w:szCs w:val="20"/>
          <w:color w:val="auto"/>
        </w:rPr>
        <w:t>(b)Regardless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PSUs and the receipt of cash or any dividends or dividend equivalents with respect thereto; and (ii) do not commit to structure the terms of the Award or any aspect of the PSUs to reduce or eliminate the Eligible Individual’s liability for Tax-Related Items.</w:t>
      </w:r>
    </w:p>
    <w:p>
      <w:pPr>
        <w:spacing w:after="0" w:line="157" w:lineRule="exact"/>
        <w:rPr>
          <w:sz w:val="20"/>
          <w:szCs w:val="20"/>
          <w:color w:val="auto"/>
        </w:rPr>
      </w:pPr>
    </w:p>
    <w:p>
      <w:pPr>
        <w:jc w:val="both"/>
        <w:ind w:firstLine="757"/>
        <w:spacing w:after="0" w:line="257" w:lineRule="auto"/>
        <w:tabs>
          <w:tab w:leader="none" w:pos="1018"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Company, Subsidiary or Affiliate is required to withhold any Tax-Related Items as a result of the Award or vesting of the PSUs,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10.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PSU if the Eligible Individual fails to comply with his or her obligations in connection with the Tax-Related Items as described in this Section.</w:t>
      </w:r>
    </w:p>
    <w:p>
      <w:pPr>
        <w:spacing w:after="0" w:line="200" w:lineRule="exact"/>
        <w:rPr>
          <w:rFonts w:ascii="Times New Roman" w:cs="Times New Roman" w:eastAsia="Times New Roman" w:hAnsi="Times New Roman"/>
          <w:sz w:val="20"/>
          <w:szCs w:val="20"/>
          <w:color w:val="auto"/>
        </w:rPr>
      </w:pPr>
    </w:p>
    <w:p>
      <w:pPr>
        <w:spacing w:after="0" w:line="201" w:lineRule="exact"/>
        <w:rPr>
          <w:rFonts w:ascii="Times New Roman" w:cs="Times New Roman" w:eastAsia="Times New Roman" w:hAnsi="Times New Roman"/>
          <w:sz w:val="20"/>
          <w:szCs w:val="20"/>
          <w:color w:val="auto"/>
        </w:rPr>
      </w:pPr>
    </w:p>
    <w:p>
      <w:pPr>
        <w:ind w:left="760" w:hanging="663"/>
        <w:spacing w:after="0"/>
        <w:tabs>
          <w:tab w:leader="none" w:pos="760"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Restrictions</w:t>
      </w:r>
    </w:p>
    <w:p>
      <w:pPr>
        <w:spacing w:after="0" w:line="209" w:lineRule="exact"/>
        <w:rPr>
          <w:rFonts w:ascii="Times New Roman" w:cs="Times New Roman" w:eastAsia="Times New Roman" w:hAnsi="Times New Roman"/>
          <w:sz w:val="22"/>
          <w:szCs w:val="22"/>
          <w:b w:val="1"/>
          <w:bCs w:val="1"/>
          <w:color w:val="auto"/>
        </w:rPr>
      </w:pPr>
    </w:p>
    <w:p>
      <w:pPr>
        <w:jc w:val="both"/>
        <w:ind w:firstLine="757"/>
        <w:spacing w:after="0" w:line="280" w:lineRule="auto"/>
        <w:tabs>
          <w:tab w:leader="none" w:pos="1180"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90" w:name="page91"/>
    <w:bookmarkEnd w:id="90"/>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Award shall not be effective unless such listing, registration, qualification, consent or approval shall have been effected or obtained free of any conditions not acceptable to the Committee.</w:t>
      </w:r>
    </w:p>
    <w:p>
      <w:pPr>
        <w:spacing w:after="0" w:line="157" w:lineRule="exact"/>
        <w:rPr>
          <w:sz w:val="20"/>
          <w:szCs w:val="20"/>
          <w:color w:val="auto"/>
        </w:rPr>
      </w:pPr>
    </w:p>
    <w:p>
      <w:pPr>
        <w:jc w:val="both"/>
        <w:ind w:firstLine="757"/>
        <w:spacing w:after="0" w:line="234" w:lineRule="auto"/>
        <w:tabs>
          <w:tab w:leader="none" w:pos="1180" w:val="left"/>
        </w:tabs>
        <w:numPr>
          <w:ilvl w:val="1"/>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Chief Compliance Officer prior to purchasing or selling any of the Company’s securities, including any shares issued upon vesting of the PSUs,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80" w:lineRule="exact"/>
        <w:rPr>
          <w:rFonts w:ascii="Times New Roman" w:cs="Times New Roman" w:eastAsia="Times New Roman" w:hAnsi="Times New Roman"/>
          <w:sz w:val="22"/>
          <w:szCs w:val="22"/>
          <w:color w:val="auto"/>
        </w:rPr>
      </w:pPr>
    </w:p>
    <w:p>
      <w:pPr>
        <w:ind w:left="720" w:hanging="623"/>
        <w:spacing w:after="0"/>
        <w:tabs>
          <w:tab w:leader="none" w:pos="72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Nature of Award</w:t>
      </w:r>
    </w:p>
    <w:p>
      <w:pPr>
        <w:spacing w:after="0" w:line="200" w:lineRule="exact"/>
        <w:rPr>
          <w:sz w:val="20"/>
          <w:szCs w:val="20"/>
          <w:color w:val="auto"/>
        </w:rPr>
      </w:pPr>
    </w:p>
    <w:p>
      <w:pPr>
        <w:spacing w:after="0" w:line="2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accepting the Award, the Eligible Individual acknowledges that:</w:t>
      </w:r>
    </w:p>
    <w:p>
      <w:pPr>
        <w:spacing w:after="0" w:line="205" w:lineRule="exact"/>
        <w:rPr>
          <w:sz w:val="20"/>
          <w:szCs w:val="20"/>
          <w:color w:val="auto"/>
        </w:rPr>
      </w:pPr>
    </w:p>
    <w:p>
      <w:pPr>
        <w:ind w:firstLine="757"/>
        <w:spacing w:after="0" w:line="258" w:lineRule="auto"/>
        <w:tabs>
          <w:tab w:leader="none" w:pos="101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(b)the Award is voluntary and occasional and does not create any contractual or other right to receive future Awards, or benefits in lieu of Awards, even if Awards have been made repeatedly in the past;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 all decisions with respect to future Awards, if any, will be at the sole discretion of the Company;</w:t>
      </w:r>
    </w:p>
    <w:p>
      <w:pPr>
        <w:spacing w:after="0" w:line="20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(d)the Eligible Individual’s participation in the Plan will not create a right to further employment or service with the Company, its Subsidiary or Affiliate and shall not interfere with the ability of the Company to terminate the Eligible Individual’s employment or service relationship at any time with or without Cause;</w:t>
      </w:r>
    </w:p>
    <w:p>
      <w:pPr>
        <w:spacing w:after="0" w:line="172" w:lineRule="exact"/>
        <w:rPr>
          <w:sz w:val="20"/>
          <w:szCs w:val="20"/>
          <w:color w:val="auto"/>
        </w:rPr>
      </w:pPr>
    </w:p>
    <w:p>
      <w:pPr>
        <w:ind w:left="1020" w:hanging="263"/>
        <w:spacing w:after="0"/>
        <w:tabs>
          <w:tab w:leader="none" w:pos="1020"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Eligible Individual is voluntarily participating in the Plan;</w:t>
      </w:r>
    </w:p>
    <w:p>
      <w:pPr>
        <w:spacing w:after="0" w:line="205" w:lineRule="exact"/>
        <w:rPr>
          <w:rFonts w:ascii="Times New Roman" w:cs="Times New Roman" w:eastAsia="Times New Roman" w:hAnsi="Times New Roman"/>
          <w:sz w:val="22"/>
          <w:szCs w:val="22"/>
          <w:color w:val="auto"/>
        </w:rPr>
      </w:pPr>
    </w:p>
    <w:p>
      <w:pPr>
        <w:jc w:val="both"/>
        <w:ind w:right="20" w:firstLine="757"/>
        <w:spacing w:after="0" w:line="244" w:lineRule="auto"/>
        <w:tabs>
          <w:tab w:leader="none" w:pos="101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Award is not part of normal or expected compensation or salary for any purposes, including, but not limited to, calculating any severance, resignation, termination, redundancy, end-of-service payments, bonuses, long-service awards, pension or retirement benefits or similar payments;</w:t>
      </w:r>
    </w:p>
    <w:p>
      <w:pPr>
        <w:spacing w:after="0" w:line="172"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(g)in the event that the Eligible Individual is not an employee of the Company, a Subsidiary, or an Affiliate, the Award will not be interpreted to form an employment contract or relationship with the Company; and</w:t>
      </w:r>
    </w:p>
    <w:p>
      <w:pPr>
        <w:spacing w:after="0" w:line="157"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(h)in consideration of the Award, no claim or entitlement to compensation or damages shall arise from termination of the Award or diminution in value of the Award resulting from the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37" w:lineRule="auto"/>
        <w:rPr>
          <w:sz w:val="20"/>
          <w:szCs w:val="20"/>
          <w:color w:val="auto"/>
        </w:rPr>
      </w:pPr>
      <w:r>
        <w:rPr>
          <w:rFonts w:ascii="Times New Roman" w:cs="Times New Roman" w:eastAsia="Times New Roman" w:hAnsi="Times New Roman"/>
          <w:sz w:val="22"/>
          <w:szCs w:val="22"/>
          <w:color w:val="auto"/>
        </w:rPr>
        <w:t>Eligible Individual’s Termination of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76" w:lineRule="exact"/>
        <w:rPr>
          <w:sz w:val="20"/>
          <w:szCs w:val="20"/>
          <w:color w:val="auto"/>
        </w:rPr>
      </w:pPr>
    </w:p>
    <w:p>
      <w:pPr>
        <w:ind w:left="760" w:hanging="752"/>
        <w:spacing w:after="0"/>
        <w:tabs>
          <w:tab w:leader="none" w:pos="76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Advice Regarding Grant</w:t>
      </w:r>
      <w:r>
        <w:rPr>
          <w:rFonts w:ascii="Times New Roman" w:cs="Times New Roman" w:eastAsia="Times New Roman" w:hAnsi="Times New Roman"/>
          <w:sz w:val="22"/>
          <w:szCs w:val="22"/>
          <w:b w:val="1"/>
          <w:bCs w:val="1"/>
          <w:color w:val="auto"/>
        </w:rPr>
        <w:t>.</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the vesting, settlement or disposition of the Award before taking any action related to the Plan or the Award.</w:t>
      </w:r>
    </w:p>
    <w:p>
      <w:pPr>
        <w:spacing w:after="0" w:line="176" w:lineRule="exact"/>
        <w:rPr>
          <w:sz w:val="20"/>
          <w:szCs w:val="20"/>
          <w:color w:val="auto"/>
        </w:rPr>
      </w:pPr>
    </w:p>
    <w:p>
      <w:pPr>
        <w:ind w:left="760" w:hanging="752"/>
        <w:spacing w:after="0"/>
        <w:tabs>
          <w:tab w:leader="none" w:pos="760"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Notices</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68" w:lineRule="exact"/>
        <w:rPr>
          <w:sz w:val="20"/>
          <w:szCs w:val="20"/>
          <w:color w:val="auto"/>
        </w:rPr>
      </w:pPr>
    </w:p>
    <w:p>
      <w:pPr>
        <w:ind w:left="760" w:hanging="663"/>
        <w:spacing w:after="0"/>
        <w:tabs>
          <w:tab w:leader="none" w:pos="760"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of Agreement; Severability</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8" w:lineRule="exact"/>
        <w:rPr>
          <w:sz w:val="20"/>
          <w:szCs w:val="20"/>
          <w:color w:val="auto"/>
        </w:rPr>
      </w:pPr>
    </w:p>
    <w:p>
      <w:pPr>
        <w:ind w:left="760" w:hanging="663"/>
        <w:spacing w:after="0"/>
        <w:tabs>
          <w:tab w:leader="none" w:pos="76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Laws Applicable to Construction; Consent to Jurisdiction</w:t>
      </w:r>
    </w:p>
    <w:p>
      <w:pPr>
        <w:spacing w:after="0" w:line="209" w:lineRule="exact"/>
        <w:rPr>
          <w:rFonts w:ascii="Times New Roman" w:cs="Times New Roman" w:eastAsia="Times New Roman" w:hAnsi="Times New Roman"/>
          <w:sz w:val="22"/>
          <w:szCs w:val="22"/>
          <w:b w:val="1"/>
          <w:bCs w:val="1"/>
          <w:color w:val="auto"/>
        </w:rPr>
      </w:pPr>
    </w:p>
    <w:p>
      <w:pPr>
        <w:jc w:val="both"/>
        <w:ind w:firstLine="757"/>
        <w:spacing w:after="0" w:line="239" w:lineRule="auto"/>
        <w:tabs>
          <w:tab w:leader="none" w:pos="1018"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PSUs are subject to the terms and conditions of the Plan, which are hereby incorporated by reference.</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(b)Any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75" w:lineRule="exact"/>
        <w:rPr>
          <w:sz w:val="20"/>
          <w:szCs w:val="20"/>
          <w:color w:val="auto"/>
        </w:rPr>
      </w:pPr>
    </w:p>
    <w:p>
      <w:pPr>
        <w:ind w:left="760" w:hanging="663"/>
        <w:spacing w:after="0"/>
        <w:tabs>
          <w:tab w:leader="none" w:pos="76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Conflicts; Interpretation and Correction of Errors</w:t>
      </w:r>
    </w:p>
    <w:p>
      <w:pPr>
        <w:spacing w:after="0" w:line="209" w:lineRule="exact"/>
        <w:rPr>
          <w:rFonts w:ascii="Times New Roman" w:cs="Times New Roman" w:eastAsia="Times New Roman" w:hAnsi="Times New Roman"/>
          <w:sz w:val="22"/>
          <w:szCs w:val="22"/>
          <w:b w:val="1"/>
          <w:bCs w:val="1"/>
          <w:color w:val="auto"/>
        </w:rPr>
      </w:pPr>
    </w:p>
    <w:p>
      <w:pPr>
        <w:ind w:firstLine="757"/>
        <w:spacing w:after="0" w:line="258" w:lineRule="auto"/>
        <w:tabs>
          <w:tab w:leader="none" w:pos="101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(i) conflict between the Grant Details, this Agreement, any information posted on the system of the Plan Administrator and/or the books and records of the</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92" w:name="page93"/>
    <w:bookmarkEnd w:id="92"/>
    <w:p>
      <w:pPr>
        <w:jc w:val="both"/>
        <w:spacing w:after="0" w:line="258" w:lineRule="auto"/>
        <w:rPr>
          <w:sz w:val="20"/>
          <w:szCs w:val="20"/>
          <w:color w:val="auto"/>
        </w:rPr>
      </w:pPr>
      <w:r>
        <w:rPr>
          <w:rFonts w:ascii="Times New Roman" w:cs="Times New Roman" w:eastAsia="Times New Roman" w:hAnsi="Times New Roman"/>
          <w:sz w:val="22"/>
          <w:szCs w:val="22"/>
          <w:color w:val="auto"/>
        </w:rPr>
        <w:t>Company, or (ii) ambiguity in the Grant Details, this Agreement, any information posted on the system of the Plan Administrator and/or the books and records of the Company, the Plan shall control.</w:t>
      </w:r>
    </w:p>
    <w:p>
      <w:pPr>
        <w:spacing w:after="0" w:line="15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(b)The Committee shall have the power to interpret the Plan, this Agreement, the Grant Details and any information posted on the system of the Plan Administrator and/or in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PSUs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4" w:lineRule="exact"/>
        <w:rPr>
          <w:sz w:val="20"/>
          <w:szCs w:val="20"/>
          <w:color w:val="auto"/>
        </w:rPr>
      </w:pPr>
    </w:p>
    <w:p>
      <w:pPr>
        <w:jc w:val="both"/>
        <w:ind w:firstLine="757"/>
        <w:spacing w:after="0" w:line="280" w:lineRule="auto"/>
        <w:tabs>
          <w:tab w:leader="none" w:pos="1018"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34" w:lineRule="exact"/>
        <w:rPr>
          <w:rFonts w:ascii="Times New Roman" w:cs="Times New Roman" w:eastAsia="Times New Roman" w:hAnsi="Times New Roman"/>
          <w:sz w:val="20"/>
          <w:szCs w:val="20"/>
          <w:color w:val="auto"/>
        </w:rPr>
      </w:pPr>
    </w:p>
    <w:p>
      <w:pPr>
        <w:ind w:left="760" w:hanging="663"/>
        <w:spacing w:after="0"/>
        <w:tabs>
          <w:tab w:leader="none" w:pos="760"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Data Privacy</w:t>
      </w:r>
    </w:p>
    <w:p>
      <w:pPr>
        <w:spacing w:after="0" w:line="209" w:lineRule="exact"/>
        <w:rPr>
          <w:sz w:val="20"/>
          <w:szCs w:val="20"/>
          <w:color w:val="auto"/>
        </w:rPr>
      </w:pPr>
    </w:p>
    <w:p>
      <w:pPr>
        <w:jc w:val="both"/>
        <w:ind w:firstLine="839"/>
        <w:spacing w:after="0" w:line="234" w:lineRule="auto"/>
        <w:rPr>
          <w:sz w:val="20"/>
          <w:szCs w:val="20"/>
          <w:color w:val="auto"/>
        </w:rPr>
      </w:pPr>
      <w:r>
        <w:rPr>
          <w:rFonts w:ascii="Times New Roman" w:cs="Times New Roman" w:eastAsia="Times New Roman" w:hAnsi="Times New Roman"/>
          <w:sz w:val="22"/>
          <w:szCs w:val="22"/>
          <w:color w:val="auto"/>
        </w:rPr>
        <w:t>(a)The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security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80" w:lineRule="exact"/>
        <w:rPr>
          <w:sz w:val="20"/>
          <w:szCs w:val="20"/>
          <w:color w:val="auto"/>
        </w:rPr>
      </w:pPr>
    </w:p>
    <w:p>
      <w:pPr>
        <w:jc w:val="both"/>
        <w:ind w:firstLine="839"/>
        <w:spacing w:after="0" w:line="261" w:lineRule="auto"/>
        <w:rPr>
          <w:sz w:val="20"/>
          <w:szCs w:val="20"/>
          <w:color w:val="auto"/>
        </w:rPr>
      </w:pPr>
      <w:r>
        <w:rPr>
          <w:rFonts w:ascii="Times New Roman" w:cs="Times New Roman" w:eastAsia="Times New Roman" w:hAnsi="Times New Roman"/>
          <w:sz w:val="20"/>
          <w:szCs w:val="20"/>
          <w:color w:val="auto"/>
        </w:rPr>
        <w:t>(b)The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Subsidiaries and Affiliates,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3" w:name="page94"/>
    <w:bookmarkEnd w:id="93"/>
    <w:p>
      <w:pPr>
        <w:jc w:val="both"/>
        <w:ind w:firstLine="839"/>
        <w:spacing w:after="0" w:line="236" w:lineRule="auto"/>
        <w:rPr>
          <w:sz w:val="20"/>
          <w:szCs w:val="20"/>
          <w:color w:val="auto"/>
        </w:rPr>
      </w:pPr>
      <w:r>
        <w:rPr>
          <w:rFonts w:ascii="Times New Roman" w:cs="Times New Roman" w:eastAsia="Times New Roman" w:hAnsi="Times New Roman"/>
          <w:sz w:val="22"/>
          <w:szCs w:val="22"/>
          <w:color w:val="auto"/>
        </w:rPr>
        <w:t>(c)The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75" w:lineRule="exact"/>
        <w:rPr>
          <w:sz w:val="20"/>
          <w:szCs w:val="20"/>
          <w:color w:val="auto"/>
        </w:rPr>
      </w:pPr>
    </w:p>
    <w:p>
      <w:pPr>
        <w:ind w:left="760" w:hanging="663"/>
        <w:spacing w:after="0"/>
        <w:tabs>
          <w:tab w:leader="none" w:pos="76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w:t>
      </w:r>
    </w:p>
    <w:p>
      <w:pPr>
        <w:spacing w:after="0" w:line="209" w:lineRule="exact"/>
        <w:rPr>
          <w:sz w:val="20"/>
          <w:szCs w:val="20"/>
          <w:color w:val="auto"/>
        </w:rPr>
      </w:pPr>
    </w:p>
    <w:p>
      <w:pPr>
        <w:jc w:val="both"/>
        <w:ind w:firstLine="839"/>
        <w:spacing w:after="0" w:line="237" w:lineRule="auto"/>
        <w:rPr>
          <w:sz w:val="20"/>
          <w:szCs w:val="20"/>
          <w:color w:val="auto"/>
        </w:rPr>
      </w:pPr>
      <w:r>
        <w:rPr>
          <w:rFonts w:ascii="Times New Roman" w:cs="Times New Roman" w:eastAsia="Times New Roman" w:hAnsi="Times New Roman"/>
          <w:sz w:val="22"/>
          <w:szCs w:val="22"/>
          <w:color w:val="auto"/>
        </w:rPr>
        <w:t>(a)The Company may modify, amend, or waive the terms of this Award, prospectively or retroactively, but no such modification, amendment, or waiver shall materially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80" w:lineRule="exact"/>
        <w:rPr>
          <w:sz w:val="20"/>
          <w:szCs w:val="20"/>
          <w:color w:val="auto"/>
        </w:rPr>
      </w:pPr>
    </w:p>
    <w:p>
      <w:pPr>
        <w:jc w:val="both"/>
        <w:ind w:firstLine="839"/>
        <w:spacing w:after="0" w:line="234" w:lineRule="auto"/>
        <w:rPr>
          <w:sz w:val="20"/>
          <w:szCs w:val="20"/>
          <w:color w:val="auto"/>
        </w:rPr>
      </w:pPr>
      <w:r>
        <w:rPr>
          <w:rFonts w:ascii="Times New Roman" w:cs="Times New Roman" w:eastAsia="Times New Roman" w:hAnsi="Times New Roman"/>
          <w:sz w:val="22"/>
          <w:szCs w:val="22"/>
          <w:color w:val="auto"/>
        </w:rPr>
        <w:t>(b)This Award and payments made pursuant to this Agreement and the Plan are intended to qualify for an exemption from, or comply with,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80" w:lineRule="exact"/>
        <w:rPr>
          <w:sz w:val="20"/>
          <w:szCs w:val="20"/>
          <w:color w:val="auto"/>
        </w:rPr>
      </w:pPr>
    </w:p>
    <w:p>
      <w:pPr>
        <w:ind w:left="760" w:hanging="663"/>
        <w:spacing w:after="0"/>
        <w:tabs>
          <w:tab w:leader="none" w:pos="760" w:val="left"/>
        </w:tabs>
        <w:numPr>
          <w:ilvl w:val="0"/>
          <w:numId w:val="1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Choice of Language</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from the English version in any way, the English version will control.</w:t>
      </w:r>
    </w:p>
    <w:p>
      <w:pPr>
        <w:spacing w:after="0" w:line="175" w:lineRule="exact"/>
        <w:rPr>
          <w:sz w:val="20"/>
          <w:szCs w:val="20"/>
          <w:color w:val="auto"/>
        </w:rPr>
      </w:pPr>
    </w:p>
    <w:p>
      <w:pPr>
        <w:ind w:left="760" w:hanging="663"/>
        <w:spacing w:after="0"/>
        <w:tabs>
          <w:tab w:leader="none" w:pos="760"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Electronic Delivery</w:t>
      </w:r>
    </w:p>
    <w:p>
      <w:pPr>
        <w:spacing w:after="0" w:line="209"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4" w:name="page95"/>
    <w:bookmarkEnd w:id="94"/>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Version March 2024</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6" w:right="339" w:bottom="1440" w:gutter="0" w:footer="0" w:header="0"/>
        </w:sectPr>
      </w:pPr>
    </w:p>
    <w:bookmarkStart w:id="95" w:name="page96"/>
    <w:bookmarkEnd w:id="95"/>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Goldberg, Chief Executive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TripAdvisor, Inc.;</w:t>
      </w:r>
    </w:p>
    <w:p>
      <w:pPr>
        <w:spacing w:after="0" w:line="116"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3"/>
        <w:spacing w:after="0" w:line="265" w:lineRule="auto"/>
        <w:tabs>
          <w:tab w:leader="none" w:pos="10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3"/>
        <w:spacing w:after="0" w:line="312" w:lineRule="auto"/>
        <w:tabs>
          <w:tab w:leader="none" w:pos="1020"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5" w:lineRule="auto"/>
        <w:tabs>
          <w:tab w:leader="none" w:pos="10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3"/>
        <w:spacing w:after="0" w:line="281" w:lineRule="auto"/>
        <w:tabs>
          <w:tab w:leader="none" w:pos="10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1" w:lineRule="auto"/>
        <w:tabs>
          <w:tab w:leader="none" w:pos="102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 Goldberg</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96" w:name="page97"/>
    <w:bookmarkEnd w:id="96"/>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Noonan, Chief Financial Officer of TripAdvisor, Inc. certify that:</w:t>
      </w:r>
    </w:p>
    <w:p>
      <w:pPr>
        <w:spacing w:after="0" w:line="117"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2024 of TripAdvisor, Inc.;</w:t>
      </w:r>
    </w:p>
    <w:p>
      <w:pPr>
        <w:spacing w:after="0" w:line="116"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jc w:val="both"/>
        <w:ind w:left="520" w:right="240" w:hanging="512"/>
        <w:spacing w:after="0" w:line="265" w:lineRule="auto"/>
        <w:tabs>
          <w:tab w:leader="none" w:pos="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020" w:hanging="503"/>
        <w:spacing w:after="0" w:line="265" w:lineRule="auto"/>
        <w:tabs>
          <w:tab w:leader="none" w:pos="1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020" w:right="320" w:hanging="503"/>
        <w:spacing w:after="0" w:line="265" w:lineRule="auto"/>
        <w:tabs>
          <w:tab w:leader="none" w:pos="1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1020" w:right="480" w:hanging="503"/>
        <w:spacing w:after="0" w:line="312" w:lineRule="auto"/>
        <w:tabs>
          <w:tab w:leader="none" w:pos="1020" w:val="left"/>
        </w:tabs>
        <w:numPr>
          <w:ilvl w:val="1"/>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020" w:hanging="503"/>
        <w:spacing w:after="0" w:line="265" w:lineRule="auto"/>
        <w:tabs>
          <w:tab w:leader="none" w:pos="1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520" w:right="220" w:hanging="512"/>
        <w:spacing w:after="0" w:line="281" w:lineRule="auto"/>
        <w:tabs>
          <w:tab w:leader="none" w:pos="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1020" w:right="720" w:hanging="503"/>
        <w:spacing w:after="0" w:line="281" w:lineRule="auto"/>
        <w:tabs>
          <w:tab w:leader="none" w:pos="1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020" w:right="420" w:hanging="503"/>
        <w:spacing w:after="0" w:line="281" w:lineRule="auto"/>
        <w:tabs>
          <w:tab w:leader="none" w:pos="10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Noonan</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97" w:name="page98"/>
    <w:bookmarkEnd w:id="97"/>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March 31, 2024, as filed with the Securities and Exchange Commission on the date hereof (the “Report”), I, Matt Goldberg, Chief Executive Officer of the Company, certify, pursuant to Section 906 of the Sarbanes-Oxley Act of 2002, 18 U.S.C. Section 1350, that:</w:t>
      </w:r>
    </w:p>
    <w:p>
      <w:pPr>
        <w:spacing w:after="0" w:line="69" w:lineRule="exact"/>
        <w:rPr>
          <w:sz w:val="20"/>
          <w:szCs w:val="20"/>
          <w:color w:val="auto"/>
        </w:rPr>
      </w:pPr>
    </w:p>
    <w:p>
      <w:pPr>
        <w:ind w:left="520" w:hanging="512"/>
        <w:spacing w:after="0" w:line="281" w:lineRule="auto"/>
        <w:tabs>
          <w:tab w:leader="none" w:pos="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MATT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 Goldberg</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98" w:name="page99"/>
    <w:bookmarkEnd w:id="98"/>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on Form 10-Q of TripAdvisor, Inc. (the “Company”) for the quarter ended March 31, 2024, as filed with the Securities and Exchange Commission on the date hereof (the “Report”), I, Michael Noonan, Chief Financial Officer of the Company, certify, pursuant to Section 906 of the Sarbanes-Oxley Act of 2002, 18 U.S.C. Section 1350, that:</w:t>
      </w:r>
    </w:p>
    <w:p>
      <w:pPr>
        <w:spacing w:after="0" w:line="69" w:lineRule="exact"/>
        <w:rPr>
          <w:sz w:val="20"/>
          <w:szCs w:val="20"/>
          <w:color w:val="auto"/>
        </w:rPr>
      </w:pPr>
    </w:p>
    <w:p>
      <w:pPr>
        <w:ind w:left="520" w:hanging="512"/>
        <w:spacing w:after="0" w:line="281" w:lineRule="auto"/>
        <w:tabs>
          <w:tab w:leader="none" w:pos="5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which this statement accompanies fully complies with the requirements of Section 13(a) or 15(d) of the Securities Exchange Act of 1934, as amended; and</w:t>
      </w:r>
    </w:p>
    <w:p>
      <w:pPr>
        <w:spacing w:after="0" w:line="54"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p>
      <w:pPr>
        <w:ind w:left="20"/>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8, 2024</w:t>
      </w:r>
      <w:r>
        <w:rPr>
          <w:sz w:val="20"/>
          <w:szCs w:val="20"/>
          <w:color w:val="auto"/>
        </w:rPr>
        <w:tab/>
      </w:r>
      <w:r>
        <w:rPr>
          <w:rFonts w:ascii="Times New Roman" w:cs="Times New Roman" w:eastAsia="Times New Roman" w:hAnsi="Times New Roman"/>
          <w:sz w:val="17"/>
          <w:szCs w:val="17"/>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Noonan</w:t>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4" w:right="37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1)"/>
      <w:numFmt w:val="decimal"/>
      <w:start w:val="1"/>
    </w:lvl>
  </w:abstractNum>
  <w:abstractNum w:abstractNumId="3">
    <w:nsid w:val="15014ACB"/>
    <w:multiLevelType w:val="hybridMultilevel"/>
    <w:lvl w:ilvl="0">
      <w:lvlJc w:val="left"/>
      <w:lvlText w:val="(%1)"/>
      <w:numFmt w:val="decimal"/>
      <w:start w:val="1"/>
    </w:lvl>
  </w:abstractNum>
  <w:abstractNum w:abstractNumId="4">
    <w:nsid w:val="5F5E7FD0"/>
    <w:multiLevelType w:val="hybridMultilevel"/>
    <w:lvl w:ilvl="0">
      <w:lvlJc w:val="left"/>
      <w:lvlText w:val="(%1)"/>
      <w:numFmt w:val="decimal"/>
      <w:start w:val="1"/>
    </w:lvl>
  </w:abstractNum>
  <w:abstractNum w:abstractNumId="5">
    <w:nsid w:val="98A3148"/>
    <w:multiLevelType w:val="hybridMultilevel"/>
    <w:lvl w:ilvl="0">
      <w:lvlJc w:val="left"/>
      <w:lvlText w:val="(%1)"/>
      <w:numFmt w:val="decimal"/>
      <w:start w:val="1"/>
    </w:lvl>
  </w:abstractNum>
  <w:abstractNum w:abstractNumId="6">
    <w:nsid w:val="799D0247"/>
    <w:multiLevelType w:val="hybridMultilevel"/>
    <w:lvl w:ilvl="0">
      <w:lvlJc w:val="left"/>
      <w:lvlText w:val="(%1)"/>
      <w:numFmt w:val="decimal"/>
      <w:start w:val="1"/>
    </w:lvl>
  </w:abstractNum>
  <w:abstractNum w:abstractNumId="7">
    <w:nsid w:val="6B94764"/>
    <w:multiLevelType w:val="hybridMultilevel"/>
    <w:lvl w:ilvl="0">
      <w:lvlJc w:val="left"/>
      <w:lvlText w:val="(%1)"/>
      <w:numFmt w:val="decimal"/>
      <w:start w:val="1"/>
    </w:lvl>
  </w:abstractNum>
  <w:abstractNum w:abstractNumId="8">
    <w:nsid w:val="42C296BD"/>
    <w:multiLevelType w:val="hybridMultilevel"/>
    <w:lvl w:ilvl="0">
      <w:lvlJc w:val="left"/>
      <w:lvlText w:val="(%1)"/>
      <w:numFmt w:val="decimal"/>
      <w:start w:val="3"/>
    </w:lvl>
  </w:abstractNum>
  <w:abstractNum w:abstractNumId="9">
    <w:nsid w:val="168E121F"/>
    <w:multiLevelType w:val="hybridMultilevel"/>
    <w:lvl w:ilvl="0">
      <w:lvlJc w:val="left"/>
      <w:lvlText w:val="(%1)"/>
      <w:numFmt w:val="decimal"/>
      <w:start w:val="1"/>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1)"/>
      <w:numFmt w:val="decimal"/>
      <w:start w:val="1"/>
    </w:lvl>
  </w:abstractNum>
  <w:abstractNum w:abstractNumId="12">
    <w:nsid w:val="5DC79EA8"/>
    <w:multiLevelType w:val="hybridMultilevel"/>
    <w:lvl w:ilvl="0">
      <w:lvlJc w:val="left"/>
      <w:lvlText w:val="(%1)"/>
      <w:numFmt w:val="decimal"/>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
      <w:numFmt w:val="bullet"/>
      <w:start w:val="1"/>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
      <w:numFmt w:val="bullet"/>
      <w:start w:val="1"/>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1)"/>
      <w:numFmt w:val="decimal"/>
      <w:start w:val="1"/>
    </w:lvl>
  </w:abstractNum>
  <w:abstractNum w:abstractNumId="19">
    <w:nsid w:val="42963E5A"/>
    <w:multiLevelType w:val="hybridMultilevel"/>
    <w:lvl w:ilvl="0">
      <w:lvlJc w:val="left"/>
      <w:lvlText w:val="(%1)"/>
      <w:numFmt w:val="decimal"/>
      <w:start w:val="1"/>
    </w:lvl>
  </w:abstractNum>
  <w:abstractNum w:abstractNumId="20">
    <w:nsid w:val="A0382C5"/>
    <w:multiLevelType w:val="hybridMultilevel"/>
    <w:lvl w:ilvl="0">
      <w:lvlJc w:val="left"/>
      <w:lvlText w:val="(%1)"/>
      <w:numFmt w:val="decimal"/>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1)"/>
      <w:numFmt w:val="decimal"/>
      <w:start w:val="1"/>
    </w:lvl>
  </w:abstractNum>
  <w:abstractNum w:abstractNumId="24">
    <w:nsid w:val="68EB2F63"/>
    <w:multiLevelType w:val="hybridMultilevel"/>
    <w:lvl w:ilvl="0">
      <w:lvlJc w:val="left"/>
      <w:lvlText w:val="+"/>
      <w:numFmt w:val="bullet"/>
      <w:start w:val="1"/>
    </w:lvl>
    <w:lvl w:ilvl="1">
      <w:lvlJc w:val="left"/>
      <w:lvlText w:val="%2"/>
      <w:numFmt w:val="decimal"/>
      <w:start w:val="104"/>
    </w:lvl>
  </w:abstractNum>
  <w:abstractNum w:abstractNumId="25">
    <w:nsid w:val="4962813B"/>
    <w:multiLevelType w:val="hybridMultilevel"/>
    <w:lvl w:ilvl="0">
      <w:lvlJc w:val="left"/>
      <w:lvlText w:val="%1."/>
      <w:numFmt w:val="decimal"/>
      <w:start w:val="1"/>
    </w:lvl>
    <w:lvl w:ilvl="1">
      <w:lvlJc w:val="left"/>
      <w:lvlText w:val="(%2)"/>
      <w:numFmt w:val="lowerLetter"/>
      <w:start w:val="1"/>
    </w:lvl>
  </w:abstractNum>
  <w:abstractNum w:abstractNumId="26">
    <w:nsid w:val="60B6DF70"/>
    <w:multiLevelType w:val="hybridMultilevel"/>
    <w:lvl w:ilvl="0">
      <w:lvlJc w:val="left"/>
      <w:lvlText w:val="%1."/>
      <w:numFmt w:val="decimal"/>
      <w:start w:val="3"/>
    </w:lvl>
  </w:abstractNum>
  <w:abstractNum w:abstractNumId="27">
    <w:nsid w:val="6A5EE64"/>
    <w:multiLevelType w:val="hybridMultilevel"/>
    <w:lvl w:ilvl="0">
      <w:lvlJc w:val="left"/>
      <w:lvlText w:val="%1."/>
      <w:numFmt w:val="decimal"/>
      <w:start w:val="4"/>
    </w:lvl>
  </w:abstractNum>
  <w:abstractNum w:abstractNumId="28">
    <w:nsid w:val="14330624"/>
    <w:multiLevelType w:val="hybridMultilevel"/>
    <w:lvl w:ilvl="0">
      <w:lvlJc w:val="left"/>
      <w:lvlText w:val="(%1)"/>
      <w:numFmt w:val="lowerLetter"/>
      <w:start w:val="2"/>
    </w:lvl>
  </w:abstractNum>
  <w:abstractNum w:abstractNumId="29">
    <w:nsid w:val="7FFFCA11"/>
    <w:multiLevelType w:val="hybridMultilevel"/>
    <w:lvl w:ilvl="0">
      <w:lvlJc w:val="left"/>
      <w:lvlText w:val="%1."/>
      <w:numFmt w:val="decimal"/>
      <w:start w:val="5"/>
    </w:lvl>
  </w:abstractNum>
  <w:abstractNum w:abstractNumId="30">
    <w:nsid w:val="1A27709E"/>
    <w:multiLevelType w:val="hybridMultilevel"/>
    <w:lvl w:ilvl="0">
      <w:lvlJc w:val="left"/>
      <w:lvlText w:val="%1."/>
      <w:numFmt w:val="decimal"/>
      <w:start w:val="6"/>
    </w:lvl>
  </w:abstractNum>
  <w:abstractNum w:abstractNumId="31">
    <w:nsid w:val="71EA1109"/>
    <w:multiLevelType w:val="hybridMultilevel"/>
    <w:lvl w:ilvl="0">
      <w:lvlJc w:val="left"/>
      <w:lvlText w:val="%1."/>
      <w:numFmt w:val="decimal"/>
      <w:start w:val="7"/>
    </w:lvl>
  </w:abstractNum>
  <w:abstractNum w:abstractNumId="32">
    <w:nsid w:val="100F59DC"/>
    <w:multiLevelType w:val="hybridMultilevel"/>
    <w:lvl w:ilvl="0">
      <w:lvlJc w:val="left"/>
      <w:lvlText w:val="%1."/>
      <w:numFmt w:val="decimal"/>
      <w:start w:val="8"/>
    </w:lvl>
  </w:abstractNum>
  <w:abstractNum w:abstractNumId="33">
    <w:nsid w:val="7FB7E0AA"/>
    <w:multiLevelType w:val="hybridMultilevel"/>
    <w:lvl w:ilvl="0">
      <w:lvlJc w:val="left"/>
      <w:lvlText w:val="%1."/>
      <w:numFmt w:val="decimal"/>
      <w:start w:val="9"/>
    </w:lvl>
    <w:lvl w:ilvl="1">
      <w:lvlJc w:val="left"/>
      <w:lvlText w:val="(%2)"/>
      <w:numFmt w:val="lowerLetter"/>
      <w:start w:val="1"/>
    </w:lvl>
  </w:abstractNum>
  <w:abstractNum w:abstractNumId="34">
    <w:nsid w:val="6EB5BD4"/>
    <w:multiLevelType w:val="hybridMultilevel"/>
    <w:lvl w:ilvl="0">
      <w:lvlJc w:val="left"/>
      <w:lvlText w:val="(%1)"/>
      <w:numFmt w:val="lowerLetter"/>
      <w:start w:val="9"/>
    </w:lvl>
  </w:abstractNum>
  <w:abstractNum w:abstractNumId="35">
    <w:nsid w:val="6F6DD9AC"/>
    <w:multiLevelType w:val="hybridMultilevel"/>
    <w:lvl w:ilvl="0">
      <w:lvlJc w:val="left"/>
      <w:lvlText w:val="%1"/>
      <w:numFmt w:val="decimal"/>
      <w:start w:val="1"/>
    </w:lvl>
    <w:lvl w:ilvl="1">
      <w:lvlJc w:val="left"/>
      <w:lvlText w:val="(%2)"/>
      <w:numFmt w:val="lowerLetter"/>
      <w:start w:val="12"/>
    </w:lvl>
  </w:abstractNum>
  <w:abstractNum w:abstractNumId="36">
    <w:nsid w:val="94211F2"/>
    <w:multiLevelType w:val="hybridMultilevel"/>
    <w:lvl w:ilvl="0">
      <w:lvlJc w:val="left"/>
      <w:lvlText w:val="%1."/>
      <w:numFmt w:val="decimal"/>
      <w:start w:val="11"/>
    </w:lvl>
    <w:lvl w:ilvl="1">
      <w:lvlJc w:val="left"/>
      <w:lvlText w:val="%2"/>
      <w:numFmt w:val="lowerLetter"/>
      <w:start w:val="1"/>
    </w:lvl>
  </w:abstractNum>
  <w:abstractNum w:abstractNumId="37">
    <w:nsid w:val="885E1B"/>
    <w:multiLevelType w:val="hybridMultilevel"/>
    <w:lvl w:ilvl="0">
      <w:lvlJc w:val="left"/>
      <w:lvlText w:val="%1."/>
      <w:numFmt w:val="decimal"/>
      <w:start w:val="12"/>
    </w:lvl>
  </w:abstractNum>
  <w:abstractNum w:abstractNumId="38">
    <w:nsid w:val="76272110"/>
    <w:multiLevelType w:val="hybridMultilevel"/>
    <w:lvl w:ilvl="0">
      <w:lvlJc w:val="left"/>
      <w:lvlText w:val="%1."/>
      <w:numFmt w:val="decimal"/>
      <w:start w:val="13"/>
    </w:lvl>
  </w:abstractNum>
  <w:abstractNum w:abstractNumId="39">
    <w:nsid w:val="4C04A8AF"/>
    <w:multiLevelType w:val="hybridMultilevel"/>
    <w:lvl w:ilvl="0">
      <w:lvlJc w:val="left"/>
      <w:lvlText w:val="%1."/>
      <w:numFmt w:val="decimal"/>
      <w:start w:val="14"/>
    </w:lvl>
  </w:abstractNum>
  <w:abstractNum w:abstractNumId="40">
    <w:nsid w:val="1716703B"/>
    <w:multiLevelType w:val="hybridMultilevel"/>
    <w:lvl w:ilvl="0">
      <w:lvlJc w:val="left"/>
      <w:lvlText w:val="%1."/>
      <w:numFmt w:val="decimal"/>
      <w:start w:val="15"/>
    </w:lvl>
  </w:abstractNum>
  <w:abstractNum w:abstractNumId="41">
    <w:nsid w:val="14E17E33"/>
    <w:multiLevelType w:val="hybridMultilevel"/>
    <w:lvl w:ilvl="0">
      <w:lvlJc w:val="left"/>
      <w:lvlText w:val="%1."/>
      <w:numFmt w:val="decimal"/>
      <w:start w:val="16"/>
    </w:lvl>
  </w:abstractNum>
  <w:abstractNum w:abstractNumId="42">
    <w:nsid w:val="3222E7CD"/>
    <w:multiLevelType w:val="hybridMultilevel"/>
    <w:lvl w:ilvl="0">
      <w:lvlJc w:val="left"/>
      <w:lvlText w:val="%1."/>
      <w:numFmt w:val="decimal"/>
      <w:start w:val="17"/>
    </w:lvl>
  </w:abstractNum>
  <w:abstractNum w:abstractNumId="43">
    <w:nsid w:val="74DE0EE3"/>
    <w:multiLevelType w:val="hybridMultilevel"/>
    <w:lvl w:ilvl="0">
      <w:lvlJc w:val="left"/>
      <w:lvlText w:val="%1."/>
      <w:numFmt w:val="decimal"/>
      <w:start w:val="18"/>
    </w:lvl>
  </w:abstractNum>
  <w:abstractNum w:abstractNumId="44">
    <w:nsid w:val="68EBC550"/>
    <w:multiLevelType w:val="hybridMultilevel"/>
    <w:lvl w:ilvl="0">
      <w:lvlJc w:val="left"/>
      <w:lvlText w:val="%1."/>
      <w:numFmt w:val="decimal"/>
      <w:start w:val="19"/>
    </w:lvl>
  </w:abstractNum>
  <w:abstractNum w:abstractNumId="45">
    <w:nsid w:val="2DF6D648"/>
    <w:multiLevelType w:val="hybridMultilevel"/>
    <w:lvl w:ilvl="0">
      <w:lvlJc w:val="left"/>
      <w:lvlText w:val="%1."/>
      <w:numFmt w:val="decimal"/>
      <w:start w:val="1"/>
    </w:lvl>
    <w:lvl w:ilvl="1">
      <w:lvlJc w:val="left"/>
      <w:lvlText w:val="(%2)"/>
      <w:numFmt w:val="lowerLetter"/>
      <w:start w:val="1"/>
    </w:lvl>
  </w:abstractNum>
  <w:abstractNum w:abstractNumId="46">
    <w:nsid w:val="46B7D447"/>
    <w:multiLevelType w:val="hybridMultilevel"/>
    <w:lvl w:ilvl="0">
      <w:lvlJc w:val="left"/>
      <w:lvlText w:val="%1."/>
      <w:numFmt w:val="decimal"/>
      <w:start w:val="3"/>
    </w:lvl>
  </w:abstractNum>
  <w:abstractNum w:abstractNumId="47">
    <w:nsid w:val="4A2AC315"/>
    <w:multiLevelType w:val="hybridMultilevel"/>
    <w:lvl w:ilvl="0">
      <w:lvlJc w:val="left"/>
      <w:lvlText w:val="%1."/>
      <w:numFmt w:val="decimal"/>
      <w:start w:val="4"/>
    </w:lvl>
  </w:abstractNum>
  <w:abstractNum w:abstractNumId="48">
    <w:nsid w:val="39EE015C"/>
    <w:multiLevelType w:val="hybridMultilevel"/>
    <w:lvl w:ilvl="0">
      <w:lvlJc w:val="left"/>
      <w:lvlText w:val="(%1)"/>
      <w:numFmt w:val="lowerLetter"/>
      <w:start w:val="2"/>
    </w:lvl>
  </w:abstractNum>
  <w:abstractNum w:abstractNumId="49">
    <w:nsid w:val="57FC4FBB"/>
    <w:multiLevelType w:val="hybridMultilevel"/>
    <w:lvl w:ilvl="0">
      <w:lvlJc w:val="left"/>
      <w:lvlText w:val="%1."/>
      <w:numFmt w:val="decimal"/>
      <w:start w:val="5"/>
    </w:lvl>
  </w:abstractNum>
  <w:abstractNum w:abstractNumId="50">
    <w:nsid w:val="CC1016F"/>
    <w:multiLevelType w:val="hybridMultilevel"/>
    <w:lvl w:ilvl="0">
      <w:lvlJc w:val="left"/>
      <w:lvlText w:val="%1."/>
      <w:numFmt w:val="decimal"/>
      <w:start w:val="6"/>
    </w:lvl>
  </w:abstractNum>
  <w:abstractNum w:abstractNumId="51">
    <w:nsid w:val="43F18422"/>
    <w:multiLevelType w:val="hybridMultilevel"/>
    <w:lvl w:ilvl="0">
      <w:lvlJc w:val="left"/>
      <w:lvlText w:val="%1."/>
      <w:numFmt w:val="decimal"/>
      <w:start w:val="7"/>
    </w:lvl>
  </w:abstractNum>
  <w:abstractNum w:abstractNumId="52">
    <w:nsid w:val="60EF0119"/>
    <w:multiLevelType w:val="hybridMultilevel"/>
    <w:lvl w:ilvl="0">
      <w:lvlJc w:val="left"/>
      <w:lvlText w:val="%1."/>
      <w:numFmt w:val="decimal"/>
      <w:start w:val="8"/>
    </w:lvl>
  </w:abstractNum>
  <w:abstractNum w:abstractNumId="53">
    <w:nsid w:val="26F324BA"/>
    <w:multiLevelType w:val="hybridMultilevel"/>
    <w:lvl w:ilvl="0">
      <w:lvlJc w:val="left"/>
      <w:lvlText w:val="%1."/>
      <w:numFmt w:val="decimal"/>
      <w:start w:val="9"/>
    </w:lvl>
    <w:lvl w:ilvl="1">
      <w:lvlJc w:val="left"/>
      <w:lvlText w:val="(%2)"/>
      <w:numFmt w:val="lowerLetter"/>
      <w:start w:val="1"/>
    </w:lvl>
  </w:abstractNum>
  <w:abstractNum w:abstractNumId="54">
    <w:nsid w:val="7F01579B"/>
    <w:multiLevelType w:val="hybridMultilevel"/>
    <w:lvl w:ilvl="0">
      <w:lvlJc w:val="left"/>
      <w:lvlText w:val="(%1)"/>
      <w:numFmt w:val="lowerLetter"/>
      <w:start w:val="9"/>
    </w:lvl>
  </w:abstractNum>
  <w:abstractNum w:abstractNumId="55">
    <w:nsid w:val="49DA307D"/>
    <w:multiLevelType w:val="hybridMultilevel"/>
    <w:lvl w:ilvl="0">
      <w:lvlJc w:val="left"/>
      <w:lvlText w:val="(%1)"/>
      <w:numFmt w:val="lowerLetter"/>
      <w:start w:val="12"/>
    </w:lvl>
  </w:abstractNum>
  <w:abstractNum w:abstractNumId="56">
    <w:nsid w:val="7055A5F5"/>
    <w:multiLevelType w:val="hybridMultilevel"/>
    <w:lvl w:ilvl="0">
      <w:lvlJc w:val="left"/>
      <w:lvlText w:val="%1."/>
      <w:numFmt w:val="decimal"/>
      <w:start w:val="11"/>
    </w:lvl>
  </w:abstractNum>
  <w:abstractNum w:abstractNumId="57">
    <w:nsid w:val="5FB8370B"/>
    <w:multiLevelType w:val="hybridMultilevel"/>
    <w:lvl w:ilvl="0">
      <w:lvlJc w:val="left"/>
      <w:lvlText w:val="%1."/>
      <w:numFmt w:val="decimal"/>
      <w:start w:val="12"/>
    </w:lvl>
  </w:abstractNum>
  <w:abstractNum w:abstractNumId="58">
    <w:nsid w:val="50801EE1"/>
    <w:multiLevelType w:val="hybridMultilevel"/>
    <w:lvl w:ilvl="0">
      <w:lvlJc w:val="left"/>
      <w:lvlText w:val="%1."/>
      <w:numFmt w:val="decimal"/>
      <w:start w:val="13"/>
    </w:lvl>
  </w:abstractNum>
  <w:abstractNum w:abstractNumId="59">
    <w:nsid w:val="488AC1A"/>
    <w:multiLevelType w:val="hybridMultilevel"/>
    <w:lvl w:ilvl="0">
      <w:lvlJc w:val="left"/>
      <w:lvlText w:val="%1."/>
      <w:numFmt w:val="decimal"/>
      <w:start w:val="14"/>
    </w:lvl>
  </w:abstractNum>
  <w:abstractNum w:abstractNumId="60">
    <w:nsid w:val="5FB8011C"/>
    <w:multiLevelType w:val="hybridMultilevel"/>
    <w:lvl w:ilvl="0">
      <w:lvlJc w:val="left"/>
      <w:lvlText w:val="%1."/>
      <w:numFmt w:val="decimal"/>
      <w:start w:val="15"/>
    </w:lvl>
  </w:abstractNum>
  <w:abstractNum w:abstractNumId="61">
    <w:nsid w:val="6AA78F7F"/>
    <w:multiLevelType w:val="hybridMultilevel"/>
    <w:lvl w:ilvl="0">
      <w:lvlJc w:val="left"/>
      <w:lvlText w:val="%1."/>
      <w:numFmt w:val="decimal"/>
      <w:start w:val="16"/>
    </w:lvl>
  </w:abstractNum>
  <w:abstractNum w:abstractNumId="62">
    <w:nsid w:val="7672BD23"/>
    <w:multiLevelType w:val="hybridMultilevel"/>
    <w:lvl w:ilvl="0">
      <w:lvlJc w:val="left"/>
      <w:lvlText w:val="%1."/>
      <w:numFmt w:val="decimal"/>
      <w:start w:val="17"/>
    </w:lvl>
  </w:abstractNum>
  <w:abstractNum w:abstractNumId="63">
    <w:nsid w:val="6FC75AF8"/>
    <w:multiLevelType w:val="hybridMultilevel"/>
    <w:lvl w:ilvl="0">
      <w:lvlJc w:val="left"/>
      <w:lvlText w:val="%1."/>
      <w:numFmt w:val="decimal"/>
      <w:start w:val="18"/>
    </w:lvl>
  </w:abstractNum>
  <w:abstractNum w:abstractNumId="64">
    <w:nsid w:val="6A5F7029"/>
    <w:multiLevelType w:val="hybridMultilevel"/>
    <w:lvl w:ilvl="0">
      <w:lvlJc w:val="left"/>
      <w:lvlText w:val="%1."/>
      <w:numFmt w:val="decimal"/>
      <w:start w:val="19"/>
    </w:lvl>
  </w:abstractNum>
  <w:abstractNum w:abstractNumId="65">
    <w:nsid w:val="7D5E18F8"/>
    <w:multiLevelType w:val="hybridMultilevel"/>
    <w:lvl w:ilvl="0">
      <w:lvlJc w:val="left"/>
      <w:lvlText w:val="%1."/>
      <w:numFmt w:val="decimal"/>
      <w:start w:val="20"/>
    </w:lvl>
  </w:abstractNum>
  <w:abstractNum w:abstractNumId="66">
    <w:nsid w:val="5F3534A4"/>
    <w:multiLevelType w:val="hybridMultilevel"/>
    <w:lvl w:ilvl="0">
      <w:lvlJc w:val="left"/>
      <w:lvlText w:val="%1."/>
      <w:numFmt w:val="decimal"/>
      <w:start w:val="22"/>
    </w:lvl>
  </w:abstractNum>
  <w:abstractNum w:abstractNumId="67">
    <w:nsid w:val="73A1821B"/>
    <w:multiLevelType w:val="hybridMultilevel"/>
    <w:lvl w:ilvl="0">
      <w:lvlJc w:val="left"/>
      <w:lvlText w:val="(%1)"/>
      <w:numFmt w:val="lowerLetter"/>
      <w:start w:val="2"/>
    </w:lvl>
  </w:abstractNum>
  <w:abstractNum w:abstractNumId="68">
    <w:nsid w:val="7DE67713"/>
    <w:multiLevelType w:val="hybridMultilevel"/>
    <w:lvl w:ilvl="0">
      <w:lvlJc w:val="left"/>
      <w:lvlText w:val="%1."/>
      <w:numFmt w:val="decimal"/>
      <w:start w:val="1"/>
    </w:lvl>
    <w:lvl w:ilvl="1">
      <w:lvlJc w:val="left"/>
      <w:lvlText w:val="(%2)"/>
      <w:numFmt w:val="lowerLetter"/>
      <w:start w:val="1"/>
    </w:lvl>
  </w:abstractNum>
  <w:abstractNum w:abstractNumId="69">
    <w:nsid w:val="555C55B5"/>
    <w:multiLevelType w:val="hybridMultilevel"/>
    <w:lvl w:ilvl="0">
      <w:lvlJc w:val="left"/>
      <w:lvlText w:val="%1."/>
      <w:numFmt w:val="decimal"/>
      <w:start w:val="3"/>
    </w:lvl>
  </w:abstractNum>
  <w:abstractNum w:abstractNumId="70">
    <w:nsid w:val="3FA62ACA"/>
    <w:multiLevelType w:val="hybridMultilevel"/>
    <w:lvl w:ilvl="0">
      <w:lvlJc w:val="left"/>
      <w:lvlText w:val="%1."/>
      <w:numFmt w:val="decimal"/>
      <w:start w:val="4"/>
    </w:lvl>
  </w:abstractNum>
  <w:abstractNum w:abstractNumId="71">
    <w:nsid w:val="14FCE74E"/>
    <w:multiLevelType w:val="hybridMultilevel"/>
    <w:lvl w:ilvl="0">
      <w:lvlJc w:val="left"/>
      <w:lvlText w:val="(%1)"/>
      <w:numFmt w:val="lowerLetter"/>
      <w:start w:val="2"/>
    </w:lvl>
  </w:abstractNum>
  <w:abstractNum w:abstractNumId="72">
    <w:nsid w:val="6A3DD3E8"/>
    <w:multiLevelType w:val="hybridMultilevel"/>
    <w:lvl w:ilvl="0">
      <w:lvlJc w:val="left"/>
      <w:lvlText w:val="%1."/>
      <w:numFmt w:val="decimal"/>
      <w:start w:val="5"/>
    </w:lvl>
  </w:abstractNum>
  <w:abstractNum w:abstractNumId="73">
    <w:nsid w:val="71C91298"/>
    <w:multiLevelType w:val="hybridMultilevel"/>
    <w:lvl w:ilvl="0">
      <w:lvlJc w:val="left"/>
      <w:lvlText w:val="(%1)"/>
      <w:numFmt w:val="lowerLetter"/>
      <w:start w:val="1"/>
    </w:lvl>
    <w:lvl w:ilvl="1">
      <w:lvlJc w:val="left"/>
      <w:lvlText w:val="(%2)"/>
      <w:numFmt w:val="lowerRoman"/>
      <w:start w:val="1"/>
    </w:lvl>
  </w:abstractNum>
  <w:abstractNum w:abstractNumId="74">
    <w:nsid w:val="9DAF632"/>
    <w:multiLevelType w:val="hybridMultilevel"/>
    <w:lvl w:ilvl="0">
      <w:lvlJc w:val="left"/>
      <w:lvlText w:val="(%1)"/>
      <w:numFmt w:val="lowerLetter"/>
      <w:start w:val="2"/>
    </w:lvl>
  </w:abstractNum>
  <w:abstractNum w:abstractNumId="75">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6">
    <w:nsid w:val="1FBFE8E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7">
    <w:nsid w:val="5092CA7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8">
    <w:nsid w:val="1D545C4D"/>
    <w:multiLevelType w:val="hybridMultilevel"/>
    <w:lvl w:ilvl="0">
      <w:lvlJc w:val="left"/>
      <w:lvlText w:val="%1."/>
      <w:numFmt w:val="decimal"/>
      <w:start w:val="7"/>
    </w:lvl>
  </w:abstractNum>
  <w:abstractNum w:abstractNumId="79">
    <w:nsid w:val="59ADEA3D"/>
    <w:multiLevelType w:val="hybridMultilevel"/>
    <w:lvl w:ilvl="0">
      <w:lvlJc w:val="left"/>
      <w:lvlText w:val="%1."/>
      <w:numFmt w:val="decimal"/>
      <w:start w:val="8"/>
    </w:lvl>
  </w:abstractNum>
  <w:abstractNum w:abstractNumId="80">
    <w:nsid w:val="288F1A34"/>
    <w:multiLevelType w:val="hybridMultilevel"/>
    <w:lvl w:ilvl="0">
      <w:lvlJc w:val="left"/>
      <w:lvlText w:val="%1."/>
      <w:numFmt w:val="decimal"/>
      <w:start w:val="9"/>
    </w:lvl>
  </w:abstractNum>
  <w:abstractNum w:abstractNumId="81">
    <w:nsid w:val="2A155DB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2">
    <w:nsid w:val="1D9F6E5F"/>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83">
    <w:nsid w:val="97E1B4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84">
    <w:nsid w:val="51088277"/>
    <w:multiLevelType w:val="hybridMultilevel"/>
    <w:lvl w:ilvl="0">
      <w:lvlJc w:val="left"/>
      <w:lvlText w:val="%1"/>
      <w:numFmt w:val="decimal"/>
      <w:start w:val="1"/>
    </w:lvl>
    <w:lvl w:ilvl="1">
      <w:lvlJc w:val="left"/>
      <w:lvlText w:val="(%2)"/>
      <w:numFmt w:val="lowerLetter"/>
      <w:start w:val="3"/>
    </w:lvl>
  </w:abstractNum>
  <w:abstractNum w:abstractNumId="85">
    <w:nsid w:val="1CA0C5FA"/>
    <w:multiLevelType w:val="hybridMultilevel"/>
    <w:lvl w:ilvl="0">
      <w:lvlJc w:val="left"/>
      <w:lvlText w:val="%1."/>
      <w:numFmt w:val="decimal"/>
      <w:start w:val="11"/>
    </w:lvl>
    <w:lvl w:ilvl="1">
      <w:lvlJc w:val="left"/>
      <w:lvlText w:val="%2"/>
      <w:numFmt w:val="lowerLetter"/>
      <w:start w:val="1"/>
    </w:lvl>
  </w:abstractNum>
  <w:abstractNum w:abstractNumId="86">
    <w:nsid w:val="53584BCB"/>
    <w:multiLevelType w:val="hybridMultilevel"/>
    <w:lvl w:ilvl="0">
      <w:lvlJc w:val="left"/>
      <w:lvlText w:val="(%1)"/>
      <w:numFmt w:val="lowerLetter"/>
      <w:start w:val="9"/>
    </w:lvl>
  </w:abstractNum>
  <w:abstractNum w:abstractNumId="87">
    <w:nsid w:val="415E286C"/>
    <w:multiLevelType w:val="hybridMultilevel"/>
    <w:lvl w:ilvl="0">
      <w:lvlJc w:val="left"/>
      <w:lvlText w:val="(%1)"/>
      <w:numFmt w:val="lowerLetter"/>
      <w:start w:val="12"/>
    </w:lvl>
  </w:abstractNum>
  <w:abstractNum w:abstractNumId="88">
    <w:nsid w:val="7C58FD05"/>
    <w:multiLevelType w:val="hybridMultilevel"/>
    <w:lvl w:ilvl="0">
      <w:lvlJc w:val="left"/>
      <w:lvlText w:val="%1."/>
      <w:numFmt w:val="decimal"/>
      <w:start w:val="12"/>
    </w:lvl>
  </w:abstractNum>
  <w:abstractNum w:abstractNumId="89">
    <w:nsid w:val="23D86AAC"/>
    <w:multiLevelType w:val="hybridMultilevel"/>
    <w:lvl w:ilvl="0">
      <w:lvlJc w:val="left"/>
      <w:lvlText w:val="%1."/>
      <w:numFmt w:val="decimal"/>
      <w:start w:val="13"/>
    </w:lvl>
  </w:abstractNum>
  <w:abstractNum w:abstractNumId="90">
    <w:nsid w:val="45E6D486"/>
    <w:multiLevelType w:val="hybridMultilevel"/>
    <w:lvl w:ilvl="0">
      <w:lvlJc w:val="left"/>
      <w:lvlText w:val="%1."/>
      <w:numFmt w:val="decimal"/>
      <w:start w:val="14"/>
    </w:lvl>
  </w:abstractNum>
  <w:abstractNum w:abstractNumId="91">
    <w:nsid w:val="5C10FE21"/>
    <w:multiLevelType w:val="hybridMultilevel"/>
    <w:lvl w:ilvl="0">
      <w:lvlJc w:val="left"/>
      <w:lvlText w:val="%1."/>
      <w:numFmt w:val="decimal"/>
      <w:start w:val="15"/>
    </w:lvl>
  </w:abstractNum>
  <w:abstractNum w:abstractNumId="92">
    <w:nsid w:val="E7FFA2B"/>
    <w:multiLevelType w:val="hybridMultilevel"/>
    <w:lvl w:ilvl="0">
      <w:lvlJc w:val="left"/>
      <w:lvlText w:val="%1."/>
      <w:numFmt w:val="decimal"/>
      <w:start w:val="16"/>
    </w:lvl>
  </w:abstractNum>
  <w:abstractNum w:abstractNumId="93">
    <w:nsid w:val="3C5991AA"/>
    <w:multiLevelType w:val="hybridMultilevel"/>
    <w:lvl w:ilvl="0">
      <w:lvlJc w:val="left"/>
      <w:lvlText w:val="(%1)"/>
      <w:numFmt w:val="lowerLetter"/>
      <w:start w:val="1"/>
    </w:lvl>
  </w:abstractNum>
  <w:abstractNum w:abstractNumId="94">
    <w:nsid w:val="4BD8591A"/>
    <w:multiLevelType w:val="hybridMultilevel"/>
    <w:lvl w:ilvl="0">
      <w:lvlJc w:val="left"/>
      <w:lvlText w:val="%1."/>
      <w:numFmt w:val="decimal"/>
      <w:start w:val="17"/>
    </w:lvl>
  </w:abstractNum>
  <w:abstractNum w:abstractNumId="95">
    <w:nsid w:val="78DF6A55"/>
    <w:multiLevelType w:val="hybridMultilevel"/>
    <w:lvl w:ilvl="0">
      <w:lvlJc w:val="left"/>
      <w:lvlText w:val="%1."/>
      <w:numFmt w:val="decimal"/>
      <w:start w:val="18"/>
    </w:lvl>
  </w:abstractNum>
  <w:abstractNum w:abstractNumId="96">
    <w:nsid w:val="39B7AAA2"/>
    <w:multiLevelType w:val="hybridMultilevel"/>
    <w:lvl w:ilvl="0">
      <w:lvlJc w:val="left"/>
      <w:lvlText w:val="%1."/>
      <w:numFmt w:val="decimal"/>
      <w:start w:val="20"/>
    </w:lvl>
  </w:abstractNum>
  <w:abstractNum w:abstractNumId="97">
    <w:nsid w:val="2B0D8DBE"/>
    <w:multiLevelType w:val="hybridMultilevel"/>
    <w:lvl w:ilvl="0">
      <w:lvlJc w:val="left"/>
      <w:lvlText w:val="%1."/>
      <w:numFmt w:val="decimal"/>
      <w:start w:val="21"/>
    </w:lvl>
  </w:abstractNum>
  <w:abstractNum w:abstractNumId="98">
    <w:nsid w:val="6C80EC70"/>
    <w:multiLevelType w:val="hybridMultilevel"/>
    <w:lvl w:ilvl="0">
      <w:lvlJc w:val="left"/>
      <w:lvlText w:val="(%1)"/>
      <w:numFmt w:val="lowerLetter"/>
      <w:start w:val="1"/>
    </w:lvl>
    <w:lvl w:ilvl="1">
      <w:lvlJc w:val="left"/>
      <w:lvlText w:val="(%2)"/>
      <w:numFmt w:val="lowerRoman"/>
      <w:start w:val="1"/>
    </w:lvl>
  </w:abstractNum>
  <w:abstractNum w:abstractNumId="99">
    <w:nsid w:val="379E21B5"/>
    <w:multiLevelType w:val="hybridMultilevel"/>
    <w:lvl w:ilvl="0">
      <w:lvlJc w:val="left"/>
      <w:lvlText w:val="(%1)"/>
      <w:numFmt w:val="lowerLetter"/>
      <w:start w:val="2"/>
    </w:lvl>
  </w:abstractNum>
  <w:abstractNum w:abstractNumId="100">
    <w:nsid w:val="69E373"/>
    <w:multiLevelType w:val="hybridMultilevel"/>
    <w:lvl w:ilvl="0">
      <w:lvlJc w:val="left"/>
      <w:lvlText w:val="%1."/>
      <w:numFmt w:val="decimal"/>
      <w:start w:val="1"/>
    </w:lvl>
    <w:lvl w:ilvl="1">
      <w:lvlJc w:val="left"/>
      <w:lvlText w:val="(%2)"/>
      <w:numFmt w:val="lowerLetter"/>
      <w:start w:val="1"/>
    </w:lvl>
  </w:abstractNum>
  <w:abstractNum w:abstractNumId="101">
    <w:nsid w:val="2C27173B"/>
    <w:multiLevelType w:val="hybridMultilevel"/>
    <w:lvl w:ilvl="0">
      <w:lvlJc w:val="left"/>
      <w:lvlText w:val="(%1)"/>
      <w:numFmt w:val="lowerLetter"/>
      <w:start w:val="3"/>
    </w:lvl>
  </w:abstractNum>
  <w:abstractNum w:abstractNumId="102">
    <w:nsid w:val="4C9B0904"/>
    <w:multiLevelType w:val="hybridMultilevel"/>
    <w:lvl w:ilvl="0">
      <w:lvlJc w:val="left"/>
      <w:lvlText w:val="%1."/>
      <w:numFmt w:val="decimal"/>
      <w:start w:val="2"/>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decimal"/>
      <w:start w:val="3"/>
    </w:lvl>
  </w:abstractNum>
  <w:abstractNum w:abstractNumId="105">
    <w:nsid w:val="5675FF36"/>
    <w:multiLevelType w:val="hybridMultilevel"/>
    <w:lvl w:ilvl="0">
      <w:lvlJc w:val="left"/>
      <w:lvlText w:val="%1."/>
      <w:numFmt w:val="decimal"/>
      <w:start w:val="4"/>
    </w:lvl>
  </w:abstractNum>
  <w:abstractNum w:abstractNumId="106">
    <w:nsid w:val="3DD15094"/>
    <w:multiLevelType w:val="hybridMultilevel"/>
    <w:lvl w:ilvl="0">
      <w:lvlJc w:val="left"/>
      <w:lvlText w:val="%1."/>
      <w:numFmt w:val="decimal"/>
      <w:start w:val="5"/>
    </w:lvl>
  </w:abstractNum>
  <w:abstractNum w:abstractNumId="107">
    <w:nsid w:val="3DB012B3"/>
    <w:multiLevelType w:val="hybridMultilevel"/>
    <w:lvl w:ilvl="0">
      <w:lvlJc w:val="left"/>
      <w:lvlText w:val="%1."/>
      <w:numFmt w:val="decimal"/>
      <w:start w:val="6"/>
    </w:lvl>
  </w:abstractNum>
  <w:abstractNum w:abstractNumId="108">
    <w:nsid w:val="2708C9AF"/>
    <w:multiLevelType w:val="hybridMultilevel"/>
    <w:lvl w:ilvl="0">
      <w:lvlJc w:val="left"/>
      <w:lvlText w:val="%1."/>
      <w:numFmt w:val="decimal"/>
      <w:start w:val="7"/>
    </w:lvl>
    <w:lvl w:ilvl="1">
      <w:lvlJc w:val="left"/>
      <w:lvlText w:val="(%2)"/>
      <w:numFmt w:val="lowerLetter"/>
      <w:start w:val="1"/>
    </w:lvl>
  </w:abstractNum>
  <w:abstractNum w:abstractNumId="109">
    <w:nsid w:val="5B25ACE2"/>
    <w:multiLevelType w:val="hybridMultilevel"/>
    <w:lvl w:ilvl="0">
      <w:lvlJc w:val="left"/>
      <w:lvlText w:val="(%1)"/>
      <w:numFmt w:val="lowerLetter"/>
      <w:start w:val="3"/>
    </w:lvl>
    <w:lvl w:ilvl="1">
      <w:lvlJc w:val="left"/>
      <w:lvlText w:val="(%2)"/>
      <w:numFmt w:val="lowerRoman"/>
      <w:start w:val="1"/>
    </w:lvl>
  </w:abstractNum>
  <w:abstractNum w:abstractNumId="110">
    <w:nsid w:val="175DFCF0"/>
    <w:multiLevelType w:val="hybridMultilevel"/>
    <w:lvl w:ilvl="0">
      <w:lvlJc w:val="left"/>
      <w:lvlText w:val="(%1)"/>
      <w:numFmt w:val="lowerRoman"/>
      <w:start w:val="2"/>
    </w:lvl>
  </w:abstractNum>
  <w:abstractNum w:abstractNumId="111">
    <w:nsid w:val="4F97E3E4"/>
    <w:multiLevelType w:val="hybridMultilevel"/>
    <w:lvl w:ilvl="0">
      <w:lvlJc w:val="left"/>
      <w:lvlText w:val="%1"/>
      <w:numFmt w:val="decimal"/>
      <w:start w:val="1"/>
    </w:lvl>
    <w:lvl w:ilvl="1">
      <w:lvlJc w:val="left"/>
      <w:lvlText w:val="(%2)"/>
      <w:numFmt w:val="lowerLetter"/>
      <w:start w:val="5"/>
    </w:lvl>
  </w:abstractNum>
  <w:abstractNum w:abstractNumId="112">
    <w:nsid w:val="53B0A9E"/>
    <w:multiLevelType w:val="hybridMultilevel"/>
    <w:lvl w:ilvl="0">
      <w:lvlJc w:val="left"/>
      <w:lvlText w:val="%1."/>
      <w:numFmt w:val="decimal"/>
      <w:start w:val="8"/>
    </w:lvl>
    <w:lvl w:ilvl="1">
      <w:lvlJc w:val="left"/>
      <w:lvlText w:val="%2"/>
      <w:numFmt w:val="lowerLetter"/>
      <w:start w:val="1"/>
    </w:lvl>
  </w:abstractNum>
  <w:abstractNum w:abstractNumId="113">
    <w:nsid w:val="34FD6B4F"/>
    <w:multiLevelType w:val="hybridMultilevel"/>
    <w:lvl w:ilvl="0">
      <w:lvlJc w:val="left"/>
      <w:lvlText w:val="%1."/>
      <w:numFmt w:val="decimal"/>
      <w:start w:val="9"/>
    </w:lvl>
  </w:abstractNum>
  <w:abstractNum w:abstractNumId="114">
    <w:nsid w:val="5915FF32"/>
    <w:multiLevelType w:val="hybridMultilevel"/>
    <w:lvl w:ilvl="0">
      <w:lvlJc w:val="left"/>
      <w:lvlText w:val="%1."/>
      <w:numFmt w:val="decimal"/>
      <w:start w:val="10"/>
    </w:lvl>
    <w:lvl w:ilvl="1">
      <w:lvlJc w:val="left"/>
      <w:lvlText w:val="(%2)"/>
      <w:numFmt w:val="lowerLetter"/>
      <w:start w:val="1"/>
    </w:lvl>
  </w:abstractNum>
  <w:abstractNum w:abstractNumId="115">
    <w:nsid w:val="56438D15"/>
    <w:multiLevelType w:val="hybridMultilevel"/>
    <w:lvl w:ilvl="0">
      <w:lvlJc w:val="left"/>
      <w:lvlText w:val="%1"/>
      <w:numFmt w:val="decimal"/>
      <w:start w:val="1"/>
    </w:lvl>
    <w:lvl w:ilvl="1">
      <w:lvlJc w:val="left"/>
      <w:lvlText w:val="(%2)"/>
      <w:numFmt w:val="lowerLetter"/>
      <w:start w:val="3"/>
    </w:lvl>
  </w:abstractNum>
  <w:abstractNum w:abstractNumId="116">
    <w:nsid w:val="519E3149"/>
    <w:multiLevelType w:val="hybridMultilevel"/>
    <w:lvl w:ilvl="0">
      <w:lvlJc w:val="left"/>
      <w:lvlText w:val="%1."/>
      <w:numFmt w:val="decimal"/>
      <w:start w:val="11"/>
    </w:lvl>
    <w:lvl w:ilvl="1">
      <w:lvlJc w:val="left"/>
      <w:lvlText w:val="(%2)"/>
      <w:numFmt w:val="lowerLetter"/>
      <w:start w:val="1"/>
    </w:lvl>
  </w:abstractNum>
  <w:abstractNum w:abstractNumId="117">
    <w:nsid w:val="2C6E4AFD"/>
    <w:multiLevelType w:val="hybridMultilevel"/>
    <w:lvl w:ilvl="0">
      <w:lvlJc w:val="left"/>
      <w:lvlText w:val="%1"/>
      <w:numFmt w:val="decimal"/>
      <w:start w:val="1"/>
    </w:lvl>
    <w:lvl w:ilvl="1">
      <w:lvlJc w:val="left"/>
      <w:lvlText w:val="(%2)"/>
      <w:numFmt w:val="lowerLetter"/>
      <w:start w:val="2"/>
    </w:lvl>
  </w:abstractNum>
  <w:abstractNum w:abstractNumId="118">
    <w:nsid w:val="17A1B582"/>
    <w:multiLevelType w:val="hybridMultilevel"/>
    <w:lvl w:ilvl="0">
      <w:lvlJc w:val="left"/>
      <w:lvlText w:val="%1."/>
      <w:numFmt w:val="decimal"/>
      <w:start w:val="12"/>
    </w:lvl>
    <w:lvl w:ilvl="1">
      <w:lvlJc w:val="left"/>
      <w:lvlText w:val="%2"/>
      <w:numFmt w:val="lowerLetter"/>
      <w:start w:val="1"/>
    </w:lvl>
  </w:abstractNum>
  <w:abstractNum w:abstractNumId="119">
    <w:nsid w:val="4DF72E4E"/>
    <w:multiLevelType w:val="hybridMultilevel"/>
    <w:lvl w:ilvl="0">
      <w:lvlJc w:val="left"/>
      <w:lvlText w:val="(%1)"/>
      <w:numFmt w:val="lowerLetter"/>
      <w:start w:val="1"/>
    </w:lvl>
  </w:abstractNum>
  <w:abstractNum w:abstractNumId="120">
    <w:nsid w:val="5046B5A9"/>
    <w:multiLevelType w:val="hybridMultilevel"/>
    <w:lvl w:ilvl="0">
      <w:lvlJc w:val="left"/>
      <w:lvlText w:val="(%1)"/>
      <w:numFmt w:val="lowerLetter"/>
      <w:start w:val="5"/>
    </w:lvl>
  </w:abstractNum>
  <w:abstractNum w:abstractNumId="121">
    <w:nsid w:val="5D888A08"/>
    <w:multiLevelType w:val="hybridMultilevel"/>
    <w:lvl w:ilvl="0">
      <w:lvlJc w:val="left"/>
      <w:lvlText w:val="%1."/>
      <w:numFmt w:val="decimal"/>
      <w:start w:val="13"/>
    </w:lvl>
  </w:abstractNum>
  <w:abstractNum w:abstractNumId="122">
    <w:nsid w:val="2A082C70"/>
    <w:multiLevelType w:val="hybridMultilevel"/>
    <w:lvl w:ilvl="0">
      <w:lvlJc w:val="left"/>
      <w:lvlText w:val="%1."/>
      <w:numFmt w:val="decimal"/>
      <w:start w:val="14"/>
    </w:lvl>
  </w:abstractNum>
  <w:abstractNum w:abstractNumId="123">
    <w:nsid w:val="5EC6AFD4"/>
    <w:multiLevelType w:val="hybridMultilevel"/>
    <w:lvl w:ilvl="0">
      <w:lvlJc w:val="left"/>
      <w:lvlText w:val="%1."/>
      <w:numFmt w:val="decimal"/>
      <w:start w:val="15"/>
    </w:lvl>
  </w:abstractNum>
  <w:abstractNum w:abstractNumId="124">
    <w:nsid w:val="19E21BB2"/>
    <w:multiLevelType w:val="hybridMultilevel"/>
    <w:lvl w:ilvl="0">
      <w:lvlJc w:val="left"/>
      <w:lvlText w:val="%1."/>
      <w:numFmt w:val="decimal"/>
      <w:start w:val="16"/>
    </w:lvl>
    <w:lvl w:ilvl="1">
      <w:lvlJc w:val="left"/>
      <w:lvlText w:val="(%2)"/>
      <w:numFmt w:val="lowerLetter"/>
      <w:start w:val="1"/>
    </w:lvl>
  </w:abstractNum>
  <w:abstractNum w:abstractNumId="125">
    <w:nsid w:val="75E0858A"/>
    <w:multiLevelType w:val="hybridMultilevel"/>
    <w:lvl w:ilvl="0">
      <w:lvlJc w:val="left"/>
      <w:lvlText w:val="%1."/>
      <w:numFmt w:val="decimal"/>
      <w:start w:val="17"/>
    </w:lvl>
    <w:lvl w:ilvl="1">
      <w:lvlJc w:val="left"/>
      <w:lvlText w:val="(%2)"/>
      <w:numFmt w:val="lowerLetter"/>
      <w:start w:val="1"/>
    </w:lvl>
  </w:abstractNum>
  <w:abstractNum w:abstractNumId="126">
    <w:nsid w:val="57A61A29"/>
    <w:multiLevelType w:val="hybridMultilevel"/>
    <w:lvl w:ilvl="0">
      <w:lvlJc w:val="left"/>
      <w:lvlText w:val="%1"/>
      <w:numFmt w:val="decimal"/>
      <w:start w:val="1"/>
    </w:lvl>
    <w:lvl w:ilvl="1">
      <w:lvlJc w:val="left"/>
      <w:lvlText w:val="(%2)"/>
      <w:numFmt w:val="lowerLetter"/>
      <w:start w:val="3"/>
    </w:lvl>
  </w:abstractNum>
  <w:abstractNum w:abstractNumId="127">
    <w:nsid w:val="5399C654"/>
    <w:multiLevelType w:val="hybridMultilevel"/>
    <w:lvl w:ilvl="0">
      <w:lvlJc w:val="left"/>
      <w:lvlText w:val="%1."/>
      <w:numFmt w:val="decimal"/>
      <w:start w:val="18"/>
    </w:lvl>
    <w:lvl w:ilvl="1">
      <w:lvlJc w:val="left"/>
      <w:lvlText w:val="%2"/>
      <w:numFmt w:val="lowerLetter"/>
      <w:start w:val="1"/>
    </w:lvl>
  </w:abstractNum>
  <w:abstractNum w:abstractNumId="128">
    <w:nsid w:val="20EE1348"/>
    <w:multiLevelType w:val="hybridMultilevel"/>
    <w:lvl w:ilvl="0">
      <w:lvlJc w:val="left"/>
      <w:lvlText w:val="%1."/>
      <w:numFmt w:val="decimal"/>
      <w:start w:val="19"/>
    </w:lvl>
  </w:abstractNum>
  <w:abstractNum w:abstractNumId="129">
    <w:nsid w:val="4427069A"/>
    <w:multiLevelType w:val="hybridMultilevel"/>
    <w:lvl w:ilvl="0">
      <w:lvlJc w:val="left"/>
      <w:lvlText w:val="%1."/>
      <w:numFmt w:val="decimal"/>
      <w:start w:val="20"/>
    </w:lvl>
  </w:abstractNum>
  <w:abstractNum w:abstractNumId="130">
    <w:nsid w:val="B37E80A"/>
    <w:multiLevelType w:val="hybridMultilevel"/>
    <w:lvl w:ilvl="0">
      <w:lvlJc w:val="left"/>
      <w:lvlText w:val="%1."/>
      <w:numFmt w:val="decimal"/>
      <w:start w:val="21"/>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2024-05-08T06:17:15Z</dcterms:created>
  <dcterms:modified xsi:type="dcterms:W3CDTF">2024-05-08T06:17:15Z</dcterms:modified>
</cp:coreProperties>
</file>