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left="520" w:right="260" w:hanging="512"/>
        <w:spacing w:after="0" w:line="262"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520" w:right="280" w:hanging="512"/>
        <w:spacing w:after="0" w:line="245"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p>
      <w:pPr>
        <w:ind w:left="33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3648710</wp:posOffset>
            </wp:positionH>
            <wp:positionV relativeFrom="paragraph">
              <wp:posOffset>-5080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001-35362</w:t>
      </w: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p>
      <w:pPr>
        <w:spacing w:after="0" w:line="33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80-0743202</w:t>
      </w:r>
    </w:p>
    <w:p>
      <w:pPr>
        <w:spacing w:after="0" w:line="23" w:lineRule="exact"/>
        <w:rPr>
          <w:sz w:val="24"/>
          <w:szCs w:val="24"/>
          <w:color w:val="auto"/>
        </w:rPr>
      </w:pPr>
    </w:p>
    <w:p>
      <w:pPr>
        <w:sectPr>
          <w:pgSz w:w="11900" w:h="16838" w:orient="portrait"/>
          <w:cols w:equalWidth="0" w:num="2">
            <w:col w:w="8020" w:space="720"/>
            <w:col w:w="2500"/>
          </w:cols>
          <w:pgMar w:left="320" w:top="848"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900" w:space="720"/>
            <w:col w:w="2620"/>
          </w:cols>
          <w:pgMar w:left="320" w:top="848" w:right="339" w:bottom="1440" w:gutter="0" w:footer="0" w:header="0"/>
          <w:type w:val="continuous"/>
        </w:sectPr>
      </w:pPr>
    </w:p>
    <w:p>
      <w:pPr>
        <w:ind w:left="5060"/>
        <w:spacing w:after="0"/>
        <w:rPr>
          <w:sz w:val="20"/>
          <w:szCs w:val="20"/>
          <w:color w:val="auto"/>
        </w:rPr>
      </w:pPr>
      <w:r>
        <w:rPr>
          <w:rFonts w:ascii="Times New Roman" w:cs="Times New Roman" w:eastAsia="Times New Roman" w:hAnsi="Times New Roman"/>
          <w:sz w:val="18"/>
          <w:szCs w:val="18"/>
          <w:b w:val="1"/>
          <w:bCs w:val="1"/>
          <w:color w:val="auto"/>
        </w:rPr>
        <w:t>400 1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8"/>
          <w:szCs w:val="18"/>
          <w:b w:val="1"/>
          <w:bCs w:val="1"/>
          <w:color w:val="auto"/>
        </w:rPr>
        <w:t xml:space="preserve"> Avenue</w:t>
      </w:r>
    </w:p>
    <w:p>
      <w:pPr>
        <w:spacing w:after="0" w:line="6"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Needham, MA 02494</w:t>
      </w:r>
    </w:p>
    <w:p>
      <w:pPr>
        <w:sectPr>
          <w:pgSz w:w="11900" w:h="16838" w:orient="portrait"/>
          <w:cols w:equalWidth="0" w:num="1">
            <w:col w:w="11240"/>
          </w:cols>
          <w:pgMar w:left="320" w:top="848" w:right="339" w:bottom="1440" w:gutter="0" w:footer="0" w:header="0"/>
          <w:type w:val="continuous"/>
        </w:sectPr>
      </w:pP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690" w:type="dxa"/>
        <w:tblCellMar>
          <w:top w:w="0" w:type="dxa"/>
          <w:left w:w="0" w:type="dxa"/>
          <w:bottom w:w="0" w:type="dxa"/>
          <w:right w:w="0" w:type="dxa"/>
        </w:tblCellMar>
      </w:tblPr>
      <w:tr>
        <w:trPr>
          <w:trHeight w:val="236"/>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25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250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TRIP</w:t>
            </w:r>
          </w:p>
        </w:tc>
        <w:tc>
          <w:tcPr>
            <w:tcW w:w="48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Nasdaq</w:t>
            </w:r>
          </w:p>
        </w:tc>
      </w:tr>
    </w:tbl>
    <w:p>
      <w:pPr>
        <w:spacing w:after="0" w:line="94"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74"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96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2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3"/>
        </w:trPr>
        <w:tc>
          <w:tcPr>
            <w:tcW w:w="79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color w:val="auto"/>
              </w:rPr>
              <w:t>Class</w:t>
            </w:r>
          </w:p>
        </w:tc>
        <w:tc>
          <w:tcPr>
            <w:tcW w:w="32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Outstanding Shares at May 1, 2026</w:t>
            </w:r>
          </w:p>
        </w:tc>
        <w:tc>
          <w:tcPr>
            <w:tcW w:w="0" w:type="dxa"/>
            <w:vAlign w:val="bottom"/>
          </w:tcPr>
          <w:p>
            <w:pPr>
              <w:spacing w:after="0"/>
              <w:rPr>
                <w:sz w:val="1"/>
                <w:szCs w:val="1"/>
                <w:color w:val="auto"/>
              </w:rPr>
            </w:pPr>
          </w:p>
        </w:tc>
      </w:tr>
      <w:tr>
        <w:trPr>
          <w:trHeight w:val="20"/>
        </w:trPr>
        <w:tc>
          <w:tcPr>
            <w:tcW w:w="698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60" w:type="dxa"/>
            <w:vAlign w:val="bottom"/>
          </w:tcPr>
          <w:p>
            <w:pPr>
              <w:jc w:val="center"/>
              <w:ind w:right="759"/>
              <w:spacing w:after="0"/>
              <w:rPr>
                <w:sz w:val="20"/>
                <w:szCs w:val="20"/>
                <w:color w:val="auto"/>
              </w:rPr>
            </w:pPr>
            <w:r>
              <w:rPr>
                <w:rFonts w:ascii="Times New Roman" w:cs="Times New Roman" w:eastAsia="Times New Roman" w:hAnsi="Times New Roman"/>
                <w:sz w:val="18"/>
                <w:szCs w:val="18"/>
                <w:color w:val="auto"/>
                <w:w w:val="98"/>
              </w:rPr>
              <w:t>116,361,169 shares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6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0"/>
        </w:trPr>
        <w:tc>
          <w:tcPr>
            <w:tcW w:w="6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08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60" w:type="dxa"/>
            <w:vAlign w:val="bottom"/>
          </w:tcPr>
          <w:p>
            <w:pPr>
              <w:spacing w:after="0"/>
              <w:rPr>
                <w:sz w:val="18"/>
                <w:szCs w:val="18"/>
                <w:color w:val="auto"/>
              </w:rPr>
            </w:pPr>
          </w:p>
        </w:tc>
      </w:tr>
      <w:tr>
        <w:trPr>
          <w:trHeight w:val="351"/>
        </w:trPr>
        <w:tc>
          <w:tcPr>
            <w:tcW w:w="10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Unaudited Condensed Consolidated Financial Statements</w:t>
            </w:r>
          </w:p>
        </w:tc>
        <w:tc>
          <w:tcPr>
            <w:tcW w:w="360" w:type="dxa"/>
            <w:vAlign w:val="bottom"/>
          </w:tcPr>
          <w:p>
            <w:pPr>
              <w:spacing w:after="0"/>
              <w:rPr>
                <w:sz w:val="24"/>
                <w:szCs w:val="24"/>
                <w:color w:val="auto"/>
              </w:rPr>
            </w:pPr>
          </w:p>
        </w:tc>
      </w:tr>
      <w:tr>
        <w:trPr>
          <w:trHeight w:val="311"/>
        </w:trPr>
        <w:tc>
          <w:tcPr>
            <w:tcW w:w="520" w:type="dxa"/>
            <w:vAlign w:val="bottom"/>
          </w:tcPr>
          <w:p>
            <w:pPr>
              <w:spacing w:after="0"/>
              <w:rPr>
                <w:sz w:val="24"/>
                <w:szCs w:val="24"/>
                <w:color w:val="auto"/>
              </w:rPr>
            </w:pPr>
          </w:p>
        </w:tc>
        <w:tc>
          <w:tcPr>
            <w:tcW w:w="10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March 31, 2026 and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Months Ended March 31, 2026 and 2025</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Balance Sheets at March 31, 2026 and December 31, 2025</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for the Three Months Ended March 31, 2026 and 2025</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March 31, 2026 and 2025</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0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6"/>
        </w:trPr>
        <w:tc>
          <w:tcPr>
            <w:tcW w:w="702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8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34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20" w:type="dxa"/>
            <w:vAlign w:val="bottom"/>
            <w:tcBorders>
              <w:top w:val="single" w:sz="8" w:color="0000FF"/>
            </w:tcBorders>
            <w:gridSpan w:val="2"/>
          </w:tcPr>
          <w:p>
            <w:pPr>
              <w:spacing w:after="0"/>
              <w:rPr>
                <w:sz w:val="17"/>
                <w:szCs w:val="17"/>
                <w:color w:val="auto"/>
              </w:rPr>
            </w:pPr>
          </w:p>
        </w:tc>
        <w:tc>
          <w:tcPr>
            <w:tcW w:w="60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412"/>
        </w:trPr>
        <w:tc>
          <w:tcPr>
            <w:tcW w:w="1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892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98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6"/>
        </w:trPr>
        <w:tc>
          <w:tcPr>
            <w:tcW w:w="16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928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08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49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98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234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Borders>
              <w:top w:val="single" w:sz="8" w:color="0000FF"/>
            </w:tcBorders>
          </w:tcPr>
          <w:p>
            <w:pPr>
              <w:spacing w:after="0"/>
              <w:rPr>
                <w:sz w:val="17"/>
                <w:szCs w:val="17"/>
                <w:color w:val="auto"/>
              </w:rPr>
            </w:pPr>
          </w:p>
        </w:tc>
        <w:tc>
          <w:tcPr>
            <w:tcW w:w="80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8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90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08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1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972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(Note 3)</w:t>
            </w:r>
          </w:p>
        </w:tc>
        <w:tc>
          <w:tcPr>
            <w:tcW w:w="176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as shown separately below)</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(including stock-based compensation of $20.7 and $27.9, respectively)</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 related reorganization costs (Note 5)</w:t>
            </w:r>
          </w:p>
        </w:tc>
        <w:tc>
          <w:tcPr>
            <w:tcW w:w="7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10"/>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7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10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10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70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w:t>
            </w:r>
          </w:p>
        </w:tc>
        <w:tc>
          <w:tcPr>
            <w:tcW w:w="10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 (Note 7)</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8"/>
                <w:szCs w:val="18"/>
                <w:color w:val="auto"/>
              </w:rPr>
            </w:pPr>
          </w:p>
        </w:tc>
      </w:tr>
      <w:tr>
        <w:trPr>
          <w:trHeight w:val="20"/>
        </w:trPr>
        <w:tc>
          <w:tcPr>
            <w:tcW w:w="70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Pr>
          <w:p>
            <w:pPr>
              <w:spacing w:after="0"/>
              <w:rPr>
                <w:sz w:val="18"/>
                <w:szCs w:val="18"/>
                <w:color w:val="auto"/>
              </w:rPr>
            </w:pP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7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attributable to common stockholders (Note 11):</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76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(0.28)</w:t>
            </w:r>
          </w:p>
        </w:tc>
        <w:tc>
          <w:tcPr>
            <w:tcW w:w="100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76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(0.28)</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(Note 11):</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-2253615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-1414145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3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translation adjustments, net of tax </w:t>
            </w:r>
            <w:r>
              <w:rPr>
                <w:rFonts w:ascii="Times New Roman" w:cs="Times New Roman" w:eastAsia="Times New Roman" w:hAnsi="Times New Roman"/>
                <w:sz w:val="24"/>
                <w:szCs w:val="24"/>
                <w:color w:val="auto"/>
                <w:vertAlign w:val="superscript"/>
              </w:rPr>
              <w:t>(1)</w:t>
            </w:r>
          </w:p>
        </w:tc>
        <w:tc>
          <w:tcPr>
            <w:tcW w:w="8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r>
      <w:tr>
        <w:trPr>
          <w:trHeight w:val="20"/>
        </w:trPr>
        <w:tc>
          <w:tcPr>
            <w:tcW w:w="83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8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4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9"/>
                <w:szCs w:val="19"/>
                <w:color w:val="auto"/>
              </w:rPr>
            </w:pPr>
          </w:p>
        </w:tc>
      </w:tr>
      <w:tr>
        <w:trPr>
          <w:trHeight w:val="20"/>
        </w:trPr>
        <w:tc>
          <w:tcPr>
            <w:tcW w:w="8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-316230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ind w:left="840" w:hanging="383"/>
        <w:spacing w:after="0"/>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income tax liabilities related to these amounts are not material.</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9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 (Note 4)</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1,034.9</w:t>
            </w: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$28.5 and $27.4, respectively (Note 4)</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20" w:type="dxa"/>
            <w:vAlign w:val="bottom"/>
          </w:tcPr>
          <w:p>
            <w:pPr>
              <w:spacing w:after="0"/>
              <w:rPr>
                <w:sz w:val="17"/>
                <w:szCs w:val="17"/>
                <w:color w:val="auto"/>
              </w:rPr>
            </w:pPr>
          </w:p>
        </w:tc>
      </w:tr>
      <w:tr>
        <w:trPr>
          <w:trHeight w:val="203"/>
        </w:trPr>
        <w:tc>
          <w:tcPr>
            <w:tcW w:w="8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1,290.7</w:t>
            </w:r>
          </w:p>
        </w:tc>
        <w:tc>
          <w:tcPr>
            <w:tcW w:w="120" w:type="dxa"/>
            <w:vAlign w:val="bottom"/>
          </w:tcPr>
          <w:p>
            <w:pPr>
              <w:spacing w:after="0"/>
              <w:rPr>
                <w:sz w:val="17"/>
                <w:szCs w:val="17"/>
                <w:color w:val="auto"/>
              </w:rPr>
            </w:pPr>
          </w:p>
        </w:tc>
      </w:tr>
      <w:tr>
        <w:trPr>
          <w:trHeight w:val="202"/>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$634.6 and $620.2, respectively</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Intangible assets, net of accumulated amortization of $198.8 and $199.6, respectively</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843.9</w:t>
            </w: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Non-marketable investments (Note 4)</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Pr>
          <w:p>
            <w:pPr>
              <w:spacing w:after="0"/>
              <w:rPr>
                <w:sz w:val="17"/>
                <w:szCs w:val="17"/>
                <w:color w:val="auto"/>
              </w:rPr>
            </w:pPr>
          </w:p>
        </w:tc>
      </w:tr>
      <w:tr>
        <w:trPr>
          <w:trHeight w:val="203"/>
        </w:trPr>
        <w:tc>
          <w:tcPr>
            <w:tcW w:w="8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long-term assets, net of allowance for expected credit losses of $10.0 and $10.0, respectively (Note 4)</w:t>
            </w: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2,725.5</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2,625.4</w:t>
            </w:r>
          </w:p>
        </w:tc>
        <w:tc>
          <w:tcPr>
            <w:tcW w:w="120" w:type="dxa"/>
            <w:vAlign w:val="bottom"/>
          </w:tcPr>
          <w:p>
            <w:pPr>
              <w:spacing w:after="0"/>
              <w:rPr>
                <w:sz w:val="17"/>
                <w:szCs w:val="17"/>
                <w:color w:val="auto"/>
              </w:rPr>
            </w:pP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 (Note 3)</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Current portion of debt (Note 6)</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 payable (Note 7)</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7"/>
                <w:szCs w:val="17"/>
                <w:color w:val="auto"/>
              </w:rPr>
            </w:pPr>
          </w:p>
        </w:tc>
      </w:tr>
      <w:tr>
        <w:trPr>
          <w:trHeight w:val="203"/>
        </w:trPr>
        <w:tc>
          <w:tcPr>
            <w:tcW w:w="8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 (Note 5)</w:t>
            </w: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Long-term debt (Note 6)</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817.5</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819.0</w:t>
            </w: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obligation, net of current portion</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r>
      <w:tr>
        <w:trPr>
          <w:trHeight w:val="203"/>
        </w:trPr>
        <w:tc>
          <w:tcPr>
            <w:tcW w:w="8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2,101.8</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1,980.5</w:t>
            </w:r>
          </w:p>
        </w:tc>
        <w:tc>
          <w:tcPr>
            <w:tcW w:w="120" w:type="dxa"/>
            <w:vAlign w:val="bottom"/>
          </w:tcPr>
          <w:p>
            <w:pPr>
              <w:spacing w:after="0"/>
              <w:rPr>
                <w:sz w:val="17"/>
                <w:szCs w:val="17"/>
                <w:color w:val="auto"/>
              </w:rPr>
            </w:pPr>
          </w:p>
        </w:tc>
      </w:tr>
      <w:tr>
        <w:trPr>
          <w:trHeight w:val="196"/>
        </w:trPr>
        <w:tc>
          <w:tcPr>
            <w:tcW w:w="8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 (Note 10)</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22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 issued and outstanding: 0 and 0</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Shares issued: 122,399,761 and 120,577,305, respectively</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 outstanding: 116,294,499 and 114,472,043, respectively</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20" w:type="dxa"/>
            <w:vAlign w:val="bottom"/>
            <w:shd w:val="clear" w:color="auto" w:fill="CFF0FC"/>
          </w:tcPr>
          <w:p>
            <w:pPr>
              <w:spacing w:after="0"/>
              <w:rPr>
                <w:sz w:val="17"/>
                <w:szCs w:val="17"/>
                <w:color w:val="auto"/>
              </w:rPr>
            </w:pPr>
          </w:p>
        </w:tc>
      </w:tr>
      <w:tr>
        <w:trPr>
          <w:trHeight w:val="202"/>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20" w:type="dxa"/>
            <w:vAlign w:val="bottom"/>
          </w:tcPr>
          <w:p>
            <w:pPr>
              <w:spacing w:after="0"/>
              <w:rPr>
                <w:sz w:val="17"/>
                <w:szCs w:val="17"/>
                <w:color w:val="auto"/>
              </w:rPr>
            </w:pPr>
          </w:p>
        </w:tc>
      </w:tr>
      <w:tr>
        <w:trPr>
          <w:trHeight w:val="203"/>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(48.5)</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(41.9)</w:t>
            </w:r>
          </w:p>
        </w:tc>
      </w:tr>
      <w:tr>
        <w:trPr>
          <w:trHeight w:val="203"/>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Treasury stock-common stock, at cost, 6,105,262 and 6,105,262 shares, respectively</w:t>
            </w:r>
          </w:p>
        </w:tc>
        <w:tc>
          <w:tcPr>
            <w:tcW w:w="22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(90.2)</w:t>
            </w:r>
          </w:p>
        </w:tc>
        <w:tc>
          <w:tcPr>
            <w:tcW w:w="18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(90.2)</w:t>
            </w:r>
          </w:p>
        </w:tc>
      </w:tr>
      <w:tr>
        <w:trPr>
          <w:trHeight w:val="196"/>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2,725.5</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2,625.4</w:t>
            </w:r>
          </w:p>
        </w:tc>
        <w:tc>
          <w:tcPr>
            <w:tcW w:w="120" w:type="dxa"/>
            <w:vAlign w:val="bottom"/>
          </w:tcPr>
          <w:p>
            <w:pPr>
              <w:spacing w:after="0"/>
              <w:rPr>
                <w:sz w:val="17"/>
                <w:szCs w:val="17"/>
                <w:color w:val="auto"/>
              </w:rPr>
            </w:pP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-5382895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-5382895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-4345305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-4345305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-3025140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-3025140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-2245360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-2245360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-161925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3"/>
          </w:tcPr>
          <w:p>
            <w:pPr>
              <w:jc w:val="right"/>
              <w:ind w:right="681"/>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Accumula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vMerge w:val="restart"/>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660" w:type="dxa"/>
            <w:vAlign w:val="bottom"/>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w w:val="99"/>
              </w:rPr>
              <w:t>nsive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93"/>
              <w:spacing w:after="0" w:line="126" w:lineRule="exact"/>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4"/>
                <w:szCs w:val="14"/>
                <w:color w:val="auto"/>
              </w:rPr>
            </w:pPr>
          </w:p>
        </w:tc>
        <w:tc>
          <w:tcPr>
            <w:tcW w:w="660" w:type="dxa"/>
            <w:vAlign w:val="bottom"/>
            <w:gridSpan w:val="2"/>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gridSpan w:val="3"/>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6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120,577,30</w:t>
            </w:r>
          </w:p>
        </w:tc>
        <w:tc>
          <w:tcPr>
            <w:tcW w:w="220" w:type="dxa"/>
            <w:vAlign w:val="bottom"/>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460.3</w:t>
            </w:r>
          </w:p>
        </w:tc>
        <w:tc>
          <w:tcPr>
            <w:tcW w:w="1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316.6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(41.9)</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6,105,262</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(90.2)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644.9</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2"/>
                <w:szCs w:val="12"/>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(32.4)</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of tax</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related to</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exercises of options and vesting of</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RSUs, net of common stock withheld</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1,822,45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due to net share settlement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Withholding taxes on net share</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settlements of equity awards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122,399,</w:t>
            </w:r>
          </w:p>
        </w:tc>
        <w:tc>
          <w:tcPr>
            <w:tcW w:w="220" w:type="dxa"/>
            <w:vAlign w:val="bottom"/>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6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761</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73"/>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0.1</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478.1</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284.2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(48.5</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6,105,262</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3"/>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(90.2</w:t>
            </w:r>
          </w:p>
        </w:tc>
        <w:tc>
          <w:tcPr>
            <w:tcW w:w="12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623.7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61"/>
              <w:spacing w:after="0" w:line="126" w:lineRule="exact"/>
              <w:rPr>
                <w:sz w:val="20"/>
                <w:szCs w:val="20"/>
                <w:color w:val="auto"/>
              </w:rPr>
            </w:pPr>
            <w:r>
              <w:rPr>
                <w:rFonts w:ascii="Times New Roman" w:cs="Times New Roman" w:eastAsia="Times New Roman" w:hAnsi="Times New Roman"/>
                <w:sz w:val="13"/>
                <w:szCs w:val="13"/>
                <w:b w:val="1"/>
                <w:bCs w:val="1"/>
                <w:color w:val="auto"/>
              </w:rPr>
              <w:t>Accumul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w:t>
            </w:r>
          </w:p>
        </w:tc>
        <w:tc>
          <w:tcPr>
            <w:tcW w:w="80" w:type="dxa"/>
            <w:vAlign w:val="bottom"/>
          </w:tcPr>
          <w:p>
            <w:pPr>
              <w:spacing w:after="0"/>
              <w:rPr>
                <w:sz w:val="15"/>
                <w:szCs w:val="15"/>
                <w:color w:val="auto"/>
              </w:rPr>
            </w:pPr>
          </w:p>
        </w:tc>
        <w:tc>
          <w:tcPr>
            <w:tcW w:w="820" w:type="dxa"/>
            <w:vAlign w:val="bottom"/>
            <w:gridSpan w:val="3"/>
            <w:vMerge w:val="restart"/>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Stockhold</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ated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er note</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rPr>
              <w:t>compreh</w:t>
            </w:r>
          </w:p>
        </w:tc>
        <w:tc>
          <w:tcPr>
            <w:tcW w:w="120" w:type="dxa"/>
            <w:vAlign w:val="bottom"/>
          </w:tcPr>
          <w:p>
            <w:pPr>
              <w:spacing w:after="0"/>
              <w:rPr>
                <w:sz w:val="12"/>
                <w:szCs w:val="12"/>
                <w:color w:val="auto"/>
              </w:rPr>
            </w:pPr>
          </w:p>
        </w:tc>
        <w:tc>
          <w:tcPr>
            <w:tcW w:w="1700" w:type="dxa"/>
            <w:vAlign w:val="bottom"/>
            <w:gridSpan w:val="5"/>
            <w:vMerge w:val="restart"/>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Pr>
          <w:p>
            <w:pPr>
              <w:spacing w:after="0"/>
              <w:rPr>
                <w:sz w:val="13"/>
                <w:szCs w:val="13"/>
                <w:color w:val="auto"/>
              </w:rPr>
            </w:pPr>
          </w:p>
        </w:tc>
        <w:tc>
          <w:tcPr>
            <w:tcW w:w="740" w:type="dxa"/>
            <w:vAlign w:val="bottom"/>
            <w:gridSpan w:val="3"/>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ensive</w:t>
            </w:r>
          </w:p>
        </w:tc>
        <w:tc>
          <w:tcPr>
            <w:tcW w:w="120" w:type="dxa"/>
            <w:vAlign w:val="bottom"/>
          </w:tcPr>
          <w:p>
            <w:pPr>
              <w:spacing w:after="0"/>
              <w:rPr>
                <w:sz w:val="13"/>
                <w:szCs w:val="13"/>
                <w:color w:val="auto"/>
              </w:rPr>
            </w:pPr>
          </w:p>
        </w:tc>
        <w:tc>
          <w:tcPr>
            <w:tcW w:w="170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01"/>
              <w:spacing w:after="0" w:line="126" w:lineRule="exact"/>
              <w:rPr>
                <w:sz w:val="20"/>
                <w:szCs w:val="20"/>
                <w:color w:val="auto"/>
              </w:rPr>
            </w:pPr>
            <w:r>
              <w:rPr>
                <w:rFonts w:ascii="Times New Roman" w:cs="Times New Roman" w:eastAsia="Times New Roman" w:hAnsi="Times New Roman"/>
                <w:sz w:val="13"/>
                <w:szCs w:val="13"/>
                <w:b w:val="1"/>
                <w:bCs w:val="1"/>
                <w:color w:val="auto"/>
              </w:rPr>
              <w:t>related</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121"/>
              <w:spacing w:after="0" w:line="126"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660" w:type="dxa"/>
            <w:vAlign w:val="bottom"/>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party</w:t>
            </w:r>
          </w:p>
        </w:tc>
        <w:tc>
          <w:tcPr>
            <w:tcW w:w="740" w:type="dxa"/>
            <w:vAlign w:val="bottom"/>
            <w:gridSpan w:val="3"/>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153,655,</w:t>
            </w: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12,799,9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(26,260,2</w:t>
            </w: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038</w:t>
            </w:r>
          </w:p>
        </w:tc>
        <w:tc>
          <w:tcPr>
            <w:tcW w:w="54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99</w:t>
            </w:r>
          </w:p>
        </w:tc>
        <w:tc>
          <w:tcPr>
            <w:tcW w:w="140" w:type="dxa"/>
            <w:vAlign w:val="bottom"/>
          </w:tcPr>
          <w:p>
            <w:pPr>
              <w:spacing w:after="0"/>
              <w:rPr>
                <w:sz w:val="14"/>
                <w:szCs w:val="14"/>
                <w:color w:val="auto"/>
              </w:rPr>
            </w:pPr>
          </w:p>
        </w:tc>
        <w:tc>
          <w:tcPr>
            <w:tcW w:w="3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1,604.9</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276.8</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(91.5)</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(847.6)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36"/>
        </w:trPr>
        <w:tc>
          <w:tcPr>
            <w:tcW w:w="21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net of tax</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Stockholder note receivable - related</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party (Note 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(326.7)</w:t>
            </w:r>
          </w:p>
        </w:tc>
        <w:tc>
          <w:tcPr>
            <w:tcW w:w="1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(326.7)</w:t>
            </w:r>
          </w:p>
        </w:tc>
        <w:tc>
          <w:tcPr>
            <w:tcW w:w="0" w:type="dxa"/>
            <w:vAlign w:val="bottom"/>
          </w:tcPr>
          <w:p>
            <w:pPr>
              <w:spacing w:after="0"/>
              <w:rPr>
                <w:sz w:val="1"/>
                <w:szCs w:val="1"/>
                <w:color w:val="auto"/>
              </w:rPr>
            </w:pPr>
          </w:p>
        </w:tc>
      </w:tr>
      <w:tr>
        <w:trPr>
          <w:trHeight w:val="136"/>
        </w:trPr>
        <w:tc>
          <w:tcPr>
            <w:tcW w:w="21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related to</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exercises of options and vesting of</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RSUs, net of common stock withheld</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1,611,89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due to net share settlement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Withholding taxes on net share</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settlements of equity awards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155,266,</w:t>
            </w: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12,799,9</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(26,260,2</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6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930</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73"/>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0.2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99</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1,627.0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(326.7</w:t>
            </w:r>
          </w:p>
        </w:tc>
        <w:tc>
          <w:tcPr>
            <w:tcW w:w="20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shd w:val="clear" w:color="auto" w:fill="CFF0FC"/>
          </w:tcPr>
          <w:p>
            <w:pPr>
              <w:jc w:val="right"/>
              <w:ind w:right="33"/>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265.8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(75.8</w:t>
            </w:r>
          </w:p>
        </w:tc>
        <w:tc>
          <w:tcPr>
            <w:tcW w:w="100" w:type="dxa"/>
            <w:vAlign w:val="bottom"/>
            <w:tcBorders>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52)</w:t>
            </w: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(847.6</w:t>
            </w:r>
          </w:p>
        </w:tc>
        <w:tc>
          <w:tcPr>
            <w:tcW w:w="20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642.9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-2527935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-2510790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-2527935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-2510790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-2527935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-2510790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-2527935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-2510790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-2527935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-2510790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-2527935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-2510790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-2527935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-2510790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-2527935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-2510790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0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receivable, net, prepaid expenses and other assets</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(35.4)</w:t>
            </w:r>
          </w:p>
        </w:tc>
        <w:tc>
          <w:tcPr>
            <w:tcW w:w="8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receivables/payables, net</w:t>
            </w:r>
          </w:p>
        </w:tc>
        <w:tc>
          <w:tcPr>
            <w:tcW w:w="8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8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 including capitalized website development</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8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r>
      <w:tr>
        <w:trPr>
          <w:trHeight w:val="20"/>
        </w:trPr>
        <w:tc>
          <w:tcPr>
            <w:tcW w:w="80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8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8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Term Loan B Facility, net of financing costs (Note 6)</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on Term Loan B Facility (Note 6)</w:t>
            </w:r>
          </w:p>
        </w:tc>
        <w:tc>
          <w:tcPr>
            <w:tcW w:w="8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 of withholding taxes on net share settlements of equity awards</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Funding of term loan facility for related party (Note 1)</w:t>
            </w: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(326.7)</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of finance lease obligation and other financing activities</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80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8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18"/>
                <w:szCs w:val="18"/>
                <w:color w:val="auto"/>
              </w:rPr>
            </w:pPr>
          </w:p>
        </w:tc>
      </w:tr>
      <w:tr>
        <w:trPr>
          <w:trHeight w:val="210"/>
        </w:trPr>
        <w:tc>
          <w:tcPr>
            <w:tcW w:w="8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top w:val="single" w:sz="8" w:color="CFF0FC"/>
            </w:tcBorders>
          </w:tcPr>
          <w:p>
            <w:pPr>
              <w:spacing w:after="0"/>
              <w:rPr>
                <w:sz w:val="18"/>
                <w:szCs w:val="18"/>
                <w:color w:val="auto"/>
              </w:rPr>
            </w:pPr>
          </w:p>
        </w:tc>
      </w:tr>
      <w:tr>
        <w:trPr>
          <w:trHeight w:val="216"/>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1,034.9</w:t>
            </w:r>
          </w:p>
        </w:tc>
        <w:tc>
          <w:tcPr>
            <w:tcW w:w="2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1,064.3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1,120.4</w:t>
            </w:r>
          </w:p>
        </w:tc>
        <w:tc>
          <w:tcPr>
            <w:tcW w:w="260" w:type="dxa"/>
            <w:vAlign w:val="bottom"/>
          </w:tcPr>
          <w:p>
            <w:pPr>
              <w:spacing w:after="0"/>
              <w:rPr>
                <w:sz w:val="18"/>
                <w:szCs w:val="18"/>
                <w:color w:val="auto"/>
              </w:rPr>
            </w:pP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1,154.0</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spacing w:after="0"/>
              <w:rPr>
                <w:sz w:val="20"/>
                <w:szCs w:val="20"/>
                <w:color w:val="auto"/>
              </w:rPr>
            </w:pP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-2685415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-2685415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-2128520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-2128520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-1022350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-1022350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-739775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-739775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-456565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-456565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“the Group,” “the Company,” “us,” “we,” and “our” in these notes to the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Tripadvisor group (the “Group”) is a portfolio of global online platforms purpose-built to connect travelers with experiences, accommodations, restaurants and other relevant travel destination points of interest (“POIs”). Our mission is to be the world's most trusted source for travel and experiences.</w:t>
      </w:r>
    </w:p>
    <w:p>
      <w:pPr>
        <w:spacing w:after="0" w:line="140"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We offer travelers the ability to search, discover, book, and review experiences, hotels, and restaurants seamlessly through our two-sided marketplaces across three primary consumer-facing brands: Viator, Tripadvisor, and TheFork. Tripadvisor also plays a unique role in broader travel planning and guidance, offering authentic traveler-submitted reviews and content, travel planning tools and related technology to instill confidence for travelers in every part of their travel journey.</w:t>
      </w:r>
    </w:p>
    <w:p>
      <w:pPr>
        <w:spacing w:after="0" w:line="180"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performance within the following reportable segments: Experiences, Hotels and Other, and TheFork. The Company's strategy is focused on growing and scaling its Experiences and TheFork marketplaces, which we believe represents an attractive long-term value creation opportunity, while optimizing its legacy offerings within the Hotels and Other segment for profitability.</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Experiences segment includes Viator, a pure-play, experiences online travel agency (“OTA”), offering a two-sided global marketplace for tours, activities, and attractions; it also includes Tripadvisor’s points-of-sale for experiences. Viator's global online marketplace focus is merchandising bookable experiences to travelers that typically have relatively higher purchase intent either pre-destination or in-destination. Tripadvisor is an online global travel guidance platform that also merchandises experiences to its audience, which more commonly serves travelers in the discovery and planning phases. Both brands leverage Viator’s centralized supply platform that supports operator onboarding, operator inventory management, bookings, payments, fraud prevention, and customer support. In addition to its owned and operated platforms (Viator and Tripadvisor), the Company also syndicates its experiences supply to other third-party endemic and non-endemic demand partners. The Hotels and Other segment primarily consists of the Tripadvisor hotel and restaurant guidance platform, which includes hotel metasearch, and related advertising offerings primarily for hotels and restaurants. TheFork operates as a leading online restaurant reservation and dining management platform, enabling diners to discover and book reservations in more than 50,000 restaurants across 11 European countries as of December 31,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Refer to “Note 12: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that includes a recast of segment information for the three months ended March 31, 2025 in order to conform to the current segment reporting structure, which was revised in the fourth quarter of 2025.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2025, previously filed with the SEC (the “2025 Annual Report”). The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ind w:right="200"/>
        <w:spacing w:after="0" w:line="282" w:lineRule="auto"/>
        <w:rPr>
          <w:sz w:val="20"/>
          <w:szCs w:val="20"/>
          <w:color w:val="auto"/>
        </w:rPr>
      </w:pPr>
      <w:r>
        <w:rPr>
          <w:rFonts w:ascii="Times New Roman" w:cs="Times New Roman" w:eastAsia="Times New Roman" w:hAnsi="Times New Roman"/>
          <w:sz w:val="18"/>
          <w:szCs w:val="18"/>
          <w:color w:val="auto"/>
        </w:rPr>
        <w:t>condensed consolidated balance sheet as of December 31, 2025 included herein was derived from the audited consolidated financial statements as of that date, but does not include all disclosures including notes required by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TripAdvisor Holdings,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LTRIP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Tripadvisor Merger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and the Loan Agreement</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April 29, 2025, the Merger between the Company and LTRIP closed. The Merger was accounted for as a repurchase of the Company’s common stock previously held by LTRIP. Prior to the closing of the Merger, on March 20, 2025, the Company provided a loan to LTRIP (the “Loan Agreement”) for $326.7 million to enable LTRIP to repurchase or settle certain of LTRIP’s outstanding debt prior to the close of the Merger, which was recorded to “stockholder note receivable - related party” as a reduction to stockholders’ equity on our unaudited condensed consolidated balance sheet as of March 31, 2025. Upon the closing of the Merger, the loan balance was included in the aggregate transaction price and, therefore, no longer payable to the Company by LTRIP. Refer to “Note 1: </w:t>
      </w:r>
      <w:r>
        <w:rPr>
          <w:rFonts w:ascii="Times New Roman" w:cs="Times New Roman" w:eastAsia="Times New Roman" w:hAnsi="Times New Roman"/>
          <w:sz w:val="18"/>
          <w:szCs w:val="18"/>
          <w:i w:val="1"/>
          <w:iCs w:val="1"/>
          <w:color w:val="auto"/>
        </w:rPr>
        <w:t>Organization and Business Description</w:t>
      </w:r>
      <w:r>
        <w:rPr>
          <w:rFonts w:ascii="Times New Roman" w:cs="Times New Roman" w:eastAsia="Times New Roman" w:hAnsi="Times New Roman"/>
          <w:sz w:val="18"/>
          <w:szCs w:val="18"/>
          <w:color w:val="auto"/>
        </w:rPr>
        <w:t>”, in the notes to the consolidated financial statements in Item 8 of our 2025 Annual Report for further discussion of the Merger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U.S. and other countries have seen increased economic uncertainty (including with respect to tariffs, the threat of tariffs and changes in trade policies), market volatility, elevated levels of inflation and fluctuating discretionary spending patterns by consumers, all of which may impact our business. If macroeconomic conditions deteriorate, consumer demand and spending may decline, we may not be able to pass on increased costs to our customers and any inability to navigate the macroeconomic environment could harm our business, results of operations and financial condition.</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Additionally, natural disasters, public health-related events, political instability, geopolitical conflicts, including the evolving events in the Middle East, Iran, and between Ukraine and Russia, acts of terrorism, fluctuations in currency values, and changes in global economic conditions and/or legislation and regulation are examples of other events that could have a negative impact on the travel industry, and as a result, our financial results.</w:t>
      </w:r>
    </w:p>
    <w:p>
      <w:pPr>
        <w:spacing w:after="0" w:line="174" w:lineRule="exact"/>
        <w:rPr>
          <w:sz w:val="20"/>
          <w:szCs w:val="20"/>
          <w:color w:val="auto"/>
        </w:rPr>
      </w:pPr>
    </w:p>
    <w:p>
      <w:pPr>
        <w:ind w:right="160" w:firstLine="554"/>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under “</w:t>
      </w:r>
      <w:r>
        <w:rPr>
          <w:rFonts w:ascii="Times New Roman" w:cs="Times New Roman" w:eastAsia="Times New Roman" w:hAnsi="Times New Roman"/>
          <w:sz w:val="18"/>
          <w:szCs w:val="18"/>
          <w:i w:val="1"/>
          <w:iCs w:val="1"/>
          <w:color w:val="auto"/>
        </w:rPr>
        <w:t>Certain Risks and Concentrations</w:t>
      </w:r>
      <w:r>
        <w:rPr>
          <w:rFonts w:ascii="Times New Roman" w:cs="Times New Roman" w:eastAsia="Times New Roman" w:hAnsi="Times New Roman"/>
          <w:sz w:val="18"/>
          <w:szCs w:val="18"/>
          <w:color w:val="auto"/>
        </w:rPr>
        <w:t>” in the notes to the consolidated financial statements in Item 8 of our 2025 Annual Report for further discussion of additional risks, such as credit risk and concentration risk with customers.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are within accounting for income taxes. Refer to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information regarding our significant income tax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 experiences taken, and traveler accommodation stays,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r>
        <w:rPr>
          <w:rFonts w:ascii="Times New Roman" w:cs="Times New Roman" w:eastAsia="Times New Roman" w:hAnsi="Times New Roman"/>
          <w:sz w:val="18"/>
          <w:szCs w:val="18"/>
          <w:color w:val="231F20"/>
        </w:rPr>
        <w: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ind w:right="4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accounting policies since December 31, 2025, as described under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the audited consolidated financial statements in Item 8 of our 2025 Annual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new accounting guidance that clarifies the requirements for determining whether certain settlements of convertible debt instruments should be accounted for as an induced conversion. This guidance is effective for the 2026 annual period, including the interim reporting periods within. We adopted this guidance in the first quarter of 2026 and the adoption did not have a material impact on our unaudited condensed consolidated financial statements or related disclosures.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new accounting guidance that provides a practical expedient permitting an entity to assume that conditions at the balance sheet date remain unchanged over the life of the asset when estimating expected credit losses for current accounts receivable and current contract assets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is effective for the 2026 annual period, including the interim reporting periods within. We adopted this guidance in the first quarter of 2026 prospectively and the adoption did not have a material impact on our unaudited condensed consolidated financial statements or related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new accounting guidance expanding disclosure requirements related to certain income statement expenses. The guidance requires tabular footnote disclosure of certain operating expenses disaggregated into categories, such as employee compensation, depreciation, and intangible asset amortization, included within each interim and annual income statement's expense caption, as applicable. This guidance is effective for fiscal years beginning after December 15, 2026, and interim periods within fiscal years beginning after December 15, 2027, with early adoption permitted, and may be applied either prospectively or retrospectively.</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September 2025, the FASB issued new accounting guidance that modernizes the recognition and disclosure framework for internal-use software costs, removing the previous “development stage” model and introducing a more judgment-based approach. This guidance is effective for fiscal years beginning after December 15, 2027, and interim periods within those annual reporting periods, with early adoption permitted.</w:t>
      </w:r>
    </w:p>
    <w:p>
      <w:pPr>
        <w:spacing w:after="0" w:line="1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new accounting guidance, which clarifies the guidance in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to improve the consistency of interim financial reporting. The guidance provides a comprehensive list of required interim disclosures and introduces a disclosure principle requiring entities to disclose events since the end of the last annual reporting period that have a material impact on the entity. This guidance is effective for fiscal years beginning after December 15, 2027, including interim periods within those fiscal years, with early adoption permitted.</w:t>
      </w:r>
    </w:p>
    <w:p>
      <w:pPr>
        <w:spacing w:after="0" w:line="18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currently considering our timing of adoption and are in the process of evaluating the impact of adopting these newly issued accounting rules on our consolidated financial statements and related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principal revenue streams, revenue recognition policies, performance obligations, description of and timing of services, or customer payment terms since December 31, 2025, as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our audited consolidated financial statements in Item 8 of our 2025 Annual Report. There was no significant revenue recognized in the three months ended March 31, 2026 and 2025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disaggregate revenue from contracts with customers into major products and revenue sources. We have determined that disaggregating revenue into these categories achieves the disclosure objective under GAAP, which is to depict how the nature,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0" w:name="page11"/>
    <w:bookmarkEnd w:id="10"/>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amount, timing, and uncertainty of revenue and cash flows are affected by economic factors. As noted in “Note 12: </w:t>
      </w:r>
      <w:r>
        <w:rPr>
          <w:rFonts w:ascii="Times New Roman" w:cs="Times New Roman" w:eastAsia="Times New Roman" w:hAnsi="Times New Roman"/>
          <w:sz w:val="17"/>
          <w:szCs w:val="17"/>
          <w:i w:val="1"/>
          <w:iCs w:val="1"/>
          <w:color w:val="auto"/>
        </w:rPr>
        <w:t>Segment Information</w:t>
      </w:r>
      <w:r>
        <w:rPr>
          <w:rFonts w:ascii="Times New Roman" w:cs="Times New Roman" w:eastAsia="Times New Roman" w:hAnsi="Times New Roman"/>
          <w:sz w:val="17"/>
          <w:szCs w:val="17"/>
          <w:color w:val="auto"/>
        </w:rPr>
        <w:t>”, our segment reporting structure was revised in the fourth quarter of 2025, and our business now consists of three reportable segments – (1) Experiences; (2) Hotels and Other; and (3) TheFork. All prior period segment disclosure information, including the disclosures of disaggregated revenue by major products/revenue sources, has been recast to conform to the current reporting structure. A reconciliation of disaggregated revenue to segment revenue is included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Major products/revenue sources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08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Experiences</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Hotels and Other</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Hotels</w:t>
            </w:r>
          </w:p>
        </w:tc>
        <w:tc>
          <w:tcPr>
            <w:tcW w:w="1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(2)</w:t>
            </w:r>
          </w:p>
        </w:tc>
        <w:tc>
          <w:tcPr>
            <w:tcW w:w="1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Hotels and Other</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TheFork</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14"/>
                <w:szCs w:val="14"/>
                <w:color w:val="auto"/>
              </w:rPr>
              <w:t>(2)</w:t>
            </w:r>
          </w:p>
        </w:tc>
        <w:tc>
          <w:tcPr>
            <w:tcW w:w="13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w:t>
            </w:r>
          </w:p>
        </w:tc>
        <w:tc>
          <w:tcPr>
            <w:tcW w:w="7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9"/>
        </w:trPr>
        <w:tc>
          <w:tcPr>
            <w:tcW w:w="6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tcBorders>
              <w:top w:val="single" w:sz="8" w:color="auto"/>
              <w:bottom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4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ind w:left="840" w:hanging="383"/>
        <w:spacing w:after="0"/>
        <w:tabs>
          <w:tab w:leader="none" w:pos="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is recognized primarily at a point in time for all reportable segments.</w:t>
      </w:r>
    </w:p>
    <w:p>
      <w:pPr>
        <w:spacing w:after="0" w:line="3" w:lineRule="exact"/>
        <w:rPr>
          <w:rFonts w:ascii="Times New Roman" w:cs="Times New Roman" w:eastAsia="Times New Roman" w:hAnsi="Times New Roman"/>
          <w:sz w:val="14"/>
          <w:szCs w:val="14"/>
          <w:color w:val="auto"/>
        </w:rPr>
      </w:pPr>
    </w:p>
    <w:p>
      <w:pPr>
        <w:ind w:left="860" w:hanging="403"/>
        <w:spacing w:after="0" w:line="221" w:lineRule="auto"/>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Tripadvisor dining revenue within the Hotels and Other segment is shown gross of intersegment (intercompany) revenue, which is eliminated on a consolidated basis. See “Note</w:t>
      </w:r>
    </w:p>
    <w:p>
      <w:pPr>
        <w:ind w:left="1060" w:hanging="229"/>
        <w:spacing w:after="0"/>
        <w:tabs>
          <w:tab w:leader="none" w:pos="106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for a discussion of intersegment revenue for all periods presented.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2026 and 2025, we had $53.3 million and $46.8 million, respectively, recorded as deferred revenue on our unaudited condensed consolidated balance sheets, of which $33.2 million and $28.6 million, respectively, was recognized in revenue and $3.6 million and $2.6 million, respectively, was refunded due to cancellations by travelers, during the three months ended March 31, 2026 and 2025. The difference between the opening and closing balances of our deferred revenue primarily results from the timing differences between when we receive customer payments and the time in which we satisfy our performance obligations.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FINANCIAL INSTRUMENTS AND FAIR VALUE MEASUREMENTS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For assets and liabilities required to be reported at fair value, GAAP provides a hierarchy that prioritizes inputs to valuation techniques used to measure fair value into three broad levels: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approximately $1.1 billion and $1.0 billion of cash and cash equivalents, which consisted of available on demand bank deposits and time deposits, as well as money market funds, with maturities of 90 days or less at the date of purchase, in each case, with major global financial institutions. We had no outstanding investments classified as either short-term or long-term marketable securities as of March 31, 2026 or December 31, 2025, and there were no purchases or sales of any marketable securities during and for the three months ended March 31, 2026 and 2025.</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our cash and cash equivalents that are measured at fair value on a recurring basis and are categorized using the fair value hierarchy, as well as their classification on our unaudited condensed consolidated balance sheets as of March 31, 2026 and December 31,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60" w:type="dxa"/>
            <w:vAlign w:val="bottom"/>
          </w:tcPr>
          <w:p>
            <w:pPr>
              <w:spacing w:after="0"/>
              <w:rPr>
                <w:sz w:val="10"/>
                <w:szCs w:val="10"/>
                <w:color w:val="auto"/>
              </w:rPr>
            </w:pPr>
          </w:p>
        </w:tc>
        <w:tc>
          <w:tcPr>
            <w:tcW w:w="10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26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6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5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5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500" w:hanging="369"/>
        <w:spacing w:after="0"/>
        <w:tabs>
          <w:tab w:leader="none" w:pos="1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any unrealized gains and losses related to our cash equivalents.</w:t>
      </w:r>
    </w:p>
    <w:p>
      <w:pPr>
        <w:spacing w:after="0" w:line="20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229" w:lineRule="exact"/>
        <w:rPr>
          <w:sz w:val="20"/>
          <w:szCs w:val="20"/>
          <w:color w:val="auto"/>
        </w:rPr>
      </w:pPr>
    </w:p>
    <w:p>
      <w:pPr>
        <w:ind w:right="300" w:firstLine="539"/>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unaudited condensed consolidated balance sheets to present the net amount expected to be collected.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had no outstanding derivative instruments as of March 31, 2026 and December 31, 2025, respectively.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opening and closing balances of accounts receivable, including contract assets, net of allowance for expected credit losses, from contracts with customers as of the dates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80" w:type="dxa"/>
            <w:vAlign w:val="bottom"/>
            <w:shd w:val="clear" w:color="auto" w:fill="CFF0FC"/>
          </w:tcPr>
          <w:p>
            <w:pPr>
              <w:jc w:val="right"/>
              <w:ind w:right="132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r>
      <w:tr>
        <w:trPr>
          <w:trHeight w:val="230"/>
        </w:trPr>
        <w:tc>
          <w:tcPr>
            <w:tcW w:w="6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FF0FC"/>
          </w:tcPr>
          <w:p>
            <w:pPr>
              <w:jc w:val="right"/>
              <w:ind w:right="132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FF0FC"/>
          </w:tcPr>
          <w:p>
            <w:pPr>
              <w:spacing w:after="0"/>
              <w:rPr>
                <w:sz w:val="19"/>
                <w:szCs w:val="19"/>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during the periods ended March 31, 2026 and December 31, 2025 related to business combinations, impairments, cumulative catch-ups or other material adjustments.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229"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shows the aggregate principal and fair value amount of the 2026 Senior Notes and Term Loan B Facility as of the dates presented, primarily classified as long-term debt on our unaudited condensed consolidated balance sheets and are considered Level 2 fair value measurements.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related to our 2026 Senior Notes and Term Loan B Facility.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Unamortize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 Debt</w:t>
            </w:r>
          </w:p>
        </w:tc>
        <w:tc>
          <w:tcPr>
            <w:tcW w:w="100" w:type="dxa"/>
            <w:vAlign w:val="bottom"/>
          </w:tcPr>
          <w:p>
            <w:pPr>
              <w:spacing w:after="0"/>
              <w:rPr>
                <w:sz w:val="12"/>
                <w:szCs w:val="12"/>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w:t>
            </w:r>
          </w:p>
        </w:tc>
        <w:tc>
          <w:tcPr>
            <w:tcW w:w="22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 xml:space="preserve">Fair Value </w:t>
            </w:r>
            <w:r>
              <w:rPr>
                <w:rFonts w:ascii="Times New Roman" w:cs="Times New Roman" w:eastAsia="Times New Roman" w:hAnsi="Times New Roman"/>
                <w:sz w:val="19"/>
                <w:szCs w:val="19"/>
                <w:b w:val="1"/>
                <w:bCs w:val="1"/>
                <w:color w:val="auto"/>
                <w:w w:val="96"/>
                <w:vertAlign w:val="superscript"/>
              </w:rPr>
              <w:t>(1)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 Value</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Senior Notes</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6"/>
              </w:rPr>
              <w:t>$ 344.7</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Term Loan B Facility</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$ 827.5</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60" w:right="100" w:hanging="503"/>
        <w:spacing w:after="0" w:line="261" w:lineRule="auto"/>
        <w:tabs>
          <w:tab w:leader="none" w:pos="1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the 2026 Senior Notes and Term Loan B Facility based on recently reported market transactions and/or prices for identical or similar financial instruments obtained from a third-party pricing source.</w:t>
      </w:r>
    </w:p>
    <w:p>
      <w:pPr>
        <w:spacing w:after="0" w:line="16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basis using Level 3 unobservable inputs as of March 31, 2026 and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Non-Marketable Investments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Securities Accounted for under the Equity Method</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$25.6 million and $25.9 million as of March 31, 2026 and December 31, 2025, respectively, and is included in non-marketable investments on our unaudited condensed consolidated balance sheets. During both the three months ended March 31, 2026 and 2025, our share of the investee’s net loss in other income (expenses), net within the unaudited condensed consolidated statement of operations was not material.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both the three months ended March 31, 2026 and 2025, we did not record any impairment loss on this equity investment.</w:t>
      </w:r>
    </w:p>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various commercial agreements with Chelsea Investment Holding Company PTE Ltd. and/or its subsidiaries. Transactions under these agreements are considered related-party transactions, and were not material during each of the three months ended March 31, 2026 and 2025.</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holds collateralized notes (the “Notes Receivable”) issued by a privately held company with a total principal amount of $20.0 million, classified as held-to-maturity, as the Company has concluded it has the positive intent and ability to hold the Notes Receivable until maturity, with 50% due June 2028 and the remaining 50% due June 2030, or the date on which there is a change in control, whichever is earlier. As of both March 31, 2026 and December 31, 2025, the carrying value of the Notes Receivable was $9.2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p>
    <w:p>
      <w:pPr>
        <w:spacing w:after="0" w:line="200" w:lineRule="exact"/>
        <w:rPr>
          <w:sz w:val="20"/>
          <w:szCs w:val="20"/>
          <w:color w:val="auto"/>
        </w:rPr>
      </w:pPr>
    </w:p>
    <w:p>
      <w:pPr>
        <w:spacing w:after="0" w:line="203"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the dates presented: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960" w:type="dxa"/>
            <w:vAlign w:val="bottom"/>
            <w:gridSpan w:val="3"/>
          </w:tcPr>
          <w:p>
            <w:pPr>
              <w:jc w:val="right"/>
              <w:ind w:right="1312"/>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2"/>
                <w:szCs w:val="12"/>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other employee-related benefits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Non-income taxes payable </w:t>
            </w:r>
            <w:r>
              <w:rPr>
                <w:rFonts w:ascii="Times New Roman" w:cs="Times New Roman" w:eastAsia="Times New Roman" w:hAnsi="Times New Roman"/>
                <w:sz w:val="24"/>
                <w:szCs w:val="24"/>
                <w:color w:val="auto"/>
                <w:vertAlign w:val="superscript"/>
              </w:rPr>
              <w:t>(1)</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tax credit </w:t>
            </w:r>
            <w:r>
              <w:rPr>
                <w:rFonts w:ascii="Times New Roman" w:cs="Times New Roman" w:eastAsia="Times New Roman" w:hAnsi="Times New Roman"/>
                <w:sz w:val="24"/>
                <w:szCs w:val="24"/>
                <w:color w:val="auto"/>
                <w:vertAlign w:val="superscript"/>
              </w:rPr>
              <w:t>(2)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(3)</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r>
      <w:tr>
        <w:trPr>
          <w:trHeight w:val="229"/>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5" w:lineRule="exact"/>
        <w:rPr>
          <w:sz w:val="20"/>
          <w:szCs w:val="20"/>
          <w:color w:val="auto"/>
        </w:rPr>
      </w:pPr>
    </w:p>
    <w:p>
      <w:pPr>
        <w:ind w:left="1440" w:hanging="384"/>
        <w:spacing w:after="0"/>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primarily related to digital service taxes.</w:t>
      </w:r>
    </w:p>
    <w:p>
      <w:pPr>
        <w:spacing w:after="0" w:line="3" w:lineRule="exact"/>
        <w:rPr>
          <w:rFonts w:ascii="Times New Roman" w:cs="Times New Roman" w:eastAsia="Times New Roman" w:hAnsi="Times New Roman"/>
          <w:sz w:val="14"/>
          <w:szCs w:val="14"/>
          <w:color w:val="auto"/>
        </w:rPr>
      </w:pPr>
    </w:p>
    <w:p>
      <w:pPr>
        <w:ind w:left="1440" w:right="260" w:hanging="384"/>
        <w:spacing w:after="0" w:line="221"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year ended December 31, 2025, </w:t>
      </w:r>
      <w:r>
        <w:rPr>
          <w:rFonts w:ascii="Times New Roman" w:cs="Times New Roman" w:eastAsia="Times New Roman" w:hAnsi="Times New Roman"/>
          <w:sz w:val="14"/>
          <w:szCs w:val="14"/>
          <w:color w:val="222222"/>
        </w:rPr>
        <w:t>pursuant to provisions allowable under the Inflation Reduction Act,</w:t>
      </w:r>
      <w:r>
        <w:rPr>
          <w:rFonts w:ascii="Times New Roman" w:cs="Times New Roman" w:eastAsia="Times New Roman" w:hAnsi="Times New Roman"/>
          <w:sz w:val="14"/>
          <w:szCs w:val="14"/>
          <w:color w:val="auto"/>
        </w:rPr>
        <w:t xml:space="preserve"> the Company purchased alternative energy federal tax credits from an unrelated third party, which were paid during the first quarter of 2026.</w:t>
      </w:r>
    </w:p>
    <w:p>
      <w:pPr>
        <w:ind w:left="1440" w:right="100" w:hanging="384"/>
        <w:spacing w:after="0" w:line="228"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2025, the Company approved and subsequently initiated a series of cost savings actions following a decision to realign its operating model across its Experiences and Hotels and Other segments to support the Company’s positioning as an experiences-led and AI-enabled company. As a result of these actions taken, the Company incurred pre-tax restructuring and other related reorganization costs of $3.3 million during the three months ended March 31, 2026, which consisted of employee severance and related benefits, primarily in our Hotels and Other segment. We expect the majority of remaining unpaid costs as of March 31, 2026 to be disbursed during the second quarter of 2026.</w:t>
      </w:r>
    </w:p>
    <w:p>
      <w:pPr>
        <w:spacing w:after="0" w:line="110" w:lineRule="exact"/>
        <w:rPr>
          <w:rFonts w:ascii="Times New Roman" w:cs="Times New Roman" w:eastAsia="Times New Roman" w:hAnsi="Times New Roman"/>
          <w:sz w:val="14"/>
          <w:szCs w:val="14"/>
          <w:color w:val="auto"/>
        </w:rPr>
      </w:pPr>
    </w:p>
    <w:p>
      <w:pPr>
        <w:ind w:left="1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summarizes our restructuring and other related reorganization costs for the three months ended March 31, 2026:</w:t>
      </w:r>
    </w:p>
    <w:p>
      <w:pPr>
        <w:spacing w:after="0" w:line="202"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42"/>
        </w:trPr>
        <w:tc>
          <w:tcPr>
            <w:tcW w:w="6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liability as of December 31, 2025</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r>
      <w:tr>
        <w:trPr>
          <w:trHeight w:val="209"/>
        </w:trPr>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liability as of March 31, 2026</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FF0FC"/>
            </w:tcBorders>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as of the dates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B Facility due 2031</w:t>
            </w:r>
          </w:p>
        </w:tc>
        <w:tc>
          <w:tcPr>
            <w:tcW w:w="1880" w:type="dxa"/>
            <w:vAlign w:val="bottom"/>
          </w:tcPr>
          <w:p>
            <w:pPr>
              <w:jc w:val="right"/>
              <w:ind w:right="17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0.25% Convertible 2026 Senior Notes due 2026</w:t>
            </w:r>
          </w:p>
        </w:tc>
        <w:tc>
          <w:tcPr>
            <w:tcW w:w="18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59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880" w:type="dxa"/>
            <w:vAlign w:val="bottom"/>
            <w:shd w:val="clear" w:color="auto" w:fill="CFF0FC"/>
          </w:tcPr>
          <w:p>
            <w:pPr>
              <w:jc w:val="right"/>
              <w:ind w:right="17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FF0FC"/>
          </w:tcPr>
          <w:p>
            <w:pPr>
              <w:spacing w:after="0"/>
              <w:rPr>
                <w:sz w:val="21"/>
                <w:szCs w:val="21"/>
                <w:color w:val="auto"/>
              </w:rPr>
            </w:pPr>
          </w:p>
        </w:tc>
      </w:tr>
      <w:tr>
        <w:trPr>
          <w:trHeight w:val="196"/>
        </w:trPr>
        <w:tc>
          <w:tcPr>
            <w:tcW w:w="5980" w:type="dxa"/>
            <w:vAlign w:val="bottom"/>
            <w:tcBorders>
              <w:top w:val="single" w:sz="8" w:color="CFF0FC"/>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B Facility due 2031</w:t>
            </w:r>
          </w:p>
        </w:tc>
        <w:tc>
          <w:tcPr>
            <w:tcW w:w="1880" w:type="dxa"/>
            <w:vAlign w:val="bottom"/>
          </w:tcPr>
          <w:p>
            <w:pPr>
              <w:jc w:val="right"/>
              <w:ind w:right="17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598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880" w:type="dxa"/>
            <w:vAlign w:val="bottom"/>
          </w:tcPr>
          <w:p>
            <w:pPr>
              <w:jc w:val="right"/>
              <w:ind w:right="17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-744855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-728345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Credit Agreement and Credit Facility</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are party to the Amended Credit Agreement with a group of lenders which, among other things, provides for a $500.0 million secured revolving credit facility (the “Credit Facility”). The Credit Facility has a maturity date of June 29, 2028. As of March 31, 2026 and December 31, 2025, we had no outstanding borrowings from the Credit Facility and $3.6 million of issued undrawn standby letters of credit. For the three months ended March 31, 2026 and 2025, total interest expense and commitment fees on our Credit Facility were not material.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Term Loan B Facility</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$500.0 million Term Loan B Facility maturing July 8, 2031, with an interest rate based on secured overnight financing rate (“SOFR”) plus 2.75%. On March 20, 2025, under the Amended Credit Agreement, the Company increased its existing Term Loan B Facility in the amount of $350.0 million, maturing July 8, 2031, with an interest rate based on SOFR plus 2.75% (the “Tack-On Incremental Term Loan B Facility”). The Tack-On Incremental Term Loan B Facility was offered at 98.56% of par. The proceeds from the Tack-On Incremental Term Loan B Facility will be used to fund the repayment of the Company's 2026 Senior Notes and for general corporate purposes. We refer to the original Term Loan B Facility, combined with the Tack-On Incremental Term Loan B Facility, as the “Term Loan B Facility.”</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and 2025, the interest rate on the Term Loan B Facility was 6.42% and 7.07%, respectively, and the weighted-average interest rate on the Term Loan B Facility was 6.44% and 7.08% for the three months ended March 31, 2026 and 2025, respectively. Principal payments of $2.1 million were made during both the three months ended March 31, 2026 and 2025. As of March 31, 2026 and December 31, 2025, unpaid interest on the Term Loan B Facility was not material. During the three months ended March 31, 2026 and 2025, we recorded $13.5 million and $9.7 million, respectively, as interest expense on our unaudited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Senior Notes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our effective interest rate, including debt issuance costs, was 0.25% and 0.32%, respectively, and total interest expense incurred from the 2026 Senior Notes was not material in any period</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As of March 31, 2026 and December 31, 2025, unpaid interest on the 2026 Senior Notes was also not material.</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On April 1, 2026, upon maturity, the Company repaid the $345.0 million aggregate principal amount of the 2026 Senior Notes, including accrued interest. Refer to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information.</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C2C2C"/>
        </w:rPr>
        <w:t>Capped Call Transactions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at a cost of $34.7 million.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maturity and repayment of the 2026 Senior Notes on April 1, 2026, the Capped Calls also expired unexercised. Refer to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information.</w:t>
      </w:r>
    </w:p>
    <w:p>
      <w:pPr>
        <w:spacing w:after="0" w:line="205" w:lineRule="exact"/>
        <w:rPr>
          <w:sz w:val="20"/>
          <w:szCs w:val="20"/>
          <w:color w:val="auto"/>
        </w:rPr>
      </w:pPr>
    </w:p>
    <w:p>
      <w:pPr>
        <w:jc w:val="both"/>
        <w:ind w:right="140" w:firstLine="374"/>
        <w:spacing w:after="0" w:line="267"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audited consolidated financial statements in Item 8 of our 2025 Annual Report, for additional information pertaining to redemption, conversion, repurchase features and other information regarding the Amended Credit Agreement, the Credit Facility, the Term Loan B Facility, 2026 Senior Notes and Capped Calls</w:t>
      </w:r>
      <w:r>
        <w:rPr>
          <w:rFonts w:ascii="Times New Roman" w:cs="Times New Roman" w:eastAsia="Times New Roman" w:hAnsi="Times New Roman"/>
          <w:sz w:val="18"/>
          <w:szCs w:val="18"/>
          <w:color w:val="212529"/>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income tax provision was $0.8 million and our income tax benefit was $9.3 million for the three months ended March 31, 2026 and 2025, respectively. The change in our income tax provision during the three months ended March 31, 2026, when compared to the same period in 2025, was primarily due to a discrete tax benefit of $11.4 million recorded during the first quarter of 2025 to release income tax reserves as a result of the U.S. federal statute of limitation of assessment expiring on tax years 2014, 2015, and 2016. Our effective tax rate for the three months ended March 31, 2026 differs from the U.S. federal statutory rate of 21.0%, primarily due to the benefit of foreign-derived deduction eligible income and the tax effects of stock-based compensation.</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accounting policy is to recognize accrued interest and penalties related to unrecognized tax benefits and income tax liabilities as part of our income tax expense. As of March 31, 2026, we had an accrued interest liability of $24.9 million, which was included in unrecognized tax benefits in other long-term liabilities on our unaudited condensed consolidated balance sheet, and no penalties were accrued.</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currently under examination by the Internal Revenue Service (“IRS”) for the 2018 tax year and have various ongoing audits for foreign and state income tax returns. These examinations may lead to proposed or ordinary course adjustments to our taxes.</w:t>
      </w: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5" w:name="page16"/>
    <w:bookmarkEnd w:id="15"/>
    <w:p>
      <w:pPr>
        <w:ind w:right="480"/>
        <w:spacing w:after="0" w:line="282" w:lineRule="auto"/>
        <w:rPr>
          <w:sz w:val="20"/>
          <w:szCs w:val="20"/>
          <w:color w:val="auto"/>
        </w:rPr>
      </w:pPr>
      <w:r>
        <w:rPr>
          <w:rFonts w:ascii="Times New Roman" w:cs="Times New Roman" w:eastAsia="Times New Roman" w:hAnsi="Times New Roman"/>
          <w:sz w:val="18"/>
          <w:szCs w:val="18"/>
          <w:color w:val="auto"/>
        </w:rPr>
        <w:t>We are no longer subject to tax examinations by tax authorities for years prior to 2018. As of March 31, 2026, no material assessments have resulted, except as noted below regarding our 2012 through 2016 HM Revenue &amp; Customs (“HMRC”) audit.</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January 2021, we received from HMRC an issue closure notice relating to adjustments for 2012 through 2016 tax years. These proposed adjustments are related to deductions for intercompany financing and would result in an increase to income tax expense in an estimated range of $20.0 million to $30.0 million, which is inclusive of transition tax benefits and exclusive of interest expense, at the close of the audit if HMRC prevails. We disagree with the proposed adjustments, and we intend to defend our position through applicable administrative and, if necessary, judicial remedies. We are also currently subject to audit by HMRC in tax years 2017 through 2023. If HMRC were to seek adjustments of a similar nature through a closure notice for transactions in these years, we could be subject to significant additional tax liabilities. Our policy is to review and update tax reserves as facts and circumstances change.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there have been no material changes to our commitments and contingencies since December 31, 2025, except as discussed below. 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audited consolidated financial statements in Item 8 of our 2025 Annual Report.</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 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97"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7: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for further information on potential contingencies pertaining to ongoing income tax audits.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AWARDS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consisting of service-based non-qualified stock options,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March 31, 2026</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March 31, 2026</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1,741</w:t>
            </w:r>
          </w:p>
        </w:tc>
        <w:tc>
          <w:tcPr>
            <w:tcW w:w="3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29.99</w:t>
            </w:r>
          </w:p>
        </w:tc>
        <w:tc>
          <w:tcPr>
            <w:tcW w:w="1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4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after March 31, 2026</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1,873</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29.30</w:t>
            </w:r>
          </w:p>
        </w:tc>
        <w:tc>
          <w:tcPr>
            <w:tcW w:w="16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6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ind w:left="9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3"/>
        </w:trPr>
        <w:tc>
          <w:tcPr>
            <w:tcW w:w="4820" w:type="dxa"/>
            <w:vAlign w:val="bottom"/>
          </w:tcPr>
          <w:p>
            <w:pPr>
              <w:spacing w:after="0"/>
              <w:rPr>
                <w:sz w:val="24"/>
                <w:szCs w:val="24"/>
                <w:color w:val="auto"/>
              </w:rPr>
            </w:pPr>
          </w:p>
        </w:tc>
        <w:tc>
          <w:tcPr>
            <w:tcW w:w="14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-1122045</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-1104900</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-796290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-779145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2026 Restricted Stock Units (“RSUs”)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RSUs activity (including deferred stock units (“DSUs”)) , consisting of service-based vesting terms,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2025</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10,348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18.43</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Vested and released </w:t>
            </w:r>
            <w:r>
              <w:rPr>
                <w:rFonts w:ascii="Times New Roman" w:cs="Times New Roman" w:eastAsia="Times New Roman" w:hAnsi="Times New Roman"/>
                <w:sz w:val="24"/>
                <w:szCs w:val="24"/>
                <w:color w:val="auto"/>
                <w:vertAlign w:val="superscript"/>
              </w:rPr>
              <w:t>(1)</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18.06</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18.73</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March 31, 2026</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15.59</w:t>
            </w:r>
          </w:p>
        </w:tc>
        <w:tc>
          <w:tcPr>
            <w:tcW w:w="260" w:type="dxa"/>
            <w:vAlign w:val="bottom"/>
            <w:tcBorders>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-25400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06" w:lineRule="exact"/>
        <w:rPr>
          <w:sz w:val="20"/>
          <w:szCs w:val="20"/>
          <w:color w:val="auto"/>
        </w:rPr>
      </w:pPr>
    </w:p>
    <w:p>
      <w:pPr>
        <w:ind w:left="1440" w:hanging="384"/>
        <w:spacing w:after="0" w:line="236"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473,000 shares of common stock withheld in connection with RSUs vesting to satisfy required employee tax withholding requirements. Shares which could have been issued in connection with the vesting of RSUs but were instead withheld under net share settlement remain in the authorized but unissued pool under the Tripadvisor, Inc. 2023 Stock and Annual Incentive Plan (the “2023 Plan”) and can be reissued by the Company. Total payments for the employees’ tax obligations to the taxing authorities due to net share settlements are reflected as a financing activity within the consolidated statement of cash flows.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performance-based RSUs (“PSUs”) and market-based RSUs (“MSUs”) activity is presented below:</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and outstanding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30" w:lineRule="auto"/>
        <w:rPr>
          <w:sz w:val="20"/>
          <w:szCs w:val="20"/>
          <w:color w:val="auto"/>
        </w:rPr>
      </w:pPr>
      <w:r>
        <w:rPr>
          <w:rFonts w:ascii="Times New Roman" w:cs="Times New Roman" w:eastAsia="Times New Roman" w:hAnsi="Times New Roman"/>
          <w:sz w:val="18"/>
          <w:szCs w:val="18"/>
          <w:color w:val="auto"/>
        </w:rPr>
        <w:t>Granted</w:t>
      </w:r>
    </w:p>
    <w:p>
      <w:pPr>
        <w:spacing w:after="0" w:line="212" w:lineRule="auto"/>
        <w:rPr>
          <w:sz w:val="20"/>
          <w:szCs w:val="20"/>
          <w:color w:val="auto"/>
        </w:rPr>
      </w:pPr>
      <w:r>
        <w:rPr>
          <w:rFonts w:ascii="Times New Roman" w:cs="Times New Roman" w:eastAsia="Times New Roman" w:hAnsi="Times New Roman"/>
          <w:sz w:val="18"/>
          <w:szCs w:val="18"/>
          <w:color w:val="auto"/>
        </w:rPr>
        <w:t xml:space="preserve">Vested and released </w:t>
      </w:r>
      <w:r>
        <w:rPr>
          <w:rFonts w:ascii="Times New Roman" w:cs="Times New Roman" w:eastAsia="Times New Roman" w:hAnsi="Times New Roman"/>
          <w:sz w:val="24"/>
          <w:szCs w:val="24"/>
          <w:color w:val="auto"/>
          <w:vertAlign w:val="superscript"/>
        </w:rPr>
        <w:t>(2)</w:t>
      </w:r>
    </w:p>
    <w:p>
      <w:pPr>
        <w:spacing w:after="0" w:line="204" w:lineRule="auto"/>
        <w:rPr>
          <w:sz w:val="20"/>
          <w:szCs w:val="20"/>
          <w:color w:val="auto"/>
        </w:rPr>
      </w:pPr>
      <w:r>
        <w:rPr>
          <w:rFonts w:ascii="Times New Roman" w:cs="Times New Roman" w:eastAsia="Times New Roman" w:hAnsi="Times New Roman"/>
          <w:sz w:val="18"/>
          <w:szCs w:val="18"/>
          <w:color w:val="auto"/>
        </w:rPr>
        <w:t xml:space="preserve">Canceled </w:t>
      </w:r>
      <w:r>
        <w:rPr>
          <w:rFonts w:ascii="Times New Roman" w:cs="Times New Roman" w:eastAsia="Times New Roman" w:hAnsi="Times New Roman"/>
          <w:sz w:val="24"/>
          <w:szCs w:val="24"/>
          <w:color w:val="auto"/>
          <w:vertAlign w:val="superscript"/>
        </w:rPr>
        <w:t>(3)</w:t>
      </w:r>
    </w:p>
    <w:p>
      <w:pPr>
        <w:spacing w:after="0"/>
        <w:rPr>
          <w:sz w:val="20"/>
          <w:szCs w:val="20"/>
          <w:color w:val="auto"/>
        </w:rPr>
      </w:pPr>
      <w:r>
        <w:rPr>
          <w:rFonts w:ascii="Times New Roman" w:cs="Times New Roman" w:eastAsia="Times New Roman" w:hAnsi="Times New Roman"/>
          <w:sz w:val="18"/>
          <w:szCs w:val="18"/>
          <w:color w:val="auto"/>
        </w:rPr>
        <w:t>Unvested and outstanding as of March 31, 2026</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xml:space="preserve">PSUs </w:t>
            </w:r>
            <w:r>
              <w:rPr>
                <w:rFonts w:ascii="Times New Roman" w:cs="Times New Roman" w:eastAsia="Times New Roman" w:hAnsi="Times New Roman"/>
                <w:sz w:val="10"/>
                <w:szCs w:val="10"/>
                <w:b w:val="1"/>
                <w:bCs w:val="1"/>
                <w:color w:val="auto"/>
              </w:rPr>
              <w:t>(1)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MSUs</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11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114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09"/>
        </w:trPr>
        <w:tc>
          <w:tcPr>
            <w:tcW w:w="11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vMerge w:val="restart"/>
          </w:tcPr>
          <w:p>
            <w:pPr>
              <w:spacing w:after="0"/>
              <w:rPr>
                <w:sz w:val="9"/>
                <w:szCs w:val="9"/>
                <w:color w:val="auto"/>
              </w:rPr>
            </w:pPr>
          </w:p>
        </w:tc>
        <w:tc>
          <w:tcPr>
            <w:tcW w:w="200" w:type="dxa"/>
            <w:vAlign w:val="bottom"/>
            <w:vMerge w:val="restart"/>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34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-856615</wp:posOffset>
            </wp:positionV>
            <wp:extent cx="7132320"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-445135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-162560</wp:posOffset>
            </wp:positionV>
            <wp:extent cx="713232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460" w:space="180"/>
            <w:col w:w="7600"/>
          </w:cols>
          <w:pgMar w:left="320" w:top="1332" w:right="339" w:bottom="1440" w:gutter="0" w:footer="0" w:header="0"/>
          <w:type w:val="continuous"/>
        </w:sectPr>
      </w:pPr>
    </w:p>
    <w:p>
      <w:pPr>
        <w:ind w:left="1440" w:right="140" w:hanging="384"/>
        <w:spacing w:after="0"/>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generally vest in two equal annual installments on December 31 in the first and second years following the grant date, based on the extent to which the Company achieves certain financial metrics relative to targets established by the Company’s Compensation and Section 16 Committees of its Board of Directors (jointly, the “Compensation Committee”). The estimated grant-date fair value of PSUs is measured based on the quoted price of our common stock at the date of grant, calculated upon the establishment of performance targets, and amortized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spacing w:after="0" w:line="89" w:lineRule="exact"/>
        <w:rPr>
          <w:rFonts w:ascii="Times New Roman" w:cs="Times New Roman" w:eastAsia="Times New Roman" w:hAnsi="Times New Roman"/>
          <w:sz w:val="14"/>
          <w:szCs w:val="14"/>
          <w:color w:val="auto"/>
        </w:rPr>
      </w:pPr>
    </w:p>
    <w:p>
      <w:pPr>
        <w:ind w:left="1440" w:right="20" w:hanging="384"/>
        <w:spacing w:after="0" w:line="221"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34,000 shares of common stock withheld in connection with PSUs vesting to satisfy required employee tax withholding requirements. Shares which could have been issued in connection with the vesting of PSUs but were instead withheld under net share settlement remain in the authorized but unissued pool under the 2023 Plan and can be reissued by the Company under the 2023 Plan. Total payments for the employees’ tax obligations to the taxing authorities due to net share settlements are reflected as a financing activity within the consolidated statement of cash flows.</w:t>
      </w:r>
    </w:p>
    <w:p>
      <w:pPr>
        <w:spacing w:after="0" w:line="1" w:lineRule="exact"/>
        <w:rPr>
          <w:rFonts w:ascii="Times New Roman" w:cs="Times New Roman" w:eastAsia="Times New Roman" w:hAnsi="Times New Roman"/>
          <w:sz w:val="14"/>
          <w:szCs w:val="14"/>
          <w:color w:val="auto"/>
        </w:rPr>
      </w:pPr>
    </w:p>
    <w:p>
      <w:pPr>
        <w:ind w:left="1440" w:hanging="384"/>
        <w:spacing w:after="0"/>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MSUs cancellations reflect market-based performance targets not being attained by the end of the performance period.</w:t>
      </w:r>
    </w:p>
    <w:p>
      <w:pPr>
        <w:spacing w:after="0" w:line="19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total aggregate fair value of RSUs and PSUs which vested during the three months ended March 31, 2026 was $40.9 million. As of March 31, 2026, total unrecognized compensation cost related to stock-based awards, substantially RSUs (including PSUs), was $192.7 million, which the Company expects to recognize over a weighted-average period of 2.6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$250.0 million in shares of our common stock under a share repurchase program. During the three months ended March 31, 2026 and 2025, the Company did not repurchase any shares of outstanding common stock under the share repurchase program. As of March 31, 2026, the Company had $110.0 million remaining available to repurchase shares of its common stock under this share repurchase program.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used in calculating Diluted EPS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3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40" w:type="dxa"/>
            <w:vAlign w:val="bottom"/>
            <w:tcBorders>
              <w:bottom w:val="single" w:sz="8" w:color="auto"/>
            </w:tcBorders>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4100" w:type="dxa"/>
            <w:vAlign w:val="bottom"/>
            <w:gridSpan w:val="6"/>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in thousands and dollars in millions, except per share</w:t>
            </w:r>
          </w:p>
        </w:tc>
      </w:tr>
      <w:tr>
        <w:trPr>
          <w:trHeight w:val="17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160" w:type="dxa"/>
            <w:vAlign w:val="bottom"/>
            <w:gridSpan w:val="3"/>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1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7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income (loss) used to compute Basic EPS</w:t>
            </w:r>
          </w:p>
        </w:tc>
        <w:tc>
          <w:tcPr>
            <w:tcW w:w="1140" w:type="dxa"/>
            <w:vAlign w:val="bottom"/>
          </w:tcPr>
          <w:p>
            <w:pPr>
              <w:jc w:val="right"/>
              <w:ind w:right="98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(32.4)</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176"/>
        </w:trPr>
        <w:tc>
          <w:tcPr>
            <w:tcW w:w="71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60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7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115,425</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140,970</w:t>
            </w:r>
          </w:p>
        </w:tc>
        <w:tc>
          <w:tcPr>
            <w:tcW w:w="100" w:type="dxa"/>
            <w:vAlign w:val="bottom"/>
          </w:tcPr>
          <w:p>
            <w:pPr>
              <w:spacing w:after="0"/>
              <w:rPr>
                <w:sz w:val="18"/>
                <w:szCs w:val="18"/>
                <w:color w:val="auto"/>
              </w:rPr>
            </w:pPr>
          </w:p>
        </w:tc>
      </w:tr>
      <w:tr>
        <w:trPr>
          <w:trHeight w:val="216"/>
        </w:trPr>
        <w:tc>
          <w:tcPr>
            <w:tcW w:w="71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Stock-based awards (Note 9)</w:t>
            </w:r>
          </w:p>
        </w:tc>
        <w:tc>
          <w:tcPr>
            <w:tcW w:w="1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2026 Senior Notes (Note 6)</w:t>
            </w:r>
          </w:p>
        </w:tc>
        <w:tc>
          <w:tcPr>
            <w:tcW w:w="1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140" w:type="dxa"/>
            <w:vAlign w:val="bottom"/>
            <w:tcBorders>
              <w:top w:val="single" w:sz="8" w:color="CFF0FC"/>
            </w:tcBorders>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shares used to compute Diluted EPS</w:t>
            </w:r>
          </w:p>
        </w:tc>
        <w:tc>
          <w:tcPr>
            <w:tcW w:w="1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115,425</w:t>
            </w:r>
          </w:p>
        </w:tc>
        <w:tc>
          <w:tcPr>
            <w:tcW w:w="36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140,970</w:t>
            </w:r>
          </w:p>
        </w:tc>
        <w:tc>
          <w:tcPr>
            <w:tcW w:w="100" w:type="dxa"/>
            <w:vAlign w:val="bottom"/>
            <w:tcBorders>
              <w:top w:val="single" w:sz="8" w:color="CFF0FC"/>
            </w:tcBorders>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4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EPS</w:t>
            </w:r>
          </w:p>
        </w:tc>
        <w:tc>
          <w:tcPr>
            <w:tcW w:w="1140" w:type="dxa"/>
            <w:vAlign w:val="bottom"/>
            <w:shd w:val="clear" w:color="auto" w:fill="CFF0FC"/>
          </w:tcPr>
          <w:p>
            <w:pPr>
              <w:jc w:val="right"/>
              <w:ind w:right="98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120" w:type="dxa"/>
            <w:vAlign w:val="bottom"/>
            <w:shd w:val="clear" w:color="auto" w:fill="CFF0FC"/>
          </w:tcPr>
          <w:p>
            <w:pPr>
              <w:jc w:val="right"/>
              <w:ind w:right="93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(0.08)</w:t>
            </w:r>
          </w:p>
        </w:tc>
      </w:tr>
      <w:tr>
        <w:trPr>
          <w:trHeight w:val="234"/>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140" w:type="dxa"/>
            <w:vAlign w:val="bottom"/>
          </w:tcPr>
          <w:p>
            <w:pPr>
              <w:jc w:val="right"/>
              <w:ind w:right="98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(0.28)</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-456565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Potential common shares, consisting of outstanding stock options, RSUs (including PSUs, MSUs and DSUs), and those issuable under the 2026 Senior Notes, totaling approximately 18.8 million shares and 22.3 million shares for the three months ended March 31, 2026 and 2025, respectively, have been excluded from the calculation of Diluted EPS because their effect would have been antidilutive. In addition, potential common shares of PSUs and MSUs totaling approximately 1.7 million and 2.0 million for the three months ended March 31, 2026 and 2025, respectively, for which all targets required to trigger vesting had not been achieved, were also excluded from the calculation of weighted average shares used to compute Diluted EPS.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jc w:val="cente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Our segment reporting structure was revised in the fourth quarter of 2025, and our business now consists of three reportable segments: (1) Experiences; (2) Hotels and Other; and (3) TheFork. All prior period segment disclosure information has been recast to conform to the current reporting structure. The nature of the services provided and revenue sources by product, are summarized by reportable segment in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operating and capital resources. Adjusted EBITDA is our reported measure of segment profit and a key measure used by our CODM and Board of Directors to understand and evaluate the operating performance of our business as a whole and for our individual operating segments, and on which internal budgets and forecasts are based and approved. We define adjusted EBITDA as net income (loss) plus: (1) (provision) benefit for income taxes; (2) other income (expense),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(including non-operational costs related to significant shareholder activism, which includes third-party advisory, legal, and other professional fees); and (9) non-recurring expenses and income unusual in nature or infrequently occurring.</w:t>
      </w:r>
    </w:p>
    <w:p>
      <w:pPr>
        <w:spacing w:after="0" w:line="19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reportable segment information for the three months ended March 31, 2026 and 2025 and include a reconciliation of Adjusted EBITDA to Net income (loss). In addition, we do not report total assets, capital expenditures and related depreciation expense by segment as our CODM does not use this information to evaluate operating segment performance. Accordingly, we do not regularly provide such information by segment to our CODM.</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segment disclosure also includes intersegment revenues, which consists of affiliate marketing commissions for services provided by our Hotels and Other segment to TheFork segment. These intersegment transactions are recorded by each segment at amounts that we believe are approximate to fair value as if the transactions were between third parties and, therefore, impact segment performance. However, the revenue and corresponding expense are eliminated in our unaudited condensed consolidated financial statements. The elimination of such intersegment transactions is included within the “Corporate &amp; Eliminations” column in the tables below.</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3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Experiences (1)</w:t>
            </w:r>
          </w:p>
        </w:tc>
        <w:tc>
          <w:tcPr>
            <w:tcW w:w="140" w:type="dxa"/>
            <w:vAlign w:val="bottom"/>
          </w:tcPr>
          <w:p>
            <w:pPr>
              <w:spacing w:after="0"/>
              <w:rPr>
                <w:sz w:val="10"/>
                <w:szCs w:val="10"/>
                <w:color w:val="auto"/>
              </w:rPr>
            </w:pPr>
          </w:p>
        </w:tc>
        <w:tc>
          <w:tcPr>
            <w:tcW w:w="96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Hotels and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40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(5)</w:t>
            </w: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(6)</w:t>
            </w: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Legal reserves, settlements and other</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Transaction related expenses </w:t>
            </w:r>
            <w:r>
              <w:rPr>
                <w:rFonts w:ascii="Times New Roman" w:cs="Times New Roman" w:eastAsia="Times New Roman" w:hAnsi="Times New Roman"/>
                <w:sz w:val="24"/>
                <w:szCs w:val="24"/>
                <w:color w:val="auto"/>
                <w:vertAlign w:val="superscript"/>
              </w:rPr>
              <w:t>(7)</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Non-recurring (expenses) income </w:t>
            </w:r>
            <w:r>
              <w:rPr>
                <w:rFonts w:ascii="Times New Roman" w:cs="Times New Roman" w:eastAsia="Times New Roman" w:hAnsi="Times New Roman"/>
                <w:sz w:val="24"/>
                <w:szCs w:val="24"/>
                <w:color w:val="auto"/>
                <w:vertAlign w:val="superscript"/>
              </w:rPr>
              <w:t>(8)</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413"/>
        </w:trPr>
        <w:tc>
          <w:tcPr>
            <w:tcW w:w="4600" w:type="dxa"/>
            <w:vAlign w:val="bottom"/>
            <w:tcBorders>
              <w:top w:val="single" w:sz="8" w:color="CFF0FC"/>
            </w:tcBorders>
          </w:tcPr>
          <w:p>
            <w:pPr>
              <w:spacing w:after="0"/>
              <w:rPr>
                <w:sz w:val="24"/>
                <w:szCs w:val="24"/>
                <w:color w:val="auto"/>
              </w:rPr>
            </w:pPr>
          </w:p>
        </w:tc>
        <w:tc>
          <w:tcPr>
            <w:tcW w:w="400" w:type="dxa"/>
            <w:vAlign w:val="bottom"/>
            <w:tcBorders>
              <w:top w:val="single" w:sz="8" w:color="CFF0FC"/>
              <w:bottom w:val="single" w:sz="8" w:color="auto"/>
            </w:tcBorders>
          </w:tcPr>
          <w:p>
            <w:pPr>
              <w:spacing w:after="0"/>
              <w:rPr>
                <w:sz w:val="24"/>
                <w:szCs w:val="24"/>
                <w:color w:val="auto"/>
              </w:rPr>
            </w:pPr>
          </w:p>
        </w:tc>
        <w:tc>
          <w:tcPr>
            <w:tcW w:w="74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2440" w:type="dxa"/>
            <w:vAlign w:val="bottom"/>
            <w:tcBorders>
              <w:top w:val="single" w:sz="8" w:color="CFF0FC"/>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Borders>
              <w:top w:val="single" w:sz="8" w:color="CFF0FC"/>
              <w:bottom w:val="single" w:sz="8" w:color="auto"/>
            </w:tcBorders>
          </w:tcPr>
          <w:p>
            <w:pPr>
              <w:spacing w:after="0"/>
              <w:rPr>
                <w:sz w:val="24"/>
                <w:szCs w:val="24"/>
                <w:color w:val="auto"/>
              </w:rPr>
            </w:pPr>
          </w:p>
        </w:tc>
        <w:tc>
          <w:tcPr>
            <w:tcW w:w="140" w:type="dxa"/>
            <w:vAlign w:val="bottom"/>
            <w:tcBorders>
              <w:top w:val="single" w:sz="8" w:color="CFF0FC"/>
              <w:bottom w:val="single" w:sz="8" w:color="auto"/>
            </w:tcBorders>
          </w:tcPr>
          <w:p>
            <w:pPr>
              <w:spacing w:after="0"/>
              <w:rPr>
                <w:sz w:val="24"/>
                <w:szCs w:val="24"/>
                <w:color w:val="auto"/>
              </w:rPr>
            </w:pPr>
          </w:p>
        </w:tc>
        <w:tc>
          <w:tcPr>
            <w:tcW w:w="106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3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Experiences (1)</w:t>
            </w:r>
          </w:p>
        </w:tc>
        <w:tc>
          <w:tcPr>
            <w:tcW w:w="140" w:type="dxa"/>
            <w:vAlign w:val="bottom"/>
          </w:tcPr>
          <w:p>
            <w:pPr>
              <w:spacing w:after="0"/>
              <w:rPr>
                <w:sz w:val="10"/>
                <w:szCs w:val="10"/>
                <w:color w:val="auto"/>
              </w:rPr>
            </w:pPr>
          </w:p>
        </w:tc>
        <w:tc>
          <w:tcPr>
            <w:tcW w:w="96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Hotels and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40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0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-5965825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-5948680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-5965825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-5948680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-5965825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-5948680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-5965825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-5948680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-5965825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-5948680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-4979670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-4979670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-4979670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-4979670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-4979670</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-3300095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-3282315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-2279650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-2262505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-2279650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-2262505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-2279650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-2262505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-2279650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-2262505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-1293495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-1293495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-1293495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-1293495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ind w:left="1440" w:right="120" w:hanging="384"/>
        <w:spacing w:after="0" w:line="233"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shared personnel costs allocated from the Hotels and Other Segment of $4.4 million and $3.0 million in each of the three months ended March 31, 2026 and 2025, respectively.</w:t>
      </w:r>
    </w:p>
    <w:p>
      <w:pPr>
        <w:ind w:left="1440" w:right="640" w:hanging="384"/>
        <w:spacing w:after="0" w:line="221"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shared personnel costs of $5.4 million and $3.8 million in each of the three months ended March 31, 2026 and 2025, respectively, were allocated to the Experiences and TheFork segments.</w:t>
      </w:r>
    </w:p>
    <w:p>
      <w:pPr>
        <w:ind w:left="1440" w:right="120" w:hanging="384"/>
        <w:spacing w:after="0" w:line="221"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shared personnel costs allocated from the Hotels and Other Segment of $1.0 million and $0.8 million in each of the three months ended March 31, 2026 and 2025, respectively.</w:t>
      </w:r>
    </w:p>
    <w:p>
      <w:pPr>
        <w:ind w:left="1440" w:hanging="384"/>
        <w:spacing w:after="0" w:line="233"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segment expense categories and amounts align with the segment-level information that is regularly provided to our CODM.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9" w:name="page20"/>
    <w:bookmarkEnd w:id="19"/>
    <w:p>
      <w:pPr>
        <w:ind w:left="1440" w:right="240" w:hanging="384"/>
        <w:spacing w:after="0" w:line="233"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a $1.3 million net benefit in the Hotels and Other segment which is included separately below in legal reserves, settlements and other, transaction related expenses, and non-recurring (expenses) income.</w:t>
      </w:r>
    </w:p>
    <w:p>
      <w:pPr>
        <w:ind w:left="1440" w:hanging="384"/>
        <w:spacing w:after="0" w:line="221"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5: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for information regarding restructuring and other related reorganization costs.</w:t>
      </w:r>
    </w:p>
    <w:p>
      <w:pPr>
        <w:ind w:left="1440" w:right="420" w:hanging="384"/>
        <w:spacing w:after="0" w:line="221"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costs related to shareholder activism of $3.3 million during the first quarter of 2026, to general and administrative expenses on our unaudited condensed consolidated statements of operations.</w:t>
      </w:r>
    </w:p>
    <w:p>
      <w:pPr>
        <w:ind w:left="1440" w:right="120" w:hanging="384"/>
        <w:spacing w:after="0" w:line="233"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recovery of $4.8 million related to an external fraud incident, which occurred during the fourth quarter of 2022. The Company has reduced Adjusted EBITDA by this recovery amount during the first quarter of 2026, which was recorded to general and administrative expenses on the unaudited condensed consolidated statement of operations. The Company considers such recovery to be non-recurring in nature.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Product Information</w:t>
      </w:r>
    </w:p>
    <w:p>
      <w:pPr>
        <w:spacing w:after="0" w:line="22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Revenue sources within our Experiences segment, Hotels and Other segment, consisting of Hotels revenue, Media and advertising revenue, and Other revenue, and TheFork segments, comprise our products. Refer to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for our revenue by product.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Repayment of 2026 Senior Notes and Expiration of Capped Calls</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April 1, 2026, the Company repaid its 0.25% Convertible 2026 Senior Notes due 2026 (“2026 Senior Notes”), at maturity, for $345.4 million, consisting of the full outstanding principal and accrued interest, funded by cash on hand. As a result of this transaction, the Company has no further obligations under the indenture governing the 2026 Senior Notes, and the related security interest and liens have been released. In connection with the final maturity of the 2026 Senior Notes on April 1, 2026, the Capped Calls also expired unexercised.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and the audited consolidated financial statements and accompanying notes, as well as Management’s Discussion and Analysis of Financial Condition and Results of Operations contained in our 2025 Annual Report.</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2025 Annual Report,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as well as those discussed elsewhere in this Quarterly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80" w:firstLine="509"/>
        <w:spacing w:after="0" w:line="312" w:lineRule="auto"/>
        <w:rPr>
          <w:sz w:val="20"/>
          <w:szCs w:val="20"/>
          <w:color w:val="auto"/>
        </w:rPr>
      </w:pPr>
      <w:r>
        <w:rPr>
          <w:rFonts w:ascii="Times New Roman" w:cs="Times New Roman" w:eastAsia="Times New Roman" w:hAnsi="Times New Roman"/>
          <w:sz w:val="17"/>
          <w:szCs w:val="17"/>
          <w:color w:val="auto"/>
        </w:rPr>
        <w:t>The Tripadvisor group (the “Group”) is a portfolio of global online platforms purpose-built to connect travelers with experiences, accommodations, restaurants and other relevant travel destination points of interest (“POIs”). Our mission is to be the world's most trusted source for travel and experiences.</w:t>
      </w:r>
    </w:p>
    <w:p>
      <w:pPr>
        <w:spacing w:after="0" w:line="140" w:lineRule="exact"/>
        <w:rPr>
          <w:sz w:val="20"/>
          <w:szCs w:val="20"/>
          <w:color w:val="auto"/>
        </w:rPr>
      </w:pPr>
    </w:p>
    <w:p>
      <w:pPr>
        <w:ind w:right="380" w:firstLine="509"/>
        <w:spacing w:after="0" w:line="255" w:lineRule="auto"/>
        <w:rPr>
          <w:sz w:val="20"/>
          <w:szCs w:val="20"/>
          <w:color w:val="auto"/>
        </w:rPr>
      </w:pPr>
      <w:r>
        <w:rPr>
          <w:rFonts w:ascii="Times New Roman" w:cs="Times New Roman" w:eastAsia="Times New Roman" w:hAnsi="Times New Roman"/>
          <w:sz w:val="18"/>
          <w:szCs w:val="18"/>
          <w:color w:val="auto"/>
        </w:rPr>
        <w:t>We offer travelers the ability to search, discover, book, and review experiences, hotels, and restaurants seamlessly through our two-sided marketplaces across three primary consumer-facing brands: Viator, Tripadvisor, and TheFork. Tripadvisor also plays a unique role in broader travel planning and guidance, offering authentic traveler-submitted reviews and content, travel planning tools and related technology to instill confidence for travelers in every part of their travel journey.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0" w:name="page21"/>
    <w:bookmarkEnd w:id="20"/>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measures its financial performance within the following reportable segments: Experiences, Hotels and Other, and TheFork. The Company's strategy is focused on growing and scaling its Experiences and TheFork marketplaces, which we believe represents an attractive long-term value creation opportunity, while optimizing its legacy offerings within the Hotels and Other segment for profitability. Our segment structure reflects the combination of our Viator and Brand Tripadvisor experiences operations implemented in the fourth quarter of 2025 and aligns with our positioning as an experiences-led company, as we continue to evaluate strategic alternatives for TheFork as part of our broader portfolio review.</w:t>
      </w:r>
    </w:p>
    <w:p>
      <w:pPr>
        <w:spacing w:after="0" w:line="183"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Experiences segment includes both Viator and Tripadvisor points-of-sale. Viator is a pure-play experiences online travel agency (“OTA”), offering an online global marketplace focused on merchandising bookable experiences to travelers that typically have relatively higher purchase intent either pre-destination or in-destination. Tripadvisor is an online global travel guidance platform that also merchandises experiences to its audience, which more commonly serves travelers in the discovery and planning phases. The Hotels and Other segment primarily consists of the Tripadvisor hotel and restaurant guidance platform, which includes hotel metasearch, and related advertising offerings primarily for hotels and restaurants. TheFork segment operates an online dining marketplace by enabling diners to discover and book reservations with restaurants in Europe.</w:t>
      </w:r>
    </w:p>
    <w:p>
      <w:pPr>
        <w:spacing w:after="0" w:line="18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Group’s globally recognized brands and extensive user-generated content (“UGC”) support traveler search, discovery, and planning, which in-turn generates high-intent demand for its experiences and dining marketplace offerings as well as for commercial partners in the hotels category and advertising opportunities for endemic and non-endemic advertisers. In turn, clickstream and behavioral data reflecting traveler intent, transactional data from its experiences and dining marketplaces, UGC, and structured and unstructured data related to millions of POIs attractions, and destinations enhance the customer experience through product enhancements and personalization, reinforcing the discovery and engagement loop over time. In addition, the breadth, depth, and scale of first party data is uniquely valuable in the Company’s pursuit to innovate in the application of artificial intelligence (“AI”) for travel and experiences discovery, planning, and booking.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online travel industry in which we operate is large, highly dynamic and competitive. Below, we describe current trends affecting our overall business and segments, including opportunities, but also uncertainties that may impact our ability to execute on our objectives and strategies.</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Experiences and TheFork businesses are two-sided online marketplaces, which have exhibited consistent revenue growth and improving profitability. The Company’s consolidated revenue and adjusted EBITDA continue to shift more towards its marketplace businesses, as shown in our segment financial information. As of the year ended December 31, 2025, the Experiences and TheFork segments represented approximately 60% of the Company’s consolidated revenue and 35% of our consolidated adjusted EBITDA. As the Company continues to execute on its growth strategies and invest in these marketplace businesses, we expect these trends to continue to grow in the future. We expect this will result in less exposure to our media-based and click-based advertising offerings.</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particular, our highest strategic priority is to extend our position as a leader in the experiences category. The global experiences market is large, growing, highly fragmented, and under penetrated, with the vast majority of bookings still occurring through traditional offline sources. We expect to benefit from ongoing market tailwinds as consumers increasingly book experiences online and consumer behavior continues to allocate more discretionary spending to travel and experiences and away from physical goods. Likewise, the global restaurants category is also benefiting from increased online adoption by both consumers and restaurant partners, particularly in Europe. These trends present attractive growth opportunities for our business, as well as to many competitors. Given the competitive positioning of our businesses relative to the attractive growth prospects in the experiences and restaurant categories, we expect to continue to invest in these categories across Tripadvisor Group to continue growing revenue, operating scale, and market share for the long-term.</w:t>
      </w:r>
    </w:p>
    <w:p>
      <w:pPr>
        <w:spacing w:after="0" w:line="192"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We generate a significant amount of direct traffic from search engines, including Google, through search engine optimization (“SEO”) performance across all segments. We believe our SEO traffic acquisition performance has been negatively impacted by search engines changing their search result placement and underlying algorithms to increase the prominence of their own products in search results across our business. We believe that our Hotels and Other segment will continue to be impacted by these challenges and others, including AI overviews displacing top ranked links, reduced click-through rates and a shift towards platform based non-traditional search.</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Macro-Environment Headwinds</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first quarter of 2026, specifically beginning in late February and throughout March, the conflict in the Middle East, as well as severe flooding in Hawaii and civil unrest in Mexico, two key destination markets, had an adverse impact on our Experiences business. Although Experiences showed growth across all reported measures through February, as a result of these macro-events, in March, we did observe a negative impact in booking volumes, gross booking value, and revenue, as well as an increase in cancellation rates across all points of sale in our Experiences segment. This negatively impacted our overall growth rates across our reported measures during the quarter in the Experiences segment. We also expect revenue growth for the Experiences segment will be negatively impacted in the second quarter of 2026, as a result of the impact on booking volumes and cancellations due to the macro-events in the first and second quarters of 2026. If heightened geopolitical tensions and conflicts, including the evolving events in the Middle East continue, they could have a negative impact on the travel industry and, as a result, continue to impact our financial results.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Restructuring and Related Reorganization Actions</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the Company approved and subsequently initiated a series of cost savings actions following a decision to realign its operating model across its Experiences and Hotels and Other segments to support the Company’s positioning as an experiences-led and AI-enabled company. As a result of these actions taken, the Company incurred pre-tax restructuring and other related reorganization costs of $3.3 million during the first quarter of 2026, which consisted of employee severance and related benefits, primarily in our Hotels and Other segment.</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These actions are expected to be substantially completed by the fourth quarter of 2026 and represent transformational initiatives of the Company's operating structure, which are not reflective of the Company's normal and recurring business operations. The multi-period nature of these actions generally reflects the operational challenges of executing a global workforce reduction across multiple jurisdictions, including compliance with local statutory requirements in certain international locations, and the timing of employee departures. Refer to “Note 5: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related to these actions.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the Company approved and subsequently initiated a set of actions across its businesses in order to reduce its cost structure, improve operational efficiencies, and realign its workforce with its strategic initiatives. As a result of actions taken under this initiative, during first quarter of 2025, the Company incurred pre-tax restructuring and other related reorganization costs of $10.1 million, which consisted of employee severance and related benefits, primarily in our Hotel and Other segment.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Repayment of 2026 Senior Notes and Expiration of Capped Calls</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April 1, 2026, the Company repaid its 0.25% Convertible 2026 Senior Notes due 2026 (“2026 Senior Notes”), at maturity, for $345.4 million, consisting of the full outstanding principal and accrued interest, funded by cash on hand. In connection with the maturity and repayment of the 2026 Senior Notes on April 1, 2026, the Capped Calls also expired unexercised. Refer to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approximately 2,555 employees. Approximately 69%, 27%, and 4%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 experiences taken, and traveler accommodation stays, compared to the first and fourth quarters, which represent seasonal low points. In addition, during the first half of the year, experience bookings typically exceed the amount of</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ind w:right="240"/>
        <w:spacing w:after="0" w:line="266" w:lineRule="auto"/>
        <w:rPr>
          <w:sz w:val="20"/>
          <w:szCs w:val="20"/>
          <w:color w:val="auto"/>
        </w:rPr>
      </w:pPr>
      <w:r>
        <w:rPr>
          <w:rFonts w:ascii="Times New Roman" w:cs="Times New Roman" w:eastAsia="Times New Roman" w:hAnsi="Times New Roman"/>
          <w:sz w:val="18"/>
          <w:szCs w:val="18"/>
          <w:color w:val="auto"/>
        </w:rPr>
        <w:t>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r>
        <w:rPr>
          <w:rFonts w:ascii="Times New Roman" w:cs="Times New Roman" w:eastAsia="Times New Roman" w:hAnsi="Times New Roman"/>
          <w:sz w:val="18"/>
          <w:szCs w:val="18"/>
          <w:color w:val="231F20"/>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 Part II, Item 7. — Management’s Discussion and Analysis of Financial Condition and Results of Operations of our 2025 Annual Report.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New Accounting Pronouncements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significant accounting policies or new accounting pronouncements that we are required to adopt that may have an impact on our unaudited condensed consolidated financial statements since December 31, 2025, as compared to those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the audited consolidated financial statements in Item 8 of our 2025 Annual Report.</w:t>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65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20" w:type="dxa"/>
            <w:vAlign w:val="bottom"/>
          </w:tcPr>
          <w:p>
            <w:pPr>
              <w:spacing w:after="0"/>
              <w:rPr>
                <w:sz w:val="12"/>
                <w:szCs w:val="12"/>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(including stock-based compensation of $20.7 and $27.9, respectively)</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6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65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65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9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6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5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Data:</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14"/>
                <w:szCs w:val="14"/>
                <w:color w:val="auto"/>
              </w:rPr>
              <w:t>(1)</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-1704975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-1704975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-865505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-865505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-582295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-582295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n.m. = </w:t>
      </w:r>
      <w:r>
        <w:rPr>
          <w:rFonts w:ascii="Times New Roman" w:cs="Times New Roman" w:eastAsia="Times New Roman" w:hAnsi="Times New Roman"/>
          <w:sz w:val="18"/>
          <w:szCs w:val="18"/>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9" w:lineRule="exact"/>
        <w:rPr>
          <w:sz w:val="20"/>
          <w:szCs w:val="20"/>
          <w:color w:val="auto"/>
        </w:rPr>
      </w:pPr>
    </w:p>
    <w:p>
      <w:pPr>
        <w:ind w:left="840" w:right="460" w:hanging="383"/>
        <w:spacing w:after="0" w:line="239" w:lineRule="auto"/>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is considered a non-GAAP measure as defined by the SEC. Please refer to the “Adjusted EBITDA” discussion below for more information, including tabular reconciliations to the most directly comparable GAAP financial measure.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Revenue and Segment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Experiences Segment</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11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0" w:type="dxa"/>
            <w:vAlign w:val="bottom"/>
            <w:vMerge w:val="continue"/>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-509270</wp:posOffset>
            </wp:positionV>
            <wp:extent cx="1460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-509270</wp:posOffset>
            </wp:positionV>
            <wp:extent cx="1460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11" w:lineRule="exact"/>
        <w:rPr>
          <w:sz w:val="20"/>
          <w:szCs w:val="20"/>
          <w:color w:val="auto"/>
        </w:rPr>
      </w:pPr>
    </w:p>
    <w:p>
      <w:pPr>
        <w:ind w:left="1020" w:right="180" w:hanging="503"/>
        <w:spacing w:after="0" w:line="234"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spacing w:after="0" w:line="1"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use the operating metrics described below to assist us in measuring our operations performance, identifying trends, formulating projections and making strategic decisions for the Experiences segment. We are not aware of any uniform standards for calculating these metrics, which may hinder comparability with other companies that may calculate similarly titled metrics in a different way. Management believes it is useful to monitor these metrics together and not individually as it does not make business decisions based upon any single metric. We regularly review our processes and may adjust how we calculate these metrics to improve their accuracy. We make these key metrics available to investors because we believe they are useful to investors both because they allow for greater transparency with respect to key metrics used by management in its financial and operational decision-making, and because they may be used by investors to help analyze the health of our business. None of these metrics should be considered as an alternative to any measure of financial performance calculated in accordance with GAAP.</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Number of Experience Bookings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define an experience booking as a single tour, activity, or attraction that can be purchased through Viator's platform for one or several travelers, prior to adjustments such as date changes, refunds, or cancellations. This metric is reported at the time the booking is made. As an example, a single experience booked in January for three travelers would be reported as one experience booking in the first quarter. We believe that the number of experience bookings, an operational measure, is a useful indicator of the scale of our marketplace. The number of experiences booked was approximately 5.6 million during the first quarter of 2026, an increase of approximately 11%, when compared to the same period in 2025, primarily driven through growth on the Viator point of sale, as well as third-party points of sale, partially offset by the macro-related factors noted above, which negatively impacted bookings growth.</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Booking Value (“GBV”)</w:t>
      </w:r>
    </w:p>
    <w:p>
      <w:pPr>
        <w:spacing w:after="0" w:line="14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GBV represents the total dollar value of experience bookings in a given period prior to any adjustments such as date changes, refunds or cancellations. GBV is an operational measure that provides an indication of total engagement and economic activity driven by our platform in a given period by all marketplace constituents (travelers, experiences operators, and partners). Management uses GBV for operational decision-making purposes to monitor the growth, scale, and reach of its online marketplace as well as assess the health of its global ecosystem. Accordingly, management does not consider GBV to be an indicator of revenue or any other financial statement measure.</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GBV reached approximately $1.2 billion during the three months ended March 31, 2026, an increase of approximately 13%, when compared to the same period in 2025, primarily due to growth in the number of experience bookings as discussed above, and to</w:t>
      </w: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4" w:name="page25"/>
    <w:bookmarkEnd w:id="24"/>
    <w:p>
      <w:pPr>
        <w:ind w:right="440"/>
        <w:spacing w:after="0" w:line="282" w:lineRule="auto"/>
        <w:rPr>
          <w:sz w:val="20"/>
          <w:szCs w:val="20"/>
          <w:color w:val="auto"/>
        </w:rPr>
      </w:pPr>
      <w:r>
        <w:rPr>
          <w:rFonts w:ascii="Times New Roman" w:cs="Times New Roman" w:eastAsia="Times New Roman" w:hAnsi="Times New Roman"/>
          <w:sz w:val="18"/>
          <w:szCs w:val="18"/>
          <w:color w:val="auto"/>
        </w:rPr>
        <w:t>a lesser extent, an increase in pricing primarily due to favorable foreign currency fluctuations. These were partially offset by the macro-related factors noted above, which negatively impacted bookings growth.</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and Adjusted EBITDA</w:t>
      </w:r>
    </w:p>
    <w:p>
      <w:pPr>
        <w:spacing w:after="0" w:line="22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Experiences segment revenue increased $12.1 million during the three months ended March 31, 2026 when compared to the same period in 2025, primarily driven by growth in bookings volume and, to a lesser extent, an increase in pricing, which we estimate was positively impacted by foreign currency fluctuations of approximately 4% during the three months ended March 31, 2026, when compared to the same period in 2025. These were partially offset by the macro-related factors noted above, that negatively impacted bookings growth and increased cancellation rates, which we estimate negatively impacted revenue growth by approximately 4.0 percentage points during the three months ended March 31, 2026.</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Adjusted EBITDA loss in our Experiences segment increased by $5.1 million during the three months ended March 31, 2026 when compared to the same period in 2025, while adjusted EBITDA margin declined by 2.3 percentage points. The increase in adjusted EBITDA loss was primarily due to an increase in paid marketing costs, as well as variable costs related to revenue growth, such as credit card payment processing fees, partially offset by an increase in revenue growth, as discussed above. The decline in adjusted EBITDA margin during the three months ended March 31, 2026 when compared to the same period in 2025 was primarily due to an increase in marketing costs as a percent of revenue.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Hotels and Other Segment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3100" w:type="dxa"/>
            <w:vAlign w:val="bottom"/>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8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40" w:type="dxa"/>
            <w:vAlign w:val="bottom"/>
          </w:tcPr>
          <w:p>
            <w:pPr>
              <w:spacing w:after="0"/>
              <w:rPr>
                <w:sz w:val="12"/>
                <w:szCs w:val="12"/>
                <w:color w:val="auto"/>
              </w:rPr>
            </w:pPr>
          </w:p>
        </w:tc>
      </w:tr>
      <w:tr>
        <w:trPr>
          <w:trHeight w:val="210"/>
        </w:trPr>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(2)</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1100" w:type="dxa"/>
            <w:vAlign w:val="bottom"/>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8"/>
                <w:szCs w:val="18"/>
                <w:color w:val="auto"/>
              </w:rPr>
            </w:pPr>
          </w:p>
        </w:tc>
        <w:tc>
          <w:tcPr>
            <w:tcW w:w="12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48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31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1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-509270</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-509270</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 w:lineRule="exact"/>
        <w:rPr>
          <w:sz w:val="20"/>
          <w:szCs w:val="20"/>
          <w:color w:val="auto"/>
        </w:rPr>
      </w:pPr>
    </w:p>
    <w:p>
      <w:pPr>
        <w:ind w:left="840" w:right="220" w:hanging="383"/>
        <w:spacing w:after="0" w:line="230" w:lineRule="auto"/>
        <w:tabs>
          <w:tab w:leader="none" w:pos="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Hotels and Other segment revenue figures are shown gross of intersegment (intercompany) revenue, which is eliminated on a consolidated basis. Refer to “Note 12: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840" w:right="380" w:hanging="383"/>
        <w:spacing w:after="0" w:line="221" w:lineRule="auto"/>
        <w:tabs>
          <w:tab w:leader="none" w:pos="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ind w:left="840" w:hanging="383"/>
        <w:spacing w:after="0"/>
        <w:tabs>
          <w:tab w:leader="none" w:pos="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Hotels and Other revenue decreased by $38.8 million for the three months ended March 31, 2026 when compared to the same period in 2025, driven by declines across all revenue streams primarily from free marketing channels, particularly SEO, as discussed further below.</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Adjusted EBITDA in our Hotels and Other segment decreased by $24.7 million during the three months ended March 31, 2026 when compared to the same period in 2025, while adjusted EBITDA margin decreased by 8.0 percentage points. The decrease in adjusted EBITDA was primarily due to a decrease in revenue, as noted above, partially offset by a decrease in the segment's operating expenses of $14.1 million during the three months ended March 31, 2026 when compared to the same period in 2025. This decrease was primarily related to a decrease in personnel costs due to a reduction in headcount related to cost reduction measures taken during the fourth quarter of 2025, and to a lesser extent, a decrease in marketing expenses. The decrease in adjusted EBITDA margin during the three months ended March 31, 2026 when compared to the same period in 2025, was primarily due to an increase in marketing costs as a percentage of revenue due to declines in free marketing channels, particularly SEO, and the resulting shift from free to paid marketing channels, as well as technology and cost of sales costs as a percent of revenue.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detailed discussion of the revenue sources within our Hotels and Other segment: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5460" w:type="dxa"/>
            <w:vAlign w:val="bottom"/>
          </w:tcPr>
          <w:p>
            <w:pPr>
              <w:spacing w:after="0"/>
              <w:rPr>
                <w:sz w:val="12"/>
                <w:szCs w:val="12"/>
                <w:color w:val="auto"/>
              </w:rPr>
            </w:pPr>
          </w:p>
        </w:tc>
        <w:tc>
          <w:tcPr>
            <w:tcW w:w="104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Borders>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2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60" w:type="dxa"/>
            <w:vAlign w:val="bottom"/>
            <w:gridSpan w:val="2"/>
          </w:tcPr>
          <w:p>
            <w:pPr>
              <w:jc w:val="right"/>
              <w:ind w:right="798"/>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Hotels and Other:</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Hotels</w:t>
            </w:r>
          </w:p>
        </w:tc>
        <w:tc>
          <w:tcPr>
            <w:tcW w:w="1040" w:type="dxa"/>
            <w:vAlign w:val="bottom"/>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420" w:type="dxa"/>
            <w:vAlign w:val="bottom"/>
          </w:tcPr>
          <w:p>
            <w:pPr>
              <w:spacing w:after="0"/>
              <w:rPr>
                <w:sz w:val="18"/>
                <w:szCs w:val="18"/>
                <w:color w:val="auto"/>
              </w:rPr>
            </w:pPr>
          </w:p>
        </w:tc>
        <w:tc>
          <w:tcPr>
            <w:tcW w:w="104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3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6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 of Hotels and Other revenue*</w:t>
            </w:r>
          </w:p>
        </w:tc>
        <w:tc>
          <w:tcPr>
            <w:tcW w:w="10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i w:val="1"/>
                <w:iCs w:val="1"/>
                <w:color w:val="auto"/>
              </w:rPr>
              <w:t>72.5%</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75.2%</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1040" w:type="dxa"/>
            <w:vAlign w:val="bottom"/>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20" w:type="dxa"/>
            <w:vAlign w:val="bottom"/>
          </w:tcPr>
          <w:p>
            <w:pPr>
              <w:spacing w:after="0"/>
              <w:rPr>
                <w:sz w:val="18"/>
                <w:szCs w:val="18"/>
                <w:color w:val="auto"/>
              </w:rPr>
            </w:pPr>
          </w:p>
        </w:tc>
        <w:tc>
          <w:tcPr>
            <w:tcW w:w="104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46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 of Hotels and Other revenue*</w:t>
            </w:r>
          </w:p>
        </w:tc>
        <w:tc>
          <w:tcPr>
            <w:tcW w:w="10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i w:val="1"/>
                <w:iCs w:val="1"/>
                <w:color w:val="auto"/>
              </w:rPr>
              <w:t>17.7%</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15.7%</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9"/>
                <w:szCs w:val="9"/>
                <w:color w:val="auto"/>
              </w:rPr>
              <w:t>(1)</w:t>
            </w:r>
          </w:p>
        </w:tc>
        <w:tc>
          <w:tcPr>
            <w:tcW w:w="1040" w:type="dxa"/>
            <w:vAlign w:val="bottom"/>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20" w:type="dxa"/>
            <w:vAlign w:val="bottom"/>
          </w:tcPr>
          <w:p>
            <w:pPr>
              <w:spacing w:after="0"/>
              <w:rPr>
                <w:sz w:val="18"/>
                <w:szCs w:val="18"/>
                <w:color w:val="auto"/>
              </w:rPr>
            </w:pPr>
          </w:p>
        </w:tc>
        <w:tc>
          <w:tcPr>
            <w:tcW w:w="104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46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 of Hotels and Other revenue*</w:t>
            </w:r>
          </w:p>
        </w:tc>
        <w:tc>
          <w:tcPr>
            <w:tcW w:w="10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i w:val="1"/>
                <w:iCs w:val="1"/>
                <w:color w:val="auto"/>
              </w:rPr>
              <w:t>9.8%</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9.1%</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0"/>
        </w:trPr>
        <w:tc>
          <w:tcPr>
            <w:tcW w:w="546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Hotels and Other Revenue</w:t>
            </w:r>
          </w:p>
        </w:tc>
        <w:tc>
          <w:tcPr>
            <w:tcW w:w="104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420" w:type="dxa"/>
            <w:vAlign w:val="bottom"/>
          </w:tcPr>
          <w:p>
            <w:pPr>
              <w:spacing w:after="0"/>
              <w:rPr>
                <w:sz w:val="18"/>
                <w:szCs w:val="18"/>
                <w:color w:val="auto"/>
              </w:rPr>
            </w:pPr>
          </w:p>
        </w:tc>
        <w:tc>
          <w:tcPr>
            <w:tcW w:w="104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3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-170815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*Percentages may not total to 100% due to rounding.</w:t>
      </w:r>
    </w:p>
    <w:p>
      <w:pPr>
        <w:spacing w:after="0" w:line="98" w:lineRule="exact"/>
        <w:rPr>
          <w:sz w:val="20"/>
          <w:szCs w:val="20"/>
          <w:color w:val="auto"/>
        </w:rPr>
      </w:pPr>
    </w:p>
    <w:p>
      <w:pPr>
        <w:ind w:left="840" w:right="360" w:hanging="383"/>
        <w:spacing w:after="0" w:line="241" w:lineRule="auto"/>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Tripadvisor dining revenue within the Hotels and Other segment is shown gross of intersegment (intercompany) revenue, which is eliminated on a consolidated basis. 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 presented.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Hotels Revenue</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Hotels revenue decreased $33.6 million during the three months ended March 31, 2026 when compared to the same period in 2025, primarily due to a decrease in hotel metasearch revenue. This decrease was driven primarily by declines in free marketing channels, particularly SEO, impacting paid marketing channels, resulting in lower click volumes, which more than offset an increase in pricing as measured in cost-per-click rates (“CPCs”) in our hotel metasearch offering. Growth in CPCs was due in part to certain product changes made that improved qualified referrals to our partners and, as a result, increased CPCs, across all geographies.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Media and Advertising Revenue</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Media and advertising revenue, which consists of revenue from display-based advertising (or “media advertising”) across our Tripadvisor Group platform, decreased $2.8 million during the three months ended March 31, 2026 when compared to the same period in 2025. The decrease was primarily due to declines in traditional display and programmatic advertising (together sometimes referred to as “on platform” advertising) that correlates closely with overall traffic volume.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Other revenue includes click-based advertising and display-based advertising revenue from our cruise, as well as, Tripadvisor dining revenue. At the start of 2026, the Company no longer offers travelers access to vacation rentals, flights and rental cars offerings on its platform. Tripadvisor dining revenue includes intercompany (intersegment) revenue consisting of affiliate marketing commissions earned primarily from restaurant reservation bookings on Tripadvisor-branded websites and mobile apps, fulfilled by TheFork, which is eliminated on a consolidated basis, in addition to revenue earned from Hotels and Other’s own business-to-business (“B2B”) restaurant offerings. Other revenue decreased $2.4 million during the three months ended March 31, 2026 when compared to the same period in 2025, primarily due to Tripadvisor dining revenue as we shift our strategic focus and simplify the management of our Hotels and Other segment, and to a lesser extent, the Company no longer offering vacation rentals, flights and rental cars offerings on our platform, as noted above.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TheFork Segment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4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800" w:type="dxa"/>
            <w:vAlign w:val="bottom"/>
            <w:gridSpan w:val="2"/>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4"/>
                <w:szCs w:val="24"/>
                <w:color w:val="auto"/>
                <w:vertAlign w:val="superscript"/>
              </w:rPr>
              <w:t>(2)</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164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24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8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317"/>
        </w:trPr>
        <w:tc>
          <w:tcPr>
            <w:tcW w:w="58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1"/>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-1216660</wp:posOffset>
            </wp:positionV>
            <wp:extent cx="1111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-1216660</wp:posOffset>
            </wp:positionV>
            <wp:extent cx="1460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26" w:name="page27"/>
    <w:bookmarkEnd w:id="26"/>
    <w:p>
      <w:pPr>
        <w:ind w:left="1020" w:right="200" w:hanging="503"/>
        <w:spacing w:after="0" w:line="234"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spacing w:after="0" w:line="1" w:lineRule="exact"/>
        <w:rPr>
          <w:rFonts w:ascii="Times New Roman" w:cs="Times New Roman" w:eastAsia="Times New Roman" w:hAnsi="Times New Roman"/>
          <w:sz w:val="14"/>
          <w:szCs w:val="14"/>
          <w:color w:val="auto"/>
        </w:rPr>
      </w:pPr>
    </w:p>
    <w:p>
      <w:pPr>
        <w:ind w:left="1020" w:right="60" w:hanging="503"/>
        <w:spacing w:after="0" w:line="221"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TheFork segment marketing expenses are shown gross of intersegment (intercompany) expenses, which is eliminated on a consolidated basis. Refer to “Note 12: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activity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1020" w:hanging="503"/>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TheFork revenue increased $10.9 million during the three months ended March 31, 2026 when compared to the same period in 2025, driven primarily by booking volume growth largely in TheFork's branded channel, in addition to increased adoption of its premium online reservation booking software offering, and third-party partnership revenue. In addition, TheFork's revenue growth rate was positively impacted by foreign currency fluctuations of approximately 12% during the three months ended March 31, 2026, when compared to the same period in 2025.</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Adjusted EBITDA in TheFork improved by $8.1 million during the three months ended March 31, 2026 when compared to the same period in 2025, and adjusted EBITDA margin improved by 15.5 percentage points during the three months ended March 31, 2026 when compared to the same period in 2025. The improvement in adjusted EBITDA was primarily due to an increase in revenue as noted above, and a decrease in brand marketing, partially offset by increased personnel costs due to increased headcount to support business growth. The improvement in adjusted EBITDA margin was primarily due to lower marketing costs as a percentage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Cost of sales consists of expenses that are directly related or closely correlated to revenue generation, including direct costs, such as credit card and other booking transaction payment fees, media production costs, ad serving fees, and other revenue generating costs. In addition, cost of sales includes operating costs such as bad debt expense and non-income taxes, including sales, use, digital services, and other non-income related taxes.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5520" w:type="dxa"/>
            <w:vAlign w:val="bottom"/>
          </w:tcPr>
          <w:p>
            <w:pPr>
              <w:spacing w:after="0"/>
              <w:rPr>
                <w:sz w:val="12"/>
                <w:szCs w:val="12"/>
                <w:color w:val="auto"/>
              </w:rPr>
            </w:pPr>
          </w:p>
        </w:tc>
        <w:tc>
          <w:tcPr>
            <w:tcW w:w="110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18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2"/>
          </w:tcPr>
          <w:p>
            <w:pPr>
              <w:jc w:val="right"/>
              <w:ind w:right="839"/>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10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100" w:type="dxa"/>
            <w:vAlign w:val="bottom"/>
          </w:tcPr>
          <w:p>
            <w:pPr>
              <w:spacing w:after="0"/>
              <w:rPr>
                <w:sz w:val="20"/>
                <w:szCs w:val="20"/>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8.6%</w:t>
            </w:r>
          </w:p>
        </w:tc>
        <w:tc>
          <w:tcPr>
            <w:tcW w:w="1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Cost of sales increased $6.0 million during the three months ended March 31, 2026 when compared to the same period in 2025, primarily due to an increase in credit card payment processing fees as a result of revenue growth in Experiences, as well as an increase in media production costs and other transaction related costs related to generating revenue in Hotels and Other.</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56"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Marketing expenses (or advertising costs) consist of direct costs, including traffic generation costs from paid online traffic acquisition costs (including SEM and other online traffic acquisition costs), syndication costs and affiliate marketing commissions, social media costs, brand advertising (including connected television, traditional television and other offline advertising), promotions and public relations.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2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60" w:type="dxa"/>
            <w:vAlign w:val="bottom"/>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 Experiences</w:t>
            </w:r>
          </w:p>
        </w:tc>
        <w:tc>
          <w:tcPr>
            <w:tcW w:w="190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Marketing - Hotels and Other</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Marketing - TheFork </w:t>
            </w:r>
            <w:r>
              <w:rPr>
                <w:rFonts w:ascii="Times New Roman" w:cs="Times New Roman" w:eastAsia="Times New Roman" w:hAnsi="Times New Roman"/>
                <w:sz w:val="24"/>
                <w:szCs w:val="24"/>
                <w:color w:val="auto"/>
                <w:vertAlign w:val="superscript"/>
              </w:rPr>
              <w:t>(1)</w:t>
            </w:r>
          </w:p>
        </w:tc>
        <w:tc>
          <w:tcPr>
            <w:tcW w:w="8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Intersegment (intercompany) marketing expenses </w:t>
            </w:r>
            <w:r>
              <w:rPr>
                <w:rFonts w:ascii="Times New Roman" w:cs="Times New Roman" w:eastAsia="Times New Roman" w:hAnsi="Times New Roman"/>
                <w:sz w:val="24"/>
                <w:szCs w:val="24"/>
                <w:color w:val="auto"/>
                <w:vertAlign w:val="superscript"/>
              </w:rPr>
              <w:t>(1)</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4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Marketing</w:t>
            </w:r>
          </w:p>
        </w:tc>
        <w:tc>
          <w:tcPr>
            <w:tcW w:w="8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4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4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5"/>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 of revenue</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46.4%</w:t>
            </w:r>
          </w:p>
        </w:tc>
        <w:tc>
          <w:tcPr>
            <w:tcW w:w="10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-173990</wp:posOffset>
            </wp:positionV>
            <wp:extent cx="1111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-156845</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-173990</wp:posOffset>
            </wp:positionV>
            <wp:extent cx="1111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-156845</wp:posOffset>
            </wp:positionV>
            <wp:extent cx="111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45" w:lineRule="exact"/>
        <w:rPr>
          <w:sz w:val="20"/>
          <w:szCs w:val="20"/>
          <w:color w:val="auto"/>
        </w:rPr>
      </w:pPr>
    </w:p>
    <w:p>
      <w:pPr>
        <w:ind w:left="1020" w:right="320" w:hanging="503"/>
        <w:spacing w:after="0" w:line="241"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Marketing expenses are shown gross of intersegment (intercompany) expenses, which is eliminated on a consolidated basis. 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activity for all periods presented.</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sectPr>
      </w:pPr>
    </w:p>
    <w:bookmarkStart w:id="27" w:name="page28"/>
    <w:bookmarkEnd w:id="27"/>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Marketing costs increased $6.0 million during the three months ended March 31, 2026 when compared to the same period in 2025, driven by an increase in marketing costs in Experiences, in order to drive revenue growth and increase market share, partially offset by a decrease in marketing costs in Hotels and Other and TheFork.</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Personnel</w:t>
      </w:r>
    </w:p>
    <w:p>
      <w:pPr>
        <w:spacing w:after="0" w:line="256"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Personnel expenses consist primarily of salaries, payroll taxes, bonuses, employee health and other benefits, and stock-based compensation. In addition, personnel expenses include costs associated with contingent staff, bonuses and commissions for sales, sales support, customer support and marketing employees.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2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19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Personnel</w:t>
            </w:r>
          </w:p>
        </w:tc>
        <w:tc>
          <w:tcPr>
            <w:tcW w:w="19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3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 of revenue</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33.9%</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-173990</wp:posOffset>
            </wp:positionV>
            <wp:extent cx="111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-156845</wp:posOffset>
            </wp:positionV>
            <wp:extent cx="11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-173990</wp:posOffset>
            </wp:positionV>
            <wp:extent cx="1111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-156845</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9" w:lineRule="exact"/>
        <w:rPr>
          <w:sz w:val="20"/>
          <w:szCs w:val="20"/>
          <w:color w:val="auto"/>
        </w:rPr>
      </w:pPr>
    </w:p>
    <w:p>
      <w:pPr>
        <w:ind w:right="260" w:firstLine="539"/>
        <w:spacing w:after="0" w:line="282" w:lineRule="auto"/>
        <w:rPr>
          <w:sz w:val="20"/>
          <w:szCs w:val="20"/>
          <w:color w:val="auto"/>
        </w:rPr>
      </w:pPr>
      <w:r>
        <w:rPr>
          <w:rFonts w:ascii="Times New Roman" w:cs="Times New Roman" w:eastAsia="Times New Roman" w:hAnsi="Times New Roman"/>
          <w:sz w:val="18"/>
          <w:szCs w:val="18"/>
          <w:color w:val="auto"/>
        </w:rPr>
        <w:t>Personnel costs, including stock-based compensation, decreased $14.2 million during the three months ended March 31, 2026 when compared to the same period in 2025, primarily driven by a reduction in headcount related to cost-reduction measures initiated in Hotels and Other during 2025.</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Technology expenses consist primarily of licensing, data center costs including cloud-based solutions, maintenance, computer supplies, telecom, and content translation and localization costs.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5520" w:type="dxa"/>
            <w:vAlign w:val="bottom"/>
          </w:tcPr>
          <w:p>
            <w:pPr>
              <w:spacing w:after="0"/>
              <w:rPr>
                <w:sz w:val="12"/>
                <w:szCs w:val="12"/>
                <w:color w:val="auto"/>
              </w:rPr>
            </w:pPr>
          </w:p>
        </w:tc>
        <w:tc>
          <w:tcPr>
            <w:tcW w:w="110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18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2"/>
          </w:tcPr>
          <w:p>
            <w:pPr>
              <w:jc w:val="right"/>
              <w:ind w:right="839"/>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110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100" w:type="dxa"/>
            <w:vAlign w:val="bottom"/>
          </w:tcPr>
          <w:p>
            <w:pPr>
              <w:spacing w:after="0"/>
              <w:rPr>
                <w:sz w:val="20"/>
                <w:szCs w:val="20"/>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right="140" w:firstLine="539"/>
        <w:spacing w:after="0" w:line="282" w:lineRule="auto"/>
        <w:rPr>
          <w:sz w:val="20"/>
          <w:szCs w:val="20"/>
          <w:color w:val="auto"/>
        </w:rPr>
      </w:pPr>
      <w:r>
        <w:rPr>
          <w:rFonts w:ascii="Times New Roman" w:cs="Times New Roman" w:eastAsia="Times New Roman" w:hAnsi="Times New Roman"/>
          <w:sz w:val="18"/>
          <w:szCs w:val="18"/>
          <w:color w:val="auto"/>
        </w:rPr>
        <w:t>Technology costs increased $2.3 million during the three months ended March 31, 2026 when compared to the same period in 2025, primarily due to increased licensing and data center costs.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professional service fees and other fees including audit, legal, tax and accounting, and other operating costs including real estate and office expenses, and non-compensation related personnel expenses such as travel, relocation, recruiting, and training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20" w:type="dxa"/>
            <w:vAlign w:val="bottom"/>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2"/>
          </w:tcPr>
          <w:p>
            <w:pPr>
              <w:jc w:val="right"/>
              <w:ind w:right="842"/>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costs decreased $2.7 million during the three months ended March 31, 2026 when compared to the same period in 2025, primarily due to a recovery of $4.8 million related to an external fraud incident, which occurred during the fourth quarter of 2022, and to a lesser extent, an increase of sublease income related to office space, partially offset by $3.3 million of shareholder activism costs, all of which was included in Hotels and Other.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and amortization of capitalized website development costs and right-of-use assets related to our finance lease. Amortization consists of the amortization of definite-lived intangibles purchased in business acquisitions.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0" w:type="dxa"/>
            <w:vAlign w:val="bottom"/>
            <w:tcBorders>
              <w:bottom w:val="single" w:sz="8" w:color="auto"/>
            </w:tcBorders>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right"/>
              <w:ind w:right="10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3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r>
      <w:tr>
        <w:trPr>
          <w:trHeight w:val="230"/>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3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FF0FC"/>
          </w:tcPr>
          <w:p>
            <w:pPr>
              <w:spacing w:after="0"/>
              <w:rPr>
                <w:sz w:val="19"/>
                <w:szCs w:val="19"/>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of revenue</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-173990</wp:posOffset>
            </wp:positionV>
            <wp:extent cx="1111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-156845</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-173990</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-156845</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$3.3 million during the three months ended March 31, 2026 when compared to the same period in 2025, primarily due to increased depreciation related to previous capital investments in internal website development.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related reorganization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and other related reorganization costs consist primarily of employee severance and related benefits and other related reorganization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308"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7620</wp:posOffset>
            </wp:positionV>
            <wp:extent cx="21945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ind w:left="7220"/>
        <w:spacing w:after="0"/>
        <w:tabs>
          <w:tab w:leader="none" w:pos="90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wp:posOffset>
            </wp:positionV>
            <wp:extent cx="21945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7920"/>
        <w:spacing w:after="0" w:line="235"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tabs>
          <w:tab w:leader="none" w:pos="6560" w:val="left"/>
          <w:tab w:leader="none" w:pos="7920" w:val="left"/>
          <w:tab w:leader="none" w:pos="8420" w:val="left"/>
          <w:tab w:leader="none" w:pos="9680" w:val="left"/>
        </w:tabs>
        <w:rPr>
          <w:sz w:val="20"/>
          <w:szCs w:val="20"/>
          <w:color w:val="auto"/>
        </w:rPr>
      </w:pPr>
      <w:r>
        <w:rPr>
          <w:rFonts w:ascii="Times New Roman" w:cs="Times New Roman" w:eastAsia="Times New Roman" w:hAnsi="Times New Roman"/>
          <w:sz w:val="18"/>
          <w:szCs w:val="18"/>
          <w:color w:val="auto"/>
        </w:rPr>
        <w:t>Restructuring and other related reorganization costs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w:t>
        <w:tab/>
        <w:t>$</w:t>
      </w:r>
      <w:r>
        <w:rPr>
          <w:sz w:val="20"/>
          <w:szCs w:val="20"/>
          <w:color w:val="auto"/>
        </w:rPr>
        <w:tab/>
      </w:r>
      <w:r>
        <w:rPr>
          <w:rFonts w:ascii="Times New Roman" w:cs="Times New Roman" w:eastAsia="Times New Roman" w:hAnsi="Times New Roman"/>
          <w:sz w:val="18"/>
          <w:szCs w:val="18"/>
          <w:color w:val="auto"/>
        </w:rPr>
        <w:t>10.1</w:t>
      </w:r>
    </w:p>
    <w:p>
      <w:pPr>
        <w:spacing w:after="0" w:line="20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pre-tax restructuring and other related reorganization costs of $3.3 million during the three months ended March 31, 2026, as discussed above. Refer to “Note 5: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in the notes to our unaudited condensed consolidated financial statements in Item 1 in this Quarterly Report for more information regarding restructuring and other related reorganization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the Credit Facility, the Term Loan B Facility, the 2026 Senior Notes, as well as imputed interest on finance leases.</w:t>
      </w:r>
    </w:p>
    <w:p>
      <w:pPr>
        <w:spacing w:after="0" w:line="47"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7620</wp:posOffset>
            </wp:positionV>
            <wp:extent cx="24688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6900"/>
        <w:spacing w:after="0"/>
        <w:tabs>
          <w:tab w:leader="none" w:pos="89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-3175</wp:posOffset>
            </wp:positionV>
            <wp:extent cx="24688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7720"/>
        <w:spacing w:after="0" w:line="235"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tabs>
          <w:tab w:leader="none" w:pos="6120" w:val="left"/>
          <w:tab w:leader="none" w:pos="7540" w:val="left"/>
          <w:tab w:leader="none" w:pos="8220" w:val="left"/>
          <w:tab w:leader="none" w:pos="9640" w:val="left"/>
        </w:tabs>
        <w:rPr>
          <w:sz w:val="20"/>
          <w:szCs w:val="20"/>
          <w:color w:val="auto"/>
        </w:rPr>
      </w:pP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(15.7)</w:t>
        <w:tab/>
        <w:t>$</w:t>
      </w:r>
      <w:r>
        <w:rPr>
          <w:sz w:val="20"/>
          <w:szCs w:val="20"/>
          <w:color w:val="auto"/>
        </w:rPr>
        <w:tab/>
      </w:r>
      <w:r>
        <w:rPr>
          <w:rFonts w:ascii="Times New Roman" w:cs="Times New Roman" w:eastAsia="Times New Roman" w:hAnsi="Times New Roman"/>
          <w:sz w:val="18"/>
          <w:szCs w:val="18"/>
          <w:color w:val="auto"/>
        </w:rPr>
        <w:t>(11.7)</w:t>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increased $4.0 million during the three months ended March 31, 2026 when compared to the same period in 2025, primarily due to the issuance of our Tack-On Incremental Term Loan B Facility in March 2025, which incrementally increased our ongoing financing costs. The majority of interest expense reported during the three months ended March 31, 2026 and 2025, was primarily related to the Term Loan B Facility.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from available on demand bank deposits, time deposits, money market funds, and marketable securities, including amortization of discounts and premiums on our marketable securities.</w:t>
      </w:r>
    </w:p>
    <w:p>
      <w:pPr>
        <w:spacing w:after="0" w:line="47"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7620</wp:posOffset>
            </wp:positionV>
            <wp:extent cx="24688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6880"/>
        <w:spacing w:after="0"/>
        <w:tabs>
          <w:tab w:leader="none" w:pos="89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wp:posOffset>
            </wp:positionV>
            <wp:extent cx="24688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7700"/>
        <w:spacing w:after="0" w:line="235"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tabs>
          <w:tab w:leader="none" w:pos="6120" w:val="left"/>
          <w:tab w:leader="none" w:pos="7660" w:val="left"/>
          <w:tab w:leader="none" w:pos="8200" w:val="left"/>
          <w:tab w:leader="none" w:pos="9680" w:val="left"/>
        </w:tabs>
        <w:rPr>
          <w:sz w:val="20"/>
          <w:szCs w:val="20"/>
          <w:color w:val="auto"/>
        </w:rPr>
      </w:pPr>
      <w:r>
        <w:rPr>
          <w:rFonts w:ascii="Times New Roman" w:cs="Times New Roman" w:eastAsia="Times New Roman" w:hAnsi="Times New Roman"/>
          <w:sz w:val="18"/>
          <w:szCs w:val="18"/>
          <w:color w:val="auto"/>
        </w:rPr>
        <w:t>Interest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9" w:name="page30"/>
    <w:bookmarkEnd w:id="29"/>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Interest income decreased $2.1 million during the three months ended March 31, 2026 when compared to the same period in 2025, primarily due to a decrease in interest rates received on demand bank deposits, time deposits, and money market funds.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assets, gain/(loss) on extinguishments of debt, and other non-operating income (expenses).</w:t>
      </w:r>
    </w:p>
    <w:p>
      <w:pPr>
        <w:spacing w:after="0" w:line="61"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7620</wp:posOffset>
            </wp:positionV>
            <wp:extent cx="24688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6880"/>
        <w:spacing w:after="0"/>
        <w:tabs>
          <w:tab w:leader="none" w:pos="89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wp:posOffset>
            </wp:positionV>
            <wp:extent cx="24688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7700"/>
        <w:spacing w:after="0" w:line="235"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tabs>
          <w:tab w:leader="none" w:pos="6120" w:val="left"/>
          <w:tab w:leader="none" w:pos="7660" w:val="left"/>
          <w:tab w:leader="none" w:pos="8200" w:val="left"/>
          <w:tab w:leader="none" w:pos="9720" w:val="left"/>
        </w:tabs>
        <w:rPr>
          <w:sz w:val="20"/>
          <w:szCs w:val="20"/>
          <w:color w:val="auto"/>
        </w:rPr>
      </w:pPr>
      <w:r>
        <w:rPr>
          <w:rFonts w:ascii="Times New Roman" w:cs="Times New Roman" w:eastAsia="Times New Roman" w:hAnsi="Times New Roman"/>
          <w:sz w:val="18"/>
          <w:szCs w:val="18"/>
          <w:color w:val="auto"/>
        </w:rPr>
        <w:t>Other income (expense),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(3.1)</w:t>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increased during the three months ended March 31, 2026 when compared to the same period in 2025, primarily due to net foreign exchange gains incurred as a result of foreign currency movements during the period.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10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(0.8)</w:t>
            </w:r>
          </w:p>
        </w:tc>
        <w:tc>
          <w:tcPr>
            <w:tcW w:w="9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FF0FC"/>
          </w:tcPr>
          <w:p>
            <w:pPr>
              <w:spacing w:after="0"/>
              <w:rPr>
                <w:sz w:val="18"/>
                <w:szCs w:val="18"/>
                <w:color w:val="auto"/>
              </w:rPr>
            </w:pPr>
          </w:p>
        </w:tc>
      </w:tr>
      <w:tr>
        <w:trPr>
          <w:trHeight w:val="234"/>
        </w:trPr>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bl>
    <w:p>
      <w:pPr>
        <w:spacing w:after="0" w:line="179" w:lineRule="exact"/>
        <w:rPr>
          <w:sz w:val="20"/>
          <w:szCs w:val="20"/>
          <w:color w:val="auto"/>
        </w:rPr>
      </w:pPr>
    </w:p>
    <w:p>
      <w:pPr>
        <w:ind w:right="580" w:firstLine="554"/>
        <w:spacing w:after="0" w:line="282" w:lineRule="auto"/>
        <w:rPr>
          <w:sz w:val="20"/>
          <w:szCs w:val="20"/>
          <w:color w:val="auto"/>
        </w:rPr>
      </w:pPr>
      <w:r>
        <w:rPr>
          <w:rFonts w:ascii="Times New Roman" w:cs="Times New Roman" w:eastAsia="Times New Roman" w:hAnsi="Times New Roman"/>
          <w:sz w:val="18"/>
          <w:szCs w:val="18"/>
          <w:color w:val="auto"/>
        </w:rPr>
        <w:t>The first quarter of 2026 effective tax rate differs from the U.S. federal statutory rate of 21%, primarily due to the benefit of foreign-derived deduction eligible income, and the tax effects of stock-based compensation.</w:t>
      </w:r>
    </w:p>
    <w:p>
      <w:pPr>
        <w:spacing w:after="0" w:line="16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recorded an income tax provision of $0.8 million for the three months ended March 31, 2026. The change in our income tax provision and our effective tax rate during the three months ended March 31, 2026, when compared to the same period in 2025, was primarily the result of a discrete tax benefit of $11.4 million recorded during the first quarter of 2025 to release income tax reserves as a result of the U.S. federal statute of limitation of assessment expiring for the tax years 2014, 2015, and 2016. Refer to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3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r>
      <w:tr>
        <w:trPr>
          <w:trHeight w:val="142"/>
        </w:trPr>
        <w:tc>
          <w:tcPr>
            <w:tcW w:w="3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2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(32.4)</w:t>
            </w:r>
          </w:p>
        </w:tc>
        <w:tc>
          <w:tcPr>
            <w:tcW w:w="9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margin</w:t>
            </w: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bl>
    <w:p>
      <w:pPr>
        <w:spacing w:after="0" w:line="1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Net loss increased by $21.4 million during the three months ended March 31, 2026, when compared to the same period in 2025, largely driven by a decrease in revenue and an increase in income tax expense of $10.1 million, as described in more detail above under the sections “</w:t>
      </w:r>
      <w:r>
        <w:rPr>
          <w:rFonts w:ascii="Times New Roman" w:cs="Times New Roman" w:eastAsia="Times New Roman" w:hAnsi="Times New Roman"/>
          <w:sz w:val="18"/>
          <w:szCs w:val="18"/>
          <w:i w:val="1"/>
          <w:iCs w:val="1"/>
          <w:color w:val="auto"/>
        </w:rPr>
        <w:t>Revenue and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respectively. This decline was partially offset by a decrease in personnel costs, as well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pre-tax restructuring and other related reorganization costs of $6.8 million, all of which is described in more detail above under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Adjusted EBITDA is also our reported measure of segment profit and a key measure used by our CODM, management and Board of Directors to understand and evaluate the operating performance of our business as a whole and our individual operating</w:t>
      </w: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0" w:name="page31"/>
    <w:bookmarkEnd w:id="30"/>
    <w:p>
      <w:pPr>
        <w:spacing w:after="0" w:line="253" w:lineRule="auto"/>
        <w:rPr>
          <w:sz w:val="20"/>
          <w:szCs w:val="20"/>
          <w:color w:val="auto"/>
        </w:rPr>
      </w:pPr>
      <w:r>
        <w:rPr>
          <w:rFonts w:ascii="Times New Roman" w:cs="Times New Roman" w:eastAsia="Times New Roman" w:hAnsi="Times New Roman"/>
          <w:sz w:val="18"/>
          <w:szCs w:val="18"/>
          <w:color w:val="auto"/>
        </w:rPr>
        <w:t>segments,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CODM, management and Board of Directors. We define Adjusted EBITDA as net income (loss) plus: (1) provision (benefit) for income taxes; (2) other expense (income),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(including non-operational costs related to significant shareholder activism, which includes third-party advisory, legal, and other professional fees); and (9) non-recurring expenses and income unusual in nature or infrequently occurring.</w:t>
      </w:r>
    </w:p>
    <w:p>
      <w:pPr>
        <w:spacing w:after="0" w:line="194"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17" w:lineRule="exact"/>
        <w:rPr>
          <w:sz w:val="20"/>
          <w:szCs w:val="20"/>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400" w:right="100" w:hanging="374"/>
        <w:spacing w:after="0" w:line="282" w:lineRule="auto"/>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ind w:left="1400" w:right="60" w:hanging="374"/>
        <w:spacing w:after="0" w:line="266" w:lineRule="auto"/>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1400" w:right="60" w:hanging="374"/>
        <w:spacing w:after="0" w:line="282" w:lineRule="auto"/>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income and expenses not directly tied to the ongoing core operations of our business, such as legal reserves, settlements and other, restructuring and other related reorganization costs, and transaction related expenses;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w:t>
      </w:r>
    </w:p>
    <w:p>
      <w:pPr>
        <w:spacing w:after="0" w:line="117" w:lineRule="exact"/>
        <w:rPr>
          <w:rFonts w:ascii="Times New Roman" w:cs="Times New Roman" w:eastAsia="Times New Roman" w:hAnsi="Times New Roman"/>
          <w:sz w:val="18"/>
          <w:szCs w:val="18"/>
          <w:color w:val="auto"/>
        </w:rPr>
      </w:pPr>
    </w:p>
    <w:p>
      <w:pPr>
        <w:ind w:left="1400" w:right="540" w:hanging="374"/>
        <w:spacing w:after="0" w:line="282" w:lineRule="auto"/>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unaudited and does not conform to SEC Regulation S-X, and as a result such information may be presented differently in our future filings with the SEC; and</w:t>
      </w:r>
    </w:p>
    <w:p>
      <w:pPr>
        <w:spacing w:after="0" w:line="53" w:lineRule="exact"/>
        <w:rPr>
          <w:rFonts w:ascii="Times New Roman" w:cs="Times New Roman" w:eastAsia="Times New Roman" w:hAnsi="Times New Roman"/>
          <w:sz w:val="18"/>
          <w:szCs w:val="18"/>
          <w:color w:val="auto"/>
        </w:rPr>
      </w:pPr>
    </w:p>
    <w:p>
      <w:pPr>
        <w:ind w:left="1400" w:right="620" w:hanging="374"/>
        <w:spacing w:after="0" w:line="282" w:lineRule="auto"/>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limitations apply also to Adjusted EBITDA Margin.</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140" w:type="dxa"/>
            <w:vAlign w:val="bottom"/>
            <w:gridSpan w:val="2"/>
            <w:vMerge w:val="restart"/>
          </w:tcPr>
          <w:p>
            <w:pPr>
              <w:jc w:val="right"/>
              <w:ind w:right="988"/>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(in</w:t>
            </w:r>
          </w:p>
        </w:tc>
        <w:tc>
          <w:tcPr>
            <w:tcW w:w="1140" w:type="dxa"/>
            <w:vAlign w:val="bottom"/>
            <w:gridSpan w:val="2"/>
          </w:tcPr>
          <w:p>
            <w:pPr>
              <w:jc w:val="right"/>
              <w:ind w:right="530"/>
              <w:spacing w:after="0" w:line="120" w:lineRule="exact"/>
              <w:rPr>
                <w:sz w:val="20"/>
                <w:szCs w:val="20"/>
                <w:color w:val="auto"/>
              </w:rPr>
            </w:pPr>
            <w:r>
              <w:rPr>
                <w:rFonts w:ascii="Times New Roman" w:cs="Times New Roman" w:eastAsia="Times New Roman" w:hAnsi="Times New Roman"/>
                <w:sz w:val="13"/>
                <w:szCs w:val="13"/>
                <w:b w:val="1"/>
                <w:bCs w:val="1"/>
                <w:color w:val="auto"/>
              </w:rPr>
              <w:t>millions)</w:t>
            </w: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r>
        <w:trPr>
          <w:trHeight w:val="238"/>
        </w:trPr>
        <w:tc>
          <w:tcPr>
            <w:tcW w:w="4840" w:type="dxa"/>
            <w:vAlign w:val="bottom"/>
            <w:vMerge w:val="continue"/>
          </w:tcPr>
          <w:p>
            <w:pPr>
              <w:spacing w:after="0"/>
              <w:rPr>
                <w:sz w:val="20"/>
                <w:szCs w:val="20"/>
                <w:color w:val="auto"/>
              </w:rPr>
            </w:pPr>
          </w:p>
        </w:tc>
        <w:tc>
          <w:tcPr>
            <w:tcW w:w="3140" w:type="dxa"/>
            <w:vAlign w:val="bottom"/>
            <w:gridSpan w:val="2"/>
            <w:vMerge w:val="continue"/>
          </w:tcPr>
          <w:p>
            <w:pPr>
              <w:spacing w:after="0"/>
              <w:rPr>
                <w:sz w:val="20"/>
                <w:szCs w:val="20"/>
                <w:color w:val="auto"/>
              </w:rPr>
            </w:pPr>
          </w:p>
        </w:tc>
        <w:tc>
          <w:tcPr>
            <w:tcW w:w="118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(32.4)</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Provision (benefit) for income taxes</w:t>
            </w:r>
          </w:p>
        </w:tc>
        <w:tc>
          <w:tcPr>
            <w:tcW w:w="1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Restructuring and other related reorganization costs</w:t>
            </w:r>
          </w:p>
        </w:tc>
        <w:tc>
          <w:tcPr>
            <w:tcW w:w="1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Add: Legal reserves, settlements and other</w:t>
            </w: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Add: Transaction related expenses </w:t>
            </w:r>
            <w:r>
              <w:rPr>
                <w:rFonts w:ascii="Times New Roman" w:cs="Times New Roman" w:eastAsia="Times New Roman" w:hAnsi="Times New Roman"/>
                <w:sz w:val="24"/>
                <w:szCs w:val="24"/>
                <w:color w:val="auto"/>
                <w:vertAlign w:val="superscript"/>
              </w:rPr>
              <w:t>(1)</w:t>
            </w:r>
          </w:p>
        </w:tc>
        <w:tc>
          <w:tcPr>
            <w:tcW w:w="1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Add: Non-recurring expenses (income) </w:t>
            </w:r>
            <w:r>
              <w:rPr>
                <w:rFonts w:ascii="Times New Roman" w:cs="Times New Roman" w:eastAsia="Times New Roman" w:hAnsi="Times New Roman"/>
                <w:sz w:val="24"/>
                <w:szCs w:val="24"/>
                <w:color w:val="auto"/>
                <w:vertAlign w:val="superscript"/>
              </w:rPr>
              <w:t>(2)</w:t>
            </w: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1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9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1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48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jc w:val="right"/>
              <w:ind w:right="10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-796290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-779780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ind w:left="840" w:right="420" w:hanging="383"/>
        <w:spacing w:after="0" w:line="233" w:lineRule="auto"/>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costs related to shareholder activism of $3.3 million during the first quarter of 2026, to general and administrative expenses on our unaudited condensed consolidated statements of operations.</w:t>
      </w:r>
    </w:p>
    <w:p>
      <w:pPr>
        <w:jc w:val="both"/>
        <w:ind w:left="840" w:right="40" w:hanging="383"/>
        <w:spacing w:after="0" w:line="233" w:lineRule="auto"/>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recovery of $4.8 million related to an external fraud incident, which occurred during the fourth quarter of 2022. The Company has reduced Adjusted EBITDA by this recovery amount during the first quarter of 2026, which was recorded to general and administrative expenses on the unaudited condensed consolidated statement of operations. The Company considers such recovery to be non-recurring in nature.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Stock-Based Awards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current year equity award activity, including the issuance of approximately 4.3 million service-based RSUs with a weighted average grant-date fair value of $10.19 and approximately 0.8 million PSUs with a weighted average grant-date fair value of $10.14 during the three months ended March 31,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flow generated from operations and our existing cash and cash equivalents balance. Our liquidity needs can also be met through drawdowns under the Credit Facility. As of March 31, 2026 and December 31, 2025, we had approximately $1.1 billion and $1.0 billion, respectively, of cash and cash equivalents, and $496.4 million of available borrowing capacity under the Credit Facility. As of March 31, 2026, approximately $245.8 million of our cash and cash equivalents were held by our international subsidiaries outside of the U.S., of which approximately 30% was located in the U.K. As of March 31, 2026, the significant majority of our cash was denominated in U.S. dollars.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$552.3 million of cumulative undistributed earnings in foreign subsidiaries that are no longer considered to be indefinitely reinvested. As of March 31, 2026,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of March 31, 2026, we are party to a credit agreement (“Amended Credit Agreement”), which, among other things, provides for a $500.0 million revolving credit facility (“Credit Facility”) with a maturity date of June 29, 2028. As of March 31, 2026 and December 31, 2025, we had no outstanding borrowings under the Credit Facility and $3.6 million of issued undrawn standby letters of credit. The Company may borrow from the Credit Facility in U.S. dollars, Euros and Sterling. For information regarding interest rates on potential borrowings under the Credit Facility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The Credit Facility, among other things, requires us to maintain a maximum total net leverage ratio and contains certain customary affirmative and negative covenants and events of default, including for a change of control. As of March 31, 2026 and December 31, 2025,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spacing w:after="0" w:line="18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an aggregate outstanding principal amount of $353.5 million and $829.6 million in short-term and long-term debt, respectively, on our unaudited condensed consolidated balance sheet pertaining to the 2026 Senior Notes and Term Loan B Facility, both of which are discussed below.</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April 1, 2026, the Company repaid the full outstanding 2026 Senior Notes, at maturity, for $345.4 million, consisting of principal and accrued interest, funded by cash on hand. Refer to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also maintains the Term Loan B Facility with an aggregate principal amount remaining of $838.1 million, maturing on July 8, 2031, with an interest rate based on secured overnight financing rate (“SOFR”) plus 2.75%, payable monthly. As of March 31, 2026 and 2025, the interest rate on the Term Loan B Facility was 6.42% and 7.07%, respectively.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$2.1 million were made during both the three months ended March 31, 2026 and 2025. The Term Loan B Facility has no financial covenants.</w:t>
      </w:r>
    </w:p>
    <w:p>
      <w:pPr>
        <w:spacing w:after="0" w:line="187"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2026 Senior Notes are not registered securities. We may from time to time repurchase the Term Loan B Facility through tender offers, open market purchases, privately negotiated transactions or otherwise. Such repurchases, if any, will depend on prevailing market conditions, liquidity requirements, contractual restrictions and other factors. For further information on the Amended Credit Agreement, the Credit Facility, the Term Loan B Facility, and 2026 Senior Notes,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2" w:name="page33"/>
    <w:bookmarkEnd w:id="32"/>
    <w:p>
      <w:pPr>
        <w:ind w:left="560"/>
        <w:spacing w:after="0"/>
        <w:rPr>
          <w:sz w:val="20"/>
          <w:szCs w:val="20"/>
          <w:color w:val="auto"/>
        </w:rPr>
      </w:pPr>
      <w:r>
        <w:rPr>
          <w:rFonts w:ascii="Times New Roman" w:cs="Times New Roman" w:eastAsia="Times New Roman" w:hAnsi="Times New Roman"/>
          <w:sz w:val="18"/>
          <w:szCs w:val="18"/>
          <w:i w:val="1"/>
          <w:iCs w:val="1"/>
          <w:color w:val="auto"/>
        </w:rPr>
        <w:t>Significant uses of capital and other liquidity matters</w:t>
      </w:r>
    </w:p>
    <w:p>
      <w:pPr>
        <w:spacing w:after="0" w:line="227"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$250.0 million in shares of our common stock under a share repurchase program. This share repurchase program does not have a fixed expiration date or obligate the Company to acquire any particular number of shares and may be modified, suspended or discontinued at any time. During the three months ended March 31, 2026 and 2025, the Company did not repurchase any shares of outstanding common stock under the share repurchase program. As of March 31, 2026, we had $110.0 million remaining available to repurchase shares of our common stock under this share repurchase program.</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operator, or the supplier, after the travelers’ use. Therefore, we generally receive cash from the traveler prior to paying the operator and this operating cycle represents a source or use of cash to us. During the first half of the year, experience bookings typically exceed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such as our “Reserve Now, Pay Later” payment option, which allows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w:t>
      </w:r>
    </w:p>
    <w:p>
      <w:pPr>
        <w:spacing w:after="0" w:line="1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in January 2021, we received an issue closure notice from HM Revenue &amp; Customs (“HMRC”) in the U.K. relating to adjustments for the 2012 through 2016 tax years. These proposed adjustments are related to deductions for intercompany financing and would result in an increase to income tax expense in an estimated range of $20.0 million to $30.0 million, which is inclusive of transition tax benefits and exclusive of interest expense, at the close of the audit if HMRC prevails. We are also currently subject to audit by HMRC in tax years 2017 through 2023. If HMRC were to seek adjustments of a similar nature through a closure notice for transactions in these years, we could be subject to significant additional tax liabilities. Although the ultimate timing for resolution of this matter is uncertain, any future payments required would negatively impact our operating cash flows.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cash flows for the three months ended March 31, 2026 and 2025, as reflected in our unaudited condensed consolidated statements of cash flows, are summarized in the following table: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9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65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32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117.8</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4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8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(16.5)</w:t>
            </w:r>
          </w:p>
        </w:tc>
        <w:tc>
          <w:tcPr>
            <w:tcW w:w="9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bl>
    <w:p>
      <w:pPr>
        <w:spacing w:after="0" w:line="1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our primary source of cash was from operations, while our primary use of cash was from investing activities (including capital expenditures of $16.5 million) and financing activities (including payment of withholding taxes on net share settlements of equity awards of $5.5 million). This use of cash was funded with cash and cash equivalents and cash flows from operations.</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our primary source of cash was from operations, while our primary use of cash was from financing activities (including funding of the Loan Agreement with LTRIP of $326.7 million and payment of withholding taxes on net share settlements of our equity awards of $8.9 million) and investing activities (including capital expenditures of $19.0 million). This use of cash was funded with cash and cash equivalents and cash flows from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3" w:name="page34"/>
    <w:bookmarkEnd w:id="33"/>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2026 increased by $16.1 million, when compared to the same period in 2025, primarily due to an increase in working capital of $43.8 million, largely offset by an increase in net losses of $21.4 million, as well as a decrease in non-cash items of $6.3 million. The increase in working capital for the three months ended March 31, 2026 when compared to the same period in 2025, was primarily driven by changes related to the timing of collection of cash from customers, the timing of vendor payments and deferred merchant payments to experiences operators, partially offset by the timing of payment for investment tax credits and an increase in interest payments on borrowings.</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decreased by $2.5 million, when compared to the same period in 2025, primarily due to a decrease in office space across the Company, as well as, a decrease in capitalized website development costs due to a reduction in headcount related to cost-reduction measures initiated in Hotels and Other during 2025.</w:t>
      </w:r>
    </w:p>
    <w:p>
      <w:pPr>
        <w:spacing w:after="0" w:line="176"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increased by $7.2 million, when compared to the same period in 2025, primarily due to proceeds received from the issuance of our Tack-On Incremental Term Loan B Facility of $341.4 million, net of financing costs, largely offset by the funding of the Loan Agreement with LTRIP of $326.7 million, both occurring during the first quarter of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outside the normal course of business to our contractual obligations and commercial commitments since December 31, 2025. As of March 31, 2026, other than our contractual obligations and commercial commitments, we did not have any off-balance sheet arrangements, as defined in Item 303(a)(4)(ii) of Regulation S-K promulgated by the SEC.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 Part II, Item 7. —Management’s Discussion and Analysis of Financial Condition and Results of Operations of our 2025 Annual Report for a discussion of our contractual obligations and commercial commitments.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 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Routinely, we review the status of all significant outstanding matters to assess any potential financial exposure. We record the estimated loss in our consolidated statement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other potential contingencies, including ongoing audits by the IRS and various other domestic and foreign tax authorities, and other tax and legal matters. Over recent years, the Organization for Economic Cooperation and Development (“OECD”) through its “Inclusive Framework” has been working on a “two-pillar” global tax consensus project that, if implemented, would result in certain changes to the current global tax regulatory framework. The OECD’s “Pillar One” initiative proposes to reallocate certain profits from the largest and most profitable multinational businesses to countries where the customers of those businesses are located, and the “Pillar Two” initiative proposes a global minimum income tax rate on corporations of 15%. In response to these proposals, certain jurisdictions have enacted legislation to implement a global minimum income tax of 15%, which currently has no material impact on our financial results, as well as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p>
      <w:pPr>
        <w:ind w:right="180"/>
        <w:spacing w:after="0" w:line="258" w:lineRule="auto"/>
        <w:rPr>
          <w:sz w:val="20"/>
          <w:szCs w:val="20"/>
          <w:color w:val="auto"/>
        </w:rPr>
      </w:pPr>
      <w:r>
        <w:rPr>
          <w:rFonts w:ascii="Times New Roman" w:cs="Times New Roman" w:eastAsia="Times New Roman" w:hAnsi="Times New Roman"/>
          <w:sz w:val="18"/>
          <w:szCs w:val="18"/>
          <w:color w:val="auto"/>
        </w:rPr>
        <w:t>legislation to impose new forms of gross receipts taxes, such as digital services taxes imposed on digital advertising and online marketplace platforms/services. On January 5, 2026, the OECD/G20 announced the Side-by-Side (SbS) package, implemented as administrative guidance and modifying the operation of Pillar 2 rules. The package introduces simplifications and new safe harbors for U.S. and other multinational companies where domestic and international tax systems meet robust requirements to coexist with Pillar 2, which would fully exempt U.S.-parented groups from the application of two of the three Pillar 2 top-up taxes. This does not have a material impact on Tripadvisor.</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consensus is reached on Pillar One, unilateral digital services taxes is expected to be repealed, however until such time we continue to be subject to these taxes and are currently subject to unilateral digital services taxes. While the future of the global tax regulatory landscape remains uncertain, we continue to monitor the OECD’s and members ongoing discussions to determine the current and potential impact on our unaudited condensed consolidated financial statements. During the three months ended March 31, 2026 and 2025, we recorded $2.1 million and $2.4 million, respectively, of digital service taxes to cost of sales on our unaudited condensed consolidated statements of operations.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March 31, 2026. As of March 31, 2026, $552.3 million of our cumulative undistributed foreign earnings were no longer considered to be indefinitely reinvested.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our market risk profile during the three months ended March 31, 2026 since December 31, 2025. For additional information about our market risk profile, refer to “Quantitative and Qualitative Disclosures About Market Risk” in Item 7A. in Part II of our 2025 Annual Report.</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2026 Senior Notes and Term Loan B Facility,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exposure to potentially volatile movements in foreign currency exchange rates will increase as we increase our operations in international markets. The economic impact of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conflict in the Middle East and Iran, as well as increased cyberattacks, other military conflicts and regional disruptions, tariffs, trade negotiations, and sanctions. Developments in the macroeconomic environment could cause us to adjust our foreign currency risk strategies. Continued uncertainty regarding our international operations, including U.K. and E.U. relations, may result in future currency exchange rate volatility which may impact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2026,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March 31, 2026,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March 31, 2026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regarding any legal proceedings. For an additional discussion of certain risks associated with legal proceedings, refer to Part I, Item 1A, “Risk Factors” in our 2025 Annual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Refer to Part I, Item 1A, “Risk Factors” in our 2025 Annual Report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March 31, 2026, there have been no material changes in our risk factors from those disclosed in Part 1, Item 1A., “Risk Factors” in our 2025 Annual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we did not issue or sell any shares of our common stock or other equity securities pursuant to unregistered transactions in reliance upon an exemption from the registration requirements of the Securities Act of 1933, as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we did not repurchase any shares of our common stock under our existing share repurchase program. As of March 31, 2026, we had $110.0 million remaining available to repurchase shares of our common stock under our existing authorized share repurchase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March 6, 2026, Kristen Dalton, Chief Strategy and Operations Officer, adopted a trading arrangement for the sale of the Company's common stock (a “Trading Plan”) intended to satisfy the affirmative defense conditions of Securities Exchange Act Rule 10b5-1(c). The Trading Plan has a term of one year and provides for the sale of up to 94,702 shares of common stock pursuant to the terms of the plan.</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exhibits listed below are filed as part of this Quarterly Report.</w:t>
      </w:r>
    </w:p>
    <w:p>
      <w:pPr>
        <w:sectPr>
          <w:pgSz w:w="11900" w:h="16838" w:orient="portrait"/>
          <w:cols w:equalWidth="0" w:num="1">
            <w:col w:w="11240"/>
          </w:cols>
          <w:pgMar w:left="320" w:top="1332" w:right="33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160" w:type="dxa"/>
            <w:vAlign w:val="bottom"/>
            <w:gridSpan w:val="6"/>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4"/>
                <w:szCs w:val="14"/>
                <w:color w:val="auto"/>
              </w:rPr>
            </w:pPr>
          </w:p>
        </w:tc>
        <w:tc>
          <w:tcPr>
            <w:tcW w:w="558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Amended and Restated Compensation Committee Charter of Tripadvisor, Inc.</w:t>
            </w:r>
          </w:p>
        </w:tc>
        <w:tc>
          <w:tcPr>
            <w:tcW w:w="6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6220" w:type="dxa"/>
            <w:vAlign w:val="bottom"/>
            <w:gridSpan w:val="9"/>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Cooperation Agreement dated March 22, 2026</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Employment Agreement, dated as of December 7, 2023 between Tripadvisor LLC and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Kristen Dalton</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2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dated as of March 1, 2021 between La Fourchette (Italy)</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S.r.l. and Almir Ambeskovic</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62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2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62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2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906 of the Sarbanes-</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2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7"/>
                <w:szCs w:val="17"/>
                <w:color w:val="auto"/>
              </w:rPr>
            </w:pPr>
          </w:p>
        </w:tc>
        <w:tc>
          <w:tcPr>
            <w:tcW w:w="62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Section 906 of the Sarbanes-</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2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Indicates a management contract or a compensatory plan, contract or arrangement.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69"/>
        </w:trPr>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44"/>
        </w:trPr>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X</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001-35362</w:t>
            </w:r>
          </w:p>
        </w:tc>
        <w:tc>
          <w:tcPr>
            <w:tcW w:w="6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8"/>
                <w:szCs w:val="18"/>
                <w:color w:val="auto"/>
              </w:rPr>
              <w:t>3/22/26</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548" w:lineRule="exact"/>
        <w:rPr>
          <w:sz w:val="20"/>
          <w:szCs w:val="20"/>
          <w:color w:val="auto"/>
        </w:rPr>
      </w:pPr>
    </w:p>
    <w:p>
      <w:pPr>
        <w:sectPr>
          <w:pgSz w:w="11900" w:h="16838" w:orient="portrait"/>
          <w:cols w:equalWidth="0" w:num="2">
            <w:col w:w="7180" w:space="140"/>
            <w:col w:w="3920"/>
          </w:cols>
          <w:pgMar w:left="320" w:top="1332" w:right="339" w:bottom="1440" w:gutter="0" w:footer="0" w:header="0"/>
          <w:type w:val="continuous"/>
        </w:sect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*The certifications filed as Exhibits 32.1 and 32.2 are deemed to be furnished with this Quarterly Report on Form 10-Q and will not be deemed “filed” for purposes of Section 18 of the Securities Exchange Act of 1934 and are not to be incorporated by reference into any filing of the Company under the Securities Exchange Act of 1933 or the Securities Exchange Act of 1934, whether made before or after the date thereof irrespective of any general incorporation by reference language contained in any such filing, except to the extent that the Registrant specifically incorporates it by reference.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 Inc.</w:t>
            </w:r>
          </w:p>
        </w:tc>
        <w:tc>
          <w:tcPr>
            <w:tcW w:w="3140" w:type="dxa"/>
            <w:vAlign w:val="bottom"/>
          </w:tcPr>
          <w:p>
            <w:pPr>
              <w:spacing w:after="0"/>
              <w:rPr>
                <w:sz w:val="20"/>
                <w:szCs w:val="20"/>
                <w:color w:val="auto"/>
              </w:rPr>
            </w:pPr>
          </w:p>
        </w:tc>
      </w:tr>
      <w:tr>
        <w:trPr>
          <w:trHeight w:val="473"/>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Michael Noonan</w:t>
            </w:r>
          </w:p>
        </w:tc>
      </w:tr>
      <w:tr>
        <w:trPr>
          <w:trHeight w:val="187"/>
        </w:trPr>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50"/>
              <w:spacing w:after="0" w:line="188" w:lineRule="exact"/>
              <w:rPr>
                <w:sz w:val="20"/>
                <w:szCs w:val="20"/>
                <w:color w:val="auto"/>
              </w:rPr>
            </w:pPr>
            <w:r>
              <w:rPr>
                <w:rFonts w:ascii="Times New Roman" w:cs="Times New Roman" w:eastAsia="Times New Roman" w:hAnsi="Times New Roman"/>
                <w:sz w:val="18"/>
                <w:szCs w:val="18"/>
                <w:b w:val="1"/>
                <w:bCs w:val="1"/>
                <w:color w:val="auto"/>
              </w:rPr>
              <w:t>Michael Noonan</w:t>
            </w:r>
          </w:p>
        </w:tc>
      </w:tr>
      <w:tr>
        <w:trPr>
          <w:trHeight w:val="238"/>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32"/>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 Geoffrey Gouvalaris</w:t>
            </w:r>
          </w:p>
        </w:tc>
      </w:tr>
      <w:tr>
        <w:trPr>
          <w:trHeight w:val="187"/>
        </w:trPr>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Geoffrey Gouvalaris</w:t>
            </w:r>
          </w:p>
        </w:tc>
      </w:tr>
      <w:tr>
        <w:trPr>
          <w:trHeight w:val="238"/>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Accounting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39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TRIPADVISOR, INC.</w:t>
      </w:r>
    </w:p>
    <w:p>
      <w:pPr>
        <w:spacing w:after="0" w:line="1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COMPENSATION COMMITTEE CHARTER</w:t>
      </w:r>
    </w:p>
    <w:p>
      <w:pPr>
        <w:spacing w:after="0" w:line="125" w:lineRule="exact"/>
        <w:rPr>
          <w:sz w:val="20"/>
          <w:szCs w:val="20"/>
          <w:color w:val="auto"/>
        </w:rPr>
      </w:pPr>
    </w:p>
    <w:p>
      <w:pPr>
        <w:ind w:left="760" w:hanging="758"/>
        <w:spacing w:after="0"/>
        <w:tabs>
          <w:tab w:leader="none" w:pos="7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14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The Compensation Committee (the “Committee”) is appointed by the Board of Directors (the “Board”) of Tripadvisor, Inc. (the “Company”) to discharge certain of the Board’s responsibilities relating to (i) compensation of each of the Company’s Section 16 officers (collectively, the “Executive Officers”); (ii) administration of the Company’s cash- and equity-based incentive compensation plans and programs, including short-term and long-term incentive opportunities made available to employees and directors from time to time, as set forth below; (iii) compensation of the members of the Board; and (iv) programs in support of the Company’s efforts to attract, select, develop, and retain a workforce with abilities aligned with the Company’s overall business strategy and backgrounds and perspectives aligned with the Company’s culture.</w:t>
      </w:r>
    </w:p>
    <w:p>
      <w:pPr>
        <w:spacing w:after="0" w:line="99" w:lineRule="exact"/>
        <w:rPr>
          <w:sz w:val="20"/>
          <w:szCs w:val="20"/>
          <w:color w:val="auto"/>
        </w:rPr>
      </w:pPr>
    </w:p>
    <w:p>
      <w:pPr>
        <w:ind w:left="760" w:hanging="758"/>
        <w:spacing w:after="0"/>
        <w:tabs>
          <w:tab w:leader="none" w:pos="76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Membership and Meetings of the Committee</w:t>
      </w:r>
    </w:p>
    <w:p>
      <w:pPr>
        <w:spacing w:after="0" w:line="129"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The members of the Committee shall be appointed by the Board and may be replaced by the Board with or without cause. Resignation or removal of a director from the Board, for whatever reason, shall automatically and without any further action constitute resignation or removal, as applicable, from the Committee. Any vacancy on the Committee, occurring for whatever reason, may be filled only by the Board. Written minutes of the Committee meetings shall be maintained. The Board shall designate one member of the Committee to be Chair of the Committee.</w:t>
      </w:r>
    </w:p>
    <w:p>
      <w:pPr>
        <w:spacing w:after="0" w:line="109"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2"/>
          <w:szCs w:val="22"/>
          <w:color w:val="auto"/>
        </w:rPr>
        <w:t>The Committee shall consist of no fewer than two members. The members of the Committee shall qualify as “outside” directors within the meaning of Section 162(m) of the Internal Revenue Code of 1986, as amended (the “Code”). Each member of the Committee shall meet the independence requirements under The Nasdaq Stock Market, Inc. Marketplace Rules, as the same may be amended from time to time (the “Nasdaq Rules”), including any enhanced independence requirements under the Nasdaq Rules related to compensation committee members (except to the extent that the Company has chosen to avail itself to the exemption from the independence requirements permitted by such rules).</w:t>
      </w:r>
    </w:p>
    <w:p>
      <w:pPr>
        <w:spacing w:after="0" w:line="11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Committee shall meet, in person or telephonically, as often as it determines necessary. The Committee shall meet periodically with management and the compensation consultants in separate executive sessions, and to have such other direct and independent interaction with such persons from time to time as the members of the Committee deem necessary or appropriate. The Committee may request any officer or employee of the Company or the Company’s outside counsel attend a meeting of the Committee or to meet with any members of, or consultants to, the Committee. Written minutes of the Committee meetings shall be maintained. The Committee may also act by unanimous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960120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6" w:right="339" w:bottom="1440" w:gutter="0" w:footer="0" w:header="0"/>
        </w:sectPr>
      </w:pPr>
    </w:p>
    <w:bookmarkStart w:id="39" w:name="page40"/>
    <w:bookmarkEnd w:id="39"/>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In the course of performing any of the responsibilities described, the Committee may form and delegate authority to sub-committees consisting of one or more members when appropriate, provided that decisions of such subcommittee shall be presented to the full Committee at its next scheduled meeting.</w:t>
      </w:r>
    </w:p>
    <w:p>
      <w:pPr>
        <w:spacing w:after="0" w:line="102" w:lineRule="exact"/>
        <w:rPr>
          <w:sz w:val="20"/>
          <w:szCs w:val="20"/>
          <w:color w:val="auto"/>
        </w:rPr>
      </w:pPr>
    </w:p>
    <w:p>
      <w:pPr>
        <w:ind w:left="760" w:hanging="758"/>
        <w:spacing w:after="0"/>
        <w:tabs>
          <w:tab w:leader="none" w:pos="7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Committee Responsibilities and Authority</w:t>
      </w:r>
    </w:p>
    <w:p>
      <w:pPr>
        <w:spacing w:after="0" w:line="123" w:lineRule="exact"/>
        <w:rPr>
          <w:sz w:val="20"/>
          <w:szCs w:val="20"/>
          <w:color w:val="auto"/>
        </w:rPr>
      </w:pPr>
    </w:p>
    <w:p>
      <w:pPr>
        <w:ind w:left="440" w:hanging="438"/>
        <w:spacing w:after="0"/>
        <w:tabs>
          <w:tab w:leader="none" w:pos="440" w:val="left"/>
        </w:tabs>
        <w:numPr>
          <w:ilvl w:val="0"/>
          <w:numId w:val="2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Compensation of Executive Officers</w:t>
      </w:r>
    </w:p>
    <w:p>
      <w:pPr>
        <w:spacing w:after="0" w:line="144" w:lineRule="exact"/>
        <w:rPr>
          <w:rFonts w:ascii="Times New Roman" w:cs="Times New Roman" w:eastAsia="Times New Roman" w:hAnsi="Times New Roman"/>
          <w:sz w:val="22"/>
          <w:szCs w:val="22"/>
          <w:b w:val="1"/>
          <w:bCs w:val="1"/>
          <w:i w:val="1"/>
          <w:iCs w:val="1"/>
          <w:color w:val="auto"/>
        </w:rPr>
      </w:pPr>
    </w:p>
    <w:p>
      <w:pPr>
        <w:ind w:left="760" w:right="360" w:hanging="383"/>
        <w:spacing w:after="0" w:line="258" w:lineRule="auto"/>
        <w:tabs>
          <w:tab w:leader="none" w:pos="7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periodically and as when appropriate, review and approve the following as they affect the Executive Officers:</w:t>
      </w:r>
    </w:p>
    <w:p>
      <w:pPr>
        <w:spacing w:after="0" w:line="185" w:lineRule="exact"/>
        <w:rPr>
          <w:rFonts w:ascii="Times New Roman" w:cs="Times New Roman" w:eastAsia="Times New Roman" w:hAnsi="Times New Roman"/>
          <w:sz w:val="22"/>
          <w:szCs w:val="22"/>
          <w:color w:val="auto"/>
        </w:rPr>
      </w:pPr>
    </w:p>
    <w:p>
      <w:pPr>
        <w:ind w:left="1120" w:hanging="369"/>
        <w:spacing w:after="0"/>
        <w:tabs>
          <w:tab w:leader="none" w:pos="1120"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base salary and annual incentive compensation;</w:t>
      </w:r>
    </w:p>
    <w:p>
      <w:pPr>
        <w:spacing w:after="0" w:line="14" w:lineRule="exact"/>
        <w:rPr>
          <w:rFonts w:ascii="Times New Roman" w:cs="Times New Roman" w:eastAsia="Times New Roman" w:hAnsi="Times New Roman"/>
          <w:sz w:val="22"/>
          <w:szCs w:val="22"/>
          <w:color w:val="auto"/>
        </w:rPr>
      </w:pPr>
    </w:p>
    <w:p>
      <w:pPr>
        <w:ind w:left="1120" w:hanging="369"/>
        <w:spacing w:after="0" w:line="230" w:lineRule="auto"/>
        <w:tabs>
          <w:tab w:leader="none" w:pos="1120"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employment agreement or severance arrangement;</w:t>
      </w:r>
    </w:p>
    <w:p>
      <w:pPr>
        <w:ind w:left="1120" w:hanging="369"/>
        <w:spacing w:after="0" w:line="230" w:lineRule="auto"/>
        <w:tabs>
          <w:tab w:leader="none" w:pos="1120"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change-in-control agreement or change-in-control provision; and</w:t>
      </w:r>
    </w:p>
    <w:p>
      <w:pPr>
        <w:ind w:left="1120" w:right="300" w:hanging="369"/>
        <w:spacing w:after="0" w:line="237" w:lineRule="auto"/>
        <w:tabs>
          <w:tab w:leader="none" w:pos="1120"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special or supplemental compensation, including the perquisites provided during and after employment other than those pursuant to an overall Company plan.</w:t>
      </w:r>
    </w:p>
    <w:p>
      <w:pPr>
        <w:spacing w:after="0" w:line="205" w:lineRule="exact"/>
        <w:rPr>
          <w:sz w:val="20"/>
          <w:szCs w:val="20"/>
          <w:color w:val="auto"/>
        </w:rPr>
      </w:pPr>
    </w:p>
    <w:p>
      <w:pPr>
        <w:ind w:left="380" w:right="2740"/>
        <w:spacing w:after="0" w:line="258" w:lineRule="auto"/>
        <w:rPr>
          <w:sz w:val="20"/>
          <w:szCs w:val="20"/>
          <w:color w:val="auto"/>
        </w:rPr>
      </w:pPr>
      <w:r>
        <w:rPr>
          <w:rFonts w:ascii="Times New Roman" w:cs="Times New Roman" w:eastAsia="Times New Roman" w:hAnsi="Times New Roman"/>
          <w:sz w:val="22"/>
          <w:szCs w:val="22"/>
          <w:color w:val="auto"/>
        </w:rPr>
        <w:t>Neither the CEO nor any other Executive Officer shall be present during any Committee deliberations or voting with respect to his or her compensation.</w:t>
      </w:r>
    </w:p>
    <w:p>
      <w:pPr>
        <w:spacing w:after="0" w:line="185" w:lineRule="exact"/>
        <w:rPr>
          <w:sz w:val="20"/>
          <w:szCs w:val="20"/>
          <w:color w:val="auto"/>
        </w:rPr>
      </w:pPr>
    </w:p>
    <w:p>
      <w:pPr>
        <w:ind w:left="760" w:right="120" w:hanging="383"/>
        <w:spacing w:after="0" w:line="244" w:lineRule="auto"/>
        <w:tabs>
          <w:tab w:leader="none" w:pos="76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as and when required, approve all transactions between the Company and any Section 16 Officer or director involving the Company’s equity securities in order to assure compliance with Rule 16b-3 under the Exchange Act.</w:t>
      </w:r>
    </w:p>
    <w:p>
      <w:pPr>
        <w:spacing w:after="0" w:line="194" w:lineRule="exact"/>
        <w:rPr>
          <w:rFonts w:ascii="Times New Roman" w:cs="Times New Roman" w:eastAsia="Times New Roman" w:hAnsi="Times New Roman"/>
          <w:sz w:val="22"/>
          <w:szCs w:val="22"/>
          <w:color w:val="auto"/>
        </w:rPr>
      </w:pPr>
    </w:p>
    <w:p>
      <w:pPr>
        <w:ind w:left="520" w:hanging="423"/>
        <w:spacing w:after="0"/>
        <w:tabs>
          <w:tab w:leader="none" w:pos="520" w:val="left"/>
        </w:tabs>
        <w:numPr>
          <w:ilvl w:val="0"/>
          <w:numId w:val="2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Administration of Compensation Programs</w:t>
      </w:r>
    </w:p>
    <w:p>
      <w:pPr>
        <w:spacing w:after="0" w:line="144" w:lineRule="exact"/>
        <w:rPr>
          <w:rFonts w:ascii="Times New Roman" w:cs="Times New Roman" w:eastAsia="Times New Roman" w:hAnsi="Times New Roman"/>
          <w:sz w:val="22"/>
          <w:szCs w:val="22"/>
          <w:b w:val="1"/>
          <w:bCs w:val="1"/>
          <w:i w:val="1"/>
          <w:iCs w:val="1"/>
          <w:color w:val="auto"/>
        </w:rPr>
      </w:pPr>
    </w:p>
    <w:p>
      <w:pPr>
        <w:ind w:left="760" w:right="240" w:hanging="383"/>
        <w:spacing w:after="0" w:line="258" w:lineRule="auto"/>
        <w:tabs>
          <w:tab w:leader="none" w:pos="7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oversee the Company’s compliance with the requirement under the Nasdaq Rules that, with limited exceptions, stockholders approve equity-based and other incentive compensation plans.</w:t>
      </w:r>
    </w:p>
    <w:p>
      <w:pPr>
        <w:spacing w:after="0" w:line="185" w:lineRule="exact"/>
        <w:rPr>
          <w:rFonts w:ascii="Times New Roman" w:cs="Times New Roman" w:eastAsia="Times New Roman" w:hAnsi="Times New Roman"/>
          <w:sz w:val="22"/>
          <w:szCs w:val="22"/>
          <w:color w:val="auto"/>
        </w:rPr>
      </w:pPr>
    </w:p>
    <w:p>
      <w:pPr>
        <w:ind w:left="760" w:right="260" w:hanging="383"/>
        <w:spacing w:after="0" w:line="244" w:lineRule="auto"/>
        <w:tabs>
          <w:tab w:leader="none" w:pos="7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be responsible for administering the Company’s cash- and equity-based incentive compensation plans and programs (including annual cash incentive and long-term equity programs) and granting awards under such stock plans.</w:t>
      </w:r>
    </w:p>
    <w:p>
      <w:pPr>
        <w:spacing w:after="0" w:line="200" w:lineRule="exact"/>
        <w:rPr>
          <w:rFonts w:ascii="Times New Roman" w:cs="Times New Roman" w:eastAsia="Times New Roman" w:hAnsi="Times New Roman"/>
          <w:sz w:val="22"/>
          <w:szCs w:val="22"/>
          <w:color w:val="auto"/>
        </w:rPr>
      </w:pPr>
    </w:p>
    <w:p>
      <w:pPr>
        <w:ind w:left="760" w:hanging="383"/>
        <w:spacing w:after="0" w:line="239" w:lineRule="auto"/>
        <w:tabs>
          <w:tab w:leader="none" w:pos="7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as and when required, establish performance goals with respect to annual cash incentive and long-term incentive compensation to be paid to Executive Officers and, to the extent necessary, certify, based on a review of supporting materials provided by management, that performance goals have been attained for purposes of the Code or otherwise.</w:t>
      </w:r>
    </w:p>
    <w:p>
      <w:pPr>
        <w:spacing w:after="0" w:line="37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587375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00" w:top="1408" w:right="439" w:bottom="1440" w:gutter="0" w:footer="0" w:header="0"/>
        </w:sectPr>
      </w:pPr>
    </w:p>
    <w:bookmarkStart w:id="40" w:name="page41"/>
    <w:bookmarkEnd w:id="40"/>
    <w:p>
      <w:pPr>
        <w:ind w:left="423" w:hanging="423"/>
        <w:spacing w:after="0"/>
        <w:tabs>
          <w:tab w:leader="none" w:pos="423" w:val="left"/>
        </w:tabs>
        <w:numPr>
          <w:ilvl w:val="0"/>
          <w:numId w:val="2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Compensation of the Board</w:t>
      </w:r>
    </w:p>
    <w:p>
      <w:pPr>
        <w:spacing w:after="0" w:line="145" w:lineRule="exact"/>
        <w:rPr>
          <w:sz w:val="20"/>
          <w:szCs w:val="20"/>
          <w:color w:val="auto"/>
        </w:rPr>
      </w:pPr>
    </w:p>
    <w:p>
      <w:pPr>
        <w:jc w:val="both"/>
        <w:ind w:left="663" w:right="520"/>
        <w:spacing w:after="0" w:line="261" w:lineRule="exact"/>
        <w:rPr>
          <w:sz w:val="20"/>
          <w:szCs w:val="20"/>
          <w:color w:val="auto"/>
        </w:rPr>
      </w:pPr>
      <w:r>
        <w:rPr>
          <w:rFonts w:ascii="Times New Roman" w:cs="Times New Roman" w:eastAsia="Times New Roman" w:hAnsi="Times New Roman"/>
          <w:sz w:val="22"/>
          <w:szCs w:val="22"/>
          <w:color w:val="auto"/>
        </w:rPr>
        <w:t>The Committee shall periodically review and make recommendations to the Board regarding compensation for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with consideration of the Company’s philosophy of attracting and retaining qualified directors and aligning their interests with those of stockholders.</w:t>
      </w:r>
    </w:p>
    <w:p>
      <w:pPr>
        <w:spacing w:after="0" w:line="198" w:lineRule="exact"/>
        <w:rPr>
          <w:sz w:val="20"/>
          <w:szCs w:val="20"/>
          <w:color w:val="auto"/>
        </w:rPr>
      </w:pPr>
    </w:p>
    <w:p>
      <w:pPr>
        <w:ind w:left="423" w:hanging="423"/>
        <w:spacing w:after="0"/>
        <w:tabs>
          <w:tab w:leader="none" w:pos="423" w:val="left"/>
        </w:tabs>
        <w:numPr>
          <w:ilvl w:val="0"/>
          <w:numId w:val="2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Additional Responsibilities and Authority</w:t>
      </w:r>
    </w:p>
    <w:p>
      <w:pPr>
        <w:spacing w:after="0" w:line="131" w:lineRule="exact"/>
        <w:rPr>
          <w:rFonts w:ascii="Times New Roman" w:cs="Times New Roman" w:eastAsia="Times New Roman" w:hAnsi="Times New Roman"/>
          <w:sz w:val="22"/>
          <w:szCs w:val="22"/>
          <w:b w:val="1"/>
          <w:bCs w:val="1"/>
          <w:i w:val="1"/>
          <w:iCs w:val="1"/>
          <w:color w:val="auto"/>
        </w:rPr>
      </w:pPr>
    </w:p>
    <w:p>
      <w:pPr>
        <w:ind w:left="663" w:right="80" w:hanging="383"/>
        <w:spacing w:after="0" w:line="239" w:lineRule="auto"/>
        <w:tabs>
          <w:tab w:leader="none" w:pos="66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review and discuss with management the Company’s proposed disclosures to be included in the “Compensation Discussion and Analysis” (the “CD&amp;A”) section of the Company’s proxy statements and, based on such review and discussion, make a recommendation to the Board regarding the inclusion of the CD&amp;A in the Company’s proxy statements.</w:t>
      </w:r>
    </w:p>
    <w:p>
      <w:pPr>
        <w:spacing w:after="0" w:line="207" w:lineRule="exact"/>
        <w:rPr>
          <w:rFonts w:ascii="Times New Roman" w:cs="Times New Roman" w:eastAsia="Times New Roman" w:hAnsi="Times New Roman"/>
          <w:sz w:val="22"/>
          <w:szCs w:val="22"/>
          <w:color w:val="auto"/>
        </w:rPr>
      </w:pPr>
    </w:p>
    <w:p>
      <w:pPr>
        <w:ind w:left="663" w:right="340" w:hanging="383"/>
        <w:spacing w:after="0" w:line="244" w:lineRule="auto"/>
        <w:tabs>
          <w:tab w:leader="none" w:pos="66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review and approve the annual Compensation Committee Report for inclusion in the Company’s proxy statement in compliance with the rules and regulations promulgated by the U.S. Securities and Exchange Commission (the "SEC”).</w:t>
      </w:r>
    </w:p>
    <w:p>
      <w:pPr>
        <w:spacing w:after="0" w:line="200" w:lineRule="exact"/>
        <w:rPr>
          <w:rFonts w:ascii="Times New Roman" w:cs="Times New Roman" w:eastAsia="Times New Roman" w:hAnsi="Times New Roman"/>
          <w:sz w:val="22"/>
          <w:szCs w:val="22"/>
          <w:color w:val="auto"/>
        </w:rPr>
      </w:pPr>
    </w:p>
    <w:p>
      <w:pPr>
        <w:ind w:left="663" w:right="280" w:hanging="383"/>
        <w:spacing w:after="0" w:line="258" w:lineRule="auto"/>
        <w:tabs>
          <w:tab w:leader="none" w:pos="66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review and approve the Company’s disclosure regarding CEO Pay Ratio for inclusion in the Company’s proxy statement in compliance with the rules and regulations promulgated by the SEC.</w:t>
      </w:r>
    </w:p>
    <w:p>
      <w:pPr>
        <w:spacing w:after="0" w:line="185" w:lineRule="exact"/>
        <w:rPr>
          <w:rFonts w:ascii="Times New Roman" w:cs="Times New Roman" w:eastAsia="Times New Roman" w:hAnsi="Times New Roman"/>
          <w:sz w:val="22"/>
          <w:szCs w:val="22"/>
          <w:color w:val="auto"/>
        </w:rPr>
      </w:pPr>
    </w:p>
    <w:p>
      <w:pPr>
        <w:ind w:left="663" w:hanging="383"/>
        <w:spacing w:after="0" w:line="244" w:lineRule="auto"/>
        <w:tabs>
          <w:tab w:leader="none" w:pos="66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review and discuss periodically with management the risks arising from the Company’s compensation philosophy and practices to determine whether they encourage unnecessary risk taking and to evaluate compensation policies and practices that could mitigate such risks.</w:t>
      </w:r>
    </w:p>
    <w:p>
      <w:pPr>
        <w:spacing w:after="0" w:line="200" w:lineRule="exact"/>
        <w:rPr>
          <w:rFonts w:ascii="Times New Roman" w:cs="Times New Roman" w:eastAsia="Times New Roman" w:hAnsi="Times New Roman"/>
          <w:sz w:val="22"/>
          <w:szCs w:val="22"/>
          <w:color w:val="auto"/>
        </w:rPr>
      </w:pPr>
    </w:p>
    <w:p>
      <w:pPr>
        <w:ind w:left="663" w:right="60" w:hanging="383"/>
        <w:spacing w:after="0" w:line="234" w:lineRule="auto"/>
        <w:tabs>
          <w:tab w:leader="none" w:pos="66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in its sole discretion, retain or obtain advice of compensation consultants, independent legal counsel and/or other advisors to be used for the purpose of assisting the Committee in their evaluation of Executive Officer compensation. If the Committee elects to retain a consultant, legal counsel or advisor, the Committee shall be directly responsible for the appointment, compensation and oversight of the work of any consultant, legal counselor or other advisor. The Committee shall have the sole authority to terminate such consultant, counsel and/or advisor and to approve the fees and the other terms and conditions of such retention. Before selecting or receiving advice from any such consultant, legal counsel and advisors, the Committee shall assess the independence of such consultant, legal counsel and advisors in accordance with the Nasdaq Rules. Nothing herein shall require that any consultant, legal counsel or advisor be independent, only that the</w:t>
      </w:r>
    </w:p>
    <w:p>
      <w:pPr>
        <w:spacing w:after="0" w:line="246"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587375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3"/>
          </w:cols>
          <w:pgMar w:left="797" w:top="1402" w:right="339" w:bottom="1440" w:gutter="0" w:footer="0" w:header="0"/>
        </w:sectPr>
      </w:pPr>
    </w:p>
    <w:bookmarkStart w:id="41" w:name="page42"/>
    <w:bookmarkEnd w:id="41"/>
    <w:p>
      <w:pPr>
        <w:ind w:left="1140"/>
        <w:spacing w:after="0" w:line="239" w:lineRule="auto"/>
        <w:rPr>
          <w:sz w:val="20"/>
          <w:szCs w:val="20"/>
          <w:color w:val="auto"/>
        </w:rPr>
      </w:pPr>
      <w:r>
        <w:rPr>
          <w:rFonts w:ascii="Times New Roman" w:cs="Times New Roman" w:eastAsia="Times New Roman" w:hAnsi="Times New Roman"/>
          <w:sz w:val="22"/>
          <w:szCs w:val="22"/>
          <w:color w:val="auto"/>
        </w:rPr>
        <w:t>Committee consider the factors enumerated by the Nasdaq Rules before selecting, or obtaining advice from, such consultant, counsel or advisor. The Company must provide the appropriate funding, as determined by the Committee, for payment of reasonable compensation to a compensation consultant, legal counsel or advisor retained by the Committee.</w:t>
      </w:r>
    </w:p>
    <w:p>
      <w:pPr>
        <w:spacing w:after="0" w:line="207" w:lineRule="exact"/>
        <w:rPr>
          <w:sz w:val="20"/>
          <w:szCs w:val="20"/>
          <w:color w:val="auto"/>
        </w:rPr>
      </w:pPr>
    </w:p>
    <w:p>
      <w:pPr>
        <w:ind w:left="1140" w:right="380" w:hanging="383"/>
        <w:spacing w:after="0" w:line="258" w:lineRule="auto"/>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oversee the Company’s compliance with the rules and regulations under the Exchange Act regarding advisory votes on executive compensation and the frequency of such votes.</w:t>
      </w:r>
    </w:p>
    <w:p>
      <w:pPr>
        <w:spacing w:after="0" w:line="185" w:lineRule="exact"/>
        <w:rPr>
          <w:rFonts w:ascii="Times New Roman" w:cs="Times New Roman" w:eastAsia="Times New Roman" w:hAnsi="Times New Roman"/>
          <w:sz w:val="22"/>
          <w:szCs w:val="22"/>
          <w:color w:val="auto"/>
        </w:rPr>
      </w:pPr>
    </w:p>
    <w:p>
      <w:pPr>
        <w:ind w:left="1140" w:right="120" w:hanging="383"/>
        <w:spacing w:after="0" w:line="239" w:lineRule="auto"/>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requested by management, the Committee will review and provide input on policies, programs, initiatives, local actions and strategies related to human capital management within the Company’s workforce, including those related to promoting Company culture, pay equity and alignment with performance, employee engagement and talent recruitment, development, and retention.</w:t>
      </w:r>
    </w:p>
    <w:p>
      <w:pPr>
        <w:spacing w:after="0" w:line="207" w:lineRule="exact"/>
        <w:rPr>
          <w:rFonts w:ascii="Times New Roman" w:cs="Times New Roman" w:eastAsia="Times New Roman" w:hAnsi="Times New Roman"/>
          <w:sz w:val="22"/>
          <w:szCs w:val="22"/>
          <w:color w:val="auto"/>
        </w:rPr>
      </w:pPr>
    </w:p>
    <w:p>
      <w:pPr>
        <w:ind w:left="1140" w:right="360" w:hanging="383"/>
        <w:spacing w:after="0" w:line="258" w:lineRule="auto"/>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review and approve, and oversee and monitor compliance with, policies with respect to the recovery or “clawback” of compensation.</w:t>
      </w:r>
    </w:p>
    <w:p>
      <w:pPr>
        <w:spacing w:after="0" w:line="185" w:lineRule="exact"/>
        <w:rPr>
          <w:rFonts w:ascii="Times New Roman" w:cs="Times New Roman" w:eastAsia="Times New Roman" w:hAnsi="Times New Roman"/>
          <w:sz w:val="22"/>
          <w:szCs w:val="22"/>
          <w:color w:val="auto"/>
        </w:rPr>
      </w:pPr>
    </w:p>
    <w:p>
      <w:pPr>
        <w:ind w:left="1140" w:right="760" w:hanging="383"/>
        <w:spacing w:after="0" w:line="258" w:lineRule="auto"/>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review and approve the Company’s peer group and shall receive periodic reporting on benchmarking the Company’s compensation programs and practices against those of the peer group.</w:t>
      </w:r>
    </w:p>
    <w:p>
      <w:pPr>
        <w:spacing w:after="0" w:line="185" w:lineRule="exact"/>
        <w:rPr>
          <w:rFonts w:ascii="Times New Roman" w:cs="Times New Roman" w:eastAsia="Times New Roman" w:hAnsi="Times New Roman"/>
          <w:sz w:val="22"/>
          <w:szCs w:val="22"/>
          <w:color w:val="auto"/>
        </w:rPr>
      </w:pPr>
    </w:p>
    <w:p>
      <w:pPr>
        <w:ind w:left="1140" w:right="380" w:hanging="383"/>
        <w:spacing w:after="0" w:line="258" w:lineRule="auto"/>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be responsible for other compensation matters as from time to time may be directed by the Board.</w:t>
      </w:r>
    </w:p>
    <w:p>
      <w:pPr>
        <w:spacing w:after="0" w:line="185" w:lineRule="exact"/>
        <w:rPr>
          <w:rFonts w:ascii="Times New Roman" w:cs="Times New Roman" w:eastAsia="Times New Roman" w:hAnsi="Times New Roman"/>
          <w:sz w:val="22"/>
          <w:szCs w:val="22"/>
          <w:color w:val="auto"/>
        </w:rPr>
      </w:pPr>
    </w:p>
    <w:p>
      <w:pPr>
        <w:ind w:left="1140" w:right="780" w:hanging="383"/>
        <w:spacing w:after="0" w:line="258" w:lineRule="auto"/>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review and assess the adequacy of this charter on an annual basis and recommend any proposed changes to the Board.</w:t>
      </w:r>
    </w:p>
    <w:p>
      <w:pPr>
        <w:spacing w:after="0" w:line="185"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make regular reports to the Board.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Revised Date: April 28, 2026</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145415</wp:posOffset>
            </wp:positionV>
            <wp:extent cx="831215" cy="831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7,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DELIVERED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Kristen Dalton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Kristen,</w:t>
      </w:r>
    </w:p>
    <w:p>
      <w:pPr>
        <w:spacing w:after="0" w:line="14" w:lineRule="exact"/>
        <w:rPr>
          <w:sz w:val="20"/>
          <w:szCs w:val="20"/>
          <w:color w:val="auto"/>
        </w:rPr>
      </w:pPr>
    </w:p>
    <w:p>
      <w:pPr>
        <w:ind w:right="1480"/>
        <w:spacing w:after="0" w:line="235" w:lineRule="auto"/>
        <w:rPr>
          <w:sz w:val="20"/>
          <w:szCs w:val="20"/>
          <w:color w:val="auto"/>
        </w:rPr>
      </w:pPr>
      <w:r>
        <w:rPr>
          <w:rFonts w:ascii="Times New Roman" w:cs="Times New Roman" w:eastAsia="Times New Roman" w:hAnsi="Times New Roman"/>
          <w:sz w:val="22"/>
          <w:szCs w:val="22"/>
          <w:color w:val="auto"/>
        </w:rPr>
        <w:t>Congratulations! It is a pleasure to congratulate you in your new position as President, Tripadvisor Brand at Tripadvisor LLC (the “Company”), effective January 1, 2024. In this role, you will continue to report to Matt Goldberg, President &amp; CEO, Tripadvisor Group.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outlines the offered compensation:</w:t>
      </w:r>
    </w:p>
    <w:p>
      <w:pPr>
        <w:spacing w:after="0" w:line="206" w:lineRule="exact"/>
        <w:rPr>
          <w:sz w:val="20"/>
          <w:szCs w:val="20"/>
          <w:color w:val="auto"/>
        </w:rPr>
      </w:pPr>
    </w:p>
    <w:p>
      <w:pPr>
        <w:jc w:val="both"/>
        <w:ind w:right="380"/>
        <w:spacing w:after="0" w:line="239" w:lineRule="auto"/>
        <w:rPr>
          <w:sz w:val="20"/>
          <w:szCs w:val="20"/>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Your base compensation will increase to $500,000 per year, which equates to approximately $19,230.77 dollars bi-weekly, representing payment for all hours worked by you for the Company, less applicable taxes and withholding, payable in accordance with the Company’s standard payroll practices. You will not be eligible for a merit increase until 2025.</w:t>
      </w:r>
    </w:p>
    <w:p>
      <w:pPr>
        <w:spacing w:after="0" w:line="207" w:lineRule="exact"/>
        <w:rPr>
          <w:sz w:val="20"/>
          <w:szCs w:val="20"/>
          <w:color w:val="auto"/>
        </w:rPr>
      </w:pPr>
    </w:p>
    <w:p>
      <w:pPr>
        <w:jc w:val="both"/>
        <w:ind w:right="380"/>
        <w:spacing w:after="0" w:line="246" w:lineRule="auto"/>
        <w:rPr>
          <w:sz w:val="20"/>
          <w:szCs w:val="20"/>
          <w:color w:val="auto"/>
        </w:rPr>
      </w:pPr>
      <w:r>
        <w:rPr>
          <w:rFonts w:ascii="Times New Roman" w:cs="Times New Roman" w:eastAsia="Times New Roman" w:hAnsi="Times New Roman"/>
          <w:sz w:val="21"/>
          <w:szCs w:val="21"/>
          <w:color w:val="auto"/>
        </w:rPr>
        <w:t>Beginning in 2024, you will be eligible for an annual target bonus opportunity of 90% of your base salary, less applicable taxes and withholding, subject to the achievement of individual and company objectives. These objectives are set unilaterally by the Company as part of its management authority and are subject to change at any time. For avoidance of doubt, the targeted amount of your annual bonus for 2023 (payable in March 2024) will remain unchanged as 70% of your base salary, less applicable taxes and withholding and subject to the achievement of individual and company objectives. The Company may also make adjustments in the targeted amount of your annual bonus in its discretion. Whether the bonus is awarded and in what amount is at the sole discretion of the Company. Eligibility is contingent upon your employment by the Company at the time of the Company’s payout. Further eligibility requirements may be governed by plans and policies concerning the payment of incentive compensation as may be in effect from time to time.</w:t>
      </w:r>
    </w:p>
    <w:p>
      <w:pPr>
        <w:spacing w:after="0" w:line="202" w:lineRule="exact"/>
        <w:rPr>
          <w:sz w:val="20"/>
          <w:szCs w:val="20"/>
          <w:color w:val="auto"/>
        </w:rPr>
      </w:pPr>
    </w:p>
    <w:p>
      <w:pPr>
        <w:jc w:val="both"/>
        <w:ind w:right="360"/>
        <w:spacing w:after="0" w:line="235" w:lineRule="auto"/>
        <w:rPr>
          <w:sz w:val="20"/>
          <w:szCs w:val="20"/>
          <w:color w:val="auto"/>
        </w:rPr>
      </w:pPr>
      <w:r>
        <w:rPr>
          <w:rFonts w:ascii="Times New Roman" w:cs="Times New Roman" w:eastAsia="Times New Roman" w:hAnsi="Times New Roman"/>
          <w:sz w:val="22"/>
          <w:szCs w:val="22"/>
          <w:u w:val="single" w:color="auto"/>
          <w:color w:val="auto"/>
        </w:rPr>
        <w:t>Annual Equity Grant Target</w:t>
      </w:r>
      <w:r>
        <w:rPr>
          <w:rFonts w:ascii="Times New Roman" w:cs="Times New Roman" w:eastAsia="Times New Roman" w:hAnsi="Times New Roman"/>
          <w:sz w:val="22"/>
          <w:szCs w:val="22"/>
          <w:color w:val="auto"/>
        </w:rPr>
        <w:t>. In your role as President, Tripadvisor Brand, you will be eligible to receive an annual equity grant (“</w:t>
      </w: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 The target grant value of your Annual Grant beginning in 2024 shall be $2,000,000, with the actual amount of the Annual Grant awarded at the Company’s discretion. Vesting of the Annual Grant may be subject to the achievement of individual and Company objectives. The Annual Grant may be comprised of a mix of restricted stock units, performance stock units, stock options, and other forms of equity awards properly authorized for use by Tripadvisor, Inc., and which may change from year to year. Ongoing Annual Grants are subject to approval by the Compensation Committee of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447040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626" w:right="339" w:bottom="1440" w:gutter="0" w:footer="0" w:header="0"/>
        </w:sectPr>
      </w:pPr>
    </w:p>
    <w:bookmarkStart w:id="43" w:name="page44"/>
    <w:bookmarkEnd w:id="43"/>
    <w:p>
      <w:pPr>
        <w:spacing w:after="0" w:line="200" w:lineRule="exact"/>
        <w:rPr>
          <w:sz w:val="20"/>
          <w:szCs w:val="20"/>
          <w:color w:val="auto"/>
        </w:rPr>
      </w:pPr>
    </w:p>
    <w:p>
      <w:pPr>
        <w:spacing w:after="0" w:line="336"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22"/>
          <w:szCs w:val="22"/>
          <w:color w:val="auto"/>
        </w:rPr>
        <w:t>Directors of Tripadvisor, Inc. and shall be granted in accordance with the Company’s annual equity grant program, which may be amended from time to time.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All other benefits, such as accrued vacation time and seniority will remain the same.</w:t>
      </w:r>
    </w:p>
    <w:p>
      <w:pPr>
        <w:spacing w:after="0" w:line="233" w:lineRule="exact"/>
        <w:rPr>
          <w:sz w:val="20"/>
          <w:szCs w:val="20"/>
          <w:color w:val="auto"/>
        </w:rPr>
      </w:pPr>
    </w:p>
    <w:p>
      <w:pPr>
        <w:ind w:left="20" w:right="340"/>
        <w:spacing w:after="0" w:line="238" w:lineRule="auto"/>
        <w:rPr>
          <w:sz w:val="20"/>
          <w:szCs w:val="20"/>
          <w:color w:val="auto"/>
        </w:rPr>
      </w:pPr>
      <w:r>
        <w:rPr>
          <w:rFonts w:ascii="Times New Roman" w:cs="Times New Roman" w:eastAsia="Times New Roman" w:hAnsi="Times New Roman"/>
          <w:sz w:val="22"/>
          <w:szCs w:val="22"/>
          <w:u w:val="single" w:color="auto"/>
          <w:color w:val="auto"/>
        </w:rPr>
        <w:t>Nondisclosure, Developments and Non-Competition</w:t>
      </w:r>
      <w:r>
        <w:rPr>
          <w:rFonts w:ascii="Times New Roman" w:cs="Times New Roman" w:eastAsia="Times New Roman" w:hAnsi="Times New Roman"/>
          <w:sz w:val="22"/>
          <w:szCs w:val="22"/>
          <w:color w:val="auto"/>
        </w:rPr>
        <w:t>: You acknowledge and agree that the Non-Disclosure, Developments and Non-Competition Agreement (the “Agreement”) you signed with the Company on November 12, 2022 remains in full force and effect in accordance with its terms. You further acknowledge that and understand you will be presented with a new Agreement in or around February 2024 and asked to accept it as a condition of receiving the Annual Grant in 2024.</w:t>
      </w:r>
    </w:p>
    <w:p>
      <w:pPr>
        <w:spacing w:after="0" w:line="204" w:lineRule="exact"/>
        <w:rPr>
          <w:sz w:val="20"/>
          <w:szCs w:val="20"/>
          <w:color w:val="auto"/>
        </w:rPr>
      </w:pPr>
    </w:p>
    <w:p>
      <w:pPr>
        <w:ind w:left="20" w:right="620"/>
        <w:spacing w:after="0" w:line="282" w:lineRule="auto"/>
        <w:rPr>
          <w:sz w:val="20"/>
          <w:szCs w:val="20"/>
          <w:color w:val="auto"/>
        </w:rPr>
      </w:pPr>
      <w:r>
        <w:rPr>
          <w:rFonts w:ascii="Times New Roman" w:cs="Times New Roman" w:eastAsia="Times New Roman" w:hAnsi="Times New Roman"/>
          <w:sz w:val="20"/>
          <w:szCs w:val="20"/>
          <w:color w:val="auto"/>
        </w:rPr>
        <w:t>Lastly, p</w:t>
      </w:r>
      <w:r>
        <w:rPr>
          <w:rFonts w:ascii="Times New Roman" w:cs="Times New Roman" w:eastAsia="Times New Roman" w:hAnsi="Times New Roman"/>
          <w:sz w:val="21"/>
          <w:szCs w:val="21"/>
          <w:color w:val="auto"/>
        </w:rPr>
        <w:t>lease know that your employment with the Company will continue to be at-will (meaning either you 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Company may terminate the employment relationship at any time and for any reason without prior notice).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Congratulations on your achievement! We look forward to your continued success in your new role!</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Sincerely,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Kate Forrestall</w:t>
      </w:r>
    </w:p>
    <w:p>
      <w:pPr>
        <w:ind w:left="20"/>
        <w:spacing w:after="0"/>
        <w:rPr>
          <w:sz w:val="20"/>
          <w:szCs w:val="20"/>
          <w:color w:val="auto"/>
        </w:rPr>
      </w:pPr>
      <w:r>
        <w:rPr>
          <w:rFonts w:ascii="Times New Roman" w:cs="Times New Roman" w:eastAsia="Times New Roman" w:hAnsi="Times New Roman"/>
          <w:sz w:val="22"/>
          <w:szCs w:val="22"/>
          <w:color w:val="auto"/>
        </w:rPr>
        <w:t>Kate Forrestall Chief Talent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Accepted and agreed by: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Kristen Dalton</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Kristen Dalton</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889635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600" w:top="1440" w:right="759" w:bottom="1440" w:gutter="0" w:footer="0" w:header="0"/>
        </w:sectPr>
      </w:pPr>
    </w:p>
    <w:bookmarkStart w:id="44" w:name="page45"/>
    <w:bookmarkEnd w:id="44"/>
    <w:p>
      <w:pPr>
        <w:ind w:left="8720"/>
        <w:spacing w:after="0"/>
        <w:rPr>
          <w:sz w:val="20"/>
          <w:szCs w:val="20"/>
          <w:color w:val="auto"/>
        </w:rPr>
      </w:pPr>
      <w:r>
        <w:rPr>
          <w:rFonts w:ascii="Arial" w:cs="Arial" w:eastAsia="Arial" w:hAnsi="Arial"/>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233680</wp:posOffset>
            </wp:positionV>
            <wp:extent cx="5520055" cy="8070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5520055" cy="807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40" w:type="dxa"/>
        <w:tblCellMar>
          <w:top w:w="0" w:type="dxa"/>
          <w:left w:w="0" w:type="dxa"/>
          <w:bottom w:w="0" w:type="dxa"/>
          <w:right w:w="0" w:type="dxa"/>
        </w:tblCellMar>
      </w:tblPr>
      <w:tr>
        <w:trPr>
          <w:trHeight w:val="218"/>
        </w:trPr>
        <w:tc>
          <w:tcPr>
            <w:tcW w:w="4220" w:type="dxa"/>
            <w:vAlign w:val="bottom"/>
          </w:tcPr>
          <w:p>
            <w:pPr>
              <w:jc w:val="center"/>
              <w:spacing w:after="0"/>
              <w:rPr>
                <w:sz w:val="20"/>
                <w:szCs w:val="20"/>
                <w:color w:val="auto"/>
              </w:rPr>
            </w:pPr>
            <w:r>
              <w:rPr>
                <w:rFonts w:ascii="Arial" w:cs="Arial" w:eastAsia="Arial" w:hAnsi="Arial"/>
                <w:sz w:val="19"/>
                <w:szCs w:val="19"/>
                <w:b w:val="1"/>
                <w:bCs w:val="1"/>
                <w:color w:val="auto"/>
                <w:w w:val="99"/>
              </w:rPr>
              <w:t>CONTRATTO DI LAVORO A TEMPO</w:t>
            </w:r>
          </w:p>
        </w:tc>
        <w:tc>
          <w:tcPr>
            <w:tcW w:w="4420" w:type="dxa"/>
            <w:vAlign w:val="bottom"/>
          </w:tcPr>
          <w:p>
            <w:pPr>
              <w:jc w:val="center"/>
              <w:spacing w:after="0"/>
              <w:rPr>
                <w:sz w:val="20"/>
                <w:szCs w:val="20"/>
                <w:color w:val="auto"/>
              </w:rPr>
            </w:pPr>
            <w:r>
              <w:rPr>
                <w:rFonts w:ascii="Arial" w:cs="Arial" w:eastAsia="Arial" w:hAnsi="Arial"/>
                <w:sz w:val="19"/>
                <w:szCs w:val="19"/>
                <w:b w:val="1"/>
                <w:bCs w:val="1"/>
                <w:color w:val="auto"/>
                <w:w w:val="99"/>
              </w:rPr>
              <w:t>INDEFINITE TERM</w:t>
            </w:r>
          </w:p>
        </w:tc>
      </w:tr>
      <w:tr>
        <w:trPr>
          <w:trHeight w:val="216"/>
        </w:trPr>
        <w:tc>
          <w:tcPr>
            <w:tcW w:w="4220" w:type="dxa"/>
            <w:vAlign w:val="bottom"/>
          </w:tcPr>
          <w:p>
            <w:pPr>
              <w:jc w:val="center"/>
              <w:spacing w:after="0" w:line="216" w:lineRule="exact"/>
              <w:rPr>
                <w:sz w:val="20"/>
                <w:szCs w:val="20"/>
                <w:color w:val="auto"/>
              </w:rPr>
            </w:pPr>
            <w:r>
              <w:rPr>
                <w:rFonts w:ascii="Arial" w:cs="Arial" w:eastAsia="Arial" w:hAnsi="Arial"/>
                <w:sz w:val="19"/>
                <w:szCs w:val="19"/>
                <w:b w:val="1"/>
                <w:bCs w:val="1"/>
                <w:color w:val="auto"/>
                <w:w w:val="99"/>
              </w:rPr>
              <w:t>INDETERMINATO</w:t>
            </w:r>
          </w:p>
        </w:tc>
        <w:tc>
          <w:tcPr>
            <w:tcW w:w="4420" w:type="dxa"/>
            <w:vAlign w:val="bottom"/>
          </w:tcPr>
          <w:p>
            <w:pPr>
              <w:ind w:left="940"/>
              <w:spacing w:after="0" w:line="216" w:lineRule="exact"/>
              <w:rPr>
                <w:sz w:val="20"/>
                <w:szCs w:val="20"/>
                <w:color w:val="auto"/>
              </w:rPr>
            </w:pPr>
            <w:r>
              <w:rPr>
                <w:rFonts w:ascii="Arial" w:cs="Arial" w:eastAsia="Arial" w:hAnsi="Arial"/>
                <w:sz w:val="19"/>
                <w:szCs w:val="19"/>
                <w:b w:val="1"/>
                <w:bCs w:val="1"/>
                <w:color w:val="auto"/>
              </w:rPr>
              <w:t>EMPLOYMENT</w:t>
            </w:r>
          </w:p>
        </w:tc>
      </w:tr>
      <w:tr>
        <w:trPr>
          <w:trHeight w:val="230"/>
        </w:trPr>
        <w:tc>
          <w:tcPr>
            <w:tcW w:w="422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tcPr>
          <w:p>
            <w:pPr>
              <w:ind w:left="940"/>
              <w:spacing w:after="0"/>
              <w:rPr>
                <w:sz w:val="20"/>
                <w:szCs w:val="20"/>
                <w:color w:val="auto"/>
              </w:rPr>
            </w:pPr>
            <w:r>
              <w:rPr>
                <w:rFonts w:ascii="Arial" w:cs="Arial" w:eastAsia="Arial" w:hAnsi="Arial"/>
                <w:sz w:val="19"/>
                <w:szCs w:val="19"/>
                <w:b w:val="1"/>
                <w:bCs w:val="1"/>
                <w:color w:val="auto"/>
              </w:rPr>
              <w:t>AGREEMENT</w:t>
            </w:r>
          </w:p>
        </w:tc>
      </w:tr>
      <w:tr>
        <w:trPr>
          <w:trHeight w:val="253"/>
        </w:trPr>
        <w:tc>
          <w:tcPr>
            <w:tcW w:w="4220" w:type="dxa"/>
            <w:vAlign w:val="bottom"/>
          </w:tcPr>
          <w:p>
            <w:pPr>
              <w:jc w:val="center"/>
              <w:spacing w:after="0"/>
              <w:rPr>
                <w:sz w:val="20"/>
                <w:szCs w:val="20"/>
                <w:color w:val="auto"/>
              </w:rPr>
            </w:pPr>
            <w:r>
              <w:rPr>
                <w:rFonts w:ascii="Arial" w:cs="Arial" w:eastAsia="Arial" w:hAnsi="Arial"/>
                <w:sz w:val="19"/>
                <w:szCs w:val="19"/>
                <w:b w:val="1"/>
                <w:bCs w:val="1"/>
                <w:color w:val="auto"/>
                <w:w w:val="97"/>
              </w:rPr>
              <w:t>TRA</w:t>
            </w:r>
          </w:p>
        </w:tc>
        <w:tc>
          <w:tcPr>
            <w:tcW w:w="4420" w:type="dxa"/>
            <w:vAlign w:val="bottom"/>
          </w:tcPr>
          <w:p>
            <w:pPr>
              <w:jc w:val="center"/>
              <w:spacing w:after="0"/>
              <w:rPr>
                <w:sz w:val="20"/>
                <w:szCs w:val="20"/>
                <w:color w:val="auto"/>
              </w:rPr>
            </w:pPr>
            <w:r>
              <w:rPr>
                <w:rFonts w:ascii="Arial" w:cs="Arial" w:eastAsia="Arial" w:hAnsi="Arial"/>
                <w:sz w:val="19"/>
                <w:szCs w:val="19"/>
                <w:b w:val="1"/>
                <w:bCs w:val="1"/>
                <w:color w:val="auto"/>
                <w:w w:val="98"/>
              </w:rPr>
              <w:t>BETWEEN</w:t>
            </w:r>
          </w:p>
        </w:tc>
      </w:tr>
      <w:tr>
        <w:trPr>
          <w:trHeight w:val="416"/>
        </w:trPr>
        <w:tc>
          <w:tcPr>
            <w:tcW w:w="4220" w:type="dxa"/>
            <w:vAlign w:val="bottom"/>
          </w:tcPr>
          <w:p>
            <w:pPr>
              <w:ind w:left="100"/>
              <w:spacing w:after="0"/>
              <w:rPr>
                <w:sz w:val="20"/>
                <w:szCs w:val="20"/>
                <w:color w:val="auto"/>
              </w:rPr>
            </w:pPr>
            <w:r>
              <w:rPr>
                <w:rFonts w:ascii="Arial" w:cs="Arial" w:eastAsia="Arial" w:hAnsi="Arial"/>
                <w:sz w:val="19"/>
                <w:szCs w:val="19"/>
                <w:b w:val="1"/>
                <w:bCs w:val="1"/>
                <w:color w:val="auto"/>
              </w:rPr>
              <w:t>La Fourchette (Italy) S.r.l.</w:t>
            </w:r>
            <w:r>
              <w:rPr>
                <w:rFonts w:ascii="Arial" w:cs="Arial" w:eastAsia="Arial" w:hAnsi="Arial"/>
                <w:sz w:val="19"/>
                <w:szCs w:val="19"/>
                <w:color w:val="auto"/>
              </w:rPr>
              <w:t>, società di diritto</w:t>
            </w:r>
          </w:p>
        </w:tc>
        <w:tc>
          <w:tcPr>
            <w:tcW w:w="4420" w:type="dxa"/>
            <w:vAlign w:val="bottom"/>
          </w:tcPr>
          <w:p>
            <w:pPr>
              <w:ind w:left="120"/>
              <w:spacing w:after="0"/>
              <w:rPr>
                <w:sz w:val="20"/>
                <w:szCs w:val="20"/>
                <w:color w:val="auto"/>
              </w:rPr>
            </w:pPr>
            <w:r>
              <w:rPr>
                <w:rFonts w:ascii="Arial" w:cs="Arial" w:eastAsia="Arial" w:hAnsi="Arial"/>
                <w:sz w:val="19"/>
                <w:szCs w:val="19"/>
                <w:b w:val="1"/>
                <w:bCs w:val="1"/>
                <w:color w:val="auto"/>
              </w:rPr>
              <w:t>La Fourchette (Italy) S.r.l.</w:t>
            </w:r>
            <w:r>
              <w:rPr>
                <w:rFonts w:ascii="Arial" w:cs="Arial" w:eastAsia="Arial" w:hAnsi="Arial"/>
                <w:sz w:val="19"/>
                <w:szCs w:val="19"/>
                <w:color w:val="auto"/>
              </w:rPr>
              <w:t>, existing and</w:t>
            </w:r>
          </w:p>
        </w:tc>
      </w:tr>
      <w:tr>
        <w:trPr>
          <w:trHeight w:val="216"/>
        </w:trPr>
        <w:tc>
          <w:tcPr>
            <w:tcW w:w="4220" w:type="dxa"/>
            <w:vAlign w:val="bottom"/>
          </w:tcPr>
          <w:p>
            <w:pPr>
              <w:ind w:left="100"/>
              <w:spacing w:after="0" w:line="216" w:lineRule="exact"/>
              <w:rPr>
                <w:sz w:val="20"/>
                <w:szCs w:val="20"/>
                <w:color w:val="auto"/>
              </w:rPr>
            </w:pPr>
            <w:r>
              <w:rPr>
                <w:rFonts w:ascii="Arial" w:cs="Arial" w:eastAsia="Arial" w:hAnsi="Arial"/>
                <w:sz w:val="19"/>
                <w:szCs w:val="19"/>
                <w:color w:val="auto"/>
              </w:rPr>
              <w:t>italiano, la cui sede legale è sita in Milano,</w:t>
            </w:r>
          </w:p>
        </w:tc>
        <w:tc>
          <w:tcPr>
            <w:tcW w:w="4420" w:type="dxa"/>
            <w:vAlign w:val="bottom"/>
          </w:tcPr>
          <w:p>
            <w:pPr>
              <w:ind w:left="120"/>
              <w:spacing w:after="0" w:line="216" w:lineRule="exact"/>
              <w:rPr>
                <w:sz w:val="20"/>
                <w:szCs w:val="20"/>
                <w:color w:val="auto"/>
              </w:rPr>
            </w:pPr>
            <w:r>
              <w:rPr>
                <w:rFonts w:ascii="Arial" w:cs="Arial" w:eastAsia="Arial" w:hAnsi="Arial"/>
                <w:sz w:val="19"/>
                <w:szCs w:val="19"/>
                <w:color w:val="auto"/>
              </w:rPr>
              <w:t>organized under the law of the Italian Republic,</w:t>
            </w:r>
          </w:p>
        </w:tc>
      </w:tr>
      <w:tr>
        <w:trPr>
          <w:trHeight w:val="216"/>
        </w:trPr>
        <w:tc>
          <w:tcPr>
            <w:tcW w:w="4220" w:type="dxa"/>
            <w:vAlign w:val="bottom"/>
          </w:tcPr>
          <w:p>
            <w:pPr>
              <w:ind w:left="100"/>
              <w:spacing w:after="0" w:line="216" w:lineRule="exact"/>
              <w:rPr>
                <w:sz w:val="20"/>
                <w:szCs w:val="20"/>
                <w:color w:val="auto"/>
              </w:rPr>
            </w:pPr>
            <w:r>
              <w:rPr>
                <w:rFonts w:ascii="Arial" w:cs="Arial" w:eastAsia="Arial" w:hAnsi="Arial"/>
                <w:sz w:val="19"/>
                <w:szCs w:val="19"/>
                <w:color w:val="auto"/>
              </w:rPr>
              <w:t>Piazza Cavour 2 rappresentata da Gail Marie</w:t>
            </w:r>
          </w:p>
        </w:tc>
        <w:tc>
          <w:tcPr>
            <w:tcW w:w="4420" w:type="dxa"/>
            <w:vAlign w:val="bottom"/>
          </w:tcPr>
          <w:p>
            <w:pPr>
              <w:ind w:left="120"/>
              <w:spacing w:after="0" w:line="216" w:lineRule="exact"/>
              <w:rPr>
                <w:sz w:val="20"/>
                <w:szCs w:val="20"/>
                <w:color w:val="auto"/>
              </w:rPr>
            </w:pPr>
            <w:r>
              <w:rPr>
                <w:rFonts w:ascii="Arial" w:cs="Arial" w:eastAsia="Arial" w:hAnsi="Arial"/>
                <w:sz w:val="19"/>
                <w:szCs w:val="19"/>
                <w:color w:val="auto"/>
              </w:rPr>
              <w:t>with its head office in Milan, Piazza Cavour 2,</w:t>
            </w:r>
          </w:p>
        </w:tc>
      </w:tr>
      <w:tr>
        <w:trPr>
          <w:trHeight w:val="216"/>
        </w:trPr>
        <w:tc>
          <w:tcPr>
            <w:tcW w:w="4220" w:type="dxa"/>
            <w:vAlign w:val="bottom"/>
          </w:tcPr>
          <w:p>
            <w:pPr>
              <w:ind w:left="100"/>
              <w:spacing w:after="0" w:line="216" w:lineRule="exact"/>
              <w:rPr>
                <w:sz w:val="20"/>
                <w:szCs w:val="20"/>
                <w:color w:val="auto"/>
              </w:rPr>
            </w:pPr>
            <w:r>
              <w:rPr>
                <w:rFonts w:ascii="Arial" w:cs="Arial" w:eastAsia="Arial" w:hAnsi="Arial"/>
                <w:sz w:val="19"/>
                <w:szCs w:val="19"/>
                <w:color w:val="auto"/>
              </w:rPr>
              <w:t>Wasylyshyn, in qualità di Vice President,</w:t>
            </w:r>
          </w:p>
        </w:tc>
        <w:tc>
          <w:tcPr>
            <w:tcW w:w="4420" w:type="dxa"/>
            <w:vAlign w:val="bottom"/>
          </w:tcPr>
          <w:p>
            <w:pPr>
              <w:ind w:left="120"/>
              <w:spacing w:after="0" w:line="216" w:lineRule="exact"/>
              <w:rPr>
                <w:sz w:val="20"/>
                <w:szCs w:val="20"/>
                <w:color w:val="auto"/>
              </w:rPr>
            </w:pPr>
            <w:r>
              <w:rPr>
                <w:rFonts w:ascii="Arial" w:cs="Arial" w:eastAsia="Arial" w:hAnsi="Arial"/>
                <w:sz w:val="19"/>
                <w:szCs w:val="19"/>
                <w:color w:val="auto"/>
              </w:rPr>
              <w:t>legally represented by Gail Marie Wasylyshyn, in</w:t>
            </w:r>
          </w:p>
        </w:tc>
      </w:tr>
      <w:tr>
        <w:trPr>
          <w:trHeight w:val="216"/>
        </w:trPr>
        <w:tc>
          <w:tcPr>
            <w:tcW w:w="4220" w:type="dxa"/>
            <w:vAlign w:val="bottom"/>
          </w:tcPr>
          <w:p>
            <w:pPr>
              <w:ind w:left="100"/>
              <w:spacing w:after="0" w:line="216" w:lineRule="exact"/>
              <w:rPr>
                <w:sz w:val="20"/>
                <w:szCs w:val="20"/>
                <w:color w:val="auto"/>
              </w:rPr>
            </w:pPr>
            <w:r>
              <w:rPr>
                <w:rFonts w:ascii="Arial" w:cs="Arial" w:eastAsia="Arial" w:hAnsi="Arial"/>
                <w:sz w:val="19"/>
                <w:szCs w:val="19"/>
                <w:color w:val="auto"/>
              </w:rPr>
              <w:t>Tax(qui di seguito la "</w:t>
            </w:r>
            <w:r>
              <w:rPr>
                <w:rFonts w:ascii="Arial" w:cs="Arial" w:eastAsia="Arial" w:hAnsi="Arial"/>
                <w:sz w:val="19"/>
                <w:szCs w:val="19"/>
                <w:b w:val="1"/>
                <w:bCs w:val="1"/>
                <w:color w:val="auto"/>
              </w:rPr>
              <w:t>Società</w:t>
            </w:r>
            <w:r>
              <w:rPr>
                <w:rFonts w:ascii="Arial" w:cs="Arial" w:eastAsia="Arial" w:hAnsi="Arial"/>
                <w:sz w:val="19"/>
                <w:szCs w:val="19"/>
                <w:color w:val="auto"/>
              </w:rPr>
              <w:t>")</w:t>
            </w:r>
          </w:p>
        </w:tc>
        <w:tc>
          <w:tcPr>
            <w:tcW w:w="4420" w:type="dxa"/>
            <w:vAlign w:val="bottom"/>
          </w:tcPr>
          <w:p>
            <w:pPr>
              <w:ind w:left="120"/>
              <w:spacing w:after="0" w:line="216" w:lineRule="exact"/>
              <w:rPr>
                <w:sz w:val="20"/>
                <w:szCs w:val="20"/>
                <w:color w:val="auto"/>
              </w:rPr>
            </w:pPr>
            <w:r>
              <w:rPr>
                <w:rFonts w:ascii="Arial" w:cs="Arial" w:eastAsia="Arial" w:hAnsi="Arial"/>
                <w:sz w:val="19"/>
                <w:szCs w:val="19"/>
                <w:color w:val="auto"/>
              </w:rPr>
              <w:t>her capacity as Vice President, Tax (hereinafter</w:t>
            </w:r>
          </w:p>
        </w:tc>
      </w:tr>
      <w:tr>
        <w:trPr>
          <w:trHeight w:val="259"/>
        </w:trPr>
        <w:tc>
          <w:tcPr>
            <w:tcW w:w="4220" w:type="dxa"/>
            <w:vAlign w:val="bottom"/>
          </w:tcPr>
          <w:p>
            <w:pPr>
              <w:spacing w:after="0"/>
              <w:rPr>
                <w:sz w:val="22"/>
                <w:szCs w:val="22"/>
                <w:color w:val="auto"/>
              </w:rPr>
            </w:pPr>
          </w:p>
        </w:tc>
        <w:tc>
          <w:tcPr>
            <w:tcW w:w="4420" w:type="dxa"/>
            <w:vAlign w:val="bottom"/>
          </w:tcPr>
          <w:p>
            <w:pPr>
              <w:ind w:left="120"/>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Company</w:t>
            </w:r>
            <w:r>
              <w:rPr>
                <w:rFonts w:ascii="Arial" w:cs="Arial" w:eastAsia="Arial" w:hAnsi="Arial"/>
                <w:sz w:val="19"/>
                <w:szCs w:val="19"/>
                <w:color w:val="auto"/>
              </w:rPr>
              <w:t>")</w:t>
            </w:r>
          </w:p>
        </w:tc>
      </w:tr>
      <w:tr>
        <w:trPr>
          <w:trHeight w:val="594"/>
        </w:trPr>
        <w:tc>
          <w:tcPr>
            <w:tcW w:w="4220" w:type="dxa"/>
            <w:vAlign w:val="bottom"/>
          </w:tcPr>
          <w:p>
            <w:pPr>
              <w:jc w:val="center"/>
              <w:spacing w:after="0"/>
              <w:rPr>
                <w:sz w:val="20"/>
                <w:szCs w:val="20"/>
                <w:color w:val="auto"/>
              </w:rPr>
            </w:pPr>
            <w:r>
              <w:rPr>
                <w:rFonts w:ascii="Arial" w:cs="Arial" w:eastAsia="Arial" w:hAnsi="Arial"/>
                <w:sz w:val="19"/>
                <w:szCs w:val="19"/>
                <w:b w:val="1"/>
                <w:bCs w:val="1"/>
                <w:color w:val="auto"/>
              </w:rPr>
              <w:t>E</w:t>
            </w:r>
          </w:p>
        </w:tc>
        <w:tc>
          <w:tcPr>
            <w:tcW w:w="4420" w:type="dxa"/>
            <w:vAlign w:val="bottom"/>
          </w:tcPr>
          <w:p>
            <w:pPr>
              <w:jc w:val="center"/>
              <w:spacing w:after="0"/>
              <w:rPr>
                <w:sz w:val="20"/>
                <w:szCs w:val="20"/>
                <w:color w:val="auto"/>
              </w:rPr>
            </w:pPr>
            <w:r>
              <w:rPr>
                <w:rFonts w:ascii="Arial" w:cs="Arial" w:eastAsia="Arial" w:hAnsi="Arial"/>
                <w:sz w:val="19"/>
                <w:szCs w:val="19"/>
                <w:b w:val="1"/>
                <w:bCs w:val="1"/>
                <w:color w:val="auto"/>
                <w:w w:val="97"/>
              </w:rPr>
              <w:t>AND</w:t>
            </w:r>
          </w:p>
        </w:tc>
      </w:tr>
      <w:tr>
        <w:trPr>
          <w:trHeight w:val="443"/>
        </w:trPr>
        <w:tc>
          <w:tcPr>
            <w:tcW w:w="4220" w:type="dxa"/>
            <w:vAlign w:val="bottom"/>
          </w:tcPr>
          <w:p>
            <w:pPr>
              <w:ind w:left="100"/>
              <w:spacing w:after="0"/>
              <w:rPr>
                <w:sz w:val="20"/>
                <w:szCs w:val="20"/>
                <w:color w:val="auto"/>
              </w:rPr>
            </w:pPr>
            <w:r>
              <w:rPr>
                <w:rFonts w:ascii="Arial" w:cs="Arial" w:eastAsia="Arial" w:hAnsi="Arial"/>
                <w:sz w:val="19"/>
                <w:szCs w:val="19"/>
                <w:b w:val="1"/>
                <w:bCs w:val="1"/>
                <w:color w:val="auto"/>
              </w:rPr>
              <w:t xml:space="preserve">Almir Ambeskovic </w:t>
            </w:r>
            <w:r>
              <w:rPr>
                <w:rFonts w:ascii="Arial" w:cs="Arial" w:eastAsia="Arial" w:hAnsi="Arial"/>
                <w:sz w:val="19"/>
                <w:szCs w:val="19"/>
                <w:color w:val="auto"/>
              </w:rPr>
              <w:t>nato a Sarajevo, Bosnia</w:t>
            </w:r>
          </w:p>
        </w:tc>
        <w:tc>
          <w:tcPr>
            <w:tcW w:w="4420" w:type="dxa"/>
            <w:vAlign w:val="bottom"/>
          </w:tcPr>
          <w:p>
            <w:pPr>
              <w:ind w:left="120"/>
              <w:spacing w:after="0"/>
              <w:rPr>
                <w:sz w:val="20"/>
                <w:szCs w:val="20"/>
                <w:color w:val="auto"/>
              </w:rPr>
            </w:pPr>
            <w:r>
              <w:rPr>
                <w:rFonts w:ascii="Arial" w:cs="Arial" w:eastAsia="Arial" w:hAnsi="Arial"/>
                <w:sz w:val="19"/>
                <w:szCs w:val="19"/>
                <w:b w:val="1"/>
                <w:bCs w:val="1"/>
                <w:color w:val="auto"/>
              </w:rPr>
              <w:t xml:space="preserve">Almir Ambeskovic </w:t>
            </w:r>
            <w:r>
              <w:rPr>
                <w:rFonts w:ascii="Arial" w:cs="Arial" w:eastAsia="Arial" w:hAnsi="Arial"/>
                <w:sz w:val="19"/>
                <w:szCs w:val="19"/>
                <w:color w:val="auto"/>
              </w:rPr>
              <w:t>born in Sarajevo, Bosnia and</w:t>
            </w:r>
          </w:p>
        </w:tc>
      </w:tr>
      <w:tr>
        <w:trPr>
          <w:trHeight w:val="216"/>
        </w:trPr>
        <w:tc>
          <w:tcPr>
            <w:tcW w:w="4220" w:type="dxa"/>
            <w:vAlign w:val="bottom"/>
          </w:tcPr>
          <w:p>
            <w:pPr>
              <w:ind w:left="100"/>
              <w:spacing w:after="0" w:line="216" w:lineRule="exact"/>
              <w:rPr>
                <w:sz w:val="20"/>
                <w:szCs w:val="20"/>
                <w:color w:val="auto"/>
              </w:rPr>
            </w:pPr>
            <w:r>
              <w:rPr>
                <w:rFonts w:ascii="Arial" w:cs="Arial" w:eastAsia="Arial" w:hAnsi="Arial"/>
                <w:sz w:val="19"/>
                <w:szCs w:val="19"/>
                <w:color w:val="auto"/>
              </w:rPr>
              <w:t>and Herzegovina con domicilio in Lombardia MI</w:t>
            </w:r>
          </w:p>
        </w:tc>
        <w:tc>
          <w:tcPr>
            <w:tcW w:w="4420" w:type="dxa"/>
            <w:vAlign w:val="bottom"/>
          </w:tcPr>
          <w:p>
            <w:pPr>
              <w:ind w:left="120"/>
              <w:spacing w:after="0" w:line="216" w:lineRule="exact"/>
              <w:rPr>
                <w:sz w:val="20"/>
                <w:szCs w:val="20"/>
                <w:color w:val="auto"/>
              </w:rPr>
            </w:pPr>
            <w:r>
              <w:rPr>
                <w:rFonts w:ascii="Arial" w:cs="Arial" w:eastAsia="Arial" w:hAnsi="Arial"/>
                <w:sz w:val="19"/>
                <w:szCs w:val="19"/>
                <w:color w:val="auto"/>
              </w:rPr>
              <w:t>Herzegovina with domicile in Lombardia MI Italy</w:t>
            </w:r>
          </w:p>
        </w:tc>
      </w:tr>
      <w:tr>
        <w:trPr>
          <w:trHeight w:val="216"/>
        </w:trPr>
        <w:tc>
          <w:tcPr>
            <w:tcW w:w="4220" w:type="dxa"/>
            <w:vAlign w:val="bottom"/>
          </w:tcPr>
          <w:p>
            <w:pPr>
              <w:ind w:left="100"/>
              <w:spacing w:after="0" w:line="216" w:lineRule="exact"/>
              <w:rPr>
                <w:sz w:val="20"/>
                <w:szCs w:val="20"/>
                <w:color w:val="auto"/>
              </w:rPr>
            </w:pPr>
            <w:r>
              <w:rPr>
                <w:rFonts w:ascii="Arial" w:cs="Arial" w:eastAsia="Arial" w:hAnsi="Arial"/>
                <w:sz w:val="19"/>
                <w:szCs w:val="19"/>
                <w:color w:val="auto"/>
              </w:rPr>
              <w:t>Italia (qui di seguito il “</w:t>
            </w:r>
            <w:r>
              <w:rPr>
                <w:rFonts w:ascii="Arial" w:cs="Arial" w:eastAsia="Arial" w:hAnsi="Arial"/>
                <w:sz w:val="19"/>
                <w:szCs w:val="19"/>
                <w:b w:val="1"/>
                <w:bCs w:val="1"/>
                <w:color w:val="auto"/>
              </w:rPr>
              <w:t>Lei</w:t>
            </w:r>
            <w:r>
              <w:rPr>
                <w:rFonts w:ascii="Arial" w:cs="Arial" w:eastAsia="Arial" w:hAnsi="Arial"/>
                <w:sz w:val="19"/>
                <w:szCs w:val="19"/>
                <w:color w:val="auto"/>
              </w:rPr>
              <w:t>” o il "</w:t>
            </w:r>
            <w:r>
              <w:rPr>
                <w:rFonts w:ascii="Arial" w:cs="Arial" w:eastAsia="Arial" w:hAnsi="Arial"/>
                <w:sz w:val="19"/>
                <w:szCs w:val="19"/>
                <w:b w:val="1"/>
                <w:bCs w:val="1"/>
                <w:color w:val="auto"/>
              </w:rPr>
              <w:t>Dirigente</w:t>
            </w:r>
            <w:r>
              <w:rPr>
                <w:rFonts w:ascii="Arial" w:cs="Arial" w:eastAsia="Arial" w:hAnsi="Arial"/>
                <w:sz w:val="19"/>
                <w:szCs w:val="19"/>
                <w:color w:val="auto"/>
              </w:rPr>
              <w:t>", e</w:t>
            </w:r>
          </w:p>
        </w:tc>
        <w:tc>
          <w:tcPr>
            <w:tcW w:w="4420" w:type="dxa"/>
            <w:vAlign w:val="bottom"/>
          </w:tcPr>
          <w:p>
            <w:pPr>
              <w:ind w:left="120"/>
              <w:spacing w:after="0" w:line="216" w:lineRule="exact"/>
              <w:rPr>
                <w:sz w:val="20"/>
                <w:szCs w:val="20"/>
                <w:color w:val="auto"/>
              </w:rPr>
            </w:pPr>
            <w:r>
              <w:rPr>
                <w:rFonts w:ascii="Arial" w:cs="Arial" w:eastAsia="Arial" w:hAnsi="Arial"/>
                <w:sz w:val="19"/>
                <w:szCs w:val="19"/>
                <w:color w:val="auto"/>
              </w:rPr>
              <w:t>(hereinafter, “</w:t>
            </w:r>
            <w:r>
              <w:rPr>
                <w:rFonts w:ascii="Arial" w:cs="Arial" w:eastAsia="Arial" w:hAnsi="Arial"/>
                <w:sz w:val="19"/>
                <w:szCs w:val="19"/>
                <w:b w:val="1"/>
                <w:bCs w:val="1"/>
                <w:color w:val="auto"/>
              </w:rPr>
              <w:t>You</w:t>
            </w:r>
            <w:r>
              <w:rPr>
                <w:rFonts w:ascii="Arial" w:cs="Arial" w:eastAsia="Arial" w:hAnsi="Arial"/>
                <w:sz w:val="19"/>
                <w:szCs w:val="19"/>
                <w:color w:val="auto"/>
              </w:rPr>
              <w:t>” or the "</w:t>
            </w:r>
            <w:r>
              <w:rPr>
                <w:rFonts w:ascii="Arial" w:cs="Arial" w:eastAsia="Arial" w:hAnsi="Arial"/>
                <w:sz w:val="19"/>
                <w:szCs w:val="19"/>
                <w:b w:val="1"/>
                <w:bCs w:val="1"/>
                <w:color w:val="auto"/>
              </w:rPr>
              <w:t>Executive</w:t>
            </w:r>
            <w:r>
              <w:rPr>
                <w:rFonts w:ascii="Arial" w:cs="Arial" w:eastAsia="Arial" w:hAnsi="Arial"/>
                <w:sz w:val="19"/>
                <w:szCs w:val="19"/>
                <w:color w:val="auto"/>
              </w:rPr>
              <w:t>" and jointly</w:t>
            </w:r>
          </w:p>
        </w:tc>
      </w:tr>
      <w:tr>
        <w:trPr>
          <w:trHeight w:val="259"/>
        </w:trPr>
        <w:tc>
          <w:tcPr>
            <w:tcW w:w="4220" w:type="dxa"/>
            <w:vAlign w:val="bottom"/>
          </w:tcPr>
          <w:p>
            <w:pPr>
              <w:ind w:left="100"/>
              <w:spacing w:after="0"/>
              <w:rPr>
                <w:sz w:val="20"/>
                <w:szCs w:val="20"/>
                <w:color w:val="auto"/>
              </w:rPr>
            </w:pPr>
            <w:r>
              <w:rPr>
                <w:rFonts w:ascii="Arial" w:cs="Arial" w:eastAsia="Arial" w:hAnsi="Arial"/>
                <w:sz w:val="19"/>
                <w:szCs w:val="19"/>
                <w:color w:val="auto"/>
              </w:rPr>
              <w:t>insieme con la Societa' le “</w:t>
            </w:r>
            <w:r>
              <w:rPr>
                <w:rFonts w:ascii="Arial" w:cs="Arial" w:eastAsia="Arial" w:hAnsi="Arial"/>
                <w:sz w:val="19"/>
                <w:szCs w:val="19"/>
                <w:b w:val="1"/>
                <w:bCs w:val="1"/>
                <w:color w:val="auto"/>
              </w:rPr>
              <w:t>Parti</w:t>
            </w:r>
            <w:r>
              <w:rPr>
                <w:rFonts w:ascii="Arial" w:cs="Arial" w:eastAsia="Arial" w:hAnsi="Arial"/>
                <w:sz w:val="19"/>
                <w:szCs w:val="19"/>
                <w:color w:val="auto"/>
              </w:rPr>
              <w:t>”)</w:t>
            </w:r>
          </w:p>
        </w:tc>
        <w:tc>
          <w:tcPr>
            <w:tcW w:w="4420" w:type="dxa"/>
            <w:vAlign w:val="bottom"/>
          </w:tcPr>
          <w:p>
            <w:pPr>
              <w:ind w:left="120"/>
              <w:spacing w:after="0"/>
              <w:rPr>
                <w:sz w:val="20"/>
                <w:szCs w:val="20"/>
                <w:color w:val="auto"/>
              </w:rPr>
            </w:pPr>
            <w:r>
              <w:rPr>
                <w:rFonts w:ascii="Arial" w:cs="Arial" w:eastAsia="Arial" w:hAnsi="Arial"/>
                <w:sz w:val="19"/>
                <w:szCs w:val="19"/>
                <w:color w:val="auto"/>
              </w:rPr>
              <w:t>with the Company referred to as the “</w:t>
            </w:r>
            <w:r>
              <w:rPr>
                <w:rFonts w:ascii="Arial" w:cs="Arial" w:eastAsia="Arial" w:hAnsi="Arial"/>
                <w:sz w:val="19"/>
                <w:szCs w:val="19"/>
                <w:b w:val="1"/>
                <w:bCs w:val="1"/>
                <w:color w:val="auto"/>
              </w:rPr>
              <w:t>Parties</w:t>
            </w:r>
            <w:r>
              <w:rPr>
                <w:rFonts w:ascii="Arial" w:cs="Arial" w:eastAsia="Arial" w:hAnsi="Arial"/>
                <w:sz w:val="19"/>
                <w:szCs w:val="19"/>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19"/>
                <w:szCs w:val="19"/>
                <w:color w:val="auto"/>
              </w:rPr>
            </w:pPr>
          </w:p>
        </w:tc>
        <w:tc>
          <w:tcPr>
            <w:tcW w:w="4160" w:type="dxa"/>
            <w:vAlign w:val="bottom"/>
            <w:gridSpan w:val="9"/>
          </w:tcPr>
          <w:p>
            <w:pPr>
              <w:spacing w:after="0"/>
              <w:rPr>
                <w:sz w:val="20"/>
                <w:szCs w:val="20"/>
                <w:color w:val="auto"/>
              </w:rPr>
            </w:pPr>
            <w:r>
              <w:rPr>
                <w:rFonts w:ascii="Arial" w:cs="Arial" w:eastAsia="Arial" w:hAnsi="Arial"/>
                <w:sz w:val="19"/>
                <w:szCs w:val="19"/>
                <w:b w:val="1"/>
                <w:bCs w:val="1"/>
                <w:color w:val="auto"/>
              </w:rPr>
              <w:t>E’ CONCORDATO E CONVENUTO QUANTO</w:t>
            </w:r>
          </w:p>
        </w:tc>
        <w:tc>
          <w:tcPr>
            <w:tcW w:w="5440" w:type="dxa"/>
            <w:vAlign w:val="bottom"/>
            <w:gridSpan w:val="10"/>
          </w:tcPr>
          <w:p>
            <w:pPr>
              <w:ind w:left="80"/>
              <w:spacing w:after="0"/>
              <w:rPr>
                <w:sz w:val="20"/>
                <w:szCs w:val="20"/>
                <w:color w:val="auto"/>
              </w:rPr>
            </w:pPr>
            <w:r>
              <w:rPr>
                <w:rFonts w:ascii="Arial" w:cs="Arial" w:eastAsia="Arial" w:hAnsi="Arial"/>
                <w:sz w:val="19"/>
                <w:szCs w:val="19"/>
                <w:b w:val="1"/>
                <w:bCs w:val="1"/>
                <w:color w:val="auto"/>
              </w:rPr>
              <w:t>IT HAS BEEN AGREED AND DECIDED AS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9"/>
                <w:szCs w:val="19"/>
                <w:b w:val="1"/>
                <w:bCs w:val="1"/>
                <w:color w:val="auto"/>
              </w:rPr>
              <w:t>SEGUE</w:t>
            </w:r>
            <w:r>
              <w:rPr>
                <w:rFonts w:ascii="Arial" w:cs="Arial" w:eastAsia="Arial" w:hAnsi="Arial"/>
                <w:sz w:val="19"/>
                <w:szCs w:val="19"/>
                <w:color w:val="auto"/>
              </w:rPr>
              <w:t>:</w:t>
            </w:r>
          </w:p>
        </w:tc>
        <w:tc>
          <w:tcPr>
            <w:tcW w:w="6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9"/>
                <w:szCs w:val="19"/>
                <w:b w:val="1"/>
                <w:bCs w:val="1"/>
                <w:color w:val="auto"/>
              </w:rPr>
              <w:t>FOLLOWS</w:t>
            </w:r>
            <w:r>
              <w:rPr>
                <w:rFonts w:ascii="Arial" w:cs="Arial" w:eastAsia="Arial" w:hAnsi="Arial"/>
                <w:sz w:val="19"/>
                <w:szCs w:val="19"/>
                <w:color w:val="auto"/>
              </w:rPr>
              <w:t>:</w:t>
            </w:r>
          </w:p>
        </w:tc>
        <w:tc>
          <w:tcPr>
            <w:tcW w:w="9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9"/>
                <w:szCs w:val="19"/>
                <w:color w:val="auto"/>
              </w:rPr>
              <w:t>1.</w:t>
            </w:r>
          </w:p>
        </w:tc>
        <w:tc>
          <w:tcPr>
            <w:tcW w:w="1400" w:type="dxa"/>
            <w:vAlign w:val="bottom"/>
            <w:gridSpan w:val="3"/>
          </w:tcPr>
          <w:p>
            <w:pPr>
              <w:spacing w:after="0"/>
              <w:rPr>
                <w:sz w:val="20"/>
                <w:szCs w:val="20"/>
                <w:color w:val="auto"/>
              </w:rPr>
            </w:pPr>
            <w:r>
              <w:rPr>
                <w:rFonts w:ascii="Arial" w:cs="Arial" w:eastAsia="Arial" w:hAnsi="Arial"/>
                <w:sz w:val="19"/>
                <w:szCs w:val="19"/>
                <w:b w:val="1"/>
                <w:bCs w:val="1"/>
                <w:color w:val="auto"/>
              </w:rPr>
              <w:t>Ruolo</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ind w:left="80"/>
              <w:spacing w:after="0"/>
              <w:rPr>
                <w:sz w:val="20"/>
                <w:szCs w:val="20"/>
                <w:color w:val="auto"/>
              </w:rPr>
            </w:pPr>
            <w:r>
              <w:rPr>
                <w:rFonts w:ascii="Arial" w:cs="Arial" w:eastAsia="Arial" w:hAnsi="Arial"/>
                <w:sz w:val="19"/>
                <w:szCs w:val="19"/>
                <w:color w:val="auto"/>
              </w:rPr>
              <w:t>1.</w:t>
            </w:r>
          </w:p>
        </w:tc>
        <w:tc>
          <w:tcPr>
            <w:tcW w:w="1260" w:type="dxa"/>
            <w:vAlign w:val="bottom"/>
            <w:gridSpan w:val="4"/>
          </w:tcPr>
          <w:p>
            <w:pPr>
              <w:ind w:left="80"/>
              <w:spacing w:after="0"/>
              <w:rPr>
                <w:sz w:val="20"/>
                <w:szCs w:val="20"/>
                <w:color w:val="auto"/>
              </w:rPr>
            </w:pPr>
            <w:r>
              <w:rPr>
                <w:rFonts w:ascii="Arial" w:cs="Arial" w:eastAsia="Arial" w:hAnsi="Arial"/>
                <w:sz w:val="19"/>
                <w:szCs w:val="19"/>
                <w:b w:val="1"/>
                <w:bCs w:val="1"/>
                <w:color w:val="auto"/>
              </w:rPr>
              <w:t>Job Title</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560" w:type="dxa"/>
            <w:vAlign w:val="bottom"/>
            <w:gridSpan w:val="2"/>
          </w:tcPr>
          <w:p>
            <w:pPr>
              <w:ind w:left="1160"/>
              <w:spacing w:after="0"/>
              <w:rPr>
                <w:sz w:val="20"/>
                <w:szCs w:val="20"/>
                <w:color w:val="auto"/>
              </w:rPr>
            </w:pPr>
            <w:r>
              <w:rPr>
                <w:rFonts w:ascii="Arial" w:cs="Arial" w:eastAsia="Arial" w:hAnsi="Arial"/>
                <w:sz w:val="19"/>
                <w:szCs w:val="19"/>
                <w:color w:val="auto"/>
              </w:rPr>
              <w:t>1.1</w:t>
            </w:r>
          </w:p>
        </w:tc>
        <w:tc>
          <w:tcPr>
            <w:tcW w:w="3740" w:type="dxa"/>
            <w:vAlign w:val="bottom"/>
            <w:gridSpan w:val="8"/>
          </w:tcPr>
          <w:p>
            <w:pPr>
              <w:ind w:left="220"/>
              <w:spacing w:after="0"/>
              <w:rPr>
                <w:sz w:val="20"/>
                <w:szCs w:val="20"/>
                <w:color w:val="auto"/>
              </w:rPr>
            </w:pPr>
            <w:r>
              <w:rPr>
                <w:rFonts w:ascii="Arial" w:cs="Arial" w:eastAsia="Arial" w:hAnsi="Arial"/>
                <w:sz w:val="19"/>
                <w:szCs w:val="19"/>
                <w:color w:val="auto"/>
              </w:rPr>
              <w:t>Il Dirigente è dipendente della Società a</w:t>
            </w:r>
          </w:p>
        </w:tc>
        <w:tc>
          <w:tcPr>
            <w:tcW w:w="420" w:type="dxa"/>
            <w:vAlign w:val="bottom"/>
            <w:gridSpan w:val="2"/>
          </w:tcPr>
          <w:p>
            <w:pPr>
              <w:ind w:left="100"/>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24"/>
                <w:szCs w:val="24"/>
                <w:color w:val="auto"/>
              </w:rPr>
            </w:pPr>
          </w:p>
        </w:tc>
        <w:tc>
          <w:tcPr>
            <w:tcW w:w="4940" w:type="dxa"/>
            <w:vAlign w:val="bottom"/>
            <w:gridSpan w:val="7"/>
          </w:tcPr>
          <w:p>
            <w:pPr>
              <w:ind w:left="220"/>
              <w:spacing w:after="0"/>
              <w:rPr>
                <w:sz w:val="20"/>
                <w:szCs w:val="20"/>
                <w:color w:val="auto"/>
              </w:rPr>
            </w:pPr>
            <w:r>
              <w:rPr>
                <w:rFonts w:ascii="Arial" w:cs="Arial" w:eastAsia="Arial" w:hAnsi="Arial"/>
                <w:sz w:val="19"/>
                <w:szCs w:val="19"/>
                <w:color w:val="auto"/>
              </w:rPr>
              <w:t>The  Executive  is  employed  by  the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far  data  da  ottobre  14,  2014  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Company  since  October  14,  2014  and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attualmente,  ricopre  il  ruolo  di  VP,</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currently  covers  the  position  of  VP,</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Country  Manager.  Con  effetto  dal  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Country Manager. Starting from 1 March</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marzo 2021, il Dirigente ricoprirà il ruolo</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2021 , the Executive will cover the position</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di   Senior   Vice   President,   Chief</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of Senior Vice President, Chief Executive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3"/>
          </w:tcPr>
          <w:p>
            <w:pPr>
              <w:ind w:left="220"/>
              <w:spacing w:after="0" w:line="216" w:lineRule="exact"/>
              <w:rPr>
                <w:sz w:val="20"/>
                <w:szCs w:val="20"/>
                <w:color w:val="auto"/>
              </w:rPr>
            </w:pPr>
            <w:r>
              <w:rPr>
                <w:rFonts w:ascii="Arial" w:cs="Arial" w:eastAsia="Arial" w:hAnsi="Arial"/>
                <w:sz w:val="19"/>
                <w:szCs w:val="19"/>
                <w:color w:val="auto"/>
              </w:rPr>
              <w:t>Executive</w:t>
            </w:r>
          </w:p>
        </w:tc>
        <w:tc>
          <w:tcPr>
            <w:tcW w:w="620" w:type="dxa"/>
            <w:vAlign w:val="bottom"/>
          </w:tcPr>
          <w:p>
            <w:pPr>
              <w:spacing w:after="0" w:line="216" w:lineRule="exact"/>
              <w:rPr>
                <w:sz w:val="20"/>
                <w:szCs w:val="20"/>
                <w:color w:val="auto"/>
              </w:rPr>
            </w:pPr>
            <w:r>
              <w:rPr>
                <w:rFonts w:ascii="Arial" w:cs="Arial" w:eastAsia="Arial" w:hAnsi="Arial"/>
                <w:sz w:val="19"/>
                <w:szCs w:val="19"/>
                <w:color w:val="auto"/>
              </w:rPr>
              <w:t>Officer</w:t>
            </w:r>
          </w:p>
        </w:tc>
        <w:tc>
          <w:tcPr>
            <w:tcW w:w="480" w:type="dxa"/>
            <w:vAlign w:val="bottom"/>
          </w:tcPr>
          <w:p>
            <w:pPr>
              <w:ind w:left="320"/>
              <w:spacing w:after="0" w:line="216" w:lineRule="exact"/>
              <w:rPr>
                <w:sz w:val="20"/>
                <w:szCs w:val="20"/>
                <w:color w:val="auto"/>
              </w:rPr>
            </w:pPr>
            <w:r>
              <w:rPr>
                <w:rFonts w:ascii="Arial" w:cs="Arial" w:eastAsia="Arial" w:hAnsi="Arial"/>
                <w:sz w:val="19"/>
                <w:szCs w:val="19"/>
                <w:color w:val="auto"/>
                <w:w w:val="88"/>
              </w:rPr>
              <w:t>of</w:t>
            </w:r>
          </w:p>
        </w:tc>
        <w:tc>
          <w:tcPr>
            <w:tcW w:w="1240" w:type="dxa"/>
            <w:vAlign w:val="bottom"/>
            <w:gridSpan w:val="3"/>
          </w:tcPr>
          <w:p>
            <w:pPr>
              <w:jc w:val="right"/>
              <w:ind w:right="6"/>
              <w:spacing w:after="0" w:line="216" w:lineRule="exact"/>
              <w:rPr>
                <w:sz w:val="20"/>
                <w:szCs w:val="20"/>
                <w:color w:val="auto"/>
              </w:rPr>
            </w:pPr>
            <w:r>
              <w:rPr>
                <w:rFonts w:ascii="Arial" w:cs="Arial" w:eastAsia="Arial" w:hAnsi="Arial"/>
                <w:sz w:val="19"/>
                <w:szCs w:val="19"/>
                <w:color w:val="auto"/>
              </w:rPr>
              <w:t>TheFork,</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Officer of TheFork and will continue being</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continuando a essere inquadrato come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qualified as an executive according to the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dirigente, ai sensi e per gli effetti del</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220"/>
              <w:spacing w:after="0" w:line="216" w:lineRule="exact"/>
              <w:rPr>
                <w:sz w:val="20"/>
                <w:szCs w:val="20"/>
                <w:color w:val="auto"/>
              </w:rPr>
            </w:pPr>
            <w:r>
              <w:rPr>
                <w:rFonts w:ascii="Arial" w:cs="Arial" w:eastAsia="Arial" w:hAnsi="Arial"/>
                <w:sz w:val="19"/>
                <w:szCs w:val="19"/>
                <w:color w:val="auto"/>
              </w:rPr>
              <w:t>National</w:t>
            </w:r>
          </w:p>
        </w:tc>
        <w:tc>
          <w:tcPr>
            <w:tcW w:w="980" w:type="dxa"/>
            <w:vAlign w:val="bottom"/>
          </w:tcPr>
          <w:p>
            <w:pPr>
              <w:ind w:left="40"/>
              <w:spacing w:after="0" w:line="216" w:lineRule="exact"/>
              <w:rPr>
                <w:sz w:val="20"/>
                <w:szCs w:val="20"/>
                <w:color w:val="auto"/>
              </w:rPr>
            </w:pPr>
            <w:r>
              <w:rPr>
                <w:rFonts w:ascii="Arial" w:cs="Arial" w:eastAsia="Arial" w:hAnsi="Arial"/>
                <w:sz w:val="19"/>
                <w:szCs w:val="19"/>
                <w:color w:val="auto"/>
              </w:rPr>
              <w:t>Collective</w:t>
            </w:r>
          </w:p>
        </w:tc>
        <w:tc>
          <w:tcPr>
            <w:tcW w:w="2780" w:type="dxa"/>
            <w:vAlign w:val="bottom"/>
            <w:gridSpan w:val="3"/>
          </w:tcPr>
          <w:p>
            <w:pPr>
              <w:jc w:val="right"/>
              <w:ind w:right="1140"/>
              <w:spacing w:after="0" w:line="216" w:lineRule="exact"/>
              <w:rPr>
                <w:sz w:val="20"/>
                <w:szCs w:val="20"/>
                <w:color w:val="auto"/>
              </w:rPr>
            </w:pPr>
            <w:r>
              <w:rPr>
                <w:rFonts w:ascii="Arial" w:cs="Arial" w:eastAsia="Arial" w:hAnsi="Arial"/>
                <w:sz w:val="19"/>
                <w:szCs w:val="19"/>
                <w:color w:val="auto"/>
              </w:rPr>
              <w:t>Agreement   for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Contratto Collettivo Nazionale di lavoro</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220"/>
              <w:spacing w:after="0" w:line="216" w:lineRule="exact"/>
              <w:rPr>
                <w:sz w:val="20"/>
                <w:szCs w:val="20"/>
                <w:color w:val="auto"/>
              </w:rPr>
            </w:pPr>
            <w:r>
              <w:rPr>
                <w:rFonts w:ascii="Arial" w:cs="Arial" w:eastAsia="Arial" w:hAnsi="Arial"/>
                <w:sz w:val="19"/>
                <w:szCs w:val="19"/>
                <w:color w:val="auto"/>
              </w:rPr>
              <w:t>Executives</w:t>
            </w:r>
          </w:p>
        </w:tc>
        <w:tc>
          <w:tcPr>
            <w:tcW w:w="1540" w:type="dxa"/>
            <w:vAlign w:val="bottom"/>
            <w:gridSpan w:val="2"/>
          </w:tcPr>
          <w:p>
            <w:pPr>
              <w:ind w:left="160"/>
              <w:spacing w:after="0" w:line="216" w:lineRule="exact"/>
              <w:rPr>
                <w:sz w:val="20"/>
                <w:szCs w:val="20"/>
                <w:color w:val="auto"/>
              </w:rPr>
            </w:pPr>
            <w:r>
              <w:rPr>
                <w:rFonts w:ascii="Arial" w:cs="Arial" w:eastAsia="Arial" w:hAnsi="Arial"/>
                <w:sz w:val="19"/>
                <w:szCs w:val="19"/>
                <w:color w:val="auto"/>
              </w:rPr>
              <w:t>of  commercial</w:t>
            </w:r>
          </w:p>
        </w:tc>
        <w:tc>
          <w:tcPr>
            <w:tcW w:w="2220" w:type="dxa"/>
            <w:vAlign w:val="bottom"/>
            <w:gridSpan w:val="2"/>
          </w:tcPr>
          <w:p>
            <w:pPr>
              <w:jc w:val="right"/>
              <w:ind w:right="1140"/>
              <w:spacing w:after="0" w:line="216" w:lineRule="exact"/>
              <w:rPr>
                <w:sz w:val="20"/>
                <w:szCs w:val="20"/>
                <w:color w:val="auto"/>
              </w:rPr>
            </w:pPr>
            <w:r>
              <w:rPr>
                <w:rFonts w:ascii="Arial" w:cs="Arial" w:eastAsia="Arial" w:hAnsi="Arial"/>
                <w:sz w:val="19"/>
                <w:szCs w:val="19"/>
                <w:color w:val="auto"/>
              </w:rPr>
              <w:t>companies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per  i  Dirigenti  del  Settore  Terziario,</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Contratto Collettivo Nazionale di Lavoro</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6"/>
          </w:tcPr>
          <w:p>
            <w:pPr>
              <w:ind w:left="220"/>
              <w:spacing w:after="0" w:line="216" w:lineRule="exact"/>
              <w:rPr>
                <w:sz w:val="20"/>
                <w:szCs w:val="20"/>
                <w:color w:val="auto"/>
              </w:rPr>
            </w:pPr>
            <w:r>
              <w:rPr>
                <w:rFonts w:ascii="Arial" w:cs="Arial" w:eastAsia="Arial" w:hAnsi="Arial"/>
                <w:sz w:val="19"/>
                <w:szCs w:val="19"/>
                <w:color w:val="auto"/>
              </w:rPr>
              <w:t>Distribuzione e Servizi (il "</w:t>
            </w:r>
            <w:r>
              <w:rPr>
                <w:rFonts w:ascii="Arial" w:cs="Arial" w:eastAsia="Arial" w:hAnsi="Arial"/>
                <w:sz w:val="19"/>
                <w:szCs w:val="19"/>
                <w:b w:val="1"/>
                <w:bCs w:val="1"/>
                <w:color w:val="auto"/>
              </w:rPr>
              <w:t>CCNL</w:t>
            </w: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i w:val="1"/>
                <w:iCs w:val="1"/>
                <w:color w:val="auto"/>
              </w:rPr>
              <w:t>per  i  Dirigenti  del  Settore  Terziario,</w:t>
            </w:r>
          </w:p>
        </w:tc>
        <w:tc>
          <w:tcPr>
            <w:tcW w:w="0" w:type="dxa"/>
            <w:vAlign w:val="bottom"/>
          </w:tcPr>
          <w:p>
            <w:pPr>
              <w:spacing w:after="0"/>
              <w:rPr>
                <w:sz w:val="1"/>
                <w:szCs w:val="1"/>
                <w:color w:val="auto"/>
              </w:rPr>
            </w:pPr>
          </w:p>
        </w:tc>
      </w:tr>
      <w:tr>
        <w:trPr>
          <w:trHeight w:val="259"/>
        </w:trPr>
        <w:tc>
          <w:tcPr>
            <w:tcW w:w="1560" w:type="dxa"/>
            <w:vAlign w:val="bottom"/>
            <w:gridSpan w:val="2"/>
            <w:vMerge w:val="restart"/>
          </w:tcPr>
          <w:p>
            <w:pPr>
              <w:ind w:left="1160"/>
              <w:spacing w:after="0"/>
              <w:rPr>
                <w:sz w:val="20"/>
                <w:szCs w:val="20"/>
                <w:color w:val="auto"/>
              </w:rPr>
            </w:pPr>
            <w:r>
              <w:rPr>
                <w:rFonts w:ascii="Arial" w:cs="Arial" w:eastAsia="Arial" w:hAnsi="Arial"/>
                <w:sz w:val="19"/>
                <w:szCs w:val="19"/>
                <w:color w:val="auto"/>
              </w:rPr>
              <w:t>1.2</w:t>
            </w:r>
          </w:p>
        </w:tc>
        <w:tc>
          <w:tcPr>
            <w:tcW w:w="1400" w:type="dxa"/>
            <w:vAlign w:val="bottom"/>
            <w:gridSpan w:val="3"/>
            <w:vMerge w:val="restart"/>
          </w:tcPr>
          <w:p>
            <w:pPr>
              <w:ind w:left="220"/>
              <w:spacing w:after="0"/>
              <w:rPr>
                <w:sz w:val="20"/>
                <w:szCs w:val="20"/>
                <w:color w:val="auto"/>
              </w:rPr>
            </w:pPr>
            <w:r>
              <w:rPr>
                <w:rFonts w:ascii="Arial" w:cs="Arial" w:eastAsia="Arial" w:hAnsi="Arial"/>
                <w:sz w:val="19"/>
                <w:szCs w:val="19"/>
                <w:color w:val="auto"/>
              </w:rPr>
              <w:t>Il  Dirigente</w:t>
            </w:r>
          </w:p>
        </w:tc>
        <w:tc>
          <w:tcPr>
            <w:tcW w:w="620" w:type="dxa"/>
            <w:vAlign w:val="bottom"/>
            <w:vMerge w:val="restart"/>
          </w:tcPr>
          <w:p>
            <w:pPr>
              <w:ind w:left="60"/>
              <w:spacing w:after="0"/>
              <w:rPr>
                <w:sz w:val="20"/>
                <w:szCs w:val="20"/>
                <w:color w:val="auto"/>
              </w:rPr>
            </w:pPr>
            <w:r>
              <w:rPr>
                <w:rFonts w:ascii="Arial" w:cs="Arial" w:eastAsia="Arial" w:hAnsi="Arial"/>
                <w:sz w:val="19"/>
                <w:szCs w:val="19"/>
                <w:color w:val="auto"/>
              </w:rPr>
              <w:t>potrà</w:t>
            </w:r>
          </w:p>
        </w:tc>
        <w:tc>
          <w:tcPr>
            <w:tcW w:w="1720" w:type="dxa"/>
            <w:vAlign w:val="bottom"/>
            <w:gridSpan w:val="4"/>
            <w:vMerge w:val="restart"/>
          </w:tcPr>
          <w:p>
            <w:pPr>
              <w:jc w:val="right"/>
              <w:ind w:right="26"/>
              <w:spacing w:after="0"/>
              <w:rPr>
                <w:sz w:val="20"/>
                <w:szCs w:val="20"/>
                <w:color w:val="auto"/>
              </w:rPr>
            </w:pPr>
            <w:r>
              <w:rPr>
                <w:rFonts w:ascii="Arial" w:cs="Arial" w:eastAsia="Arial" w:hAnsi="Arial"/>
                <w:sz w:val="19"/>
                <w:szCs w:val="19"/>
                <w:color w:val="auto"/>
              </w:rPr>
              <w:t>essere  nominato</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940" w:type="dxa"/>
            <w:vAlign w:val="bottom"/>
            <w:gridSpan w:val="7"/>
          </w:tcPr>
          <w:p>
            <w:pPr>
              <w:ind w:left="220"/>
              <w:spacing w:after="0"/>
              <w:rPr>
                <w:sz w:val="20"/>
                <w:szCs w:val="20"/>
                <w:color w:val="auto"/>
              </w:rPr>
            </w:pPr>
            <w:r>
              <w:rPr>
                <w:rFonts w:ascii="Arial" w:cs="Arial" w:eastAsia="Arial" w:hAnsi="Arial"/>
                <w:sz w:val="19"/>
                <w:szCs w:val="19"/>
                <w:i w:val="1"/>
                <w:iCs w:val="1"/>
                <w:color w:val="auto"/>
              </w:rPr>
              <w:t>Distribuzione e Servizi</w:t>
            </w:r>
            <w:r>
              <w:rPr>
                <w:rFonts w:ascii="Arial" w:cs="Arial" w:eastAsia="Arial" w:hAnsi="Arial"/>
                <w:sz w:val="19"/>
                <w:szCs w:val="19"/>
                <w:color w:val="auto"/>
              </w:rPr>
              <w:t>" - the "</w:t>
            </w:r>
            <w:r>
              <w:rPr>
                <w:rFonts w:ascii="Arial" w:cs="Arial" w:eastAsia="Arial" w:hAnsi="Arial"/>
                <w:sz w:val="19"/>
                <w:szCs w:val="19"/>
                <w:b w:val="1"/>
                <w:bCs w:val="1"/>
                <w:color w:val="auto"/>
              </w:rPr>
              <w:t>CCNL</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46"/>
        </w:trPr>
        <w:tc>
          <w:tcPr>
            <w:tcW w:w="15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3"/>
          </w:tcPr>
          <w:p>
            <w:pPr>
              <w:ind w:left="220"/>
              <w:spacing w:after="0" w:line="216" w:lineRule="exact"/>
              <w:rPr>
                <w:sz w:val="20"/>
                <w:szCs w:val="20"/>
                <w:color w:val="auto"/>
              </w:rPr>
            </w:pPr>
            <w:r>
              <w:rPr>
                <w:rFonts w:ascii="Arial" w:cs="Arial" w:eastAsia="Arial" w:hAnsi="Arial"/>
                <w:sz w:val="19"/>
                <w:szCs w:val="19"/>
                <w:color w:val="auto"/>
              </w:rPr>
              <w:t>membro</w:t>
            </w:r>
          </w:p>
        </w:tc>
        <w:tc>
          <w:tcPr>
            <w:tcW w:w="620" w:type="dxa"/>
            <w:vAlign w:val="bottom"/>
          </w:tcPr>
          <w:p>
            <w:pPr>
              <w:ind w:left="20"/>
              <w:spacing w:after="0" w:line="216" w:lineRule="exact"/>
              <w:rPr>
                <w:sz w:val="20"/>
                <w:szCs w:val="20"/>
                <w:color w:val="auto"/>
              </w:rPr>
            </w:pPr>
            <w:r>
              <w:rPr>
                <w:rFonts w:ascii="Arial" w:cs="Arial" w:eastAsia="Arial" w:hAnsi="Arial"/>
                <w:sz w:val="19"/>
                <w:szCs w:val="19"/>
                <w:color w:val="auto"/>
              </w:rPr>
              <w:t>del</w:t>
            </w:r>
          </w:p>
        </w:tc>
        <w:tc>
          <w:tcPr>
            <w:tcW w:w="1340" w:type="dxa"/>
            <w:vAlign w:val="bottom"/>
            <w:gridSpan w:val="2"/>
          </w:tcPr>
          <w:p>
            <w:pPr>
              <w:ind w:left="160"/>
              <w:spacing w:after="0" w:line="216" w:lineRule="exact"/>
              <w:rPr>
                <w:sz w:val="20"/>
                <w:szCs w:val="20"/>
                <w:color w:val="auto"/>
              </w:rPr>
            </w:pPr>
            <w:r>
              <w:rPr>
                <w:rFonts w:ascii="Arial" w:cs="Arial" w:eastAsia="Arial" w:hAnsi="Arial"/>
                <w:sz w:val="19"/>
                <w:szCs w:val="19"/>
                <w:color w:val="auto"/>
              </w:rPr>
              <w:t>Consiglio</w:t>
            </w:r>
          </w:p>
        </w:tc>
        <w:tc>
          <w:tcPr>
            <w:tcW w:w="380" w:type="dxa"/>
            <w:vAlign w:val="bottom"/>
            <w:gridSpan w:val="2"/>
          </w:tcPr>
          <w:p>
            <w:pPr>
              <w:jc w:val="right"/>
              <w:ind w:right="6"/>
              <w:spacing w:after="0" w:line="216" w:lineRule="exact"/>
              <w:rPr>
                <w:sz w:val="20"/>
                <w:szCs w:val="20"/>
                <w:color w:val="auto"/>
              </w:rPr>
            </w:pPr>
            <w:r>
              <w:rPr>
                <w:rFonts w:ascii="Arial" w:cs="Arial" w:eastAsia="Arial" w:hAnsi="Arial"/>
                <w:sz w:val="19"/>
                <w:szCs w:val="19"/>
                <w:color w:val="auto"/>
              </w:rPr>
              <w:t>di</w:t>
            </w:r>
          </w:p>
        </w:tc>
        <w:tc>
          <w:tcPr>
            <w:tcW w:w="420" w:type="dxa"/>
            <w:vAlign w:val="bottom"/>
            <w:gridSpan w:val="2"/>
          </w:tcPr>
          <w:p>
            <w:pPr>
              <w:ind w:left="100"/>
              <w:spacing w:after="0" w:line="216" w:lineRule="exact"/>
              <w:rPr>
                <w:sz w:val="20"/>
                <w:szCs w:val="20"/>
                <w:color w:val="auto"/>
              </w:rPr>
            </w:pPr>
            <w:r>
              <w:rPr>
                <w:rFonts w:ascii="Arial" w:cs="Arial" w:eastAsia="Arial" w:hAnsi="Arial"/>
                <w:sz w:val="19"/>
                <w:szCs w:val="19"/>
                <w:color w:val="auto"/>
              </w:rPr>
              <w:t>1.2</w:t>
            </w: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The  Executive  could  be  appointed  as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gridSpan w:val="5"/>
          </w:tcPr>
          <w:p>
            <w:pPr>
              <w:ind w:left="220"/>
              <w:spacing w:after="0" w:line="216" w:lineRule="exact"/>
              <w:rPr>
                <w:sz w:val="20"/>
                <w:szCs w:val="20"/>
                <w:color w:val="auto"/>
              </w:rPr>
            </w:pPr>
            <w:r>
              <w:rPr>
                <w:rFonts w:ascii="Arial" w:cs="Arial" w:eastAsia="Arial" w:hAnsi="Arial"/>
                <w:sz w:val="19"/>
                <w:szCs w:val="19"/>
                <w:color w:val="auto"/>
              </w:rPr>
              <w:t>Amministrazione   della</w:t>
            </w:r>
          </w:p>
        </w:tc>
        <w:tc>
          <w:tcPr>
            <w:tcW w:w="860" w:type="dxa"/>
            <w:vAlign w:val="bottom"/>
          </w:tcPr>
          <w:p>
            <w:pPr>
              <w:ind w:left="80"/>
              <w:spacing w:after="0" w:line="216" w:lineRule="exact"/>
              <w:rPr>
                <w:sz w:val="20"/>
                <w:szCs w:val="20"/>
                <w:color w:val="auto"/>
              </w:rPr>
            </w:pPr>
            <w:r>
              <w:rPr>
                <w:rFonts w:ascii="Arial" w:cs="Arial" w:eastAsia="Arial" w:hAnsi="Arial"/>
                <w:sz w:val="19"/>
                <w:szCs w:val="19"/>
                <w:color w:val="auto"/>
              </w:rPr>
              <w:t>Società.</w:t>
            </w:r>
          </w:p>
        </w:tc>
        <w:tc>
          <w:tcPr>
            <w:tcW w:w="140" w:type="dxa"/>
            <w:vAlign w:val="bottom"/>
          </w:tcPr>
          <w:p>
            <w:pPr>
              <w:spacing w:after="0"/>
              <w:rPr>
                <w:sz w:val="18"/>
                <w:szCs w:val="18"/>
                <w:color w:val="auto"/>
              </w:rPr>
            </w:pPr>
          </w:p>
        </w:tc>
        <w:tc>
          <w:tcPr>
            <w:tcW w:w="240" w:type="dxa"/>
            <w:vAlign w:val="bottom"/>
          </w:tcPr>
          <w:p>
            <w:pPr>
              <w:jc w:val="right"/>
              <w:ind w:right="6"/>
              <w:spacing w:after="0" w:line="216" w:lineRule="exact"/>
              <w:rPr>
                <w:sz w:val="20"/>
                <w:szCs w:val="20"/>
                <w:color w:val="auto"/>
              </w:rPr>
            </w:pPr>
            <w:r>
              <w:rPr>
                <w:rFonts w:ascii="Arial" w:cs="Arial" w:eastAsia="Arial" w:hAnsi="Arial"/>
                <w:sz w:val="19"/>
                <w:szCs w:val="19"/>
                <w:color w:val="auto"/>
              </w:rPr>
              <w:t>Il</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member of the Board of Directors. The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Dirigente riconosce sin da ora e accetta</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Executive acknowledges and agrees that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che la retribuzione di cui al presente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the salary mentioned in this agreement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contratto è stata determinata tenendo</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has  been  determined  also  taking  into</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conto  di  tali  nomine  cosi  come  di</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consideration  the  corporate  office  and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qualsiasi  altra  carica  sociale  rivestita</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4"/>
          </w:tcPr>
          <w:p>
            <w:pPr>
              <w:ind w:left="220"/>
              <w:spacing w:after="0" w:line="216" w:lineRule="exact"/>
              <w:rPr>
                <w:sz w:val="20"/>
                <w:szCs w:val="20"/>
                <w:color w:val="auto"/>
              </w:rPr>
            </w:pPr>
            <w:r>
              <w:rPr>
                <w:rFonts w:ascii="Arial" w:cs="Arial" w:eastAsia="Arial" w:hAnsi="Arial"/>
                <w:sz w:val="19"/>
                <w:szCs w:val="19"/>
                <w:color w:val="auto"/>
              </w:rPr>
              <w:t>already  compensates</w:t>
            </w:r>
          </w:p>
        </w:tc>
        <w:tc>
          <w:tcPr>
            <w:tcW w:w="560" w:type="dxa"/>
            <w:vAlign w:val="bottom"/>
          </w:tcPr>
          <w:p>
            <w:pPr>
              <w:ind w:left="60"/>
              <w:spacing w:after="0" w:line="216" w:lineRule="exact"/>
              <w:rPr>
                <w:sz w:val="20"/>
                <w:szCs w:val="20"/>
                <w:color w:val="auto"/>
              </w:rPr>
            </w:pPr>
            <w:r>
              <w:rPr>
                <w:rFonts w:ascii="Arial" w:cs="Arial" w:eastAsia="Arial" w:hAnsi="Arial"/>
                <w:sz w:val="19"/>
                <w:szCs w:val="19"/>
                <w:color w:val="auto"/>
              </w:rPr>
              <w:t>such</w:t>
            </w:r>
          </w:p>
        </w:tc>
        <w:tc>
          <w:tcPr>
            <w:tcW w:w="2220" w:type="dxa"/>
            <w:vAlign w:val="bottom"/>
            <w:gridSpan w:val="2"/>
          </w:tcPr>
          <w:p>
            <w:pPr>
              <w:jc w:val="right"/>
              <w:ind w:right="1140"/>
              <w:spacing w:after="0" w:line="216" w:lineRule="exact"/>
              <w:rPr>
                <w:sz w:val="20"/>
                <w:szCs w:val="20"/>
                <w:color w:val="auto"/>
              </w:rPr>
            </w:pPr>
            <w:r>
              <w:rPr>
                <w:rFonts w:ascii="Arial" w:cs="Arial" w:eastAsia="Arial" w:hAnsi="Arial"/>
                <w:sz w:val="19"/>
                <w:szCs w:val="19"/>
                <w:color w:val="auto"/>
              </w:rPr>
              <w:t>appointment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40" w:type="dxa"/>
            <w:vAlign w:val="bottom"/>
            <w:gridSpan w:val="8"/>
          </w:tcPr>
          <w:p>
            <w:pPr>
              <w:ind w:left="220"/>
              <w:spacing w:after="0" w:line="216" w:lineRule="exact"/>
              <w:rPr>
                <w:sz w:val="20"/>
                <w:szCs w:val="20"/>
                <w:color w:val="auto"/>
              </w:rPr>
            </w:pPr>
            <w:r>
              <w:rPr>
                <w:rFonts w:ascii="Arial" w:cs="Arial" w:eastAsia="Arial" w:hAnsi="Arial"/>
                <w:sz w:val="19"/>
                <w:szCs w:val="19"/>
                <w:color w:val="auto"/>
              </w:rPr>
              <w:t>all'interno della Società o di altre società</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gridSpan w:val="7"/>
          </w:tcPr>
          <w:p>
            <w:pPr>
              <w:ind w:left="220"/>
              <w:spacing w:after="0" w:line="216" w:lineRule="exact"/>
              <w:rPr>
                <w:sz w:val="20"/>
                <w:szCs w:val="20"/>
                <w:color w:val="auto"/>
              </w:rPr>
            </w:pPr>
            <w:r>
              <w:rPr>
                <w:rFonts w:ascii="Arial" w:cs="Arial" w:eastAsia="Arial" w:hAnsi="Arial"/>
                <w:sz w:val="19"/>
                <w:szCs w:val="19"/>
                <w:color w:val="auto"/>
              </w:rPr>
              <w:t>as well any other corporate office within</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3"/>
          </w:tcPr>
          <w:p>
            <w:pPr>
              <w:ind w:left="220"/>
              <w:spacing w:after="0" w:line="216" w:lineRule="exact"/>
              <w:rPr>
                <w:sz w:val="20"/>
                <w:szCs w:val="20"/>
                <w:color w:val="auto"/>
              </w:rPr>
            </w:pPr>
            <w:r>
              <w:rPr>
                <w:rFonts w:ascii="Arial" w:cs="Arial" w:eastAsia="Arial" w:hAnsi="Arial"/>
                <w:sz w:val="19"/>
                <w:szCs w:val="19"/>
                <w:color w:val="auto"/>
              </w:rPr>
              <w:t>collegate che</w:t>
            </w:r>
          </w:p>
        </w:tc>
        <w:tc>
          <w:tcPr>
            <w:tcW w:w="1100" w:type="dxa"/>
            <w:vAlign w:val="bottom"/>
            <w:gridSpan w:val="2"/>
          </w:tcPr>
          <w:p>
            <w:pPr>
              <w:ind w:left="100"/>
              <w:spacing w:after="0" w:line="216" w:lineRule="exact"/>
              <w:rPr>
                <w:sz w:val="20"/>
                <w:szCs w:val="20"/>
                <w:color w:val="auto"/>
              </w:rPr>
            </w:pPr>
            <w:r>
              <w:rPr>
                <w:rFonts w:ascii="Arial" w:cs="Arial" w:eastAsia="Arial" w:hAnsi="Arial"/>
                <w:sz w:val="19"/>
                <w:szCs w:val="19"/>
                <w:color w:val="auto"/>
              </w:rPr>
              <w:t>potrebbero</w:t>
            </w:r>
          </w:p>
        </w:tc>
        <w:tc>
          <w:tcPr>
            <w:tcW w:w="860" w:type="dxa"/>
            <w:vAlign w:val="bottom"/>
          </w:tcPr>
          <w:p>
            <w:pPr>
              <w:ind w:left="20"/>
              <w:spacing w:after="0" w:line="216" w:lineRule="exact"/>
              <w:rPr>
                <w:sz w:val="20"/>
                <w:szCs w:val="20"/>
                <w:color w:val="auto"/>
              </w:rPr>
            </w:pPr>
            <w:r>
              <w:rPr>
                <w:rFonts w:ascii="Arial" w:cs="Arial" w:eastAsia="Arial" w:hAnsi="Arial"/>
                <w:sz w:val="19"/>
                <w:szCs w:val="19"/>
                <w:color w:val="auto"/>
              </w:rPr>
              <w:t>essere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220"/>
              <w:spacing w:after="0" w:line="216" w:lineRule="exact"/>
              <w:rPr>
                <w:sz w:val="20"/>
                <w:szCs w:val="20"/>
                <w:color w:val="auto"/>
              </w:rPr>
            </w:pPr>
            <w:r>
              <w:rPr>
                <w:rFonts w:ascii="Arial" w:cs="Arial" w:eastAsia="Arial" w:hAnsi="Arial"/>
                <w:sz w:val="19"/>
                <w:szCs w:val="19"/>
                <w:color w:val="auto"/>
              </w:rPr>
              <w:t>the</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940" w:type="dxa"/>
            <w:vAlign w:val="bottom"/>
            <w:gridSpan w:val="7"/>
          </w:tcPr>
          <w:p>
            <w:pPr>
              <w:ind w:left="220"/>
              <w:spacing w:after="0"/>
              <w:rPr>
                <w:sz w:val="20"/>
                <w:szCs w:val="20"/>
                <w:color w:val="auto"/>
              </w:rPr>
            </w:pPr>
            <w:r>
              <w:rPr>
                <w:rFonts w:ascii="Arial" w:cs="Arial" w:eastAsia="Arial" w:hAnsi="Arial"/>
                <w:sz w:val="19"/>
                <w:szCs w:val="19"/>
                <w:color w:val="auto"/>
              </w:rPr>
              <w:t>Company or any associated company that</w:t>
            </w:r>
          </w:p>
        </w:tc>
        <w:tc>
          <w:tcPr>
            <w:tcW w:w="0" w:type="dxa"/>
            <w:vAlign w:val="bottom"/>
          </w:tcPr>
          <w:p>
            <w:pPr>
              <w:spacing w:after="0"/>
              <w:rPr>
                <w:sz w:val="1"/>
                <w:szCs w:val="1"/>
                <w:color w:val="auto"/>
              </w:rPr>
            </w:pPr>
          </w:p>
        </w:tc>
      </w:tr>
      <w:tr>
        <w:trPr>
          <w:trHeight w:val="1418"/>
        </w:trPr>
        <w:tc>
          <w:tcPr>
            <w:tcW w:w="1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40"/>
          </w:cols>
          <w:pgMar w:left="580" w:top="278" w:right="579" w:bottom="1440" w:gutter="0" w:footer="0" w:header="0"/>
        </w:sectPr>
      </w:pPr>
    </w:p>
    <w:bookmarkStart w:id="45" w:name="page46"/>
    <w:bookmarkEnd w:id="45"/>
    <w:p>
      <w:pPr>
        <w:spacing w:after="0" w:line="131" w:lineRule="exact"/>
        <w:rPr>
          <w:sz w:val="20"/>
          <w:szCs w:val="20"/>
          <w:color w:val="auto"/>
        </w:rPr>
      </w:pPr>
    </w:p>
    <w:p>
      <w:pPr>
        <w:ind w:left="920"/>
        <w:spacing w:after="0" w:line="243" w:lineRule="auto"/>
        <w:rPr>
          <w:sz w:val="20"/>
          <w:szCs w:val="20"/>
          <w:color w:val="auto"/>
        </w:rPr>
      </w:pPr>
      <w:r>
        <w:rPr>
          <w:rFonts w:ascii="Arial" w:cs="Arial" w:eastAsia="Arial" w:hAnsi="Arial"/>
          <w:sz w:val="19"/>
          <w:szCs w:val="19"/>
          <w:color w:val="auto"/>
        </w:rPr>
        <w:t>assegnate al Dirigente (le "Cariche Sociali"). In tale contesto, il Dirigente rinuncia sin da ora a qualsiasi eventuale importo aggiuntivo, emolumento o compenso relativo allo svolgimento delle Cariche Sociali.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-833755</wp:posOffset>
            </wp:positionV>
            <wp:extent cx="8255" cy="78435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255" cy="784352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-833755</wp:posOffset>
            </wp:positionV>
            <wp:extent cx="8255" cy="78435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255" cy="7843520"/>
                    </a:xfrm>
                    <a:prstGeom prst="rect">
                      <a:avLst/>
                    </a:prstGeom>
                    <a:noFill/>
                  </pic:spPr>
                </pic:pic>
              </a:graphicData>
            </a:graphic>
          </wp:anchor>
        </w:drawing>
      </w:r>
    </w:p>
    <w:p>
      <w:pPr>
        <w:spacing w:after="0" w:line="13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8"/>
          <w:szCs w:val="18"/>
          <w:color w:val="auto"/>
        </w:rPr>
        <w:t>Il Dirigente riporterà, da un punto di vista</w:t>
      </w:r>
    </w:p>
    <w:p>
      <w:pPr>
        <w:spacing w:after="0" w:line="16" w:lineRule="exact"/>
        <w:rPr>
          <w:sz w:val="20"/>
          <w:szCs w:val="20"/>
          <w:color w:val="auto"/>
        </w:rPr>
      </w:pPr>
    </w:p>
    <w:p>
      <w:pPr>
        <w:jc w:val="both"/>
        <w:ind w:left="920"/>
        <w:spacing w:after="0" w:line="241" w:lineRule="auto"/>
        <w:rPr>
          <w:sz w:val="20"/>
          <w:szCs w:val="20"/>
          <w:color w:val="auto"/>
        </w:rPr>
      </w:pPr>
      <w:r>
        <w:rPr>
          <w:rFonts w:ascii="Arial" w:cs="Arial" w:eastAsia="Arial" w:hAnsi="Arial"/>
          <w:sz w:val="19"/>
          <w:szCs w:val="19"/>
          <w:color w:val="auto"/>
        </w:rPr>
        <w:t>Gerarchico, al Consiglio di Amministrazione della Società e, da un punto di vista funzionale, al Consiglio di Amministrazione .</w:t>
      </w:r>
    </w:p>
    <w:p>
      <w:pPr>
        <w:spacing w:after="0" w:line="157" w:lineRule="exact"/>
        <w:rPr>
          <w:sz w:val="20"/>
          <w:szCs w:val="20"/>
          <w:color w:val="auto"/>
        </w:rPr>
      </w:pPr>
    </w:p>
    <w:p>
      <w:pPr>
        <w:jc w:val="both"/>
        <w:ind w:left="920" w:hanging="617"/>
        <w:spacing w:after="0" w:line="254" w:lineRule="auto"/>
        <w:tabs>
          <w:tab w:leader="none" w:pos="90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Il Dirigente sarà tenuto a svolgere le mansioni di cui all’Allegato B – Job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00" w:hanging="412"/>
        <w:spacing w:after="0"/>
        <w:tabs>
          <w:tab w:leader="none" w:pos="700" w:val="left"/>
        </w:tabs>
        <w:numPr>
          <w:ilvl w:val="0"/>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Assunzione</w:t>
      </w:r>
    </w:p>
    <w:p>
      <w:pPr>
        <w:spacing w:after="0" w:line="214" w:lineRule="exact"/>
        <w:rPr>
          <w:sz w:val="20"/>
          <w:szCs w:val="20"/>
          <w:color w:val="auto"/>
        </w:rPr>
      </w:pPr>
    </w:p>
    <w:p>
      <w:pPr>
        <w:ind w:left="920" w:right="100" w:hanging="636"/>
        <w:spacing w:after="0" w:line="241" w:lineRule="auto"/>
        <w:rPr>
          <w:sz w:val="20"/>
          <w:szCs w:val="20"/>
          <w:color w:val="auto"/>
        </w:rPr>
      </w:pPr>
      <w:r>
        <w:rPr>
          <w:rFonts w:ascii="Arial" w:cs="Arial" w:eastAsia="Arial" w:hAnsi="Arial"/>
          <w:sz w:val="19"/>
          <w:szCs w:val="19"/>
          <w:color w:val="auto"/>
        </w:rPr>
        <w:t>2.1 Il Dirigente, accettando il presente incarico, dichiara espressamente di non trovarsi attualmente vincolato a nessun altro obbligo,di essere libero da qualsiasi impegno e di non essere soggetto ad alcuna restrizione che potrebbe influire sull’esecuzione del presente Contratto e/o sullo svolgimento delle Sue mansioni.</w:t>
      </w:r>
    </w:p>
    <w:p>
      <w:pPr>
        <w:spacing w:after="0" w:line="131" w:lineRule="exact"/>
        <w:rPr>
          <w:sz w:val="20"/>
          <w:szCs w:val="20"/>
          <w:color w:val="auto"/>
        </w:rPr>
      </w:pPr>
    </w:p>
    <w:p>
      <w:pPr>
        <w:ind w:left="920" w:right="60" w:hanging="636"/>
        <w:spacing w:after="0" w:line="248" w:lineRule="auto"/>
        <w:rPr>
          <w:sz w:val="20"/>
          <w:szCs w:val="20"/>
          <w:color w:val="auto"/>
        </w:rPr>
      </w:pPr>
      <w:r>
        <w:rPr>
          <w:rFonts w:ascii="Arial" w:cs="Arial" w:eastAsia="Arial" w:hAnsi="Arial"/>
          <w:sz w:val="19"/>
          <w:szCs w:val="19"/>
          <w:color w:val="auto"/>
        </w:rPr>
        <w:t>2.2 Il Dirigente svolgerà le sue funzioni in base ai termini previsti dal presente Contratto con decorrenza dal prossimo 1 marzo 2021.</w:t>
      </w:r>
    </w:p>
    <w:p>
      <w:pPr>
        <w:spacing w:after="0" w:line="231" w:lineRule="exact"/>
        <w:rPr>
          <w:sz w:val="20"/>
          <w:szCs w:val="20"/>
          <w:color w:val="auto"/>
        </w:rPr>
      </w:pPr>
    </w:p>
    <w:p>
      <w:pPr>
        <w:ind w:left="700" w:hanging="412"/>
        <w:spacing w:after="0"/>
        <w:tabs>
          <w:tab w:leader="none" w:pos="700"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Preavviso</w:t>
      </w:r>
    </w:p>
    <w:p>
      <w:pPr>
        <w:spacing w:after="0" w:line="214" w:lineRule="exact"/>
        <w:rPr>
          <w:sz w:val="20"/>
          <w:szCs w:val="20"/>
          <w:color w:val="auto"/>
        </w:rPr>
      </w:pPr>
    </w:p>
    <w:p>
      <w:pPr>
        <w:ind w:left="920" w:right="20"/>
        <w:spacing w:after="0"/>
        <w:rPr>
          <w:sz w:val="20"/>
          <w:szCs w:val="20"/>
          <w:color w:val="auto"/>
        </w:rPr>
      </w:pPr>
      <w:r>
        <w:rPr>
          <w:rFonts w:ascii="Arial" w:cs="Arial" w:eastAsia="Arial" w:hAnsi="Arial"/>
          <w:sz w:val="19"/>
          <w:szCs w:val="19"/>
          <w:color w:val="auto"/>
        </w:rPr>
        <w:t>Il Contratto potrà essere risolto in qualsiasi momento, nei limiti di quanto previsto dalla legge Italiana e dal CCNL, da ciascuna delle Parti, nel rispetto del periodo di preavviso previsto dalla legge italiana e dal CCNL. In caso di licenziamento per colpa grave o per grave violazione dei propri obblighi, non sarà necessario alcun periodo di preavviso.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00" w:hanging="412"/>
        <w:spacing w:after="0"/>
        <w:tabs>
          <w:tab w:leader="none" w:pos="700"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Mansioni</w:t>
      </w:r>
    </w:p>
    <w:p>
      <w:pPr>
        <w:spacing w:after="0" w:line="200" w:lineRule="exact"/>
        <w:rPr>
          <w:sz w:val="20"/>
          <w:szCs w:val="20"/>
          <w:color w:val="auto"/>
        </w:rPr>
      </w:pPr>
    </w:p>
    <w:p>
      <w:pPr>
        <w:jc w:val="center"/>
        <w:ind w:left="280" w:right="60"/>
        <w:spacing w:after="0" w:line="270" w:lineRule="auto"/>
        <w:rPr>
          <w:sz w:val="20"/>
          <w:szCs w:val="20"/>
          <w:color w:val="auto"/>
        </w:rPr>
      </w:pPr>
      <w:r>
        <w:rPr>
          <w:rFonts w:ascii="Arial" w:cs="Arial" w:eastAsia="Arial" w:hAnsi="Arial"/>
          <w:sz w:val="19"/>
          <w:szCs w:val="19"/>
          <w:color w:val="auto"/>
        </w:rPr>
        <w:t>4.1  Le mansioni del Dirigente potranno essere riviste, di tanto in tanto, al fine di</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636" w:right="299"/>
        <w:spacing w:after="0" w:line="245" w:lineRule="auto"/>
        <w:rPr>
          <w:sz w:val="20"/>
          <w:szCs w:val="20"/>
          <w:color w:val="auto"/>
        </w:rPr>
      </w:pPr>
      <w:r>
        <w:rPr>
          <w:rFonts w:ascii="Arial" w:cs="Arial" w:eastAsia="Arial" w:hAnsi="Arial"/>
          <w:sz w:val="19"/>
          <w:szCs w:val="19"/>
          <w:color w:val="auto"/>
        </w:rPr>
        <w:t>may be assigned to the Executive (the "Corporate Offices"). As a consequence, the Executive waives to any additional fee, emolument or compensation related to the Corporate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-699135</wp:posOffset>
            </wp:positionV>
            <wp:extent cx="8255" cy="78435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255" cy="7843520"/>
                    </a:xfrm>
                    <a:prstGeom prst="rect">
                      <a:avLst/>
                    </a:prstGeom>
                    <a:noFill/>
                  </pic:spPr>
                </pic:pic>
              </a:graphicData>
            </a:graphic>
          </wp:anchor>
        </w:drawing>
      </w:r>
    </w:p>
    <w:p>
      <w:pPr>
        <w:spacing w:after="0" w:line="134" w:lineRule="exact"/>
        <w:rPr>
          <w:sz w:val="20"/>
          <w:szCs w:val="20"/>
          <w:color w:val="auto"/>
        </w:rPr>
      </w:pPr>
    </w:p>
    <w:p>
      <w:pPr>
        <w:jc w:val="both"/>
        <w:ind w:left="616" w:right="299" w:hanging="618"/>
        <w:spacing w:after="0" w:line="248" w:lineRule="auto"/>
        <w:tabs>
          <w:tab w:leader="none" w:pos="596"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The Executive will hierarchically report to the Board of Directors of the Company and will functionally report to the Board of Directors.</w:t>
      </w:r>
    </w:p>
    <w:p>
      <w:pPr>
        <w:spacing w:after="0" w:line="150" w:lineRule="exact"/>
        <w:rPr>
          <w:sz w:val="20"/>
          <w:szCs w:val="20"/>
          <w:color w:val="auto"/>
        </w:rPr>
      </w:pPr>
    </w:p>
    <w:p>
      <w:pPr>
        <w:jc w:val="both"/>
        <w:ind w:left="636" w:right="279" w:hanging="620"/>
        <w:spacing w:after="0" w:line="254" w:lineRule="auto"/>
        <w:tabs>
          <w:tab w:leader="none" w:pos="616"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The Executive will be required to carry out the duties described under Annex B – Jobe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6" w:hanging="416"/>
        <w:spacing w:after="0"/>
        <w:tabs>
          <w:tab w:leader="none" w:pos="416"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Hiring</w:t>
      </w:r>
    </w:p>
    <w:p>
      <w:pPr>
        <w:spacing w:after="0" w:line="214" w:lineRule="exact"/>
        <w:rPr>
          <w:sz w:val="20"/>
          <w:szCs w:val="20"/>
          <w:color w:val="auto"/>
        </w:rPr>
      </w:pPr>
    </w:p>
    <w:p>
      <w:pPr>
        <w:ind w:left="636" w:right="319" w:hanging="636"/>
        <w:spacing w:after="0" w:line="242" w:lineRule="auto"/>
        <w:rPr>
          <w:sz w:val="20"/>
          <w:szCs w:val="20"/>
          <w:color w:val="auto"/>
        </w:rPr>
      </w:pPr>
      <w:r>
        <w:rPr>
          <w:rFonts w:ascii="Arial" w:cs="Arial" w:eastAsia="Arial" w:hAnsi="Arial"/>
          <w:sz w:val="19"/>
          <w:szCs w:val="19"/>
          <w:color w:val="auto"/>
        </w:rPr>
        <w:t>2.1 The Executive, who accepts this engagement, expressly represents that he is not bound to any other undertaking, is free of any commitment, and is not subject to any restriction that could affect the execution of this Agreement and/or the performance of his duties.</w:t>
      </w:r>
    </w:p>
    <w:p>
      <w:pPr>
        <w:spacing w:after="0" w:line="200" w:lineRule="exact"/>
        <w:rPr>
          <w:sz w:val="20"/>
          <w:szCs w:val="20"/>
          <w:color w:val="auto"/>
        </w:rPr>
      </w:pPr>
    </w:p>
    <w:p>
      <w:pPr>
        <w:spacing w:after="0" w:line="364" w:lineRule="exact"/>
        <w:rPr>
          <w:sz w:val="20"/>
          <w:szCs w:val="20"/>
          <w:color w:val="auto"/>
        </w:rPr>
      </w:pPr>
    </w:p>
    <w:p>
      <w:pPr>
        <w:jc w:val="both"/>
        <w:ind w:left="636" w:right="419" w:hanging="636"/>
        <w:spacing w:after="0" w:line="254" w:lineRule="auto"/>
        <w:rPr>
          <w:sz w:val="20"/>
          <w:szCs w:val="20"/>
          <w:color w:val="auto"/>
        </w:rPr>
      </w:pPr>
      <w:r>
        <w:rPr>
          <w:rFonts w:ascii="Arial" w:cs="Arial" w:eastAsia="Arial" w:hAnsi="Arial"/>
          <w:sz w:val="19"/>
          <w:szCs w:val="19"/>
          <w:color w:val="auto"/>
        </w:rPr>
        <w:t>2.2 The Executive will carry out his duties under the terms of the present Agreement as of 1 March 2021.</w:t>
      </w:r>
    </w:p>
    <w:p>
      <w:pPr>
        <w:spacing w:after="0" w:line="200" w:lineRule="exact"/>
        <w:rPr>
          <w:sz w:val="20"/>
          <w:szCs w:val="20"/>
          <w:color w:val="auto"/>
        </w:rPr>
      </w:pPr>
    </w:p>
    <w:p>
      <w:pPr>
        <w:spacing w:after="0" w:line="240" w:lineRule="exact"/>
        <w:rPr>
          <w:sz w:val="20"/>
          <w:szCs w:val="20"/>
          <w:color w:val="auto"/>
        </w:rPr>
      </w:pPr>
    </w:p>
    <w:p>
      <w:pPr>
        <w:ind w:left="416" w:hanging="416"/>
        <w:spacing w:after="0"/>
        <w:tabs>
          <w:tab w:leader="none" w:pos="416"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 period</w:t>
      </w:r>
    </w:p>
    <w:p>
      <w:pPr>
        <w:spacing w:after="0" w:line="214" w:lineRule="exact"/>
        <w:rPr>
          <w:sz w:val="20"/>
          <w:szCs w:val="20"/>
          <w:color w:val="auto"/>
        </w:rPr>
      </w:pPr>
    </w:p>
    <w:p>
      <w:pPr>
        <w:ind w:left="636" w:right="339"/>
        <w:spacing w:after="0" w:line="242" w:lineRule="auto"/>
        <w:rPr>
          <w:sz w:val="20"/>
          <w:szCs w:val="20"/>
          <w:color w:val="auto"/>
        </w:rPr>
      </w:pPr>
      <w:r>
        <w:rPr>
          <w:rFonts w:ascii="Arial" w:cs="Arial" w:eastAsia="Arial" w:hAnsi="Arial"/>
          <w:sz w:val="19"/>
          <w:szCs w:val="19"/>
          <w:color w:val="auto"/>
        </w:rPr>
        <w:t>This Agreement may be terminated at any time, according to the provisions set out by Italian law and by the NCLA, by either Party subject to complying with the notice period provided by law and the NCLA. In case of dismissal for gross negligence or serious breach of duties, no notice period will be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 w:hanging="416"/>
        <w:spacing w:after="0"/>
        <w:tabs>
          <w:tab w:leader="none" w:pos="416"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Duties</w:t>
      </w:r>
    </w:p>
    <w:p>
      <w:pPr>
        <w:spacing w:after="0" w:line="200" w:lineRule="exact"/>
        <w:rPr>
          <w:sz w:val="20"/>
          <w:szCs w:val="20"/>
          <w:color w:val="auto"/>
        </w:rPr>
      </w:pPr>
    </w:p>
    <w:p>
      <w:pPr>
        <w:ind w:left="416" w:right="679" w:hanging="636"/>
        <w:spacing w:after="0" w:line="299" w:lineRule="auto"/>
        <w:tabs>
          <w:tab w:leader="none" w:pos="396"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8"/>
          <w:szCs w:val="18"/>
          <w:color w:val="auto"/>
        </w:rPr>
        <w:t>The Executive’s duties may be amended from time to time in order to meet the</w:t>
      </w:r>
    </w:p>
    <w:p>
      <w:pPr>
        <w:spacing w:after="0" w:line="200" w:lineRule="exact"/>
        <w:rPr>
          <w:sz w:val="20"/>
          <w:szCs w:val="20"/>
          <w:color w:val="auto"/>
        </w:rPr>
      </w:pPr>
    </w:p>
    <w:p>
      <w:pPr>
        <w:sectPr>
          <w:pgSz w:w="11900" w:h="16838" w:orient="portrait"/>
          <w:cols w:equalWidth="0" w:num="2">
            <w:col w:w="4320" w:space="204"/>
            <w:col w:w="4495"/>
          </w:cols>
          <w:pgMar w:left="1440" w:top="1440" w:right="1440" w:bottom="1440" w:gutter="0" w:footer="0" w:header="0"/>
        </w:sect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6" w:name="page47"/>
    <w:bookmarkEnd w:id="46"/>
    <w:p>
      <w:pPr>
        <w:ind w:left="900" w:right="720"/>
        <w:spacing w:after="0" w:line="243" w:lineRule="auto"/>
        <w:rPr>
          <w:sz w:val="20"/>
          <w:szCs w:val="20"/>
          <w:color w:val="auto"/>
        </w:rPr>
      </w:pPr>
      <w:r>
        <w:rPr>
          <w:rFonts w:ascii="Arial" w:cs="Arial" w:eastAsia="Arial" w:hAnsi="Arial"/>
          <w:sz w:val="19"/>
          <w:szCs w:val="19"/>
          <w:color w:val="auto"/>
        </w:rPr>
        <w:t>fare fronte all’evolversi delle esigenze della Società; tuttavia, tali modifiche avverranno nel rispetto dell’inquadramento del Dirigente in conformità all’articolo 2103 del Codice Civile italiano.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-456565</wp:posOffset>
            </wp:positionV>
            <wp:extent cx="8890" cy="78778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890" cy="787781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-456565</wp:posOffset>
            </wp:positionV>
            <wp:extent cx="8255" cy="78778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8255" cy="7877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79"/>
        <w:spacing w:after="0" w:line="247" w:lineRule="auto"/>
        <w:rPr>
          <w:sz w:val="20"/>
          <w:szCs w:val="20"/>
          <w:color w:val="auto"/>
        </w:rPr>
      </w:pPr>
      <w:r>
        <w:rPr>
          <w:rFonts w:ascii="Arial" w:cs="Arial" w:eastAsia="Arial" w:hAnsi="Arial"/>
          <w:sz w:val="19"/>
          <w:szCs w:val="19"/>
          <w:color w:val="auto"/>
        </w:rPr>
        <w:t>Company's evolving needs; however such amendment shall correspond to</w:t>
      </w:r>
    </w:p>
    <w:p>
      <w:pPr>
        <w:jc w:val="both"/>
        <w:ind w:right="279"/>
        <w:spacing w:after="0" w:line="244" w:lineRule="auto"/>
        <w:rPr>
          <w:sz w:val="20"/>
          <w:szCs w:val="20"/>
          <w:color w:val="auto"/>
        </w:rPr>
      </w:pPr>
      <w:r>
        <w:rPr>
          <w:rFonts w:ascii="Arial" w:cs="Arial" w:eastAsia="Arial" w:hAnsi="Arial"/>
          <w:sz w:val="19"/>
          <w:szCs w:val="19"/>
          <w:color w:val="auto"/>
        </w:rPr>
        <w:t>the Executive’s qualification according to article 2103 of the Italian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-322580</wp:posOffset>
            </wp:positionV>
            <wp:extent cx="8890" cy="78778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890" cy="7877810"/>
                    </a:xfrm>
                    <a:prstGeom prst="rect">
                      <a:avLst/>
                    </a:prstGeom>
                    <a:noFill/>
                  </pic:spPr>
                </pic:pic>
              </a:graphicData>
            </a:graphic>
          </wp:anchor>
        </w:drawing>
      </w:r>
    </w:p>
    <w:p>
      <w:pPr>
        <w:sectPr>
          <w:pgSz w:w="11900" w:h="16838" w:orient="portrait"/>
          <w:cols w:equalWidth="0" w:num="2">
            <w:col w:w="4900" w:space="720"/>
            <w:col w:w="3399"/>
          </w:cols>
          <w:pgMar w:left="1440" w:top="963" w:right="1440" w:bottom="1440" w:gutter="0" w:footer="0" w:header="0"/>
        </w:sectPr>
      </w:pPr>
    </w:p>
    <w:bookmarkStart w:id="47" w:name="page48"/>
    <w:bookmarkEnd w:id="47"/>
    <w:p>
      <w:pPr>
        <w:ind w:left="280"/>
        <w:spacing w:after="0"/>
        <w:tabs>
          <w:tab w:leader="none" w:pos="1660" w:val="left"/>
          <w:tab w:leader="none" w:pos="502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9"/>
          <w:szCs w:val="19"/>
          <w:b w:val="1"/>
          <w:bCs w:val="1"/>
          <w:u w:val="single" w:color="auto"/>
          <w:color w:val="auto"/>
        </w:rPr>
        <w:t>Retribuzione ed orario di lavoro</w:t>
      </w:r>
      <w:r>
        <w:rPr>
          <w:rFonts w:ascii="Arial" w:cs="Arial" w:eastAsia="Arial" w:hAnsi="Arial"/>
          <w:sz w:val="19"/>
          <w:szCs w:val="19"/>
          <w:b w:val="1"/>
          <w:bCs w:val="1"/>
          <w:color w:val="auto"/>
        </w:rPr>
        <w:t xml:space="preserve"> </w:t>
      </w:r>
      <w:r>
        <w:rPr>
          <w:rFonts w:ascii="Arial" w:cs="Arial" w:eastAsia="Arial" w:hAnsi="Arial"/>
          <w:sz w:val="19"/>
          <w:szCs w:val="19"/>
          <w:color w:val="auto"/>
        </w:rPr>
        <w:t>5.</w:t>
      </w:r>
      <w:r>
        <w:rPr>
          <w:sz w:val="20"/>
          <w:szCs w:val="20"/>
          <w:color w:val="auto"/>
        </w:rPr>
        <w:tab/>
      </w:r>
      <w:r>
        <w:rPr>
          <w:rFonts w:ascii="Arial" w:cs="Arial" w:eastAsia="Arial" w:hAnsi="Arial"/>
          <w:sz w:val="18"/>
          <w:szCs w:val="18"/>
          <w:b w:val="1"/>
          <w:bCs w:val="1"/>
          <w:u w:val="single" w:color="auto"/>
          <w:color w:val="auto"/>
        </w:rPr>
        <w:t>Compensation and working time</w:t>
      </w:r>
    </w:p>
    <w:p>
      <w:pPr>
        <w:sectPr>
          <w:pgSz w:w="11900" w:h="16838" w:orient="portrait"/>
          <w:cols w:equalWidth="0" w:num="1">
            <w:col w:w="9019"/>
          </w:cols>
          <w:pgMar w:left="1440" w:top="3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900" w:right="718" w:hanging="634"/>
        <w:spacing w:after="0" w:line="243" w:lineRule="auto"/>
        <w:tabs>
          <w:tab w:leader="none" w:pos="88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 xml:space="preserve">Il Dirigente riceverà una retribuzione annua lorda pari ad </w:t>
      </w:r>
      <w:r>
        <w:rPr>
          <w:rFonts w:ascii="Arial" w:cs="Arial" w:eastAsia="Arial" w:hAnsi="Arial"/>
          <w:sz w:val="19"/>
          <w:szCs w:val="19"/>
          <w:b w:val="1"/>
          <w:bCs w:val="1"/>
          <w:color w:val="auto"/>
        </w:rPr>
        <w:t>Euro 300.000,00</w:t>
      </w:r>
      <w:r>
        <w:rPr>
          <w:rFonts w:ascii="Arial" w:cs="Arial" w:eastAsia="Arial" w:hAnsi="Arial"/>
          <w:sz w:val="19"/>
          <w:szCs w:val="19"/>
          <w:color w:val="auto"/>
        </w:rPr>
        <w:t xml:space="preserve"> (Euro trecentomila/00), corrisposta in 14 mensilità (soggette alle deduzioni fiscali e contributive dovute per legge dal Dirigente) così strutturate: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 w:right="279" w:hanging="2"/>
        <w:spacing w:after="0" w:line="266" w:lineRule="auto"/>
        <w:tabs>
          <w:tab w:leader="none" w:pos="87" w:val="left"/>
        </w:tabs>
        <w:numPr>
          <w:ilvl w:val="0"/>
          <w:numId w:val="35"/>
        </w:numPr>
        <w:rPr>
          <w:rFonts w:ascii="Times New Roman" w:cs="Times New Roman" w:eastAsia="Times New Roman" w:hAnsi="Times New Roman"/>
          <w:sz w:val="19"/>
          <w:szCs w:val="19"/>
          <w:color w:val="auto"/>
        </w:rPr>
      </w:pPr>
      <w:r>
        <w:rPr>
          <w:rFonts w:ascii="Arial" w:cs="Arial" w:eastAsia="Arial" w:hAnsi="Arial"/>
          <w:sz w:val="19"/>
          <w:szCs w:val="19"/>
          <w:color w:val="auto"/>
        </w:rPr>
        <w:t>Euro 3,890.00 minimum mandatory salary set out by the NCLA;</w:t>
      </w:r>
    </w:p>
    <w:p>
      <w:pPr>
        <w:spacing w:after="0" w:line="1" w:lineRule="exact"/>
        <w:rPr>
          <w:sz w:val="20"/>
          <w:szCs w:val="20"/>
          <w:color w:val="auto"/>
        </w:rPr>
      </w:pPr>
    </w:p>
    <w:p>
      <w:pPr>
        <w:sectPr>
          <w:pgSz w:w="11900" w:h="16838" w:orient="portrait"/>
          <w:cols w:equalWidth="0" w:num="2">
            <w:col w:w="4898" w:space="720"/>
            <w:col w:w="3401"/>
          </w:cols>
          <w:pgMar w:left="1440" w:top="342" w:right="1440" w:bottom="1440" w:gutter="0" w:footer="0" w:header="0"/>
          <w:type w:val="continuous"/>
        </w:sectPr>
      </w:pPr>
    </w:p>
    <w:p>
      <w:pPr>
        <w:ind w:left="900" w:right="100"/>
        <w:spacing w:after="0" w:line="284" w:lineRule="auto"/>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Euro 3.890,00 minimo</w:t>
      </w: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contrattuale ex CCNL;</w:t>
      </w:r>
    </w:p>
    <w:p>
      <w:pPr>
        <w:spacing w:after="0" w:line="116" w:lineRule="exact"/>
        <w:rPr>
          <w:sz w:val="20"/>
          <w:szCs w:val="20"/>
          <w:color w:val="auto"/>
        </w:rPr>
      </w:pPr>
    </w:p>
    <w:p>
      <w:pPr>
        <w:jc w:val="both"/>
        <w:ind w:left="900" w:right="80" w:firstLine="8"/>
        <w:spacing w:after="0" w:line="260" w:lineRule="auto"/>
        <w:tabs>
          <w:tab w:leader="none" w:pos="1353"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Euro 4.285,00 a titolo di compenso per l'attività di cui al paragrafo 8 che segue;</w:t>
      </w:r>
    </w:p>
    <w:p>
      <w:pPr>
        <w:spacing w:after="0" w:line="153" w:lineRule="exact"/>
        <w:rPr>
          <w:rFonts w:ascii="Times New Roman" w:cs="Times New Roman" w:eastAsia="Times New Roman" w:hAnsi="Times New Roman"/>
          <w:sz w:val="19"/>
          <w:szCs w:val="19"/>
          <w:color w:val="auto"/>
        </w:rPr>
      </w:pPr>
    </w:p>
    <w:p>
      <w:pPr>
        <w:ind w:left="900" w:right="80" w:firstLine="8"/>
        <w:spacing w:after="0" w:line="284" w:lineRule="auto"/>
        <w:tabs>
          <w:tab w:leader="none" w:pos="1353"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Euro 13.253,00 a titolo di superminimo assorbibile.</w:t>
      </w:r>
    </w:p>
    <w:p>
      <w:pPr>
        <w:spacing w:after="0" w:line="116" w:lineRule="exact"/>
        <w:rPr>
          <w:sz w:val="20"/>
          <w:szCs w:val="20"/>
          <w:color w:val="auto"/>
        </w:rPr>
      </w:pPr>
    </w:p>
    <w:p>
      <w:pPr>
        <w:jc w:val="both"/>
        <w:ind w:left="900" w:right="80"/>
        <w:spacing w:after="0" w:line="243" w:lineRule="auto"/>
        <w:rPr>
          <w:sz w:val="20"/>
          <w:szCs w:val="20"/>
          <w:color w:val="auto"/>
        </w:rPr>
      </w:pPr>
      <w:r>
        <w:rPr>
          <w:rFonts w:ascii="Arial" w:cs="Arial" w:eastAsia="Arial" w:hAnsi="Arial"/>
          <w:sz w:val="19"/>
          <w:szCs w:val="19"/>
          <w:color w:val="auto"/>
        </w:rPr>
        <w:t>Qualsiasi importo che dovesse eccedere la retribuzione minima prevista dal CCNL e che non sia</w:t>
      </w:r>
    </w:p>
    <w:p>
      <w:pPr>
        <w:spacing w:after="0" w:line="2" w:lineRule="exact"/>
        <w:rPr>
          <w:sz w:val="20"/>
          <w:szCs w:val="20"/>
          <w:color w:val="auto"/>
        </w:rPr>
      </w:pPr>
    </w:p>
    <w:p>
      <w:pPr>
        <w:jc w:val="both"/>
        <w:ind w:left="900" w:right="80"/>
        <w:spacing w:after="0" w:line="244" w:lineRule="auto"/>
        <w:rPr>
          <w:sz w:val="20"/>
          <w:szCs w:val="20"/>
          <w:color w:val="auto"/>
        </w:rPr>
      </w:pPr>
      <w:r>
        <w:rPr>
          <w:rFonts w:ascii="Arial" w:cs="Arial" w:eastAsia="Arial" w:hAnsi="Arial"/>
          <w:sz w:val="19"/>
          <w:szCs w:val="19"/>
          <w:color w:val="auto"/>
        </w:rPr>
        <w:t>diversamente classificato sarà considerato come Superminimo assorbibile.</w:t>
      </w:r>
    </w:p>
    <w:p>
      <w:pPr>
        <w:spacing w:after="0" w:line="153" w:lineRule="exact"/>
        <w:rPr>
          <w:sz w:val="20"/>
          <w:szCs w:val="20"/>
          <w:color w:val="auto"/>
        </w:rPr>
      </w:pPr>
    </w:p>
    <w:p>
      <w:pPr>
        <w:jc w:val="both"/>
        <w:ind w:left="900" w:right="80" w:firstLine="7"/>
        <w:spacing w:after="0" w:line="242" w:lineRule="auto"/>
        <w:tabs>
          <w:tab w:leader="none" w:pos="1138" w:val="left"/>
        </w:tabs>
        <w:numPr>
          <w:ilvl w:val="0"/>
          <w:numId w:val="37"/>
        </w:numPr>
        <w:rPr>
          <w:rFonts w:ascii="Arial" w:cs="Arial" w:eastAsia="Arial" w:hAnsi="Arial"/>
          <w:sz w:val="19"/>
          <w:szCs w:val="19"/>
          <w:color w:val="auto"/>
        </w:rPr>
      </w:pPr>
      <w:r>
        <w:rPr>
          <w:rFonts w:ascii="Arial" w:cs="Arial" w:eastAsia="Arial" w:hAnsi="Arial"/>
          <w:sz w:val="19"/>
          <w:szCs w:val="19"/>
          <w:color w:val="auto"/>
        </w:rPr>
        <w:t>Superminimo assorbirà, nei limiti dello stesso e fino all'importo massimo stabilito dal CCNL, tutti e qualsiasi aumento di stipendio stabilito dal CCNL e dalle successive modifiche, anche se risultante da una promozione.</w:t>
      </w:r>
    </w:p>
    <w:p>
      <w:pPr>
        <w:spacing w:after="0" w:line="159" w:lineRule="exact"/>
        <w:rPr>
          <w:sz w:val="20"/>
          <w:szCs w:val="20"/>
          <w:color w:val="auto"/>
        </w:rPr>
      </w:pPr>
    </w:p>
    <w:p>
      <w:pPr>
        <w:jc w:val="both"/>
        <w:ind w:left="900" w:right="80"/>
        <w:spacing w:after="0" w:line="243" w:lineRule="auto"/>
        <w:rPr>
          <w:sz w:val="20"/>
          <w:szCs w:val="20"/>
          <w:color w:val="auto"/>
        </w:rPr>
      </w:pPr>
      <w:r>
        <w:rPr>
          <w:rFonts w:ascii="Arial" w:cs="Arial" w:eastAsia="Arial" w:hAnsi="Arial"/>
          <w:sz w:val="19"/>
          <w:szCs w:val="19"/>
          <w:color w:val="auto"/>
        </w:rPr>
        <w:t>Le disposizioni di cui alla precedente clausola, relativa all'assorbimento del superminimo, si applicheranno anche a qualsiasi ulteriore aumento ad personam della retribuzione del Dirigente.</w:t>
      </w:r>
    </w:p>
    <w:p>
      <w:pPr>
        <w:spacing w:after="0" w:line="158"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u w:val="single" w:color="auto"/>
          <w:color w:val="auto"/>
        </w:rPr>
        <w:t>Bonus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left="640" w:right="279" w:hanging="2"/>
        <w:spacing w:after="0" w:line="260" w:lineRule="auto"/>
        <w:tabs>
          <w:tab w:leader="none" w:pos="725" w:val="left"/>
        </w:tabs>
        <w:numPr>
          <w:ilvl w:val="0"/>
          <w:numId w:val="38"/>
        </w:numPr>
        <w:rPr>
          <w:rFonts w:ascii="Times New Roman" w:cs="Times New Roman" w:eastAsia="Times New Roman" w:hAnsi="Times New Roman"/>
          <w:sz w:val="19"/>
          <w:szCs w:val="19"/>
          <w:color w:val="auto"/>
        </w:rPr>
      </w:pPr>
      <w:r>
        <w:rPr>
          <w:rFonts w:ascii="Arial" w:cs="Arial" w:eastAsia="Arial" w:hAnsi="Arial"/>
          <w:sz w:val="19"/>
          <w:szCs w:val="19"/>
          <w:color w:val="auto"/>
        </w:rPr>
        <w:t>Euro 4,285.00 by way of compensation for the activity specified under point 8 below;</w:t>
      </w:r>
    </w:p>
    <w:p>
      <w:pPr>
        <w:spacing w:after="0" w:line="139" w:lineRule="exact"/>
        <w:rPr>
          <w:rFonts w:ascii="Times New Roman" w:cs="Times New Roman" w:eastAsia="Times New Roman" w:hAnsi="Times New Roman"/>
          <w:sz w:val="19"/>
          <w:szCs w:val="19"/>
          <w:color w:val="auto"/>
        </w:rPr>
      </w:pPr>
    </w:p>
    <w:p>
      <w:pPr>
        <w:ind w:left="640" w:right="279" w:hanging="2"/>
        <w:spacing w:after="0" w:line="284" w:lineRule="auto"/>
        <w:tabs>
          <w:tab w:leader="none" w:pos="725" w:val="left"/>
        </w:tabs>
        <w:numPr>
          <w:ilvl w:val="0"/>
          <w:numId w:val="38"/>
        </w:numPr>
        <w:rPr>
          <w:rFonts w:ascii="Times New Roman" w:cs="Times New Roman" w:eastAsia="Times New Roman" w:hAnsi="Times New Roman"/>
          <w:sz w:val="19"/>
          <w:szCs w:val="19"/>
          <w:color w:val="auto"/>
        </w:rPr>
      </w:pPr>
      <w:r>
        <w:rPr>
          <w:rFonts w:ascii="Arial" w:cs="Arial" w:eastAsia="Arial" w:hAnsi="Arial"/>
          <w:sz w:val="19"/>
          <w:szCs w:val="19"/>
          <w:color w:val="auto"/>
        </w:rPr>
        <w:t>Euro 13,253.00 as superminimo assorbibile.</w:t>
      </w:r>
    </w:p>
    <w:p>
      <w:pPr>
        <w:spacing w:after="0" w:line="130" w:lineRule="exact"/>
        <w:rPr>
          <w:sz w:val="20"/>
          <w:szCs w:val="20"/>
          <w:color w:val="auto"/>
        </w:rPr>
      </w:pPr>
    </w:p>
    <w:p>
      <w:pPr>
        <w:jc w:val="both"/>
        <w:ind w:left="640" w:right="279"/>
        <w:spacing w:after="0" w:line="243" w:lineRule="auto"/>
        <w:rPr>
          <w:sz w:val="20"/>
          <w:szCs w:val="20"/>
          <w:color w:val="auto"/>
        </w:rPr>
      </w:pPr>
      <w:r>
        <w:rPr>
          <w:rFonts w:ascii="Arial" w:cs="Arial" w:eastAsia="Arial" w:hAnsi="Arial"/>
          <w:sz w:val="19"/>
          <w:szCs w:val="19"/>
          <w:color w:val="auto"/>
        </w:rPr>
        <w:t>Any amount exceeding the minimum pay provided by the CCNL and that it is not qualified otherwise will be</w:t>
      </w:r>
    </w:p>
    <w:p>
      <w:pPr>
        <w:spacing w:after="0" w:line="2" w:lineRule="exact"/>
        <w:rPr>
          <w:sz w:val="20"/>
          <w:szCs w:val="20"/>
          <w:color w:val="auto"/>
        </w:rPr>
      </w:pPr>
    </w:p>
    <w:p>
      <w:pPr>
        <w:jc w:val="both"/>
        <w:ind w:left="640" w:right="279"/>
        <w:spacing w:after="0" w:line="251" w:lineRule="auto"/>
        <w:rPr>
          <w:sz w:val="20"/>
          <w:szCs w:val="20"/>
          <w:color w:val="auto"/>
        </w:rPr>
      </w:pPr>
      <w:r>
        <w:rPr>
          <w:rFonts w:ascii="Arial" w:cs="Arial" w:eastAsia="Arial" w:hAnsi="Arial"/>
          <w:sz w:val="19"/>
          <w:szCs w:val="19"/>
          <w:color w:val="auto"/>
        </w:rPr>
        <w:t>considered as absorbable Superminimum.</w:t>
      </w:r>
    </w:p>
    <w:p>
      <w:pPr>
        <w:spacing w:after="0" w:line="146" w:lineRule="exact"/>
        <w:rPr>
          <w:sz w:val="20"/>
          <w:szCs w:val="20"/>
          <w:color w:val="auto"/>
        </w:rPr>
      </w:pPr>
    </w:p>
    <w:p>
      <w:pPr>
        <w:jc w:val="both"/>
        <w:ind w:left="640" w:right="279"/>
        <w:spacing w:after="0" w:line="242" w:lineRule="auto"/>
        <w:rPr>
          <w:sz w:val="20"/>
          <w:szCs w:val="20"/>
          <w:color w:val="auto"/>
        </w:rPr>
      </w:pPr>
      <w:r>
        <w:rPr>
          <w:rFonts w:ascii="Arial" w:cs="Arial" w:eastAsia="Arial" w:hAnsi="Arial"/>
          <w:sz w:val="19"/>
          <w:szCs w:val="19"/>
          <w:color w:val="auto"/>
        </w:rPr>
        <w:t>The Superminimum shall absorb, within the limits of the same and in the maximum amount allowed under the CCNL, all and any salary increases provided under the CCNL and subsequent modifications, even those that result from promotions.</w:t>
      </w:r>
    </w:p>
    <w:p>
      <w:pPr>
        <w:spacing w:after="0" w:line="159" w:lineRule="exact"/>
        <w:rPr>
          <w:sz w:val="20"/>
          <w:szCs w:val="20"/>
          <w:color w:val="auto"/>
        </w:rPr>
      </w:pPr>
    </w:p>
    <w:p>
      <w:pPr>
        <w:jc w:val="both"/>
        <w:ind w:left="640" w:right="279"/>
        <w:spacing w:after="0" w:line="243" w:lineRule="auto"/>
        <w:rPr>
          <w:sz w:val="20"/>
          <w:szCs w:val="20"/>
          <w:color w:val="auto"/>
        </w:rPr>
      </w:pPr>
      <w:r>
        <w:rPr>
          <w:rFonts w:ascii="Arial" w:cs="Arial" w:eastAsia="Arial" w:hAnsi="Arial"/>
          <w:sz w:val="19"/>
          <w:szCs w:val="19"/>
          <w:color w:val="auto"/>
        </w:rPr>
        <w:t>The same provisions contained in the previous paragraph regarding the absorption of the superminimum shall apply also to any further ad personam increases of the Executive’s remuneration.</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u w:val="single" w:color="auto"/>
          <w:color w:val="auto"/>
        </w:rPr>
        <w:t>Bonus</w:t>
      </w:r>
    </w:p>
    <w:p>
      <w:pPr>
        <w:sectPr>
          <w:pgSz w:w="11900" w:h="16838" w:orient="portrait"/>
          <w:cols w:equalWidth="0" w:num="2">
            <w:col w:w="4260" w:space="720"/>
            <w:col w:w="4039"/>
          </w:cols>
          <w:pgMar w:left="1440" w:top="342" w:right="1440" w:bottom="1440" w:gutter="0" w:footer="0" w:header="0"/>
          <w:type w:val="continuous"/>
        </w:sectPr>
      </w:pPr>
    </w:p>
    <w:bookmarkStart w:id="48" w:name="page49"/>
    <w:bookmarkEnd w:id="48"/>
    <w:p>
      <w:pPr>
        <w:ind w:left="900"/>
        <w:spacing w:after="0"/>
        <w:rPr>
          <w:sz w:val="20"/>
          <w:szCs w:val="20"/>
          <w:color w:val="auto"/>
        </w:rPr>
      </w:pPr>
      <w:r>
        <w:rPr>
          <w:rFonts w:ascii="Arial" w:cs="Arial" w:eastAsia="Arial" w:hAnsi="Arial"/>
          <w:sz w:val="19"/>
          <w:szCs w:val="19"/>
          <w:color w:val="auto"/>
        </w:rPr>
        <w:t>Il Dirigente potrà inoltre ricevere un</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bonus pari al 60% del suo Stipendio</w:t>
      </w:r>
    </w:p>
    <w:p>
      <w:pPr>
        <w:ind w:left="900"/>
        <w:spacing w:after="0" w:line="237" w:lineRule="auto"/>
        <w:rPr>
          <w:sz w:val="20"/>
          <w:szCs w:val="20"/>
          <w:color w:val="auto"/>
        </w:rPr>
      </w:pPr>
      <w:r>
        <w:rPr>
          <w:rFonts w:ascii="Arial" w:cs="Arial" w:eastAsia="Arial" w:hAnsi="Arial"/>
          <w:sz w:val="19"/>
          <w:szCs w:val="19"/>
          <w:color w:val="auto"/>
        </w:rPr>
        <w:t>Base soggetto al raggiungimento di</w:t>
      </w:r>
    </w:p>
    <w:p>
      <w:pPr>
        <w:ind w:left="900"/>
        <w:spacing w:after="0" w:line="237" w:lineRule="auto"/>
        <w:tabs>
          <w:tab w:leader="none" w:pos="1680" w:val="left"/>
          <w:tab w:leader="none" w:pos="2680" w:val="left"/>
          <w:tab w:leader="none" w:pos="3100" w:val="left"/>
          <w:tab w:leader="none" w:pos="4060" w:val="left"/>
        </w:tabs>
        <w:rPr>
          <w:sz w:val="20"/>
          <w:szCs w:val="20"/>
          <w:color w:val="auto"/>
        </w:rPr>
      </w:pPr>
      <w:r>
        <w:rPr>
          <w:rFonts w:ascii="Arial" w:cs="Arial" w:eastAsia="Arial" w:hAnsi="Arial"/>
          <w:sz w:val="19"/>
          <w:szCs w:val="19"/>
          <w:color w:val="auto"/>
        </w:rPr>
        <w:t>obiettivi</w:t>
        <w:tab/>
        <w:t>individuali</w:t>
        <w:tab/>
        <w:t>e/o</w:t>
        <w:tab/>
        <w:t>aziendali.</w:t>
        <w:tab/>
        <w:t>Il</w:t>
      </w:r>
    </w:p>
    <w:p>
      <w:pPr>
        <w:ind w:left="900"/>
        <w:spacing w:after="0" w:line="237" w:lineRule="auto"/>
        <w:rPr>
          <w:sz w:val="20"/>
          <w:szCs w:val="20"/>
          <w:color w:val="auto"/>
        </w:rPr>
      </w:pPr>
      <w:r>
        <w:rPr>
          <w:rFonts w:ascii="Arial" w:cs="Arial" w:eastAsia="Arial" w:hAnsi="Arial"/>
          <w:sz w:val="19"/>
          <w:szCs w:val="19"/>
          <w:color w:val="auto"/>
        </w:rPr>
        <w:t>diritto del Dirigente a partecipare a tale</w:t>
      </w:r>
    </w:p>
    <w:p>
      <w:pPr>
        <w:ind w:left="900"/>
        <w:spacing w:after="0" w:line="238" w:lineRule="auto"/>
        <w:rPr>
          <w:sz w:val="20"/>
          <w:szCs w:val="20"/>
          <w:color w:val="auto"/>
        </w:rPr>
      </w:pPr>
      <w:r>
        <w:rPr>
          <w:rFonts w:ascii="Arial" w:cs="Arial" w:eastAsia="Arial" w:hAnsi="Arial"/>
          <w:sz w:val="19"/>
          <w:szCs w:val="19"/>
          <w:color w:val="auto"/>
        </w:rPr>
        <w:t>piano e l'importo di qualsiasi bonus,</w:t>
      </w:r>
    </w:p>
    <w:p>
      <w:pPr>
        <w:ind w:left="900"/>
        <w:spacing w:after="0"/>
        <w:tabs>
          <w:tab w:leader="none" w:pos="2580" w:val="left"/>
          <w:tab w:leader="none" w:pos="3200" w:val="left"/>
          <w:tab w:leader="none" w:pos="4060" w:val="left"/>
        </w:tabs>
        <w:rPr>
          <w:sz w:val="20"/>
          <w:szCs w:val="20"/>
          <w:color w:val="auto"/>
        </w:rPr>
      </w:pPr>
      <w:r>
        <w:rPr>
          <w:rFonts w:ascii="Arial" w:cs="Arial" w:eastAsia="Arial" w:hAnsi="Arial"/>
          <w:sz w:val="19"/>
          <w:szCs w:val="19"/>
          <w:color w:val="auto"/>
        </w:rPr>
        <w:t>sarà determinato</w:t>
        <w:tab/>
        <w:t>dalla</w:t>
        <w:tab/>
        <w:t>Società</w:t>
      </w:r>
      <w:r>
        <w:rPr>
          <w:sz w:val="20"/>
          <w:szCs w:val="20"/>
          <w:color w:val="auto"/>
        </w:rPr>
        <w:tab/>
      </w:r>
      <w:r>
        <w:rPr>
          <w:rFonts w:ascii="Arial" w:cs="Arial" w:eastAsia="Arial" w:hAnsi="Arial"/>
          <w:sz w:val="17"/>
          <w:szCs w:val="17"/>
          <w:color w:val="auto"/>
        </w:rPr>
        <w:t>a</w:t>
      </w:r>
    </w:p>
    <w:p>
      <w:pPr>
        <w:ind w:left="900"/>
        <w:spacing w:after="0"/>
        <w:rPr>
          <w:sz w:val="20"/>
          <w:szCs w:val="20"/>
          <w:color w:val="auto"/>
        </w:rPr>
      </w:pPr>
      <w:r>
        <w:rPr>
          <w:rFonts w:ascii="Arial" w:cs="Arial" w:eastAsia="Arial" w:hAnsi="Arial"/>
          <w:sz w:val="19"/>
          <w:szCs w:val="19"/>
          <w:color w:val="auto"/>
        </w:rPr>
        <w:t>propria</w:t>
      </w:r>
    </w:p>
    <w:p>
      <w:pPr>
        <w:sectPr>
          <w:pgSz w:w="11900" w:h="16838" w:orient="portrait"/>
          <w:cols w:equalWidth="0" w:num="1">
            <w:col w:w="9019"/>
          </w:cols>
          <w:pgMar w:left="1440" w:top="760" w:right="1440" w:bottom="1440" w:gutter="0" w:footer="0" w:header="0"/>
        </w:sectPr>
      </w:pPr>
    </w:p>
    <w:bookmarkStart w:id="49" w:name="page50"/>
    <w:bookmarkEnd w:id="49"/>
    <w:p>
      <w:pPr>
        <w:ind w:lef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0" w:name="page51"/>
    <w:bookmarkEnd w:id="50"/>
    <w:p>
      <w:pPr>
        <w:spacing w:after="0" w:line="81" w:lineRule="exact"/>
        <w:rPr>
          <w:sz w:val="20"/>
          <w:szCs w:val="20"/>
          <w:color w:val="auto"/>
        </w:rPr>
      </w:pPr>
    </w:p>
    <w:p>
      <w:pPr>
        <w:jc w:val="both"/>
        <w:ind w:left="840" w:right="940"/>
        <w:spacing w:after="0" w:line="242" w:lineRule="auto"/>
        <w:rPr>
          <w:sz w:val="20"/>
          <w:szCs w:val="20"/>
          <w:color w:val="auto"/>
        </w:rPr>
      </w:pPr>
      <w:r>
        <w:rPr>
          <w:rFonts w:ascii="Arial" w:cs="Arial" w:eastAsia="Arial" w:hAnsi="Arial"/>
          <w:sz w:val="19"/>
          <w:szCs w:val="19"/>
          <w:color w:val="auto"/>
        </w:rPr>
        <w:t>The Executive is eligible for an annual target bonus opportunity of 60% of base salary and subject to meeting individual and/or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-173355</wp:posOffset>
            </wp:positionV>
            <wp:extent cx="8255" cy="79724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255" cy="797242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-173355</wp:posOffset>
            </wp:positionV>
            <wp:extent cx="8890" cy="79724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890" cy="7972425"/>
                    </a:xfrm>
                    <a:prstGeom prst="rect">
                      <a:avLst/>
                    </a:prstGeom>
                    <a:noFill/>
                  </pic:spPr>
                </pic:pic>
              </a:graphicData>
            </a:graphic>
          </wp:anchor>
        </w:drawing>
      </w:r>
    </w:p>
    <w:p>
      <w:pPr>
        <w:ind w:left="840"/>
        <w:spacing w:after="0"/>
        <w:tabs>
          <w:tab w:leader="none" w:pos="2180" w:val="left"/>
          <w:tab w:leader="none" w:pos="2980" w:val="left"/>
        </w:tabs>
        <w:rPr>
          <w:sz w:val="20"/>
          <w:szCs w:val="20"/>
          <w:color w:val="auto"/>
        </w:rPr>
      </w:pPr>
      <w:r>
        <w:rPr>
          <w:rFonts w:ascii="Arial" w:cs="Arial" w:eastAsia="Arial" w:hAnsi="Arial"/>
          <w:sz w:val="19"/>
          <w:szCs w:val="19"/>
          <w:color w:val="auto"/>
        </w:rPr>
        <w:t>objectives.</w:t>
      </w:r>
      <w:r>
        <w:rPr>
          <w:sz w:val="20"/>
          <w:szCs w:val="20"/>
          <w:color w:val="auto"/>
        </w:rPr>
        <w:tab/>
      </w:r>
      <w:r>
        <w:rPr>
          <w:rFonts w:ascii="Arial" w:cs="Arial" w:eastAsia="Arial" w:hAnsi="Arial"/>
          <w:sz w:val="19"/>
          <w:szCs w:val="19"/>
          <w:color w:val="auto"/>
        </w:rPr>
        <w:t>The</w:t>
      </w:r>
      <w:r>
        <w:rPr>
          <w:sz w:val="20"/>
          <w:szCs w:val="20"/>
          <w:color w:val="auto"/>
        </w:rPr>
        <w:tab/>
      </w:r>
      <w:r>
        <w:rPr>
          <w:rFonts w:ascii="Arial" w:cs="Arial" w:eastAsia="Arial" w:hAnsi="Arial"/>
          <w:sz w:val="18"/>
          <w:szCs w:val="18"/>
          <w:color w:val="auto"/>
        </w:rPr>
        <w:t>Executive’s</w:t>
      </w:r>
    </w:p>
    <w:p>
      <w:pPr>
        <w:spacing w:after="0" w:line="61" w:lineRule="exact"/>
        <w:rPr>
          <w:sz w:val="20"/>
          <w:szCs w:val="20"/>
          <w:color w:val="auto"/>
        </w:rPr>
      </w:pPr>
    </w:p>
    <w:p>
      <w:pPr>
        <w:jc w:val="both"/>
        <w:ind w:left="900" w:right="720"/>
        <w:spacing w:after="0" w:line="241" w:lineRule="auto"/>
        <w:rPr>
          <w:sz w:val="20"/>
          <w:szCs w:val="20"/>
          <w:color w:val="auto"/>
        </w:rPr>
      </w:pPr>
      <w:r>
        <w:rPr>
          <w:rFonts w:ascii="Arial" w:cs="Arial" w:eastAsia="Arial" w:hAnsi="Arial"/>
          <w:sz w:val="19"/>
          <w:szCs w:val="19"/>
          <w:color w:val="auto"/>
        </w:rPr>
        <w:t>esclusiva discrezione, prendendo in considerazione i risultati della Società e la performance personale del Dirigente. Il bonus eventualmente corrisposto non costituirà parte della retribuzione contrattuale del Dirigente ai sensi del presente Contratto. A scanso di equivoci, l'importo di tale bonus può essere pari a zero.</w:t>
      </w:r>
    </w:p>
    <w:p>
      <w:pPr>
        <w:spacing w:after="0" w:line="158" w:lineRule="exact"/>
        <w:rPr>
          <w:sz w:val="20"/>
          <w:szCs w:val="20"/>
          <w:color w:val="auto"/>
        </w:rPr>
      </w:pPr>
    </w:p>
    <w:p>
      <w:pPr>
        <w:jc w:val="both"/>
        <w:ind w:left="900" w:right="720"/>
        <w:spacing w:after="0" w:line="242" w:lineRule="auto"/>
        <w:rPr>
          <w:sz w:val="20"/>
          <w:szCs w:val="20"/>
          <w:color w:val="auto"/>
        </w:rPr>
      </w:pPr>
      <w:r>
        <w:rPr>
          <w:rFonts w:ascii="Arial" w:cs="Arial" w:eastAsia="Arial" w:hAnsi="Arial"/>
          <w:sz w:val="19"/>
          <w:szCs w:val="19"/>
          <w:color w:val="auto"/>
        </w:rPr>
        <w:t>Per poter conseguire il pagamento del bonus, il Dirigente dovrà essere ancora in servizio e non in periodo di preavviso (indifferentemente dal fatto che questo sia stato dato dal Dirigente o della Società) alla data stabilita dalla Società per il pagamento del bonus o prima di tale data.</w:t>
      </w:r>
    </w:p>
    <w:p>
      <w:pPr>
        <w:spacing w:after="0" w:line="155" w:lineRule="exact"/>
        <w:rPr>
          <w:sz w:val="20"/>
          <w:szCs w:val="20"/>
          <w:color w:val="auto"/>
        </w:rPr>
      </w:pPr>
    </w:p>
    <w:p>
      <w:pPr>
        <w:jc w:val="both"/>
        <w:ind w:left="900" w:right="720"/>
        <w:spacing w:after="0"/>
        <w:rPr>
          <w:sz w:val="20"/>
          <w:szCs w:val="20"/>
          <w:color w:val="auto"/>
        </w:rPr>
      </w:pPr>
      <w:r>
        <w:rPr>
          <w:rFonts w:ascii="Arial" w:cs="Arial" w:eastAsia="Arial" w:hAnsi="Arial"/>
          <w:sz w:val="19"/>
          <w:szCs w:val="19"/>
          <w:color w:val="auto"/>
        </w:rPr>
        <w:t>La Società si riserva il diritto di modificare o revocare l'accordo sul bonus di cui sopra in qualsiasi momento senza preavviso e senza che ciò dia diritto al Dirigente ad alcun indennizzo, ad eccezione di eventuali benefici già conseguiti ed esigibili in conformità a quanto previsto nei paragrafi precedenti alla data in cui l'accordo è modificato o revocato, fatto salvo quanto previsto alla clausola di cui sopra.</w:t>
      </w:r>
    </w:p>
    <w:p>
      <w:pPr>
        <w:spacing w:after="0" w:line="159" w:lineRule="exact"/>
        <w:rPr>
          <w:sz w:val="20"/>
          <w:szCs w:val="20"/>
          <w:color w:val="auto"/>
        </w:rPr>
      </w:pPr>
    </w:p>
    <w:p>
      <w:pPr>
        <w:jc w:val="both"/>
        <w:ind w:left="900" w:right="720"/>
        <w:spacing w:after="0" w:line="242" w:lineRule="auto"/>
        <w:rPr>
          <w:sz w:val="20"/>
          <w:szCs w:val="20"/>
          <w:color w:val="auto"/>
        </w:rPr>
      </w:pPr>
      <w:r>
        <w:rPr>
          <w:rFonts w:ascii="Arial" w:cs="Arial" w:eastAsia="Arial" w:hAnsi="Arial"/>
          <w:sz w:val="19"/>
          <w:szCs w:val="19"/>
          <w:color w:val="auto"/>
        </w:rPr>
        <w:t>Se la Società effettua un pagamento di bonus in favore del Dirigente in relazione ad un particolare esercizio finanziario della Società, non sarà obbligata ad effettuare successivi pagamenti di bonus con riguardo agli esercizi finanziari successivi della Società.</w:t>
      </w:r>
    </w:p>
    <w:p>
      <w:pPr>
        <w:spacing w:after="0" w:line="155" w:lineRule="exact"/>
        <w:rPr>
          <w:sz w:val="20"/>
          <w:szCs w:val="20"/>
          <w:color w:val="auto"/>
        </w:rPr>
      </w:pPr>
    </w:p>
    <w:p>
      <w:pPr>
        <w:jc w:val="both"/>
        <w:ind w:left="900" w:right="720"/>
        <w:spacing w:after="0" w:line="245" w:lineRule="auto"/>
        <w:rPr>
          <w:sz w:val="20"/>
          <w:szCs w:val="20"/>
          <w:color w:val="auto"/>
        </w:rPr>
      </w:pPr>
      <w:r>
        <w:rPr>
          <w:rFonts w:ascii="Arial" w:cs="Arial" w:eastAsia="Arial" w:hAnsi="Arial"/>
          <w:sz w:val="19"/>
          <w:szCs w:val="19"/>
          <w:color w:val="auto"/>
        </w:rPr>
        <w:t>Tale bonus sarà privo di qualsiasi incidenza su tutti gli ulteriori istituti economici, contrattuali, normativi e di legge diretti e differiti, ad eccezione del trattamento di fine rapporto.</w:t>
      </w:r>
    </w:p>
    <w:p>
      <w:pPr>
        <w:spacing w:after="0" w:line="200" w:lineRule="exact"/>
        <w:rPr>
          <w:sz w:val="20"/>
          <w:szCs w:val="20"/>
          <w:color w:val="auto"/>
        </w:rPr>
      </w:pPr>
    </w:p>
    <w:p>
      <w:pPr>
        <w:spacing w:after="0" w:line="386"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9"/>
          <w:szCs w:val="19"/>
          <w:u w:val="single" w:color="auto"/>
          <w:color w:val="auto"/>
        </w:rPr>
        <w:t>Azioni</w:t>
      </w:r>
    </w:p>
    <w:p>
      <w:pPr>
        <w:spacing w:after="0" w:line="200" w:lineRule="exact"/>
        <w:rPr>
          <w:sz w:val="20"/>
          <w:szCs w:val="20"/>
          <w:color w:val="auto"/>
        </w:rPr>
      </w:pPr>
    </w:p>
    <w:p>
      <w:pPr>
        <w:jc w:val="both"/>
        <w:ind w:left="900" w:right="720"/>
        <w:spacing w:after="0" w:line="243" w:lineRule="auto"/>
        <w:rPr>
          <w:sz w:val="20"/>
          <w:szCs w:val="20"/>
          <w:color w:val="auto"/>
        </w:rPr>
      </w:pPr>
      <w:r>
        <w:rPr>
          <w:rFonts w:ascii="Arial" w:cs="Arial" w:eastAsia="Arial" w:hAnsi="Arial"/>
          <w:sz w:val="19"/>
          <w:szCs w:val="19"/>
          <w:color w:val="auto"/>
        </w:rPr>
        <w:t>In conformità a quanto previsto all’interno del presente paragrafo, la Società intende assegnare al Dirigente</w:t>
      </w:r>
    </w:p>
    <w:p>
      <w:pPr>
        <w:spacing w:after="0" w:line="2" w:lineRule="exact"/>
        <w:rPr>
          <w:sz w:val="20"/>
          <w:szCs w:val="20"/>
          <w:color w:val="auto"/>
        </w:rPr>
      </w:pPr>
    </w:p>
    <w:p>
      <w:pPr>
        <w:jc w:val="both"/>
        <w:ind w:left="900" w:right="720" w:firstLine="7"/>
        <w:spacing w:after="0" w:line="244" w:lineRule="auto"/>
        <w:tabs>
          <w:tab w:leader="none" w:pos="1107" w:val="left"/>
        </w:tabs>
        <w:numPr>
          <w:ilvl w:val="0"/>
          <w:numId w:val="39"/>
        </w:numPr>
        <w:rPr>
          <w:rFonts w:ascii="Arial" w:cs="Arial" w:eastAsia="Arial" w:hAnsi="Arial"/>
          <w:sz w:val="19"/>
          <w:szCs w:val="19"/>
          <w:color w:val="auto"/>
        </w:rPr>
      </w:pPr>
      <w:r>
        <w:rPr>
          <w:rFonts w:ascii="Arial" w:cs="Arial" w:eastAsia="Arial" w:hAnsi="Arial"/>
          <w:sz w:val="19"/>
          <w:szCs w:val="19"/>
          <w:color w:val="auto"/>
        </w:rPr>
        <w:t>un premio di restricted stock units (“RSU’s”) con un valore (come calcolato di seguito)</w:t>
      </w:r>
    </w:p>
    <w:p>
      <w:pPr>
        <w:spacing w:after="0" w:line="20" w:lineRule="exact"/>
        <w:rPr>
          <w:sz w:val="20"/>
          <w:szCs w:val="20"/>
          <w:color w:val="auto"/>
        </w:rPr>
      </w:pPr>
      <w:r>
        <w:rPr>
          <w:sz w:val="20"/>
          <w:szCs w:val="20"/>
          <w:color w:val="auto"/>
        </w:rPr>
        <w:br w:type="column"/>
      </w:r>
    </w:p>
    <w:p>
      <w:pPr>
        <w:jc w:val="both"/>
        <w:ind w:right="279"/>
        <w:spacing w:after="0" w:line="248" w:lineRule="auto"/>
        <w:rPr>
          <w:sz w:val="20"/>
          <w:szCs w:val="20"/>
          <w:color w:val="auto"/>
        </w:rPr>
      </w:pPr>
      <w:r>
        <w:rPr>
          <w:rFonts w:ascii="Arial" w:cs="Arial" w:eastAsia="Arial" w:hAnsi="Arial"/>
          <w:sz w:val="19"/>
          <w:szCs w:val="19"/>
          <w:color w:val="auto"/>
        </w:rPr>
        <w:t>entitlement to participate in this plan, and the amount of any such bonus, will be determined by the Company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-135890</wp:posOffset>
            </wp:positionV>
            <wp:extent cx="8890" cy="79724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890" cy="7972425"/>
                    </a:xfrm>
                    <a:prstGeom prst="rect">
                      <a:avLst/>
                    </a:prstGeom>
                    <a:noFill/>
                  </pic:spPr>
                </pic:pic>
              </a:graphicData>
            </a:graphic>
          </wp:anchor>
        </w:drawing>
      </w:r>
    </w:p>
    <w:p>
      <w:pPr>
        <w:sectPr>
          <w:pgSz w:w="11900" w:h="16838" w:orient="portrait"/>
          <w:cols w:equalWidth="0" w:num="2">
            <w:col w:w="4900" w:space="720"/>
            <w:col w:w="3399"/>
          </w:cols>
          <w:pgMar w:left="1440" w:top="882" w:right="1440" w:bottom="1440" w:gutter="0" w:footer="0" w:header="0"/>
        </w:sectPr>
      </w:pPr>
    </w:p>
    <w:bookmarkStart w:id="51" w:name="page52"/>
    <w:bookmarkEnd w:id="51"/>
    <w:p>
      <w:pPr>
        <w:ind w:lef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2" w:name="page53"/>
    <w:bookmarkEnd w:id="52"/>
    <w:p>
      <w:pPr>
        <w:spacing w:after="0" w:line="81" w:lineRule="exact"/>
        <w:rPr>
          <w:sz w:val="20"/>
          <w:szCs w:val="20"/>
          <w:color w:val="auto"/>
        </w:rPr>
      </w:pPr>
    </w:p>
    <w:p>
      <w:pPr>
        <w:jc w:val="both"/>
        <w:ind w:left="840" w:right="300"/>
        <w:spacing w:after="0" w:line="241" w:lineRule="auto"/>
        <w:rPr>
          <w:sz w:val="20"/>
          <w:szCs w:val="20"/>
          <w:color w:val="auto"/>
        </w:rPr>
      </w:pPr>
      <w:r>
        <w:rPr>
          <w:rFonts w:ascii="Arial" w:cs="Arial" w:eastAsia="Arial" w:hAnsi="Arial"/>
          <w:sz w:val="19"/>
          <w:szCs w:val="19"/>
          <w:color w:val="auto"/>
        </w:rPr>
        <w:t>absolute discretion taking into account the performance of the Company and the Executive’s personal performance. Any bonus payment will not form part of the Executive’s contractual remuneration under this Agreement. For the avoidance of doubt, the amount of any such bonus may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-867410</wp:posOffset>
            </wp:positionV>
            <wp:extent cx="8255" cy="78606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255" cy="786066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-867410</wp:posOffset>
            </wp:positionV>
            <wp:extent cx="8890" cy="78606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8890" cy="7860665"/>
                    </a:xfrm>
                    <a:prstGeom prst="rect">
                      <a:avLst/>
                    </a:prstGeom>
                    <a:noFill/>
                  </pic:spPr>
                </pic:pic>
              </a:graphicData>
            </a:graphic>
          </wp:anchor>
        </w:drawing>
      </w:r>
    </w:p>
    <w:p>
      <w:pPr>
        <w:spacing w:after="0" w:line="138" w:lineRule="exact"/>
        <w:rPr>
          <w:sz w:val="20"/>
          <w:szCs w:val="20"/>
          <w:color w:val="auto"/>
        </w:rPr>
      </w:pPr>
    </w:p>
    <w:p>
      <w:pPr>
        <w:jc w:val="both"/>
        <w:ind w:left="840" w:right="300"/>
        <w:spacing w:after="0" w:line="242" w:lineRule="auto"/>
        <w:rPr>
          <w:sz w:val="20"/>
          <w:szCs w:val="20"/>
          <w:color w:val="auto"/>
        </w:rPr>
      </w:pPr>
      <w:r>
        <w:rPr>
          <w:rFonts w:ascii="Arial" w:cs="Arial" w:eastAsia="Arial" w:hAnsi="Arial"/>
          <w:sz w:val="19"/>
          <w:szCs w:val="19"/>
          <w:color w:val="auto"/>
        </w:rPr>
        <w:t>In order to receive any bonus payment, the Executive must still be in service and not under notice of termination (whether given by the Executive or the Company) at or prior to the date appointed by the Company for payment of the bonus.</w:t>
      </w:r>
    </w:p>
    <w:p>
      <w:pPr>
        <w:spacing w:after="0" w:line="159" w:lineRule="exact"/>
        <w:rPr>
          <w:sz w:val="20"/>
          <w:szCs w:val="20"/>
          <w:color w:val="auto"/>
        </w:rPr>
      </w:pPr>
    </w:p>
    <w:p>
      <w:pPr>
        <w:jc w:val="both"/>
        <w:ind w:left="840" w:right="300"/>
        <w:spacing w:after="0"/>
        <w:rPr>
          <w:sz w:val="20"/>
          <w:szCs w:val="20"/>
          <w:color w:val="auto"/>
        </w:rPr>
      </w:pPr>
      <w:r>
        <w:rPr>
          <w:rFonts w:ascii="Arial" w:cs="Arial" w:eastAsia="Arial" w:hAnsi="Arial"/>
          <w:sz w:val="19"/>
          <w:szCs w:val="19"/>
          <w:color w:val="auto"/>
        </w:rPr>
        <w:t>The Company reserves the right to vary or withdraw the bonus arrangement referred to above at any time without prior notice and without entitling the Executive to compensation, other than any benefits already earned and payable in accordance with the above paragraphs at the date on which the arrangement is varied or withdrawn, subject to the clause above.</w:t>
      </w:r>
    </w:p>
    <w:p>
      <w:pPr>
        <w:spacing w:after="0" w:line="200" w:lineRule="exact"/>
        <w:rPr>
          <w:sz w:val="20"/>
          <w:szCs w:val="20"/>
          <w:color w:val="auto"/>
        </w:rPr>
      </w:pPr>
    </w:p>
    <w:p>
      <w:pPr>
        <w:spacing w:after="0" w:line="259" w:lineRule="exact"/>
        <w:rPr>
          <w:sz w:val="20"/>
          <w:szCs w:val="20"/>
          <w:color w:val="auto"/>
        </w:rPr>
      </w:pPr>
    </w:p>
    <w:p>
      <w:pPr>
        <w:jc w:val="both"/>
        <w:ind w:left="900" w:right="80"/>
        <w:spacing w:after="0" w:line="239" w:lineRule="auto"/>
        <w:rPr>
          <w:sz w:val="20"/>
          <w:szCs w:val="20"/>
          <w:color w:val="auto"/>
        </w:rPr>
      </w:pPr>
      <w:r>
        <w:rPr>
          <w:rFonts w:ascii="Arial" w:cs="Arial" w:eastAsia="Arial" w:hAnsi="Arial"/>
          <w:sz w:val="19"/>
          <w:szCs w:val="19"/>
          <w:color w:val="auto"/>
        </w:rPr>
        <w:t>di $750.000,00 (in USD); e ii) opzioni per l'acquisto di azioni ordinarie ("Stock Option") con un valore (come calcolato di seguito) di $750.000,00 (in USD). Si tratta di una concessione una tantum di RSU e Stock Options secondo quanto previsto dal Piano di incentivazione azionaria e annuale di TripAdvisor, Inc. 2018 (il "Piano 2018")</w:t>
      </w:r>
    </w:p>
    <w:p>
      <w:pPr>
        <w:spacing w:after="0" w:line="4" w:lineRule="exact"/>
        <w:rPr>
          <w:sz w:val="20"/>
          <w:szCs w:val="20"/>
          <w:color w:val="auto"/>
        </w:rPr>
      </w:pPr>
    </w:p>
    <w:p>
      <w:pPr>
        <w:jc w:val="both"/>
        <w:ind w:left="900" w:right="80"/>
        <w:spacing w:after="0" w:line="238" w:lineRule="auto"/>
        <w:rPr>
          <w:sz w:val="20"/>
          <w:szCs w:val="20"/>
          <w:color w:val="auto"/>
        </w:rPr>
      </w:pPr>
      <w:r>
        <w:rPr>
          <w:rFonts w:ascii="Arial" w:cs="Arial" w:eastAsia="Arial" w:hAnsi="Arial"/>
          <w:sz w:val="19"/>
          <w:szCs w:val="19"/>
          <w:color w:val="auto"/>
        </w:rPr>
        <w:t>ed è e sarà effettuata subordinatamente all'approvazione del Comitato per la remunerazione del Consiglio di amministrazione di TripAdvisor e ai termini della Local Authority Grant Policy della Società. Il Dirigente riceverà ulteriori informazioni qualora tale approvazione dovesse essere effettivamente concessa, comprese quelle relative alle modalità di accesso a una copia elettronica del Piano 2018 e dell'accordo azionario, che regolerà i termini di tale concessione di RSU e Stock Option. In caso di conflitto o ambiguità tra questa clausola e il Piano 2018 o l'accordo azionario del Dirigente, prevarranno il Piano 2018 e l'accordo azionario.</w:t>
      </w:r>
    </w:p>
    <w:p>
      <w:pPr>
        <w:spacing w:after="0" w:line="159" w:lineRule="exact"/>
        <w:rPr>
          <w:sz w:val="20"/>
          <w:szCs w:val="20"/>
          <w:color w:val="auto"/>
        </w:rPr>
      </w:pPr>
    </w:p>
    <w:p>
      <w:pPr>
        <w:jc w:val="both"/>
        <w:ind w:left="900" w:right="80"/>
        <w:spacing w:after="0"/>
        <w:rPr>
          <w:sz w:val="20"/>
          <w:szCs w:val="20"/>
          <w:color w:val="auto"/>
        </w:rPr>
      </w:pPr>
      <w:r>
        <w:rPr>
          <w:rFonts w:ascii="Arial" w:cs="Arial" w:eastAsia="Arial" w:hAnsi="Arial"/>
          <w:sz w:val="19"/>
          <w:szCs w:val="19"/>
          <w:color w:val="auto"/>
        </w:rPr>
        <w:t>Il numero di RSU concesse sarà determinato in base al valore di assegnazione di $750.000,00 (in USD) diviso per il prezzo di chiusura delle azioni ordinarie di TripAdvisor, Inc. alla data della concessione, arrotondato per difetto alla più vicina azione intera. Il numero di Stock Option concesse sarà determinato dividendo il valore del premio di $750.000,00 (in USD) per il valore di Black-Scholes delle stock option (come determinato dalla Società, a sua esclusiva discrezione,</w:t>
      </w:r>
    </w:p>
    <w:p>
      <w:pPr>
        <w:spacing w:after="0" w:line="20" w:lineRule="exact"/>
        <w:rPr>
          <w:sz w:val="20"/>
          <w:szCs w:val="20"/>
          <w:color w:val="auto"/>
        </w:rPr>
      </w:pPr>
      <w:r>
        <w:rPr>
          <w:sz w:val="20"/>
          <w:szCs w:val="20"/>
          <w:color w:val="auto"/>
        </w:rPr>
        <w:br w:type="column"/>
      </w:r>
    </w:p>
    <w:p>
      <w:pPr>
        <w:jc w:val="both"/>
        <w:ind w:left="640" w:right="279"/>
        <w:spacing w:after="0" w:line="242" w:lineRule="auto"/>
        <w:rPr>
          <w:sz w:val="20"/>
          <w:szCs w:val="20"/>
          <w:color w:val="auto"/>
        </w:rPr>
      </w:pPr>
      <w:r>
        <w:rPr>
          <w:rFonts w:ascii="Arial" w:cs="Arial" w:eastAsia="Arial" w:hAnsi="Arial"/>
          <w:sz w:val="19"/>
          <w:szCs w:val="19"/>
          <w:color w:val="auto"/>
        </w:rPr>
        <w:t>If the Company makes a bonus payment to the Executive in respect of a particular financial year of the Company, it shall not be obliged to make subsequent bonus payments in respect of subsequent financial years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-541655</wp:posOffset>
            </wp:positionV>
            <wp:extent cx="8890" cy="78606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8890" cy="7860665"/>
                    </a:xfrm>
                    <a:prstGeom prst="rect">
                      <a:avLst/>
                    </a:prstGeom>
                    <a:noFill/>
                  </pic:spPr>
                </pic:pic>
              </a:graphicData>
            </a:graphic>
          </wp:anchor>
        </w:drawing>
      </w:r>
    </w:p>
    <w:p>
      <w:pPr>
        <w:spacing w:after="0" w:line="139" w:lineRule="exact"/>
        <w:rPr>
          <w:sz w:val="20"/>
          <w:szCs w:val="20"/>
          <w:color w:val="auto"/>
        </w:rPr>
      </w:pPr>
    </w:p>
    <w:p>
      <w:pPr>
        <w:jc w:val="both"/>
        <w:ind w:left="640" w:right="279"/>
        <w:spacing w:after="0" w:line="245" w:lineRule="auto"/>
        <w:rPr>
          <w:sz w:val="20"/>
          <w:szCs w:val="20"/>
          <w:color w:val="auto"/>
        </w:rPr>
      </w:pPr>
      <w:r>
        <w:rPr>
          <w:rFonts w:ascii="Arial" w:cs="Arial" w:eastAsia="Arial" w:hAnsi="Arial"/>
          <w:sz w:val="19"/>
          <w:szCs w:val="19"/>
          <w:color w:val="auto"/>
        </w:rPr>
        <w:t>This bonus will have no impact on all other direct, deferred economic, contractual, regulatory and legal institutions, with the exception of TFR.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8"/>
          <w:szCs w:val="18"/>
          <w:u w:val="single" w:color="auto"/>
          <w:color w:val="auto"/>
        </w:rPr>
        <w:t>Equity</w:t>
      </w:r>
    </w:p>
    <w:p>
      <w:pPr>
        <w:spacing w:after="0" w:line="214" w:lineRule="exact"/>
        <w:rPr>
          <w:sz w:val="20"/>
          <w:szCs w:val="20"/>
          <w:color w:val="auto"/>
        </w:rPr>
      </w:pPr>
    </w:p>
    <w:p>
      <w:pPr>
        <w:jc w:val="both"/>
        <w:ind w:left="640" w:right="279"/>
        <w:spacing w:after="0" w:line="245" w:lineRule="auto"/>
        <w:rPr>
          <w:sz w:val="20"/>
          <w:szCs w:val="20"/>
          <w:color w:val="auto"/>
        </w:rPr>
      </w:pPr>
      <w:r>
        <w:rPr>
          <w:rFonts w:ascii="Arial" w:cs="Arial" w:eastAsia="Arial" w:hAnsi="Arial"/>
          <w:sz w:val="19"/>
          <w:szCs w:val="19"/>
          <w:color w:val="auto"/>
        </w:rPr>
        <w:t>As described herein, the Company would like to present the Executive with i) an award of restricted stock units ("RSUs") with a value (as calculated below) of</w:t>
      </w:r>
    </w:p>
    <w:p>
      <w:pPr>
        <w:spacing w:after="0" w:line="59" w:lineRule="exact"/>
        <w:rPr>
          <w:sz w:val="20"/>
          <w:szCs w:val="20"/>
          <w:color w:val="auto"/>
        </w:rPr>
      </w:pPr>
    </w:p>
    <w:p>
      <w:pPr>
        <w:jc w:val="both"/>
        <w:ind w:left="720" w:right="59"/>
        <w:spacing w:after="0"/>
        <w:rPr>
          <w:sz w:val="20"/>
          <w:szCs w:val="20"/>
          <w:color w:val="auto"/>
        </w:rPr>
      </w:pPr>
      <w:r>
        <w:rPr>
          <w:rFonts w:ascii="Arial" w:cs="Arial" w:eastAsia="Arial" w:hAnsi="Arial"/>
          <w:sz w:val="19"/>
          <w:szCs w:val="19"/>
          <w:color w:val="auto"/>
        </w:rPr>
        <w:t>usando il prezzo di chiusura delle azioni ordinarie di TripAdvisor, Inc. alla data effettiva della concessione), arrotondato per difetto al numero intero più vicino. I premi RSU e il 50% delle Stock Option matureranno per il 25% al primo anniversario della data di concessione e, successivamente, il 6,25% maturerà trimestralmente, fatta salva la decadenza anticipata in caso di cessazione del rapporto per qualsiasi motivo da parte del Dirigente o da parte</w:t>
      </w:r>
    </w:p>
    <w:p>
      <w:pPr>
        <w:sectPr>
          <w:pgSz w:w="11900" w:h="16838" w:orient="portrait"/>
          <w:cols w:equalWidth="0" w:num="2">
            <w:col w:w="4260" w:space="720"/>
            <w:col w:w="4039"/>
          </w:cols>
          <w:pgMar w:left="1440" w:top="882" w:right="1440" w:bottom="0" w:gutter="0" w:footer="0" w:header="0"/>
        </w:sectPr>
      </w:pPr>
    </w:p>
    <w:bookmarkStart w:id="53" w:name="page54"/>
    <w:bookmarkEnd w:id="53"/>
    <w:p>
      <w:pPr>
        <w:ind w:left="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54" w:name="page55"/>
    <w:bookmarkEnd w:id="54"/>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140335</wp:posOffset>
            </wp:positionV>
            <wp:extent cx="8255" cy="76466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8255" cy="7646670"/>
                    </a:xfrm>
                    <a:prstGeom prst="rect">
                      <a:avLst/>
                    </a:prstGeom>
                    <a:noFill/>
                  </pic:spPr>
                </pic:pic>
              </a:graphicData>
            </a:graphic>
          </wp:anchor>
        </w:drawing>
      </w:r>
    </w:p>
    <w:p>
      <w:pPr>
        <w:jc w:val="both"/>
        <w:ind w:left="840" w:right="940"/>
        <w:spacing w:after="0" w:line="252" w:lineRule="auto"/>
        <w:rPr>
          <w:sz w:val="20"/>
          <w:szCs w:val="20"/>
          <w:color w:val="auto"/>
        </w:rPr>
      </w:pPr>
      <w:r>
        <w:rPr>
          <w:rFonts w:ascii="Arial" w:cs="Arial" w:eastAsia="Arial" w:hAnsi="Arial"/>
          <w:sz w:val="18"/>
          <w:szCs w:val="18"/>
          <w:color w:val="auto"/>
        </w:rPr>
        <w:t>$750,000.00 (in USD); and ii) options to purchase shares of common stock ("Stock Options") with a value (as calculated below) of $750,000.00 (in USD). This is a one-time grant of RSUs and Stock Options under the TripAdvisor, Inc. 2018 Stock and Annual Incentive Plan (the "2018 Plan"), and is and is made subject to approval of the Compensation Committee of the Board of Directors of TripAdvisor and pursuant to the terms of the Company’s Local Authority Grant Policy. If such approval is granted, the Executive will receive additional information, including how he can access an electronic copy of the 2018 Plan and equity agreement, which will govern the terms of the RSUs and Stock Options. In the event of any conflict or ambiguity between this letter and the 2018 Plan or the Executive’s equity agreement, the 2018 Plan and the equity agreement will govern.</w:t>
      </w:r>
    </w:p>
    <w:p>
      <w:pPr>
        <w:spacing w:after="0" w:line="156" w:lineRule="exact"/>
        <w:rPr>
          <w:sz w:val="20"/>
          <w:szCs w:val="20"/>
          <w:color w:val="auto"/>
        </w:rPr>
      </w:pPr>
    </w:p>
    <w:p>
      <w:pPr>
        <w:jc w:val="both"/>
        <w:ind w:left="840" w:right="960"/>
        <w:spacing w:after="0" w:line="243" w:lineRule="auto"/>
        <w:rPr>
          <w:sz w:val="20"/>
          <w:szCs w:val="20"/>
          <w:color w:val="auto"/>
        </w:rPr>
      </w:pPr>
      <w:r>
        <w:rPr>
          <w:rFonts w:ascii="Arial" w:cs="Arial" w:eastAsia="Arial" w:hAnsi="Arial"/>
          <w:sz w:val="19"/>
          <w:szCs w:val="19"/>
          <w:color w:val="auto"/>
        </w:rPr>
        <w:t>The number of RSUs granted will be determined based on the award value of</w:t>
      </w:r>
    </w:p>
    <w:p>
      <w:pPr>
        <w:spacing w:after="0" w:line="2" w:lineRule="exact"/>
        <w:rPr>
          <w:sz w:val="20"/>
          <w:szCs w:val="20"/>
          <w:color w:val="auto"/>
        </w:rPr>
      </w:pPr>
    </w:p>
    <w:p>
      <w:pPr>
        <w:jc w:val="both"/>
        <w:ind w:left="840" w:right="940"/>
        <w:spacing w:after="0" w:line="251" w:lineRule="auto"/>
        <w:rPr>
          <w:sz w:val="20"/>
          <w:szCs w:val="20"/>
          <w:color w:val="auto"/>
        </w:rPr>
      </w:pPr>
      <w:r>
        <w:rPr>
          <w:rFonts w:ascii="Arial" w:cs="Arial" w:eastAsia="Arial" w:hAnsi="Arial"/>
          <w:sz w:val="19"/>
          <w:szCs w:val="19"/>
          <w:color w:val="auto"/>
        </w:rPr>
        <w:t>$750,000.00 (in USD) divided by the closing price of TripAdvisor, Inc.</w:t>
      </w:r>
    </w:p>
    <w:p>
      <w:pPr>
        <w:spacing w:after="0" w:line="173" w:lineRule="exact"/>
        <w:rPr>
          <w:sz w:val="20"/>
          <w:szCs w:val="20"/>
          <w:color w:val="auto"/>
        </w:rPr>
      </w:pPr>
    </w:p>
    <w:p>
      <w:pPr>
        <w:jc w:val="both"/>
        <w:ind w:left="900" w:right="720"/>
        <w:spacing w:after="0" w:line="242" w:lineRule="auto"/>
        <w:rPr>
          <w:sz w:val="20"/>
          <w:szCs w:val="20"/>
          <w:color w:val="auto"/>
        </w:rPr>
      </w:pPr>
      <w:r>
        <w:rPr>
          <w:rFonts w:ascii="Arial" w:cs="Arial" w:eastAsia="Arial" w:hAnsi="Arial"/>
          <w:sz w:val="19"/>
          <w:szCs w:val="19"/>
          <w:color w:val="auto"/>
        </w:rPr>
        <w:t>della Società. Il restante 50% delle Stock Option maturerà al terzo anniversario dalla data di concessione, fatta salva la decadenza anticipata in caso di cessazione del rapporto per qualsiasi motivo da parte del Dirigente o da parte della Società.</w:t>
      </w:r>
    </w:p>
    <w:p>
      <w:pPr>
        <w:spacing w:after="0" w:line="159" w:lineRule="exact"/>
        <w:rPr>
          <w:sz w:val="20"/>
          <w:szCs w:val="20"/>
          <w:color w:val="auto"/>
        </w:rPr>
      </w:pPr>
    </w:p>
    <w:p>
      <w:pPr>
        <w:jc w:val="both"/>
        <w:ind w:left="900" w:right="720"/>
        <w:spacing w:after="0"/>
        <w:rPr>
          <w:sz w:val="20"/>
          <w:szCs w:val="20"/>
          <w:color w:val="auto"/>
        </w:rPr>
      </w:pPr>
      <w:r>
        <w:rPr>
          <w:rFonts w:ascii="Arial" w:cs="Arial" w:eastAsia="Arial" w:hAnsi="Arial"/>
          <w:sz w:val="19"/>
          <w:szCs w:val="19"/>
          <w:color w:val="auto"/>
        </w:rPr>
        <w:t>Tale clausola si riferisce esclusivamente alle concessioni una tantum indicate all’interno del presente paragrafo e non potrà essere interpretata in alcun modo come impegno della Società per ulteriori concessioni. L'indicazione di cui sopra</w:t>
      </w:r>
    </w:p>
    <w:p>
      <w:pPr>
        <w:spacing w:after="0" w:line="1" w:lineRule="exact"/>
        <w:rPr>
          <w:sz w:val="20"/>
          <w:szCs w:val="20"/>
          <w:color w:val="auto"/>
        </w:rPr>
      </w:pPr>
    </w:p>
    <w:p>
      <w:pPr>
        <w:jc w:val="both"/>
        <w:ind w:left="900" w:right="720" w:firstLine="7"/>
        <w:spacing w:after="0" w:line="239" w:lineRule="auto"/>
        <w:tabs>
          <w:tab w:leader="none" w:pos="1148" w:val="left"/>
        </w:tabs>
        <w:numPr>
          <w:ilvl w:val="0"/>
          <w:numId w:val="40"/>
        </w:numPr>
        <w:rPr>
          <w:rFonts w:ascii="Arial" w:cs="Arial" w:eastAsia="Arial" w:hAnsi="Arial"/>
          <w:sz w:val="19"/>
          <w:szCs w:val="19"/>
          <w:color w:val="auto"/>
        </w:rPr>
      </w:pPr>
      <w:r>
        <w:rPr>
          <w:rFonts w:ascii="Arial" w:cs="Arial" w:eastAsia="Arial" w:hAnsi="Arial"/>
          <w:sz w:val="19"/>
          <w:szCs w:val="19"/>
          <w:color w:val="auto"/>
        </w:rPr>
        <w:t>solo a scopo informativo e non incorpora nel presente contratto alcuna disposizione del Piano 2018 e/o dell’accordo azionari. TripAdvisor, Inc. si riserva di volta in volta il diritto di modificare i termini del Piano 2018 a propria esclusiva discrezione.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9"/>
          <w:szCs w:val="19"/>
          <w:u w:val="single" w:color="auto"/>
          <w:color w:val="auto"/>
        </w:rPr>
        <w:t>Orario di lavoro</w:t>
      </w:r>
    </w:p>
    <w:p>
      <w:pPr>
        <w:spacing w:after="0" w:line="214" w:lineRule="exact"/>
        <w:rPr>
          <w:sz w:val="20"/>
          <w:szCs w:val="20"/>
          <w:color w:val="auto"/>
        </w:rPr>
      </w:pPr>
    </w:p>
    <w:p>
      <w:pPr>
        <w:jc w:val="both"/>
        <w:ind w:left="900" w:right="720"/>
        <w:spacing w:after="0"/>
        <w:rPr>
          <w:sz w:val="20"/>
          <w:szCs w:val="20"/>
          <w:color w:val="auto"/>
        </w:rPr>
      </w:pPr>
      <w:r>
        <w:rPr>
          <w:rFonts w:ascii="Arial" w:cs="Arial" w:eastAsia="Arial" w:hAnsi="Arial"/>
          <w:sz w:val="19"/>
          <w:szCs w:val="19"/>
          <w:color w:val="auto"/>
        </w:rPr>
        <w:t>Il Dirigente è tenuto a dedicare tutte le proprie energie lavorative in favore della Società ed a supportare gli interessi della Società al meglio delle sue capacità. Il Dirigente si dichiara sin d'ora disponibile a prestare la sua attività lavorativa oltre il normale orario di lavoro, nella misura in cui ciò fosse necessario per l'interesse della Società.</w:t>
      </w:r>
    </w:p>
    <w:p>
      <w:pPr>
        <w:spacing w:after="0" w:line="20" w:lineRule="exact"/>
        <w:rPr>
          <w:sz w:val="20"/>
          <w:szCs w:val="20"/>
          <w:color w:val="auto"/>
        </w:rPr>
      </w:pPr>
      <w:r>
        <w:rPr>
          <w:sz w:val="20"/>
          <w:szCs w:val="20"/>
          <w:color w:val="auto"/>
        </w:rPr>
        <w:br w:type="column"/>
      </w:r>
    </w:p>
    <w:p>
      <w:pPr>
        <w:jc w:val="both"/>
        <w:ind w:right="279"/>
        <w:spacing w:after="0" w:line="238" w:lineRule="auto"/>
        <w:rPr>
          <w:sz w:val="20"/>
          <w:szCs w:val="20"/>
          <w:color w:val="auto"/>
        </w:rPr>
      </w:pPr>
      <w:r>
        <w:rPr>
          <w:rFonts w:ascii="Arial" w:cs="Arial" w:eastAsia="Arial" w:hAnsi="Arial"/>
          <w:sz w:val="19"/>
          <w:szCs w:val="19"/>
          <w:color w:val="auto"/>
        </w:rPr>
        <w:t>common stock on the date of grant, rounded down to the nearest whole share. The number of Stock Options granted will be determined by dividing the award value of $750,000.00 (in USD) by the Black-Scholes value of stock option (as determined by the Company, in its sole discretion, using the closing price of TripAdvisor, Inc. common stock on the effective date of grant), rounded down to the nearest whole number. The RSUs and 50% of the Stock Option awards will vest 25% on the first anniversary of the grant date, and 6.25% will vest quarterly thereafter, subject to earlier forfeiture in the event of your separation of employment for any reason by you or by the Company. The remaining 50% of the Stock Option awards will vest on the third anniversary of the grant date, subject to earlier forfeiture in the event of your separation of employment for any reason by you or by the Company.</w:t>
      </w:r>
    </w:p>
    <w:p>
      <w:pPr>
        <w:spacing w:after="0" w:line="172" w:lineRule="exact"/>
        <w:rPr>
          <w:sz w:val="20"/>
          <w:szCs w:val="20"/>
          <w:color w:val="auto"/>
        </w:rPr>
      </w:pPr>
    </w:p>
    <w:p>
      <w:pPr>
        <w:jc w:val="both"/>
        <w:ind w:right="279"/>
        <w:spacing w:after="0" w:line="248" w:lineRule="auto"/>
        <w:rPr>
          <w:sz w:val="20"/>
          <w:szCs w:val="20"/>
          <w:color w:val="auto"/>
        </w:rPr>
      </w:pPr>
      <w:r>
        <w:rPr>
          <w:rFonts w:ascii="Arial" w:cs="Arial" w:eastAsia="Arial" w:hAnsi="Arial"/>
          <w:sz w:val="19"/>
          <w:szCs w:val="19"/>
          <w:color w:val="auto"/>
        </w:rPr>
        <w:t>The present section is limited to the one-time grants as indicated in this section, and in no way can be interpreted as the</w:t>
      </w:r>
    </w:p>
    <w:p>
      <w:pPr>
        <w:spacing w:after="0" w:line="177" w:lineRule="exact"/>
        <w:rPr>
          <w:sz w:val="20"/>
          <w:szCs w:val="20"/>
          <w:color w:val="auto"/>
        </w:rPr>
      </w:pPr>
    </w:p>
    <w:p>
      <w:pPr>
        <w:jc w:val="both"/>
        <w:ind w:left="80" w:right="59"/>
        <w:spacing w:after="0"/>
        <w:rPr>
          <w:sz w:val="20"/>
          <w:szCs w:val="20"/>
          <w:color w:val="auto"/>
        </w:rPr>
      </w:pPr>
      <w:r>
        <w:rPr>
          <w:rFonts w:ascii="Arial" w:cs="Arial" w:eastAsia="Arial" w:hAnsi="Arial"/>
          <w:sz w:val="19"/>
          <w:szCs w:val="19"/>
          <w:color w:val="auto"/>
        </w:rPr>
        <w:t>Il Dirigente non percepirà alcuna remunerazione aggiuntiva per le ore di lavoro prestate oltre il normale orario di lavoro della Società. Infatti, la sua retribuzione - cosi come indicata ai paragrafi che precedono - è già comprensiva di ogni attività lavorativa che il Dirigente presterà nell'interesse della Società, anche nel caso in cui tale attività venga svolta oltre il normale orario di lavoro della Società.</w:t>
      </w:r>
    </w:p>
    <w:p>
      <w:pPr>
        <w:sectPr>
          <w:pgSz w:w="11900" w:h="16838" w:orient="portrait"/>
          <w:cols w:equalWidth="0" w:num="2">
            <w:col w:w="4900" w:space="720"/>
            <w:col w:w="3399"/>
          </w:cols>
          <w:pgMar w:left="1440" w:top="882" w:right="1440" w:bottom="44" w:gutter="0" w:footer="0" w:header="0"/>
        </w:sectPr>
      </w:pPr>
    </w:p>
    <w:bookmarkStart w:id="55" w:name="page56"/>
    <w:bookmarkEnd w:id="55"/>
    <w:p>
      <w:pPr>
        <w:ind w:left="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56" w:name="page57"/>
    <w:bookmarkEnd w:id="56"/>
    <w:p>
      <w:pPr>
        <w:jc w:val="both"/>
        <w:ind w:left="840" w:right="400"/>
        <w:spacing w:after="0" w:line="241" w:lineRule="auto"/>
        <w:rPr>
          <w:sz w:val="20"/>
          <w:szCs w:val="20"/>
          <w:color w:val="auto"/>
        </w:rPr>
      </w:pPr>
      <w:r>
        <w:rPr>
          <w:rFonts w:ascii="Arial" w:cs="Arial" w:eastAsia="Arial" w:hAnsi="Arial"/>
          <w:sz w:val="19"/>
          <w:szCs w:val="19"/>
          <w:color w:val="auto"/>
        </w:rPr>
        <w:t>Company’s commitment to additional awards. The above indication is for information purposes only and does not incorporate any provisions of the 2018 Plan and/or your equity agreement into the present contract. TripAdvisor, Inc. reserves the right to change the terms of the 2018 Plan in its sole discretion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-953135</wp:posOffset>
            </wp:positionV>
            <wp:extent cx="8890" cy="76377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8890" cy="763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218"/>
        </w:trPr>
        <w:tc>
          <w:tcPr>
            <w:tcW w:w="440" w:type="dxa"/>
            <w:vAlign w:val="bottom"/>
          </w:tcPr>
          <w:p>
            <w:pPr>
              <w:spacing w:after="0"/>
              <w:rPr>
                <w:sz w:val="20"/>
                <w:szCs w:val="20"/>
                <w:color w:val="auto"/>
              </w:rPr>
            </w:pPr>
            <w:r>
              <w:rPr>
                <w:rFonts w:ascii="Arial" w:cs="Arial" w:eastAsia="Arial" w:hAnsi="Arial"/>
                <w:sz w:val="19"/>
                <w:szCs w:val="19"/>
                <w:color w:val="auto"/>
              </w:rPr>
              <w:t>6.</w:t>
            </w:r>
          </w:p>
        </w:tc>
        <w:tc>
          <w:tcPr>
            <w:tcW w:w="96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9"/>
                <w:szCs w:val="19"/>
                <w:b w:val="1"/>
                <w:bCs w:val="1"/>
                <w:color w:val="auto"/>
              </w:rPr>
              <w:t xml:space="preserve">Luogo di lavoro - mobilità  </w:t>
            </w:r>
            <w:r>
              <w:rPr>
                <w:rFonts w:ascii="Arial" w:cs="Arial" w:eastAsia="Arial" w:hAnsi="Arial"/>
                <w:sz w:val="19"/>
                <w:szCs w:val="19"/>
                <w:color w:val="auto"/>
              </w:rPr>
              <w:t>6.</w:t>
            </w:r>
          </w:p>
        </w:tc>
      </w:tr>
      <w:tr>
        <w:trPr>
          <w:trHeight w:val="20"/>
        </w:trPr>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440" w:type="dxa"/>
            <w:vAlign w:val="bottom"/>
          </w:tcPr>
          <w:p>
            <w:pPr>
              <w:spacing w:after="0"/>
              <w:rPr>
                <w:sz w:val="20"/>
                <w:szCs w:val="20"/>
                <w:color w:val="auto"/>
              </w:rPr>
            </w:pPr>
            <w:r>
              <w:rPr>
                <w:rFonts w:ascii="Arial" w:cs="Arial" w:eastAsia="Arial" w:hAnsi="Arial"/>
                <w:sz w:val="19"/>
                <w:szCs w:val="19"/>
                <w:color w:val="auto"/>
              </w:rPr>
              <w:t>6.1</w:t>
            </w:r>
          </w:p>
        </w:tc>
        <w:tc>
          <w:tcPr>
            <w:tcW w:w="3640" w:type="dxa"/>
            <w:vAlign w:val="bottom"/>
            <w:gridSpan w:val="3"/>
          </w:tcPr>
          <w:p>
            <w:pPr>
              <w:ind w:left="180"/>
              <w:spacing w:after="0"/>
              <w:rPr>
                <w:sz w:val="20"/>
                <w:szCs w:val="20"/>
                <w:color w:val="auto"/>
              </w:rPr>
            </w:pPr>
            <w:r>
              <w:rPr>
                <w:rFonts w:ascii="Arial" w:cs="Arial" w:eastAsia="Arial" w:hAnsi="Arial"/>
                <w:sz w:val="19"/>
                <w:szCs w:val="19"/>
                <w:color w:val="auto"/>
              </w:rPr>
              <w:t>Il  Dirigente  lavorerà  presso  Piazza</w:t>
            </w:r>
          </w:p>
        </w:tc>
      </w:tr>
      <w:tr>
        <w:trPr>
          <w:trHeight w:val="216"/>
        </w:trPr>
        <w:tc>
          <w:tcPr>
            <w:tcW w:w="440" w:type="dxa"/>
            <w:vAlign w:val="bottom"/>
          </w:tcPr>
          <w:p>
            <w:pPr>
              <w:spacing w:after="0"/>
              <w:rPr>
                <w:sz w:val="18"/>
                <w:szCs w:val="18"/>
                <w:color w:val="auto"/>
              </w:rPr>
            </w:pPr>
          </w:p>
        </w:tc>
        <w:tc>
          <w:tcPr>
            <w:tcW w:w="3640" w:type="dxa"/>
            <w:vAlign w:val="bottom"/>
            <w:gridSpan w:val="3"/>
          </w:tcPr>
          <w:p>
            <w:pPr>
              <w:ind w:left="180"/>
              <w:spacing w:after="0" w:line="216" w:lineRule="exact"/>
              <w:rPr>
                <w:sz w:val="20"/>
                <w:szCs w:val="20"/>
                <w:color w:val="auto"/>
              </w:rPr>
            </w:pPr>
            <w:r>
              <w:rPr>
                <w:rFonts w:ascii="Arial" w:cs="Arial" w:eastAsia="Arial" w:hAnsi="Arial"/>
                <w:sz w:val="19"/>
                <w:szCs w:val="19"/>
                <w:color w:val="auto"/>
              </w:rPr>
              <w:t>Cavour, 2 Piani 5 &amp; 6, 20121 Milano</w:t>
            </w:r>
          </w:p>
        </w:tc>
      </w:tr>
      <w:tr>
        <w:trPr>
          <w:trHeight w:val="249"/>
        </w:trPr>
        <w:tc>
          <w:tcPr>
            <w:tcW w:w="440" w:type="dxa"/>
            <w:vAlign w:val="bottom"/>
          </w:tcPr>
          <w:p>
            <w:pPr>
              <w:spacing w:after="0"/>
              <w:rPr>
                <w:sz w:val="21"/>
                <w:szCs w:val="21"/>
                <w:color w:val="auto"/>
              </w:rPr>
            </w:pPr>
          </w:p>
        </w:tc>
        <w:tc>
          <w:tcPr>
            <w:tcW w:w="3640" w:type="dxa"/>
            <w:vAlign w:val="bottom"/>
            <w:gridSpan w:val="3"/>
          </w:tcPr>
          <w:p>
            <w:pPr>
              <w:ind w:left="180"/>
              <w:spacing w:after="0"/>
              <w:rPr>
                <w:sz w:val="20"/>
                <w:szCs w:val="20"/>
                <w:color w:val="auto"/>
              </w:rPr>
            </w:pPr>
            <w:r>
              <w:rPr>
                <w:rFonts w:ascii="Arial" w:cs="Arial" w:eastAsia="Arial" w:hAnsi="Arial"/>
                <w:sz w:val="19"/>
                <w:szCs w:val="19"/>
                <w:color w:val="auto"/>
              </w:rPr>
              <w:t>MI, Italia.</w:t>
            </w:r>
          </w:p>
        </w:tc>
      </w:tr>
      <w:tr>
        <w:trPr>
          <w:trHeight w:val="615"/>
        </w:trPr>
        <w:tc>
          <w:tcPr>
            <w:tcW w:w="440" w:type="dxa"/>
            <w:vAlign w:val="bottom"/>
          </w:tcPr>
          <w:p>
            <w:pPr>
              <w:spacing w:after="0"/>
              <w:rPr>
                <w:sz w:val="20"/>
                <w:szCs w:val="20"/>
                <w:color w:val="auto"/>
              </w:rPr>
            </w:pPr>
            <w:r>
              <w:rPr>
                <w:rFonts w:ascii="Arial" w:cs="Arial" w:eastAsia="Arial" w:hAnsi="Arial"/>
                <w:sz w:val="19"/>
                <w:szCs w:val="19"/>
                <w:color w:val="auto"/>
              </w:rPr>
              <w:t>6.2</w:t>
            </w:r>
          </w:p>
        </w:tc>
        <w:tc>
          <w:tcPr>
            <w:tcW w:w="3640" w:type="dxa"/>
            <w:vAlign w:val="bottom"/>
            <w:gridSpan w:val="3"/>
          </w:tcPr>
          <w:p>
            <w:pPr>
              <w:ind w:left="180"/>
              <w:spacing w:after="0"/>
              <w:rPr>
                <w:sz w:val="20"/>
                <w:szCs w:val="20"/>
                <w:color w:val="auto"/>
              </w:rPr>
            </w:pPr>
            <w:r>
              <w:rPr>
                <w:rFonts w:ascii="Arial" w:cs="Arial" w:eastAsia="Arial" w:hAnsi="Arial"/>
                <w:sz w:val="19"/>
                <w:szCs w:val="19"/>
                <w:color w:val="auto"/>
              </w:rPr>
              <w:t>Tuttavia, si conviene espressamente</w:t>
            </w:r>
          </w:p>
        </w:tc>
      </w:tr>
      <w:tr>
        <w:trPr>
          <w:trHeight w:val="216"/>
        </w:trPr>
        <w:tc>
          <w:tcPr>
            <w:tcW w:w="440" w:type="dxa"/>
            <w:vAlign w:val="bottom"/>
          </w:tcPr>
          <w:p>
            <w:pPr>
              <w:spacing w:after="0"/>
              <w:rPr>
                <w:sz w:val="18"/>
                <w:szCs w:val="18"/>
                <w:color w:val="auto"/>
              </w:rPr>
            </w:pPr>
          </w:p>
        </w:tc>
        <w:tc>
          <w:tcPr>
            <w:tcW w:w="3640" w:type="dxa"/>
            <w:vAlign w:val="bottom"/>
            <w:gridSpan w:val="3"/>
          </w:tcPr>
          <w:p>
            <w:pPr>
              <w:ind w:left="180"/>
              <w:spacing w:after="0" w:line="216" w:lineRule="exact"/>
              <w:rPr>
                <w:sz w:val="20"/>
                <w:szCs w:val="20"/>
                <w:color w:val="auto"/>
              </w:rPr>
            </w:pPr>
            <w:r>
              <w:rPr>
                <w:rFonts w:ascii="Arial" w:cs="Arial" w:eastAsia="Arial" w:hAnsi="Arial"/>
                <w:sz w:val="19"/>
                <w:szCs w:val="19"/>
                <w:color w:val="auto"/>
              </w:rPr>
              <w:t>che i compiti assegnati al Dirigente</w:t>
            </w:r>
          </w:p>
        </w:tc>
      </w:tr>
      <w:tr>
        <w:trPr>
          <w:trHeight w:val="216"/>
        </w:trPr>
        <w:tc>
          <w:tcPr>
            <w:tcW w:w="440" w:type="dxa"/>
            <w:vAlign w:val="bottom"/>
          </w:tcPr>
          <w:p>
            <w:pPr>
              <w:spacing w:after="0"/>
              <w:rPr>
                <w:sz w:val="18"/>
                <w:szCs w:val="18"/>
                <w:color w:val="auto"/>
              </w:rPr>
            </w:pPr>
          </w:p>
        </w:tc>
        <w:tc>
          <w:tcPr>
            <w:tcW w:w="3640" w:type="dxa"/>
            <w:vAlign w:val="bottom"/>
            <w:gridSpan w:val="3"/>
          </w:tcPr>
          <w:p>
            <w:pPr>
              <w:ind w:left="180"/>
              <w:spacing w:after="0" w:line="216" w:lineRule="exact"/>
              <w:rPr>
                <w:sz w:val="20"/>
                <w:szCs w:val="20"/>
                <w:color w:val="auto"/>
              </w:rPr>
            </w:pPr>
            <w:r>
              <w:rPr>
                <w:rFonts w:ascii="Arial" w:cs="Arial" w:eastAsia="Arial" w:hAnsi="Arial"/>
                <w:sz w:val="19"/>
                <w:szCs w:val="19"/>
                <w:color w:val="auto"/>
              </w:rPr>
              <w:t>potrebbero richiedere viaggi in Italia ed</w:t>
            </w:r>
          </w:p>
        </w:tc>
      </w:tr>
      <w:tr>
        <w:trPr>
          <w:trHeight w:val="216"/>
        </w:trPr>
        <w:tc>
          <w:tcPr>
            <w:tcW w:w="440" w:type="dxa"/>
            <w:vAlign w:val="bottom"/>
          </w:tcPr>
          <w:p>
            <w:pPr>
              <w:spacing w:after="0"/>
              <w:rPr>
                <w:sz w:val="18"/>
                <w:szCs w:val="18"/>
                <w:color w:val="auto"/>
              </w:rPr>
            </w:pPr>
          </w:p>
        </w:tc>
        <w:tc>
          <w:tcPr>
            <w:tcW w:w="3640" w:type="dxa"/>
            <w:vAlign w:val="bottom"/>
            <w:gridSpan w:val="3"/>
          </w:tcPr>
          <w:p>
            <w:pPr>
              <w:ind w:left="180"/>
              <w:spacing w:after="0" w:line="216" w:lineRule="exact"/>
              <w:rPr>
                <w:sz w:val="20"/>
                <w:szCs w:val="20"/>
                <w:color w:val="auto"/>
              </w:rPr>
            </w:pPr>
            <w:r>
              <w:rPr>
                <w:rFonts w:ascii="Arial" w:cs="Arial" w:eastAsia="Arial" w:hAnsi="Arial"/>
                <w:sz w:val="19"/>
                <w:szCs w:val="19"/>
                <w:color w:val="auto"/>
              </w:rPr>
              <w:t>all’estero in conformità alle disposizioni</w:t>
            </w:r>
          </w:p>
        </w:tc>
      </w:tr>
      <w:tr>
        <w:trPr>
          <w:trHeight w:val="249"/>
        </w:trPr>
        <w:tc>
          <w:tcPr>
            <w:tcW w:w="440" w:type="dxa"/>
            <w:vAlign w:val="bottom"/>
          </w:tcPr>
          <w:p>
            <w:pPr>
              <w:spacing w:after="0"/>
              <w:rPr>
                <w:sz w:val="21"/>
                <w:szCs w:val="21"/>
                <w:color w:val="auto"/>
              </w:rPr>
            </w:pPr>
          </w:p>
        </w:tc>
        <w:tc>
          <w:tcPr>
            <w:tcW w:w="3640" w:type="dxa"/>
            <w:vAlign w:val="bottom"/>
            <w:gridSpan w:val="3"/>
          </w:tcPr>
          <w:p>
            <w:pPr>
              <w:ind w:left="180"/>
              <w:spacing w:after="0"/>
              <w:rPr>
                <w:sz w:val="20"/>
                <w:szCs w:val="20"/>
                <w:color w:val="auto"/>
              </w:rPr>
            </w:pPr>
            <w:r>
              <w:rPr>
                <w:rFonts w:ascii="Arial" w:cs="Arial" w:eastAsia="Arial" w:hAnsi="Arial"/>
                <w:sz w:val="19"/>
                <w:szCs w:val="19"/>
                <w:color w:val="auto"/>
              </w:rPr>
              <w:t>della legge italiana e del CCNL.</w:t>
            </w:r>
          </w:p>
        </w:tc>
      </w:tr>
      <w:tr>
        <w:trPr>
          <w:trHeight w:val="372"/>
        </w:trPr>
        <w:tc>
          <w:tcPr>
            <w:tcW w:w="440" w:type="dxa"/>
            <w:vAlign w:val="bottom"/>
          </w:tcPr>
          <w:p>
            <w:pPr>
              <w:spacing w:after="0"/>
              <w:rPr>
                <w:sz w:val="20"/>
                <w:szCs w:val="20"/>
                <w:color w:val="auto"/>
              </w:rPr>
            </w:pPr>
            <w:r>
              <w:rPr>
                <w:rFonts w:ascii="Arial" w:cs="Arial" w:eastAsia="Arial" w:hAnsi="Arial"/>
                <w:sz w:val="19"/>
                <w:szCs w:val="19"/>
                <w:color w:val="auto"/>
              </w:rPr>
              <w:t>6.3</w:t>
            </w:r>
          </w:p>
        </w:tc>
        <w:tc>
          <w:tcPr>
            <w:tcW w:w="3640" w:type="dxa"/>
            <w:vAlign w:val="bottom"/>
            <w:gridSpan w:val="3"/>
          </w:tcPr>
          <w:p>
            <w:pPr>
              <w:ind w:left="180"/>
              <w:spacing w:after="0"/>
              <w:rPr>
                <w:sz w:val="20"/>
                <w:szCs w:val="20"/>
                <w:color w:val="auto"/>
              </w:rPr>
            </w:pPr>
            <w:r>
              <w:rPr>
                <w:rFonts w:ascii="Arial" w:cs="Arial" w:eastAsia="Arial" w:hAnsi="Arial"/>
                <w:sz w:val="19"/>
                <w:szCs w:val="19"/>
                <w:color w:val="auto"/>
              </w:rPr>
              <w:t>La  Società  rimborserà  al  Dirigente</w:t>
            </w:r>
          </w:p>
        </w:tc>
      </w:tr>
      <w:tr>
        <w:trPr>
          <w:trHeight w:val="216"/>
        </w:trPr>
        <w:tc>
          <w:tcPr>
            <w:tcW w:w="440" w:type="dxa"/>
            <w:vAlign w:val="bottom"/>
          </w:tcPr>
          <w:p>
            <w:pPr>
              <w:spacing w:after="0"/>
              <w:rPr>
                <w:sz w:val="18"/>
                <w:szCs w:val="18"/>
                <w:color w:val="auto"/>
              </w:rPr>
            </w:pPr>
          </w:p>
        </w:tc>
        <w:tc>
          <w:tcPr>
            <w:tcW w:w="3640" w:type="dxa"/>
            <w:vAlign w:val="bottom"/>
            <w:gridSpan w:val="3"/>
          </w:tcPr>
          <w:p>
            <w:pPr>
              <w:ind w:left="180"/>
              <w:spacing w:after="0" w:line="216" w:lineRule="exact"/>
              <w:rPr>
                <w:sz w:val="20"/>
                <w:szCs w:val="20"/>
                <w:color w:val="auto"/>
              </w:rPr>
            </w:pPr>
            <w:r>
              <w:rPr>
                <w:rFonts w:ascii="Arial" w:cs="Arial" w:eastAsia="Arial" w:hAnsi="Arial"/>
                <w:sz w:val="19"/>
                <w:szCs w:val="19"/>
                <w:color w:val="auto"/>
              </w:rPr>
              <w:t>tutte le necessarie e ragionevoli spese,</w:t>
            </w:r>
          </w:p>
        </w:tc>
      </w:tr>
      <w:tr>
        <w:trPr>
          <w:trHeight w:val="216"/>
        </w:trPr>
        <w:tc>
          <w:tcPr>
            <w:tcW w:w="440" w:type="dxa"/>
            <w:vAlign w:val="bottom"/>
          </w:tcPr>
          <w:p>
            <w:pPr>
              <w:spacing w:after="0"/>
              <w:rPr>
                <w:sz w:val="18"/>
                <w:szCs w:val="18"/>
                <w:color w:val="auto"/>
              </w:rPr>
            </w:pPr>
          </w:p>
        </w:tc>
        <w:tc>
          <w:tcPr>
            <w:tcW w:w="3640" w:type="dxa"/>
            <w:vAlign w:val="bottom"/>
            <w:gridSpan w:val="3"/>
          </w:tcPr>
          <w:p>
            <w:pPr>
              <w:ind w:left="180"/>
              <w:spacing w:after="0" w:line="216" w:lineRule="exact"/>
              <w:rPr>
                <w:sz w:val="20"/>
                <w:szCs w:val="20"/>
                <w:color w:val="auto"/>
              </w:rPr>
            </w:pPr>
            <w:r>
              <w:rPr>
                <w:rFonts w:ascii="Arial" w:cs="Arial" w:eastAsia="Arial" w:hAnsi="Arial"/>
                <w:sz w:val="19"/>
                <w:szCs w:val="19"/>
                <w:color w:val="auto"/>
              </w:rPr>
              <w:t>di  viaggio  e  affari,  ,  a  fronte  della</w:t>
            </w:r>
          </w:p>
        </w:tc>
      </w:tr>
      <w:tr>
        <w:trPr>
          <w:trHeight w:val="234"/>
        </w:trPr>
        <w:tc>
          <w:tcPr>
            <w:tcW w:w="440" w:type="dxa"/>
            <w:vAlign w:val="bottom"/>
          </w:tcPr>
          <w:p>
            <w:pPr>
              <w:spacing w:after="0"/>
              <w:rPr>
                <w:sz w:val="20"/>
                <w:szCs w:val="20"/>
                <w:color w:val="auto"/>
              </w:rPr>
            </w:pPr>
          </w:p>
        </w:tc>
        <w:tc>
          <w:tcPr>
            <w:tcW w:w="3640" w:type="dxa"/>
            <w:vAlign w:val="bottom"/>
            <w:gridSpan w:val="3"/>
          </w:tcPr>
          <w:p>
            <w:pPr>
              <w:ind w:left="180"/>
              <w:spacing w:after="0"/>
              <w:rPr>
                <w:sz w:val="20"/>
                <w:szCs w:val="20"/>
                <w:color w:val="auto"/>
              </w:rPr>
            </w:pPr>
            <w:r>
              <w:rPr>
                <w:rFonts w:ascii="Arial" w:cs="Arial" w:eastAsia="Arial" w:hAnsi="Arial"/>
                <w:sz w:val="19"/>
                <w:szCs w:val="19"/>
                <w:color w:val="auto"/>
              </w:rPr>
              <w:t>presentazione da parte del Dirigente</w:t>
            </w:r>
          </w:p>
        </w:tc>
      </w:tr>
    </w:tbl>
    <w:p>
      <w:pPr>
        <w:jc w:val="both"/>
        <w:ind w:left="900" w:right="180"/>
        <w:spacing w:after="0" w:line="244" w:lineRule="auto"/>
        <w:rPr>
          <w:sz w:val="20"/>
          <w:szCs w:val="20"/>
          <w:color w:val="auto"/>
        </w:rPr>
      </w:pPr>
      <w:r>
        <w:rPr>
          <w:rFonts w:ascii="Arial" w:cs="Arial" w:eastAsia="Arial" w:hAnsi="Arial"/>
          <w:sz w:val="19"/>
          <w:szCs w:val="19"/>
          <w:color w:val="auto"/>
        </w:rPr>
        <w:t>dei relativi giustificativi, quali ricevute o fatture, in conformità a quanto previsto dalla legislazione fiscale vigente.</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8"/>
          <w:szCs w:val="18"/>
          <w:u w:val="single" w:color="auto"/>
          <w:color w:val="auto"/>
        </w:rPr>
        <w:t>Working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75565</wp:posOffset>
            </wp:positionV>
            <wp:extent cx="8890" cy="76377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890" cy="7637780"/>
                    </a:xfrm>
                    <a:prstGeom prst="rect">
                      <a:avLst/>
                    </a:prstGeom>
                    <a:noFill/>
                  </pic:spPr>
                </pic:pic>
              </a:graphicData>
            </a:graphic>
          </wp:anchor>
        </w:drawing>
      </w:r>
    </w:p>
    <w:p>
      <w:pPr>
        <w:spacing w:after="0" w:line="180" w:lineRule="exact"/>
        <w:rPr>
          <w:sz w:val="20"/>
          <w:szCs w:val="20"/>
          <w:color w:val="auto"/>
        </w:rPr>
      </w:pPr>
    </w:p>
    <w:p>
      <w:pPr>
        <w:jc w:val="both"/>
        <w:ind w:left="1000" w:right="279"/>
        <w:spacing w:after="0" w:line="241" w:lineRule="auto"/>
        <w:rPr>
          <w:sz w:val="20"/>
          <w:szCs w:val="20"/>
          <w:color w:val="auto"/>
        </w:rPr>
      </w:pPr>
      <w:r>
        <w:rPr>
          <w:rFonts w:ascii="Arial" w:cs="Arial" w:eastAsia="Arial" w:hAnsi="Arial"/>
          <w:sz w:val="19"/>
          <w:szCs w:val="19"/>
          <w:color w:val="auto"/>
        </w:rPr>
        <w:t>The Executive must dedicate his full working power to the Company and must support the Company's interest to the best of his ability. As far as this is required for the benefit of the Company, the Executive is also available to perform the working activity beyond the normal working hours.</w:t>
      </w:r>
    </w:p>
    <w:p>
      <w:pPr>
        <w:spacing w:after="0" w:line="200" w:lineRule="exact"/>
        <w:rPr>
          <w:sz w:val="20"/>
          <w:szCs w:val="20"/>
          <w:color w:val="auto"/>
        </w:rPr>
      </w:pPr>
    </w:p>
    <w:p>
      <w:pPr>
        <w:spacing w:after="0" w:line="390" w:lineRule="exact"/>
        <w:rPr>
          <w:sz w:val="20"/>
          <w:szCs w:val="20"/>
          <w:color w:val="auto"/>
        </w:rPr>
      </w:pPr>
    </w:p>
    <w:p>
      <w:pPr>
        <w:jc w:val="both"/>
        <w:ind w:left="1000" w:right="279"/>
        <w:spacing w:after="0"/>
        <w:rPr>
          <w:sz w:val="20"/>
          <w:szCs w:val="20"/>
          <w:color w:val="auto"/>
        </w:rPr>
      </w:pPr>
      <w:r>
        <w:rPr>
          <w:rFonts w:ascii="Arial" w:cs="Arial" w:eastAsia="Arial" w:hAnsi="Arial"/>
          <w:sz w:val="19"/>
          <w:szCs w:val="19"/>
          <w:color w:val="auto"/>
        </w:rPr>
        <w:t>The Executive shall not be entitled to additional remuneration for work performed exceeding the Company’s normal hours of work. In fact, his remuneration - as provided under paragraphs above - includes any work activities that he will render in the interest of the Company, even when these will be performed outside the Company’s normal working hours.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Place of work – mobility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960" w:right="279" w:hanging="599"/>
        <w:spacing w:after="0" w:line="245" w:lineRule="auto"/>
        <w:tabs>
          <w:tab w:leader="none" w:pos="94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color w:val="auto"/>
        </w:rPr>
        <w:t>Nonetheless, it is expressly agreed that the Executive’s duties could require her/him to make trips both in Italy and abroad according to the provisions of Italian law and NCLA.</w:t>
      </w:r>
    </w:p>
    <w:p>
      <w:pPr>
        <w:spacing w:after="0" w:line="154" w:lineRule="exact"/>
        <w:rPr>
          <w:sz w:val="20"/>
          <w:szCs w:val="20"/>
          <w:color w:val="auto"/>
        </w:rPr>
      </w:pPr>
    </w:p>
    <w:p>
      <w:pPr>
        <w:jc w:val="both"/>
        <w:ind w:left="960" w:right="279" w:hanging="599"/>
        <w:spacing w:after="0" w:line="242" w:lineRule="auto"/>
        <w:tabs>
          <w:tab w:leader="none" w:pos="940"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9"/>
          <w:szCs w:val="19"/>
          <w:color w:val="auto"/>
        </w:rPr>
        <w:t>The Company shall reimburse the Executive for any necessary and reasonable business and travel expenses, on the condition that the Executive provides proper individual proof of such expenses such as receipts and invoices, in compliance with the fiscal regulations.</w:t>
      </w:r>
    </w:p>
    <w:p>
      <w:pPr>
        <w:sectPr>
          <w:pgSz w:w="11900" w:h="16838" w:orient="portrait"/>
          <w:cols w:equalWidth="0" w:num="2">
            <w:col w:w="4360" w:space="260"/>
            <w:col w:w="4399"/>
          </w:cols>
          <w:pgMar w:left="1440" w:top="963" w:right="1440" w:bottom="1440" w:gutter="0" w:footer="0" w:header="0"/>
        </w:sectPr>
      </w:pPr>
    </w:p>
    <w:bookmarkStart w:id="57" w:name="page58"/>
    <w:bookmarkEnd w:id="57"/>
    <w:p>
      <w:pPr>
        <w:ind w:left="280"/>
        <w:spacing w:after="0"/>
        <w:tabs>
          <w:tab w:leader="none" w:pos="1660" w:val="left"/>
          <w:tab w:leader="none" w:pos="2500" w:val="left"/>
          <w:tab w:leader="none" w:pos="2920" w:val="left"/>
        </w:tabs>
        <w:rPr>
          <w:sz w:val="20"/>
          <w:szCs w:val="20"/>
          <w:color w:val="auto"/>
        </w:rPr>
      </w:pPr>
      <w:r>
        <w:rPr>
          <w:rFonts w:ascii="Arial" w:cs="Arial" w:eastAsia="Arial" w:hAnsi="Arial"/>
          <w:sz w:val="19"/>
          <w:szCs w:val="19"/>
          <w:color w:val="auto"/>
        </w:rPr>
        <w:t>7.</w:t>
      </w:r>
      <w:r>
        <w:rPr>
          <w:sz w:val="20"/>
          <w:szCs w:val="20"/>
          <w:color w:val="auto"/>
        </w:rPr>
        <w:tab/>
      </w:r>
      <w:r>
        <w:rPr>
          <w:rFonts w:ascii="Arial" w:cs="Arial" w:eastAsia="Arial" w:hAnsi="Arial"/>
          <w:sz w:val="19"/>
          <w:szCs w:val="19"/>
          <w:b w:val="1"/>
          <w:bCs w:val="1"/>
          <w:u w:val="single" w:color="auto"/>
          <w:color w:val="auto"/>
        </w:rPr>
        <w:t>Ferie</w:t>
      </w:r>
      <w:r>
        <w:rPr>
          <w:sz w:val="20"/>
          <w:szCs w:val="20"/>
          <w:color w:val="auto"/>
        </w:rPr>
        <w:tab/>
      </w:r>
      <w:r>
        <w:rPr>
          <w:rFonts w:ascii="Arial" w:cs="Arial" w:eastAsia="Arial" w:hAnsi="Arial"/>
          <w:sz w:val="19"/>
          <w:szCs w:val="19"/>
          <w:color w:val="auto"/>
        </w:rPr>
        <w:t>7.</w:t>
      </w:r>
      <w:r>
        <w:rPr>
          <w:sz w:val="20"/>
          <w:szCs w:val="20"/>
          <w:color w:val="auto"/>
        </w:rPr>
        <w:tab/>
      </w:r>
      <w:r>
        <w:rPr>
          <w:rFonts w:ascii="Arial" w:cs="Arial" w:eastAsia="Arial" w:hAnsi="Arial"/>
          <w:sz w:val="19"/>
          <w:szCs w:val="19"/>
          <w:b w:val="1"/>
          <w:bCs w:val="1"/>
          <w:u w:val="single" w:color="auto"/>
          <w:color w:val="auto"/>
        </w:rPr>
        <w:t>Holidays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900" w:right="800" w:hanging="634"/>
        <w:spacing w:after="0" w:line="248" w:lineRule="auto"/>
        <w:tabs>
          <w:tab w:leader="none" w:pos="88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9"/>
          <w:szCs w:val="19"/>
          <w:color w:val="auto"/>
        </w:rPr>
        <w:t>Il Dirigente avrà diritto ad un periodo di ferie retribuite in conformità alle disposizioni del CCNL. Il Dirigente avrà diritto ad un periodo di ferie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59"/>
        <w:spacing w:after="0" w:line="270" w:lineRule="auto"/>
        <w:rPr>
          <w:sz w:val="20"/>
          <w:szCs w:val="20"/>
          <w:color w:val="auto"/>
        </w:rPr>
      </w:pPr>
      <w:r>
        <w:rPr>
          <w:rFonts w:ascii="Arial" w:cs="Arial" w:eastAsia="Arial" w:hAnsi="Arial"/>
          <w:sz w:val="19"/>
          <w:szCs w:val="19"/>
          <w:color w:val="auto"/>
        </w:rPr>
        <w:t>retribuite pari a 30 giorni l’anno in conformità alle disposizioni del CCNL.</w:t>
      </w:r>
    </w:p>
    <w:p>
      <w:pPr>
        <w:spacing w:after="0" w:line="129" w:lineRule="exact"/>
        <w:rPr>
          <w:sz w:val="20"/>
          <w:szCs w:val="20"/>
          <w:color w:val="auto"/>
        </w:rPr>
      </w:pPr>
    </w:p>
    <w:p>
      <w:pPr>
        <w:jc w:val="both"/>
        <w:ind w:right="59" w:hanging="634"/>
        <w:spacing w:after="0" w:line="254" w:lineRule="auto"/>
        <w:rPr>
          <w:sz w:val="20"/>
          <w:szCs w:val="20"/>
          <w:color w:val="auto"/>
        </w:rPr>
      </w:pPr>
      <w:r>
        <w:rPr>
          <w:rFonts w:ascii="Arial" w:cs="Arial" w:eastAsia="Arial" w:hAnsi="Arial"/>
          <w:sz w:val="19"/>
          <w:szCs w:val="19"/>
          <w:color w:val="auto"/>
        </w:rPr>
        <w:t>7.2</w:t>
      </w:r>
      <w:r>
        <w:rPr>
          <w:sz w:val="20"/>
          <w:szCs w:val="20"/>
          <w:color w:val="auto"/>
        </w:rPr>
        <w:t xml:space="preserve"> </w:t>
      </w:r>
      <w:r>
        <w:rPr>
          <w:rFonts w:ascii="Arial" w:cs="Arial" w:eastAsia="Arial" w:hAnsi="Arial"/>
          <w:sz w:val="19"/>
          <w:szCs w:val="19"/>
          <w:color w:val="auto"/>
        </w:rPr>
        <w:t>Tali ferie potranno essere godute in qualsiasi momento, in accordo con la Società e subordinatamente alle</w:t>
      </w:r>
    </w:p>
    <w:p>
      <w:pPr>
        <w:sectPr>
          <w:pgSz w:w="11900" w:h="16838" w:orient="portrait"/>
          <w:cols w:equalWidth="0" w:num="2">
            <w:col w:w="4980" w:space="720"/>
            <w:col w:w="3319"/>
          </w:cols>
          <w:pgMar w:left="1440" w:top="126" w:right="1440" w:bottom="1440" w:gutter="0" w:footer="0" w:header="0"/>
        </w:sectPr>
      </w:pPr>
    </w:p>
    <w:bookmarkStart w:id="58" w:name="page59"/>
    <w:bookmarkEnd w:id="58"/>
    <w:p>
      <w:pPr>
        <w:ind w:left="900"/>
        <w:spacing w:after="0"/>
        <w:rPr>
          <w:sz w:val="20"/>
          <w:szCs w:val="20"/>
          <w:color w:val="auto"/>
        </w:rPr>
      </w:pPr>
      <w:r>
        <w:rPr>
          <w:rFonts w:ascii="Arial" w:cs="Arial" w:eastAsia="Arial" w:hAnsi="Arial"/>
          <w:sz w:val="19"/>
          <w:szCs w:val="19"/>
          <w:color w:val="auto"/>
        </w:rPr>
        <w:t>esigenze della stessa.</w:t>
      </w:r>
    </w:p>
    <w:p>
      <w:pPr>
        <w:spacing w:after="0" w:line="187" w:lineRule="exact"/>
        <w:rPr>
          <w:sz w:val="20"/>
          <w:szCs w:val="20"/>
          <w:color w:val="auto"/>
        </w:rPr>
      </w:pPr>
    </w:p>
    <w:p>
      <w:pPr>
        <w:jc w:val="both"/>
        <w:ind w:left="900" w:right="680" w:hanging="634"/>
        <w:spacing w:after="0"/>
        <w:tabs>
          <w:tab w:leader="none" w:pos="88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9"/>
          <w:szCs w:val="19"/>
          <w:color w:val="auto"/>
        </w:rPr>
        <w:t>Il periodo di ferie annuale deve, di regola, essere fruito durante l'anno di maturazione. Ove ciò non sia possibile per oggettive ragioni organizzative o per motivi personali del Dirigente, il Dirigente dovrà comunque fruire di almeno due settimane di vacanza durante l'anno di maturazione e le rimanenti ferie entro e non oltre i 18 mesi successivi.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-1326515</wp:posOffset>
            </wp:positionV>
            <wp:extent cx="8255" cy="79552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255" cy="7955280"/>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-1326515</wp:posOffset>
            </wp:positionV>
            <wp:extent cx="8890" cy="79552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890" cy="7955280"/>
                    </a:xfrm>
                    <a:prstGeom prst="rect">
                      <a:avLst/>
                    </a:prstGeom>
                    <a:noFill/>
                  </pic:spPr>
                </pic:pic>
              </a:graphicData>
            </a:graphic>
          </wp:anchor>
        </w:drawing>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79" w:hanging="599"/>
        <w:spacing w:after="0" w:line="248" w:lineRule="auto"/>
        <w:rPr>
          <w:sz w:val="20"/>
          <w:szCs w:val="20"/>
          <w:color w:val="auto"/>
        </w:rPr>
      </w:pPr>
      <w:r>
        <w:rPr>
          <w:rFonts w:ascii="Arial" w:cs="Arial" w:eastAsia="Arial" w:hAnsi="Arial"/>
          <w:sz w:val="19"/>
          <w:szCs w:val="19"/>
          <w:color w:val="auto"/>
        </w:rPr>
        <w:t>7.2</w:t>
      </w:r>
      <w:r>
        <w:rPr>
          <w:sz w:val="20"/>
          <w:szCs w:val="20"/>
          <w:color w:val="auto"/>
        </w:rPr>
        <w:t xml:space="preserve"> </w:t>
      </w:r>
      <w:r>
        <w:rPr>
          <w:rFonts w:ascii="Arial" w:cs="Arial" w:eastAsia="Arial" w:hAnsi="Arial"/>
          <w:sz w:val="19"/>
          <w:szCs w:val="19"/>
          <w:color w:val="auto"/>
        </w:rPr>
        <w:t>These holidays may be taken at any time mutually agreed upon with the Company subject to the Company's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-829945</wp:posOffset>
            </wp:positionV>
            <wp:extent cx="8890" cy="79552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8890" cy="7955280"/>
                    </a:xfrm>
                    <a:prstGeom prst="rect">
                      <a:avLst/>
                    </a:prstGeom>
                    <a:noFill/>
                  </pic:spPr>
                </pic:pic>
              </a:graphicData>
            </a:graphic>
          </wp:anchor>
        </w:drawing>
      </w:r>
    </w:p>
    <w:p>
      <w:pPr>
        <w:spacing w:after="0" w:line="130" w:lineRule="exact"/>
        <w:rPr>
          <w:sz w:val="20"/>
          <w:szCs w:val="20"/>
          <w:color w:val="auto"/>
        </w:rPr>
      </w:pPr>
    </w:p>
    <w:p>
      <w:pPr>
        <w:jc w:val="both"/>
        <w:ind w:right="279" w:hanging="599"/>
        <w:spacing w:after="0"/>
        <w:rPr>
          <w:sz w:val="20"/>
          <w:szCs w:val="20"/>
          <w:color w:val="auto"/>
        </w:rPr>
      </w:pPr>
      <w:r>
        <w:rPr>
          <w:rFonts w:ascii="Arial" w:cs="Arial" w:eastAsia="Arial" w:hAnsi="Arial"/>
          <w:sz w:val="19"/>
          <w:szCs w:val="19"/>
          <w:color w:val="auto"/>
        </w:rPr>
        <w:t>7.3</w:t>
      </w:r>
      <w:r>
        <w:rPr>
          <w:sz w:val="20"/>
          <w:szCs w:val="20"/>
          <w:color w:val="auto"/>
        </w:rPr>
        <w:t xml:space="preserve"> </w:t>
      </w:r>
      <w:r>
        <w:rPr>
          <w:rFonts w:ascii="Arial" w:cs="Arial" w:eastAsia="Arial" w:hAnsi="Arial"/>
          <w:sz w:val="19"/>
          <w:szCs w:val="19"/>
          <w:color w:val="auto"/>
        </w:rPr>
        <w:t>The entire annual holiday leave shall, as a rule, be taken during the calendar year during which it is accrued. If this is not possible due to objective business reasons or the Executive’s personal reasons, the Executive shall take at least two weeks of holiday leave during the year of accrual and the remaining holiday leave within the following 18 months.</w:t>
      </w:r>
    </w:p>
    <w:p>
      <w:pPr>
        <w:sectPr>
          <w:pgSz w:w="11900" w:h="16838" w:orient="portrait"/>
          <w:cols w:equalWidth="0" w:num="2">
            <w:col w:w="4860" w:space="720"/>
            <w:col w:w="3439"/>
          </w:cols>
          <w:pgMar w:left="1440" w:top="1071" w:right="1440" w:bottom="1440" w:gutter="0" w:footer="0" w:header="0"/>
        </w:sectPr>
      </w:pPr>
    </w:p>
    <w:bookmarkStart w:id="59" w:name="page60"/>
    <w:bookmarkEnd w:id="59"/>
    <w:p>
      <w:pPr>
        <w:ind w:left="1680" w:hanging="1408"/>
        <w:spacing w:after="0"/>
        <w:tabs>
          <w:tab w:leader="none" w:pos="1680"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Proprietà Intellettuale</w:t>
      </w:r>
      <w:r>
        <w:rPr>
          <w:rFonts w:ascii="Arial" w:cs="Arial" w:eastAsia="Arial" w:hAnsi="Arial"/>
          <w:sz w:val="19"/>
          <w:szCs w:val="19"/>
          <w:b w:val="1"/>
          <w:bCs w:val="1"/>
          <w:color w:val="auto"/>
        </w:rPr>
        <w:t xml:space="preserve">  </w:t>
      </w:r>
      <w:r>
        <w:rPr>
          <w:rFonts w:ascii="Arial" w:cs="Arial" w:eastAsia="Arial" w:hAnsi="Arial"/>
          <w:sz w:val="19"/>
          <w:szCs w:val="19"/>
          <w:color w:val="auto"/>
        </w:rPr>
        <w:t>8.</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9"/>
          <w:szCs w:val="19"/>
          <w:color w:val="auto"/>
        </w:rPr>
        <w:t>Durante lo svolgimento del rapporto di</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lavoro e dopo la sua cessazione, il</w:t>
      </w:r>
    </w:p>
    <w:p>
      <w:pPr>
        <w:ind w:left="900"/>
        <w:spacing w:after="0" w:line="237" w:lineRule="auto"/>
        <w:rPr>
          <w:sz w:val="20"/>
          <w:szCs w:val="20"/>
          <w:color w:val="auto"/>
        </w:rPr>
      </w:pPr>
      <w:r>
        <w:rPr>
          <w:rFonts w:ascii="Arial" w:cs="Arial" w:eastAsia="Arial" w:hAnsi="Arial"/>
          <w:sz w:val="19"/>
          <w:szCs w:val="19"/>
          <w:color w:val="auto"/>
        </w:rPr>
        <w:t>Dirigente  è  tenuto  a  firmare  tutti  i</w:t>
      </w:r>
    </w:p>
    <w:p>
      <w:pPr>
        <w:ind w:left="900"/>
        <w:spacing w:after="0" w:line="237" w:lineRule="auto"/>
        <w:rPr>
          <w:sz w:val="20"/>
          <w:szCs w:val="20"/>
          <w:color w:val="auto"/>
        </w:rPr>
      </w:pPr>
      <w:r>
        <w:rPr>
          <w:rFonts w:ascii="Arial" w:cs="Arial" w:eastAsia="Arial" w:hAnsi="Arial"/>
          <w:sz w:val="19"/>
          <w:szCs w:val="19"/>
          <w:color w:val="auto"/>
        </w:rPr>
        <w:t>documenti e a compiere tutti gli atti</w:t>
      </w:r>
    </w:p>
    <w:p>
      <w:pPr>
        <w:ind w:left="900"/>
        <w:spacing w:after="0"/>
        <w:tabs>
          <w:tab w:leader="none" w:pos="1920" w:val="left"/>
          <w:tab w:leader="none" w:pos="2400" w:val="left"/>
          <w:tab w:leader="none" w:pos="3760" w:val="left"/>
        </w:tabs>
        <w:rPr>
          <w:sz w:val="20"/>
          <w:szCs w:val="20"/>
          <w:color w:val="auto"/>
        </w:rPr>
      </w:pPr>
      <w:r>
        <w:rPr>
          <w:rFonts w:ascii="Arial" w:cs="Arial" w:eastAsia="Arial" w:hAnsi="Arial"/>
          <w:sz w:val="19"/>
          <w:szCs w:val="19"/>
          <w:color w:val="auto"/>
        </w:rPr>
        <w:t>necessari</w:t>
        <w:tab/>
        <w:t>per</w:t>
        <w:tab/>
        <w:t>l'applicazione</w:t>
      </w:r>
      <w:r>
        <w:rPr>
          <w:sz w:val="20"/>
          <w:szCs w:val="20"/>
          <w:color w:val="auto"/>
        </w:rPr>
        <w:tab/>
      </w:r>
      <w:r>
        <w:rPr>
          <w:rFonts w:ascii="Arial" w:cs="Arial" w:eastAsia="Arial" w:hAnsi="Arial"/>
          <w:sz w:val="18"/>
          <w:szCs w:val="18"/>
          <w:color w:val="auto"/>
        </w:rPr>
        <w:t>della</w:t>
      </w:r>
    </w:p>
    <w:p>
      <w:pPr>
        <w:ind w:left="900"/>
        <w:spacing w:after="0" w:line="238" w:lineRule="auto"/>
        <w:rPr>
          <w:sz w:val="20"/>
          <w:szCs w:val="20"/>
          <w:color w:val="auto"/>
        </w:rPr>
      </w:pPr>
      <w:r>
        <w:rPr>
          <w:rFonts w:ascii="Arial" w:cs="Arial" w:eastAsia="Arial" w:hAnsi="Arial"/>
          <w:sz w:val="19"/>
          <w:szCs w:val="19"/>
          <w:color w:val="auto"/>
        </w:rPr>
        <w:t>presente clausola. In considerazione</w:t>
      </w:r>
    </w:p>
    <w:p>
      <w:pPr>
        <w:ind w:left="900"/>
        <w:spacing w:after="0"/>
        <w:tabs>
          <w:tab w:leader="none" w:pos="1460" w:val="left"/>
          <w:tab w:leader="none" w:pos="1880" w:val="left"/>
          <w:tab w:leader="none" w:pos="2700" w:val="left"/>
          <w:tab w:leader="none" w:pos="2980" w:val="left"/>
          <w:tab w:leader="none" w:pos="3540" w:val="left"/>
        </w:tabs>
        <w:rPr>
          <w:sz w:val="20"/>
          <w:szCs w:val="20"/>
          <w:color w:val="auto"/>
        </w:rPr>
      </w:pPr>
      <w:r>
        <w:rPr>
          <w:rFonts w:ascii="Arial" w:cs="Arial" w:eastAsia="Arial" w:hAnsi="Arial"/>
          <w:sz w:val="19"/>
          <w:szCs w:val="19"/>
          <w:color w:val="auto"/>
        </w:rPr>
        <w:t>della</w:t>
        <w:tab/>
        <w:t>job</w:t>
        <w:tab/>
        <w:t>position</w:t>
        <w:tab/>
        <w:t>e</w:t>
        <w:tab/>
        <w:t>delle</w:t>
      </w:r>
      <w:r>
        <w:rPr>
          <w:sz w:val="20"/>
          <w:szCs w:val="20"/>
          <w:color w:val="auto"/>
        </w:rPr>
        <w:tab/>
      </w:r>
      <w:r>
        <w:rPr>
          <w:rFonts w:ascii="Arial" w:cs="Arial" w:eastAsia="Arial" w:hAnsi="Arial"/>
          <w:sz w:val="18"/>
          <w:szCs w:val="18"/>
          <w:color w:val="auto"/>
        </w:rPr>
        <w:t>relative</w:t>
      </w:r>
    </w:p>
    <w:p>
      <w:pPr>
        <w:ind w:left="900"/>
        <w:spacing w:after="0" w:line="237" w:lineRule="auto"/>
        <w:rPr>
          <w:sz w:val="20"/>
          <w:szCs w:val="20"/>
          <w:color w:val="auto"/>
        </w:rPr>
      </w:pPr>
      <w:r>
        <w:rPr>
          <w:rFonts w:ascii="Arial" w:cs="Arial" w:eastAsia="Arial" w:hAnsi="Arial"/>
          <w:sz w:val="19"/>
          <w:szCs w:val="19"/>
          <w:color w:val="auto"/>
        </w:rPr>
        <w:t>mansioni, il Dirigente potrebbe creare</w:t>
      </w:r>
    </w:p>
    <w:p>
      <w:pPr>
        <w:spacing w:after="0" w:line="1" w:lineRule="exact"/>
        <w:rPr>
          <w:sz w:val="20"/>
          <w:szCs w:val="20"/>
          <w:color w:val="auto"/>
        </w:rPr>
      </w:pPr>
    </w:p>
    <w:p>
      <w:pPr>
        <w:ind w:left="900"/>
        <w:spacing w:after="0"/>
        <w:tabs>
          <w:tab w:leader="none" w:pos="2060" w:val="left"/>
          <w:tab w:leader="none" w:pos="2980" w:val="left"/>
        </w:tabs>
        <w:rPr>
          <w:sz w:val="20"/>
          <w:szCs w:val="20"/>
          <w:color w:val="auto"/>
        </w:rPr>
      </w:pPr>
      <w:r>
        <w:rPr>
          <w:rFonts w:ascii="Arial" w:cs="Arial" w:eastAsia="Arial" w:hAnsi="Arial"/>
          <w:sz w:val="19"/>
          <w:szCs w:val="19"/>
          <w:color w:val="auto"/>
        </w:rPr>
        <w:t>e sviluppare</w:t>
        <w:tab/>
        <w:t>migliorie,</w:t>
      </w:r>
      <w:r>
        <w:rPr>
          <w:sz w:val="20"/>
          <w:szCs w:val="20"/>
          <w:color w:val="auto"/>
        </w:rPr>
        <w:tab/>
      </w:r>
      <w:r>
        <w:rPr>
          <w:rFonts w:ascii="Arial" w:cs="Arial" w:eastAsia="Arial" w:hAnsi="Arial"/>
          <w:sz w:val="18"/>
          <w:szCs w:val="18"/>
          <w:color w:val="auto"/>
        </w:rPr>
        <w:t>innovazioni,</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9019"/>
          </w:cols>
          <w:pgMar w:left="1440" w:top="126" w:right="1440" w:bottom="1440" w:gutter="0" w:footer="0" w:header="0"/>
        </w:sectPr>
      </w:pPr>
    </w:p>
    <w:bookmarkStart w:id="60" w:name="page61"/>
    <w:bookmarkEnd w:id="60"/>
    <w:p>
      <w:pPr>
        <w:spacing w:after="0" w:line="81" w:lineRule="exact"/>
        <w:rPr>
          <w:sz w:val="20"/>
          <w:szCs w:val="20"/>
          <w:color w:val="auto"/>
        </w:rPr>
      </w:pPr>
    </w:p>
    <w:p>
      <w:pPr>
        <w:jc w:val="both"/>
        <w:ind w:left="900" w:right="800"/>
        <w:spacing w:after="0" w:line="242" w:lineRule="auto"/>
        <w:rPr>
          <w:sz w:val="20"/>
          <w:szCs w:val="20"/>
          <w:color w:val="auto"/>
        </w:rPr>
      </w:pPr>
      <w:r>
        <w:rPr>
          <w:rFonts w:ascii="Arial" w:cs="Arial" w:eastAsia="Arial" w:hAnsi="Arial"/>
          <w:sz w:val="19"/>
          <w:szCs w:val="19"/>
          <w:color w:val="auto"/>
        </w:rPr>
        <w:t>invenzioni e/o opere dell'ingegno correlate a tale attività e/o comunque all'attività svolta dalla Società e suscettibili di protezione ai sensi del Codice della Proprietà Industriale (Decreto Legislativo n. 30 del 2005) o della Legge sul diritto d'autore (Legge 633 del 1941) ("</w:t>
      </w:r>
      <w:r>
        <w:rPr>
          <w:rFonts w:ascii="Arial" w:cs="Arial" w:eastAsia="Arial" w:hAnsi="Arial"/>
          <w:sz w:val="19"/>
          <w:szCs w:val="19"/>
          <w:b w:val="1"/>
          <w:bCs w:val="1"/>
          <w:color w:val="auto"/>
        </w:rPr>
        <w:t>Diritto/i di Proprietà</w:t>
      </w:r>
      <w:r>
        <w:rPr>
          <w:rFonts w:ascii="Arial" w:cs="Arial" w:eastAsia="Arial" w:hAnsi="Arial"/>
          <w:sz w:val="19"/>
          <w:szCs w:val="19"/>
          <w:color w:val="auto"/>
        </w:rPr>
        <w:t xml:space="preserve"> </w:t>
      </w:r>
      <w:r>
        <w:rPr>
          <w:rFonts w:ascii="Arial" w:cs="Arial" w:eastAsia="Arial" w:hAnsi="Arial"/>
          <w:sz w:val="19"/>
          <w:szCs w:val="19"/>
          <w:b w:val="1"/>
          <w:bCs w:val="1"/>
          <w:color w:val="auto"/>
        </w:rPr>
        <w:t>Intellettuale</w:t>
      </w:r>
      <w:r>
        <w:rPr>
          <w:rFonts w:ascii="Arial" w:cs="Arial" w:eastAsia="Arial" w:hAnsi="Arial"/>
          <w:sz w:val="19"/>
          <w:szCs w:val="19"/>
          <w:color w:val="auto"/>
        </w:rPr>
        <w:t>”).</w:t>
      </w:r>
    </w:p>
    <w:p>
      <w:pPr>
        <w:spacing w:after="0" w:line="150" w:lineRule="exact"/>
        <w:rPr>
          <w:sz w:val="20"/>
          <w:szCs w:val="20"/>
          <w:color w:val="auto"/>
        </w:rPr>
      </w:pPr>
    </w:p>
    <w:p>
      <w:pPr>
        <w:jc w:val="both"/>
        <w:ind w:left="900" w:right="800" w:hanging="634"/>
        <w:spacing w:after="0" w:line="239" w:lineRule="auto"/>
        <w:tabs>
          <w:tab w:leader="none" w:pos="880"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9"/>
          <w:szCs w:val="19"/>
          <w:color w:val="auto"/>
        </w:rPr>
        <w:t>Se durante l’esecuzione del presente Contratto, il Dirigente metterà a punto o scoprirà, ovvero contribuirà a mettere a punto o a scoprire, un qualsiasi Diritto di Proprietà Intellettuale, relativo o comunque idoneo ad essere sfruttato in relazione all'attività della Società e/o di altra Società del Gruppo (il/i "</w:t>
      </w:r>
      <w:r>
        <w:rPr>
          <w:rFonts w:ascii="Arial" w:cs="Arial" w:eastAsia="Arial" w:hAnsi="Arial"/>
          <w:sz w:val="19"/>
          <w:szCs w:val="19"/>
          <w:b w:val="1"/>
          <w:bCs w:val="1"/>
          <w:color w:val="auto"/>
        </w:rPr>
        <w:t>Diritto/i di</w:t>
      </w:r>
    </w:p>
    <w:p>
      <w:pPr>
        <w:spacing w:after="0" w:line="1" w:lineRule="exact"/>
        <w:rPr>
          <w:sz w:val="20"/>
          <w:szCs w:val="20"/>
          <w:color w:val="auto"/>
        </w:rPr>
      </w:pPr>
    </w:p>
    <w:p>
      <w:pPr>
        <w:ind w:left="900"/>
        <w:spacing w:after="0"/>
        <w:tabs>
          <w:tab w:leader="none" w:pos="2200" w:val="left"/>
          <w:tab w:leader="none" w:pos="3720" w:val="left"/>
        </w:tabs>
        <w:rPr>
          <w:sz w:val="20"/>
          <w:szCs w:val="20"/>
          <w:color w:val="auto"/>
        </w:rPr>
      </w:pPr>
      <w:r>
        <w:rPr>
          <w:rFonts w:ascii="Arial" w:cs="Arial" w:eastAsia="Arial" w:hAnsi="Arial"/>
          <w:sz w:val="19"/>
          <w:szCs w:val="19"/>
          <w:b w:val="1"/>
          <w:bCs w:val="1"/>
          <w:color w:val="auto"/>
        </w:rPr>
        <w:t>Proprietà</w:t>
      </w:r>
      <w:r>
        <w:rPr>
          <w:sz w:val="20"/>
          <w:szCs w:val="20"/>
          <w:color w:val="auto"/>
        </w:rPr>
        <w:tab/>
      </w:r>
      <w:r>
        <w:rPr>
          <w:rFonts w:ascii="Arial" w:cs="Arial" w:eastAsia="Arial" w:hAnsi="Arial"/>
          <w:sz w:val="19"/>
          <w:szCs w:val="19"/>
          <w:b w:val="1"/>
          <w:bCs w:val="1"/>
          <w:color w:val="auto"/>
        </w:rPr>
        <w:t>Intellettuale</w:t>
      </w:r>
      <w:r>
        <w:rPr>
          <w:sz w:val="20"/>
          <w:szCs w:val="20"/>
          <w:color w:val="auto"/>
        </w:rPr>
        <w:tab/>
      </w:r>
      <w:r>
        <w:rPr>
          <w:rFonts w:ascii="Arial" w:cs="Arial" w:eastAsia="Arial" w:hAnsi="Arial"/>
          <w:sz w:val="19"/>
          <w:szCs w:val="19"/>
          <w:b w:val="1"/>
          <w:bCs w:val="1"/>
          <w:color w:val="auto"/>
        </w:rPr>
        <w:t>della</w:t>
      </w:r>
    </w:p>
    <w:p>
      <w:pPr>
        <w:jc w:val="both"/>
        <w:ind w:left="900" w:right="800"/>
        <w:spacing w:after="0"/>
        <w:rPr>
          <w:sz w:val="20"/>
          <w:szCs w:val="20"/>
          <w:color w:val="auto"/>
        </w:rPr>
      </w:pPr>
      <w:r>
        <w:rPr>
          <w:rFonts w:ascii="Arial" w:cs="Arial" w:eastAsia="Arial" w:hAnsi="Arial"/>
          <w:sz w:val="19"/>
          <w:szCs w:val="19"/>
          <w:b w:val="1"/>
          <w:bCs w:val="1"/>
          <w:color w:val="auto"/>
        </w:rPr>
        <w:t>Società</w:t>
      </w:r>
      <w:r>
        <w:rPr>
          <w:rFonts w:ascii="Arial" w:cs="Arial" w:eastAsia="Arial" w:hAnsi="Arial"/>
          <w:sz w:val="19"/>
          <w:szCs w:val="19"/>
          <w:color w:val="auto"/>
        </w:rPr>
        <w:t>”), egli ne darà</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immediatamente notizia, fornendo tutti i dettagli del Diritto di Proprietà Intellettuale direttamente alla Società o al soggetto dalla stessa indicato.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59" w:hanging="634"/>
        <w:spacing w:after="0" w:line="238" w:lineRule="auto"/>
        <w:rPr>
          <w:sz w:val="20"/>
          <w:szCs w:val="20"/>
          <w:color w:val="auto"/>
        </w:rPr>
      </w:pPr>
      <w:r>
        <w:rPr>
          <w:rFonts w:ascii="Arial" w:cs="Arial" w:eastAsia="Arial" w:hAnsi="Arial"/>
          <w:sz w:val="19"/>
          <w:szCs w:val="19"/>
          <w:color w:val="auto"/>
        </w:rPr>
        <w:t>8.3</w:t>
      </w:r>
      <w:r>
        <w:rPr>
          <w:sz w:val="20"/>
          <w:szCs w:val="20"/>
          <w:color w:val="auto"/>
        </w:rPr>
        <w:t xml:space="preserve"> </w:t>
      </w:r>
      <w:r>
        <w:rPr>
          <w:rFonts w:ascii="Arial" w:cs="Arial" w:eastAsia="Arial" w:hAnsi="Arial"/>
          <w:sz w:val="19"/>
          <w:szCs w:val="19"/>
          <w:color w:val="auto"/>
        </w:rPr>
        <w:t>Le parti quindi si danno reciprocamente atto che l'attività creativa e/o inventiva del Dirigente è contemplata nel novero delle mansioni previste dal rapporto di lavoro e che tale attività è pienamente disciplinata dal presente contratto. Il Dirigente riconosce espressamente che il corrispettivo per lo svolgimento di tale attività e per la cessione alla Società (o a qualsiasi soggetto da essa designata) di qualsiasi Diritto di Proprietà Intellettuale della Società è ricompreso nello Stipendio di Base di cui al precedente articolo 5. Conseguentemente, nella misura in cui un Diritto di Proprietà Intellettuale della Società, in qualsivoglia giurisdizione, non sorga direttamente in capo alla Società per effetto della legge, il Dirigente sin d'ora lo cede irrevocabilmente alla Società, se necessario tramite una cessione da perfezionarsi nel momento in cui venga ad esistenza, inclusa ogni relativa</w:t>
      </w:r>
    </w:p>
    <w:p>
      <w:pPr>
        <w:sectPr>
          <w:pgSz w:w="11900" w:h="16838" w:orient="portrait"/>
          <w:cols w:equalWidth="0" w:num="2">
            <w:col w:w="4980" w:space="720"/>
            <w:col w:w="3319"/>
          </w:cols>
          <w:pgMar w:left="1440" w:top="126" w:right="1440" w:bottom="1440" w:gutter="0" w:footer="0" w:header="0"/>
        </w:sectPr>
      </w:pPr>
    </w:p>
    <w:bookmarkStart w:id="61" w:name="page62"/>
    <w:bookmarkEnd w:id="61"/>
    <w:p>
      <w:pPr>
        <w:spacing w:after="0" w:line="108" w:lineRule="exact"/>
        <w:rPr>
          <w:sz w:val="20"/>
          <w:szCs w:val="20"/>
          <w:color w:val="auto"/>
        </w:rPr>
      </w:pPr>
    </w:p>
    <w:p>
      <w:pPr>
        <w:jc w:val="both"/>
        <w:ind w:left="900" w:right="680"/>
        <w:spacing w:after="0" w:line="243" w:lineRule="auto"/>
        <w:rPr>
          <w:sz w:val="20"/>
          <w:szCs w:val="20"/>
          <w:color w:val="auto"/>
        </w:rPr>
      </w:pPr>
      <w:r>
        <w:rPr>
          <w:rFonts w:ascii="Arial" w:cs="Arial" w:eastAsia="Arial" w:hAnsi="Arial"/>
          <w:sz w:val="19"/>
          <w:szCs w:val="19"/>
          <w:color w:val="auto"/>
        </w:rPr>
        <w:t>facoltà e diritto, incluso quello di azionare il Diritto di Proprietà Intellettuale della Società a fronte di</w:t>
      </w:r>
    </w:p>
    <w:p>
      <w:pPr>
        <w:spacing w:after="0" w:line="2" w:lineRule="exact"/>
        <w:rPr>
          <w:sz w:val="20"/>
          <w:szCs w:val="20"/>
          <w:color w:val="auto"/>
        </w:rPr>
      </w:pPr>
    </w:p>
    <w:p>
      <w:pPr>
        <w:jc w:val="both"/>
        <w:ind w:left="900" w:right="680"/>
        <w:spacing w:after="0"/>
        <w:rPr>
          <w:sz w:val="20"/>
          <w:szCs w:val="20"/>
          <w:color w:val="auto"/>
        </w:rPr>
      </w:pPr>
      <w:r>
        <w:rPr>
          <w:rFonts w:ascii="Arial" w:cs="Arial" w:eastAsia="Arial" w:hAnsi="Arial"/>
          <w:sz w:val="19"/>
          <w:szCs w:val="19"/>
          <w:color w:val="auto"/>
        </w:rPr>
        <w:t>violazioni anche pregresse, garantendone la titolarità e la totale assenza da qualsivoglia gravame. E' fatto salvo il suo diritto morale di essere riconosciuto autore.</w:t>
      </w:r>
    </w:p>
    <w:p>
      <w:pPr>
        <w:spacing w:after="0" w:line="20" w:lineRule="exact"/>
        <w:rPr>
          <w:sz w:val="20"/>
          <w:szCs w:val="20"/>
          <w:color w:val="auto"/>
        </w:rPr>
      </w:pPr>
      <w:r>
        <w:rPr>
          <w:sz w:val="20"/>
          <w:szCs w:val="20"/>
          <w:color w:val="auto"/>
        </w:rPr>
        <w:br w:type="column"/>
      </w:r>
    </w:p>
    <w:p>
      <w:pPr>
        <w:jc w:val="both"/>
        <w:ind w:left="40" w:right="279"/>
        <w:spacing w:after="0" w:line="244" w:lineRule="auto"/>
        <w:rPr>
          <w:sz w:val="20"/>
          <w:szCs w:val="20"/>
          <w:color w:val="auto"/>
        </w:rPr>
      </w:pPr>
      <w:r>
        <w:rPr>
          <w:rFonts w:ascii="Arial" w:cs="Arial" w:eastAsia="Arial" w:hAnsi="Arial"/>
          <w:sz w:val="19"/>
          <w:szCs w:val="19"/>
          <w:color w:val="auto"/>
        </w:rPr>
        <w:t>relationship and/or to the Company's activity, eligible for protection under the Industrial Property Code (Legislative Decree no. 30 of 2005) or under the Copyright Act (Law no. 633 of 1941) ("</w:t>
      </w:r>
      <w:r>
        <w:rPr>
          <w:rFonts w:ascii="Arial" w:cs="Arial" w:eastAsia="Arial" w:hAnsi="Arial"/>
          <w:sz w:val="19"/>
          <w:szCs w:val="19"/>
          <w:b w:val="1"/>
          <w:bCs w:val="1"/>
          <w:color w:val="auto"/>
        </w:rPr>
        <w:t>Intellectual Property</w:t>
      </w:r>
      <w:r>
        <w:rPr>
          <w:rFonts w:ascii="Arial" w:cs="Arial" w:eastAsia="Arial" w:hAnsi="Arial"/>
          <w:sz w:val="19"/>
          <w:szCs w:val="19"/>
          <w:color w:val="auto"/>
        </w:rPr>
        <w:t xml:space="preserve"> </w:t>
      </w:r>
      <w:r>
        <w:rPr>
          <w:rFonts w:ascii="Arial" w:cs="Arial" w:eastAsia="Arial" w:hAnsi="Arial"/>
          <w:sz w:val="19"/>
          <w:szCs w:val="19"/>
          <w:b w:val="1"/>
          <w:bCs w:val="1"/>
          <w:color w:val="auto"/>
        </w:rPr>
        <w:t>Right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79" w:hanging="599"/>
        <w:spacing w:after="0"/>
        <w:rPr>
          <w:sz w:val="20"/>
          <w:szCs w:val="20"/>
          <w:color w:val="auto"/>
        </w:rPr>
      </w:pPr>
      <w:r>
        <w:rPr>
          <w:rFonts w:ascii="Arial" w:cs="Arial" w:eastAsia="Arial" w:hAnsi="Arial"/>
          <w:sz w:val="19"/>
          <w:szCs w:val="19"/>
          <w:color w:val="auto"/>
        </w:rPr>
        <w:t>8.2</w:t>
      </w:r>
      <w:r>
        <w:rPr>
          <w:sz w:val="20"/>
          <w:szCs w:val="20"/>
          <w:color w:val="auto"/>
        </w:rPr>
        <w:t xml:space="preserve"> </w:t>
      </w:r>
      <w:r>
        <w:rPr>
          <w:rFonts w:ascii="Arial" w:cs="Arial" w:eastAsia="Arial" w:hAnsi="Arial"/>
          <w:sz w:val="19"/>
          <w:szCs w:val="19"/>
          <w:color w:val="auto"/>
        </w:rPr>
        <w:t>If during this Agreement the Executive will make or discover, or participate in the making or discovery of any Intellectual Property Right relating to or capable of being used in the business of the Company and/or Group Company (the “</w:t>
      </w:r>
      <w:r>
        <w:rPr>
          <w:rFonts w:ascii="Arial" w:cs="Arial" w:eastAsia="Arial" w:hAnsi="Arial"/>
          <w:sz w:val="19"/>
          <w:szCs w:val="19"/>
          <w:b w:val="1"/>
          <w:bCs w:val="1"/>
          <w:color w:val="auto"/>
        </w:rPr>
        <w:t>Company’s</w:t>
      </w:r>
      <w:r>
        <w:rPr>
          <w:rFonts w:ascii="Arial" w:cs="Arial" w:eastAsia="Arial" w:hAnsi="Arial"/>
          <w:sz w:val="19"/>
          <w:szCs w:val="19"/>
          <w:color w:val="auto"/>
        </w:rPr>
        <w:t xml:space="preserve"> </w:t>
      </w:r>
      <w:r>
        <w:rPr>
          <w:rFonts w:ascii="Arial" w:cs="Arial" w:eastAsia="Arial" w:hAnsi="Arial"/>
          <w:sz w:val="19"/>
          <w:szCs w:val="19"/>
          <w:b w:val="1"/>
          <w:bCs w:val="1"/>
          <w:color w:val="auto"/>
        </w:rPr>
        <w:t>Intellectual Property Right</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shall promptly disclose and deliver full details of the Company’s Intellectual Property Right to the Company, or to its nominee as it may direct.</w:t>
      </w:r>
    </w:p>
    <w:p>
      <w:pPr>
        <w:spacing w:after="0" w:line="200" w:lineRule="exact"/>
        <w:rPr>
          <w:sz w:val="20"/>
          <w:szCs w:val="20"/>
          <w:color w:val="auto"/>
        </w:rPr>
      </w:pPr>
    </w:p>
    <w:p>
      <w:pPr>
        <w:spacing w:after="0" w:line="389" w:lineRule="exact"/>
        <w:rPr>
          <w:sz w:val="20"/>
          <w:szCs w:val="20"/>
          <w:color w:val="auto"/>
        </w:rPr>
      </w:pPr>
    </w:p>
    <w:p>
      <w:pPr>
        <w:jc w:val="both"/>
        <w:ind w:right="279" w:hanging="599"/>
        <w:spacing w:after="0" w:line="238" w:lineRule="auto"/>
        <w:rPr>
          <w:sz w:val="20"/>
          <w:szCs w:val="20"/>
          <w:color w:val="auto"/>
        </w:rPr>
      </w:pPr>
      <w:r>
        <w:rPr>
          <w:rFonts w:ascii="Arial" w:cs="Arial" w:eastAsia="Arial" w:hAnsi="Arial"/>
          <w:sz w:val="19"/>
          <w:szCs w:val="19"/>
          <w:color w:val="auto"/>
        </w:rPr>
        <w:t>8.3</w:t>
      </w:r>
      <w:r>
        <w:rPr>
          <w:sz w:val="20"/>
          <w:szCs w:val="20"/>
          <w:color w:val="auto"/>
        </w:rPr>
        <w:t xml:space="preserve"> </w:t>
      </w:r>
      <w:r>
        <w:rPr>
          <w:rFonts w:ascii="Arial" w:cs="Arial" w:eastAsia="Arial" w:hAnsi="Arial"/>
          <w:sz w:val="19"/>
          <w:szCs w:val="19"/>
          <w:color w:val="auto"/>
        </w:rPr>
        <w:t>The parties therefore acknowledge that the Executive's creative and/or inventive activity is included within the scope of the employment relationship, and that such activity is fully regulated by this contract. The Executive expressly agree that remuneration for the performance of any such inventive activity and for the assignment to the Company (or to any person designated by it) of any and all Company's Intellectual Property Rights originating therefrom is included in the Salary set out in paragraph 5 herein. Therefore, to the extent that in any jurisdictions a Company’s IP Intellectual Property Right have not vested or do not vest in the Company by operation of law, the Executive hereby irrevocably assign it to the Company, if necessary by way of future assignment, with full title guarantee, absolutely and free from all encumbrances, together with all accrued rights of action in respect of any infringement of such Company’s Intellectual Property Right. In any case, the Executive shall be entitled to be recognized as the author.</w:t>
      </w:r>
    </w:p>
    <w:p>
      <w:pPr>
        <w:sectPr>
          <w:pgSz w:w="11900" w:h="16838" w:orient="portrait"/>
          <w:cols w:equalWidth="0" w:num="2">
            <w:col w:w="4860" w:space="720"/>
            <w:col w:w="3439"/>
          </w:cols>
          <w:pgMar w:left="1440" w:top="963" w:right="1440" w:bottom="1440" w:gutter="0" w:footer="0" w:header="0"/>
        </w:sectPr>
      </w:pPr>
    </w:p>
    <w:bookmarkStart w:id="62" w:name="page63"/>
    <w:bookmarkEnd w:id="62"/>
    <w:p>
      <w:pPr>
        <w:ind w:left="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3" w:name="page64"/>
    <w:bookmarkEnd w:id="63"/>
    <w:p>
      <w:pPr>
        <w:jc w:val="right"/>
        <w:ind w:left="200" w:right="303"/>
        <w:spacing w:after="0" w:line="270" w:lineRule="auto"/>
        <w:rPr>
          <w:sz w:val="20"/>
          <w:szCs w:val="20"/>
          <w:color w:val="auto"/>
        </w:rPr>
      </w:pPr>
      <w:r>
        <w:rPr>
          <w:rFonts w:ascii="Arial" w:cs="Arial" w:eastAsia="Arial" w:hAnsi="Arial"/>
          <w:sz w:val="19"/>
          <w:szCs w:val="19"/>
          <w:color w:val="auto"/>
        </w:rPr>
        <w:t>8.4    The Executive shall execute and do all  such  acts,  matters,  documents</w:t>
      </w:r>
    </w:p>
    <w:p>
      <w:pPr>
        <w:spacing w:after="0" w:line="21" w:lineRule="exact"/>
        <w:rPr>
          <w:sz w:val="20"/>
          <w:szCs w:val="20"/>
          <w:color w:val="auto"/>
        </w:rPr>
      </w:pPr>
    </w:p>
    <w:p>
      <w:pPr>
        <w:jc w:val="right"/>
        <w:ind w:left="280" w:right="83"/>
        <w:spacing w:after="0" w:line="247" w:lineRule="auto"/>
        <w:rPr>
          <w:sz w:val="20"/>
          <w:szCs w:val="20"/>
          <w:color w:val="auto"/>
        </w:rPr>
      </w:pPr>
      <w:r>
        <w:rPr>
          <w:rFonts w:ascii="Arial" w:cs="Arial" w:eastAsia="Arial" w:hAnsi="Arial"/>
          <w:sz w:val="19"/>
          <w:szCs w:val="19"/>
          <w:color w:val="auto"/>
        </w:rPr>
        <w:t>8.4    Il  Dirigente  sottoscriverà  e  stipulerà tutti   gli   atti,   il   materiale,   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-173355</wp:posOffset>
            </wp:positionV>
            <wp:extent cx="8255" cy="79635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255" cy="796353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-173355</wp:posOffset>
            </wp:positionV>
            <wp:extent cx="8890" cy="79635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8890" cy="7963535"/>
                    </a:xfrm>
                    <a:prstGeom prst="rect">
                      <a:avLst/>
                    </a:prstGeom>
                    <a:noFill/>
                  </pic:spPr>
                </pic:pic>
              </a:graphicData>
            </a:graphic>
          </wp:anchor>
        </w:drawing>
      </w:r>
    </w:p>
    <w:p>
      <w:pPr>
        <w:jc w:val="both"/>
        <w:ind w:left="900" w:right="83"/>
        <w:spacing w:after="0" w:line="237" w:lineRule="auto"/>
        <w:rPr>
          <w:sz w:val="20"/>
          <w:szCs w:val="20"/>
          <w:color w:val="auto"/>
        </w:rPr>
      </w:pPr>
      <w:r>
        <w:rPr>
          <w:rFonts w:ascii="Arial" w:cs="Arial" w:eastAsia="Arial" w:hAnsi="Arial"/>
          <w:sz w:val="19"/>
          <w:szCs w:val="19"/>
          <w:color w:val="auto"/>
        </w:rPr>
        <w:t>documentazione necessaria e opportuna – e compirà qualsiasi atto necessario o opportuno –</w:t>
      </w:r>
    </w:p>
    <w:p>
      <w:pPr>
        <w:spacing w:after="0" w:line="1" w:lineRule="exact"/>
        <w:rPr>
          <w:sz w:val="20"/>
          <w:szCs w:val="20"/>
          <w:color w:val="auto"/>
        </w:rPr>
      </w:pPr>
    </w:p>
    <w:p>
      <w:pPr>
        <w:jc w:val="both"/>
        <w:ind w:left="900" w:right="83" w:firstLine="7"/>
        <w:spacing w:after="0" w:line="239" w:lineRule="auto"/>
        <w:tabs>
          <w:tab w:leader="none" w:pos="1120" w:val="left"/>
        </w:tabs>
        <w:numPr>
          <w:ilvl w:val="0"/>
          <w:numId w:val="42"/>
        </w:numPr>
        <w:rPr>
          <w:rFonts w:ascii="Arial" w:cs="Arial" w:eastAsia="Arial" w:hAnsi="Arial"/>
          <w:sz w:val="19"/>
          <w:szCs w:val="19"/>
          <w:i w:val="1"/>
          <w:iCs w:val="1"/>
          <w:color w:val="auto"/>
        </w:rPr>
      </w:pPr>
      <w:r>
        <w:rPr>
          <w:rFonts w:ascii="Arial" w:cs="Arial" w:eastAsia="Arial" w:hAnsi="Arial"/>
          <w:sz w:val="19"/>
          <w:szCs w:val="19"/>
          <w:color w:val="auto"/>
        </w:rPr>
        <w:t xml:space="preserve">per registrare e proteggere qualsiasi Diritto di Proprietà Intellettuale della Società e qualsiasi suo sviluppo o miglioria; e </w:t>
      </w:r>
      <w:r>
        <w:rPr>
          <w:rFonts w:ascii="Arial" w:cs="Arial" w:eastAsia="Arial" w:hAnsi="Arial"/>
          <w:sz w:val="19"/>
          <w:szCs w:val="19"/>
          <w:i w:val="1"/>
          <w:iCs w:val="1"/>
          <w:color w:val="auto"/>
        </w:rPr>
        <w:t>(ii)</w:t>
      </w:r>
      <w:r>
        <w:rPr>
          <w:rFonts w:ascii="Arial" w:cs="Arial" w:eastAsia="Arial" w:hAnsi="Arial"/>
          <w:sz w:val="19"/>
          <w:szCs w:val="19"/>
          <w:color w:val="auto"/>
        </w:rPr>
        <w:t xml:space="preserve"> per attribuire in via definitiva alla Società ovvero al soggetto indicato da quest'ultima la titolarità di tale Diritto di Proprietà Intellettuale della Società.</w:t>
      </w:r>
    </w:p>
    <w:p>
      <w:pPr>
        <w:spacing w:after="0" w:line="158" w:lineRule="exact"/>
        <w:rPr>
          <w:sz w:val="20"/>
          <w:szCs w:val="20"/>
          <w:color w:val="auto"/>
        </w:rPr>
      </w:pPr>
    </w:p>
    <w:p>
      <w:pPr>
        <w:jc w:val="both"/>
        <w:ind w:left="900" w:right="83" w:hanging="634"/>
        <w:spacing w:after="0"/>
        <w:tabs>
          <w:tab w:leader="none" w:pos="88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9"/>
          <w:szCs w:val="19"/>
          <w:color w:val="auto"/>
        </w:rPr>
        <w:t>La Società avrà il diritto di utilizzare i Diritti di Proprietà Intellettuale della Società nella maniera ritenuta più opportuna. Il Dirigente non farà uso di tali diritti in alcun modo, salvo che sia necessario per l’espletamento delle proprie mansioni in conformità al presente contratto, e non rivelerà ad alcun terzo, né durante il periodo di validità del presente Contratto né successivamente, o permetterà che alcun terzo utilizzi tali diritti ovvero ne riveli in alcun modo il contenuto.</w:t>
      </w:r>
    </w:p>
    <w:p>
      <w:pPr>
        <w:spacing w:after="0" w:line="157" w:lineRule="exact"/>
        <w:rPr>
          <w:sz w:val="20"/>
          <w:szCs w:val="20"/>
          <w:color w:val="auto"/>
        </w:rPr>
      </w:pPr>
    </w:p>
    <w:p>
      <w:pPr>
        <w:ind w:left="900" w:hanging="628"/>
        <w:spacing w:after="0"/>
        <w:tabs>
          <w:tab w:leader="none" w:pos="900"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Benefit</w:t>
      </w:r>
    </w:p>
    <w:p>
      <w:pPr>
        <w:spacing w:after="0" w:line="20" w:lineRule="exact"/>
        <w:rPr>
          <w:sz w:val="20"/>
          <w:szCs w:val="20"/>
          <w:color w:val="auto"/>
        </w:rPr>
      </w:pPr>
      <w:r>
        <w:rPr>
          <w:sz w:val="20"/>
          <w:szCs w:val="20"/>
          <w:color w:val="auto"/>
        </w:rPr>
        <w:br w:type="column"/>
      </w:r>
    </w:p>
    <w:p>
      <w:pPr>
        <w:ind w:left="597"/>
        <w:spacing w:after="0"/>
        <w:rPr>
          <w:sz w:val="20"/>
          <w:szCs w:val="20"/>
          <w:color w:val="auto"/>
        </w:rPr>
      </w:pPr>
      <w:r>
        <w:rPr>
          <w:rFonts w:ascii="Arial" w:cs="Arial" w:eastAsia="Arial" w:hAnsi="Arial"/>
          <w:sz w:val="19"/>
          <w:szCs w:val="19"/>
          <w:color w:val="auto"/>
        </w:rPr>
        <w:t>and things</w:t>
      </w:r>
    </w:p>
    <w:p>
      <w:pPr>
        <w:spacing w:after="0" w:line="295" w:lineRule="exact"/>
        <w:rPr>
          <w:sz w:val="20"/>
          <w:szCs w:val="20"/>
          <w:color w:val="auto"/>
        </w:rPr>
      </w:pPr>
    </w:p>
    <w:p>
      <w:pPr>
        <w:jc w:val="both"/>
        <w:ind w:left="637" w:right="279"/>
        <w:spacing w:after="0"/>
        <w:rPr>
          <w:sz w:val="20"/>
          <w:szCs w:val="20"/>
          <w:color w:val="auto"/>
        </w:rPr>
      </w:pPr>
      <w:r>
        <w:rPr>
          <w:rFonts w:ascii="Arial" w:cs="Arial" w:eastAsia="Arial" w:hAnsi="Arial"/>
          <w:sz w:val="19"/>
          <w:szCs w:val="19"/>
          <w:color w:val="auto"/>
        </w:rPr>
        <w:t>as may be necessary or reasonably required (i) to register and protect any of the Company’s Intellectual Property Right or improvements or developments of or to the Company’s Intellectual Property Right;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-859155</wp:posOffset>
            </wp:positionV>
            <wp:extent cx="8890" cy="79635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890" cy="7963535"/>
                    </a:xfrm>
                    <a:prstGeom prst="rect">
                      <a:avLst/>
                    </a:prstGeom>
                    <a:noFill/>
                  </pic:spPr>
                </pic:pic>
              </a:graphicData>
            </a:graphic>
          </wp:anchor>
        </w:drawing>
      </w:r>
    </w:p>
    <w:p>
      <w:pPr>
        <w:jc w:val="both"/>
        <w:ind w:left="637" w:right="279"/>
        <w:spacing w:after="0" w:line="241" w:lineRule="auto"/>
        <w:tabs>
          <w:tab w:leader="none" w:pos="942" w:val="left"/>
        </w:tabs>
        <w:numPr>
          <w:ilvl w:val="0"/>
          <w:numId w:val="44"/>
        </w:numPr>
        <w:rPr>
          <w:rFonts w:ascii="Arial" w:cs="Arial" w:eastAsia="Arial" w:hAnsi="Arial"/>
          <w:sz w:val="19"/>
          <w:szCs w:val="19"/>
          <w:color w:val="auto"/>
        </w:rPr>
      </w:pPr>
      <w:r>
        <w:rPr>
          <w:rFonts w:ascii="Arial" w:cs="Arial" w:eastAsia="Arial" w:hAnsi="Arial"/>
          <w:sz w:val="19"/>
          <w:szCs w:val="19"/>
          <w:color w:val="auto"/>
        </w:rPr>
        <w:t>to vest title in or relating to the Company’s Intellectual Property Right in the Company (or its nominee as it shall direct) absolutely.</w:t>
      </w:r>
    </w:p>
    <w:p>
      <w:pPr>
        <w:spacing w:after="0" w:line="200" w:lineRule="exact"/>
        <w:rPr>
          <w:sz w:val="20"/>
          <w:szCs w:val="20"/>
          <w:color w:val="auto"/>
        </w:rPr>
      </w:pPr>
    </w:p>
    <w:p>
      <w:pPr>
        <w:spacing w:after="0" w:line="389" w:lineRule="exact"/>
        <w:rPr>
          <w:sz w:val="20"/>
          <w:szCs w:val="20"/>
          <w:color w:val="auto"/>
        </w:rPr>
      </w:pPr>
    </w:p>
    <w:p>
      <w:pPr>
        <w:jc w:val="both"/>
        <w:ind w:left="597" w:right="279" w:hanging="599"/>
        <w:spacing w:after="0" w:line="239" w:lineRule="auto"/>
        <w:tabs>
          <w:tab w:leader="none" w:pos="577"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9"/>
          <w:szCs w:val="19"/>
          <w:color w:val="auto"/>
        </w:rPr>
        <w:t>The Company shall be entitled to make such use of the Company’s Intellectual Property Rights as it deems appropriate. The Executive shall not use the Company’s Intellectual Property Right in any manner, save as is necessary in performing the Executive’s duties pursuant to this contract, and shall not disclose, or permit any third party to use or disclose, the Company’s Intellectual Property Right, in any manner, at any time ether during or after termination of this Agreement.</w:t>
      </w:r>
    </w:p>
    <w:p>
      <w:pPr>
        <w:spacing w:after="0" w:line="200" w:lineRule="exact"/>
        <w:rPr>
          <w:sz w:val="20"/>
          <w:szCs w:val="20"/>
          <w:color w:val="auto"/>
        </w:rPr>
      </w:pPr>
    </w:p>
    <w:p>
      <w:pPr>
        <w:spacing w:after="0" w:line="399" w:lineRule="exact"/>
        <w:rPr>
          <w:sz w:val="20"/>
          <w:szCs w:val="20"/>
          <w:color w:val="auto"/>
        </w:rPr>
      </w:pPr>
    </w:p>
    <w:p>
      <w:pPr>
        <w:ind w:left="637" w:hanging="637"/>
        <w:spacing w:after="0"/>
        <w:tabs>
          <w:tab w:leader="none" w:pos="637" w:val="left"/>
        </w:tabs>
        <w:numPr>
          <w:ilvl w:val="0"/>
          <w:numId w:val="45"/>
        </w:numPr>
        <w:rPr>
          <w:rFonts w:ascii="Arial" w:cs="Arial" w:eastAsia="Arial" w:hAnsi="Arial"/>
          <w:sz w:val="19"/>
          <w:szCs w:val="19"/>
          <w:color w:val="auto"/>
        </w:rPr>
      </w:pPr>
      <w:r>
        <w:rPr>
          <w:rFonts w:ascii="Arial" w:cs="Arial" w:eastAsia="Arial" w:hAnsi="Arial"/>
          <w:sz w:val="19"/>
          <w:szCs w:val="19"/>
          <w:b w:val="1"/>
          <w:bCs w:val="1"/>
          <w:u w:val="single" w:color="auto"/>
          <w:color w:val="auto"/>
        </w:rPr>
        <w:t>Benefits</w:t>
      </w:r>
    </w:p>
    <w:p>
      <w:pPr>
        <w:sectPr>
          <w:pgSz w:w="11900" w:h="16838" w:orient="portrait"/>
          <w:cols w:equalWidth="0" w:num="2">
            <w:col w:w="4263" w:space="720"/>
            <w:col w:w="4037"/>
          </w:cols>
          <w:pgMar w:left="1440" w:top="882" w:right="1440" w:bottom="1440" w:gutter="0" w:footer="0" w:header="0"/>
        </w:sectPr>
      </w:pPr>
    </w:p>
    <w:bookmarkStart w:id="64" w:name="page65"/>
    <w:bookmarkEnd w:id="64"/>
    <w:p>
      <w:pPr>
        <w:ind w:left="280"/>
        <w:spacing w:after="0"/>
        <w:tabs>
          <w:tab w:leader="none" w:pos="880" w:val="left"/>
          <w:tab w:leader="none" w:pos="1220" w:val="left"/>
          <w:tab w:leader="none" w:pos="2220" w:val="left"/>
          <w:tab w:leader="none" w:pos="3360" w:val="left"/>
          <w:tab w:leader="none" w:pos="3740"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9"/>
          <w:szCs w:val="19"/>
          <w:color w:val="auto"/>
        </w:rPr>
        <w:t>Il</w:t>
        <w:tab/>
        <w:t>Dirigente</w:t>
        <w:tab/>
        <w:t>beneficerà</w:t>
        <w:tab/>
        <w:t>di</w:t>
      </w:r>
      <w:r>
        <w:rPr>
          <w:sz w:val="20"/>
          <w:szCs w:val="20"/>
          <w:color w:val="auto"/>
        </w:rPr>
        <w:tab/>
      </w:r>
      <w:r>
        <w:rPr>
          <w:rFonts w:ascii="Arial" w:cs="Arial" w:eastAsia="Arial" w:hAnsi="Arial"/>
          <w:sz w:val="18"/>
          <w:szCs w:val="18"/>
          <w:color w:val="auto"/>
        </w:rPr>
        <w:t>piani</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pensione, piani di assistenza sanitaria,</w:t>
      </w:r>
    </w:p>
    <w:p>
      <w:pPr>
        <w:ind w:left="900"/>
        <w:spacing w:after="0" w:line="237" w:lineRule="auto"/>
        <w:rPr>
          <w:sz w:val="20"/>
          <w:szCs w:val="20"/>
          <w:color w:val="auto"/>
        </w:rPr>
      </w:pPr>
      <w:r>
        <w:rPr>
          <w:rFonts w:ascii="Arial" w:cs="Arial" w:eastAsia="Arial" w:hAnsi="Arial"/>
          <w:sz w:val="19"/>
          <w:szCs w:val="19"/>
          <w:color w:val="auto"/>
        </w:rPr>
        <w:t>ed  altri  benefits  qualora  sottoscritti</w:t>
      </w:r>
    </w:p>
    <w:p>
      <w:pPr>
        <w:ind w:left="900"/>
        <w:spacing w:after="0" w:line="237" w:lineRule="auto"/>
        <w:rPr>
          <w:sz w:val="20"/>
          <w:szCs w:val="20"/>
          <w:color w:val="auto"/>
        </w:rPr>
      </w:pPr>
      <w:r>
        <w:rPr>
          <w:rFonts w:ascii="Arial" w:cs="Arial" w:eastAsia="Arial" w:hAnsi="Arial"/>
          <w:sz w:val="19"/>
          <w:szCs w:val="19"/>
          <w:color w:val="auto"/>
        </w:rPr>
        <w:t>dalla Società a favore dei Dirigenti e/o</w:t>
      </w:r>
    </w:p>
    <w:p>
      <w:pPr>
        <w:ind w:left="900"/>
        <w:spacing w:after="0"/>
        <w:rPr>
          <w:sz w:val="20"/>
          <w:szCs w:val="20"/>
          <w:color w:val="auto"/>
        </w:rPr>
      </w:pPr>
      <w:r>
        <w:rPr>
          <w:rFonts w:ascii="Arial" w:cs="Arial" w:eastAsia="Arial" w:hAnsi="Arial"/>
          <w:sz w:val="19"/>
          <w:szCs w:val="19"/>
          <w:color w:val="auto"/>
        </w:rPr>
        <w:t>previsti dal CCNL.</w:t>
      </w:r>
    </w:p>
    <w:p>
      <w:pPr>
        <w:spacing w:after="0" w:line="169"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9"/>
          <w:szCs w:val="19"/>
          <w:color w:val="auto"/>
        </w:rPr>
        <w:t>I dettagli relativi al funzionamento di</w:t>
      </w:r>
    </w:p>
    <w:p>
      <w:pPr>
        <w:spacing w:after="0" w:line="13" w:lineRule="exact"/>
        <w:rPr>
          <w:sz w:val="20"/>
          <w:szCs w:val="20"/>
          <w:color w:val="auto"/>
        </w:rPr>
      </w:pPr>
    </w:p>
    <w:p>
      <w:pPr>
        <w:ind w:left="900"/>
        <w:spacing w:after="0"/>
        <w:tabs>
          <w:tab w:leader="none" w:pos="1320" w:val="left"/>
          <w:tab w:leader="none" w:pos="2100" w:val="left"/>
          <w:tab w:leader="none" w:pos="2980" w:val="left"/>
          <w:tab w:leader="none" w:pos="3680" w:val="left"/>
        </w:tabs>
        <w:rPr>
          <w:sz w:val="20"/>
          <w:szCs w:val="20"/>
          <w:color w:val="auto"/>
        </w:rPr>
      </w:pPr>
      <w:r>
        <w:rPr>
          <w:rFonts w:ascii="Arial" w:cs="Arial" w:eastAsia="Arial" w:hAnsi="Arial"/>
          <w:sz w:val="19"/>
          <w:szCs w:val="19"/>
          <w:color w:val="auto"/>
        </w:rPr>
        <w:t>tali</w:t>
        <w:tab/>
        <w:t>benefit</w:t>
        <w:tab/>
        <w:t>saranno</w:t>
        <w:tab/>
        <w:t>forniti,</w:t>
        <w:tab/>
        <w:t>dietro</w:t>
      </w:r>
    </w:p>
    <w:p>
      <w:pPr>
        <w:ind w:left="900"/>
        <w:spacing w:after="0" w:line="237" w:lineRule="auto"/>
        <w:tabs>
          <w:tab w:leader="none" w:pos="2000" w:val="left"/>
          <w:tab w:leader="none" w:pos="2680" w:val="left"/>
          <w:tab w:leader="none" w:pos="3900" w:val="left"/>
        </w:tabs>
        <w:rPr>
          <w:sz w:val="20"/>
          <w:szCs w:val="20"/>
          <w:color w:val="auto"/>
        </w:rPr>
      </w:pPr>
      <w:r>
        <w:rPr>
          <w:rFonts w:ascii="Arial" w:cs="Arial" w:eastAsia="Arial" w:hAnsi="Arial"/>
          <w:sz w:val="19"/>
          <w:szCs w:val="19"/>
          <w:color w:val="auto"/>
        </w:rPr>
        <w:t>richiesta</w:t>
      </w:r>
      <w:r>
        <w:rPr>
          <w:sz w:val="20"/>
          <w:szCs w:val="20"/>
          <w:color w:val="auto"/>
        </w:rPr>
        <w:tab/>
      </w:r>
      <w:r>
        <w:rPr>
          <w:rFonts w:ascii="Arial" w:cs="Arial" w:eastAsia="Arial" w:hAnsi="Arial"/>
          <w:sz w:val="19"/>
          <w:szCs w:val="19"/>
          <w:color w:val="auto"/>
        </w:rPr>
        <w:t>del</w:t>
      </w:r>
      <w:r>
        <w:rPr>
          <w:sz w:val="20"/>
          <w:szCs w:val="20"/>
          <w:color w:val="auto"/>
        </w:rPr>
        <w:tab/>
      </w:r>
      <w:r>
        <w:rPr>
          <w:rFonts w:ascii="Arial" w:cs="Arial" w:eastAsia="Arial" w:hAnsi="Arial"/>
          <w:sz w:val="19"/>
          <w:szCs w:val="19"/>
          <w:color w:val="auto"/>
        </w:rPr>
        <w:t>Dirigente,</w:t>
      </w:r>
      <w:r>
        <w:rPr>
          <w:sz w:val="20"/>
          <w:szCs w:val="20"/>
          <w:color w:val="auto"/>
        </w:rPr>
        <w:tab/>
      </w:r>
      <w:r>
        <w:rPr>
          <w:rFonts w:ascii="Arial" w:cs="Arial" w:eastAsia="Arial" w:hAnsi="Arial"/>
          <w:sz w:val="19"/>
          <w:szCs w:val="19"/>
          <w:color w:val="auto"/>
        </w:rPr>
        <w:t>dal</w:t>
      </w:r>
    </w:p>
    <w:p>
      <w:pPr>
        <w:ind w:left="900"/>
        <w:spacing w:after="0"/>
        <w:rPr>
          <w:sz w:val="20"/>
          <w:szCs w:val="20"/>
          <w:color w:val="auto"/>
        </w:rPr>
      </w:pPr>
      <w:r>
        <w:rPr>
          <w:rFonts w:ascii="Arial" w:cs="Arial" w:eastAsia="Arial" w:hAnsi="Arial"/>
          <w:sz w:val="19"/>
          <w:szCs w:val="19"/>
          <w:color w:val="auto"/>
        </w:rPr>
        <w:t>Dipartimento Risorse Umane.</w:t>
      </w:r>
    </w:p>
    <w:p>
      <w:pPr>
        <w:spacing w:after="0" w:line="169"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9"/>
          <w:szCs w:val="19"/>
          <w:color w:val="auto"/>
        </w:rPr>
        <w:t>Per poter beneficiare dei benefit offerti</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dalla Società il Dirigente è tenuto a</w:t>
      </w:r>
    </w:p>
    <w:p>
      <w:pPr>
        <w:ind w:left="900"/>
        <w:spacing w:after="0" w:line="237" w:lineRule="auto"/>
        <w:rPr>
          <w:sz w:val="20"/>
          <w:szCs w:val="20"/>
          <w:color w:val="auto"/>
        </w:rPr>
      </w:pPr>
      <w:r>
        <w:rPr>
          <w:rFonts w:ascii="Arial" w:cs="Arial" w:eastAsia="Arial" w:hAnsi="Arial"/>
          <w:sz w:val="19"/>
          <w:szCs w:val="19"/>
          <w:color w:val="auto"/>
        </w:rPr>
        <w:t>compilare i necessari documenti (di</w:t>
      </w:r>
    </w:p>
    <w:p>
      <w:pPr>
        <w:ind w:left="900"/>
        <w:spacing w:after="0" w:line="237" w:lineRule="auto"/>
        <w:tabs>
          <w:tab w:leader="none" w:pos="1660" w:val="left"/>
          <w:tab w:leader="none" w:pos="2160" w:val="left"/>
          <w:tab w:leader="none" w:pos="3140" w:val="left"/>
          <w:tab w:leader="none" w:pos="3900" w:val="left"/>
        </w:tabs>
        <w:rPr>
          <w:sz w:val="20"/>
          <w:szCs w:val="20"/>
          <w:color w:val="auto"/>
        </w:rPr>
      </w:pPr>
      <w:r>
        <w:rPr>
          <w:rFonts w:ascii="Arial" w:cs="Arial" w:eastAsia="Arial" w:hAnsi="Arial"/>
          <w:sz w:val="19"/>
          <w:szCs w:val="19"/>
          <w:color w:val="auto"/>
        </w:rPr>
        <w:t>lavoro)</w:t>
        <w:tab/>
        <w:t>che</w:t>
        <w:tab/>
        <w:t>dovranno</w:t>
        <w:tab/>
        <w:t>essere</w:t>
        <w:tab/>
        <w:t>poi</w:t>
      </w:r>
    </w:p>
    <w:p>
      <w:pPr>
        <w:ind w:left="900"/>
        <w:spacing w:after="0"/>
        <w:rPr>
          <w:sz w:val="20"/>
          <w:szCs w:val="20"/>
          <w:color w:val="auto"/>
        </w:rPr>
      </w:pPr>
      <w:r>
        <w:rPr>
          <w:rFonts w:ascii="Arial" w:cs="Arial" w:eastAsia="Arial" w:hAnsi="Arial"/>
          <w:sz w:val="19"/>
          <w:szCs w:val="19"/>
          <w:color w:val="auto"/>
        </w:rPr>
        <w:t>accettati dai relativi fornitori.</w:t>
      </w:r>
    </w:p>
    <w:p>
      <w:pPr>
        <w:spacing w:after="0" w:line="169" w:lineRule="exact"/>
        <w:rPr>
          <w:sz w:val="20"/>
          <w:szCs w:val="20"/>
          <w:color w:val="auto"/>
        </w:rPr>
      </w:pPr>
    </w:p>
    <w:p>
      <w:pPr>
        <w:ind w:left="280"/>
        <w:spacing w:after="0"/>
        <w:tabs>
          <w:tab w:leader="none" w:pos="880" w:val="left"/>
          <w:tab w:leader="none" w:pos="1260" w:val="left"/>
          <w:tab w:leader="none" w:pos="2080" w:val="left"/>
          <w:tab w:leader="none" w:pos="2380" w:val="left"/>
          <w:tab w:leader="none" w:pos="3120" w:val="left"/>
          <w:tab w:leader="none" w:pos="3380" w:val="left"/>
          <w:tab w:leader="none" w:pos="4000" w:val="left"/>
        </w:tabs>
        <w:rPr>
          <w:sz w:val="20"/>
          <w:szCs w:val="20"/>
          <w:color w:val="auto"/>
        </w:rPr>
      </w:pPr>
      <w:r>
        <w:rPr>
          <w:rFonts w:ascii="Arial" w:cs="Arial" w:eastAsia="Arial" w:hAnsi="Arial"/>
          <w:sz w:val="19"/>
          <w:szCs w:val="19"/>
          <w:color w:val="auto"/>
        </w:rPr>
        <w:t>9.4</w:t>
      </w:r>
      <w:r>
        <w:rPr>
          <w:sz w:val="20"/>
          <w:szCs w:val="20"/>
          <w:color w:val="auto"/>
        </w:rPr>
        <w:tab/>
      </w:r>
      <w:r>
        <w:rPr>
          <w:rFonts w:ascii="Arial" w:cs="Arial" w:eastAsia="Arial" w:hAnsi="Arial"/>
          <w:sz w:val="19"/>
          <w:szCs w:val="19"/>
          <w:color w:val="auto"/>
        </w:rPr>
        <w:t>La</w:t>
        <w:tab/>
        <w:t>Società</w:t>
        <w:tab/>
        <w:t>si</w:t>
        <w:tab/>
        <w:t>riserva</w:t>
        <w:tab/>
        <w:t>il</w:t>
        <w:tab/>
        <w:t>diritto</w:t>
        <w:tab/>
        <w:t>di</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modificare, revocare, ridimensionare o</w:t>
      </w:r>
    </w:p>
    <w:p>
      <w:pPr>
        <w:ind w:left="900"/>
        <w:spacing w:after="0" w:line="237" w:lineRule="auto"/>
        <w:rPr>
          <w:sz w:val="20"/>
          <w:szCs w:val="20"/>
          <w:color w:val="auto"/>
        </w:rPr>
      </w:pPr>
      <w:r>
        <w:rPr>
          <w:rFonts w:ascii="Arial" w:cs="Arial" w:eastAsia="Arial" w:hAnsi="Arial"/>
          <w:sz w:val="19"/>
          <w:szCs w:val="19"/>
          <w:color w:val="auto"/>
        </w:rPr>
        <w:t>sostituire  uno  qualsiasi  dei  benefits</w:t>
      </w:r>
    </w:p>
    <w:p>
      <w:pPr>
        <w:ind w:left="900"/>
        <w:spacing w:after="0" w:line="237" w:lineRule="auto"/>
        <w:rPr>
          <w:sz w:val="20"/>
          <w:szCs w:val="20"/>
          <w:color w:val="auto"/>
        </w:rPr>
      </w:pPr>
      <w:r>
        <w:rPr>
          <w:rFonts w:ascii="Arial" w:cs="Arial" w:eastAsia="Arial" w:hAnsi="Arial"/>
          <w:sz w:val="19"/>
          <w:szCs w:val="19"/>
          <w:color w:val="auto"/>
        </w:rPr>
        <w:t>sopra menzionati. La concessione di</w:t>
      </w:r>
    </w:p>
    <w:p>
      <w:pPr>
        <w:ind w:left="900"/>
        <w:spacing w:after="0" w:line="237" w:lineRule="auto"/>
        <w:tabs>
          <w:tab w:leader="none" w:pos="1460" w:val="left"/>
          <w:tab w:leader="none" w:pos="2340" w:val="left"/>
          <w:tab w:leader="none" w:pos="2660" w:val="left"/>
          <w:tab w:leader="none" w:pos="3860" w:val="left"/>
        </w:tabs>
        <w:rPr>
          <w:sz w:val="20"/>
          <w:szCs w:val="20"/>
          <w:color w:val="auto"/>
        </w:rPr>
      </w:pPr>
      <w:r>
        <w:rPr>
          <w:rFonts w:ascii="Arial" w:cs="Arial" w:eastAsia="Arial" w:hAnsi="Arial"/>
          <w:sz w:val="19"/>
          <w:szCs w:val="19"/>
          <w:color w:val="auto"/>
        </w:rPr>
        <w:t>detti</w:t>
        <w:tab/>
        <w:t>benefits</w:t>
        <w:tab/>
        <w:t>è</w:t>
        <w:tab/>
        <w:t>subordinata</w:t>
        <w:tab/>
        <w:t>alle</w:t>
      </w:r>
    </w:p>
    <w:p>
      <w:pPr>
        <w:ind w:left="900"/>
        <w:spacing w:after="0" w:line="238" w:lineRule="auto"/>
        <w:rPr>
          <w:sz w:val="20"/>
          <w:szCs w:val="20"/>
          <w:color w:val="auto"/>
        </w:rPr>
      </w:pPr>
      <w:r>
        <w:rPr>
          <w:rFonts w:ascii="Arial" w:cs="Arial" w:eastAsia="Arial" w:hAnsi="Arial"/>
          <w:sz w:val="19"/>
          <w:szCs w:val="19"/>
          <w:color w:val="auto"/>
        </w:rPr>
        <w:t>condizioni poste dai prestatori e se</w:t>
      </w:r>
    </w:p>
    <w:p>
      <w:pPr>
        <w:ind w:left="900"/>
        <w:spacing w:after="0" w:line="237" w:lineRule="auto"/>
        <w:rPr>
          <w:sz w:val="20"/>
          <w:szCs w:val="20"/>
          <w:color w:val="auto"/>
        </w:rPr>
      </w:pPr>
      <w:r>
        <w:rPr>
          <w:rFonts w:ascii="Arial" w:cs="Arial" w:eastAsia="Arial" w:hAnsi="Arial"/>
          <w:sz w:val="19"/>
          <w:szCs w:val="19"/>
          <w:color w:val="auto"/>
        </w:rPr>
        <w:t>qualsiasi di tali prestatori si dovesse</w:t>
      </w:r>
    </w:p>
    <w:p>
      <w:pPr>
        <w:ind w:left="900"/>
        <w:spacing w:after="0" w:line="237" w:lineRule="auto"/>
        <w:tabs>
          <w:tab w:leader="none" w:pos="1740" w:val="left"/>
          <w:tab w:leader="none" w:pos="2200" w:val="left"/>
          <w:tab w:leader="none" w:pos="2940" w:val="left"/>
          <w:tab w:leader="none" w:pos="3860" w:val="left"/>
        </w:tabs>
        <w:rPr>
          <w:sz w:val="20"/>
          <w:szCs w:val="20"/>
          <w:color w:val="auto"/>
        </w:rPr>
      </w:pPr>
      <w:r>
        <w:rPr>
          <w:rFonts w:ascii="Arial" w:cs="Arial" w:eastAsia="Arial" w:hAnsi="Arial"/>
          <w:sz w:val="19"/>
          <w:szCs w:val="19"/>
          <w:color w:val="auto"/>
        </w:rPr>
        <w:t>rifiutare,</w:t>
        <w:tab/>
        <w:t>per</w:t>
        <w:tab/>
        <w:t>ragioni</w:t>
        <w:tab/>
        <w:t>estranee</w:t>
        <w:tab/>
        <w:t>alla</w:t>
      </w:r>
    </w:p>
    <w:p>
      <w:pPr>
        <w:ind w:left="900"/>
        <w:spacing w:after="0" w:line="237" w:lineRule="auto"/>
        <w:rPr>
          <w:sz w:val="20"/>
          <w:szCs w:val="20"/>
          <w:color w:val="auto"/>
        </w:rPr>
      </w:pPr>
      <w:r>
        <w:rPr>
          <w:rFonts w:ascii="Arial" w:cs="Arial" w:eastAsia="Arial" w:hAnsi="Arial"/>
          <w:sz w:val="19"/>
          <w:szCs w:val="19"/>
          <w:color w:val="auto"/>
        </w:rPr>
        <w:t>Società, di concedere al Dirigente, o a</w:t>
      </w:r>
    </w:p>
    <w:p>
      <w:pPr>
        <w:ind w:left="900"/>
        <w:spacing w:after="0" w:line="238" w:lineRule="auto"/>
        <w:tabs>
          <w:tab w:leader="none" w:pos="1360" w:val="left"/>
          <w:tab w:leader="none" w:pos="2320" w:val="left"/>
          <w:tab w:leader="none" w:pos="2980" w:val="left"/>
          <w:tab w:leader="none" w:pos="3900" w:val="left"/>
        </w:tabs>
        <w:rPr>
          <w:sz w:val="20"/>
          <w:szCs w:val="20"/>
          <w:color w:val="auto"/>
        </w:rPr>
      </w:pPr>
      <w:r>
        <w:rPr>
          <w:rFonts w:ascii="Arial" w:cs="Arial" w:eastAsia="Arial" w:hAnsi="Arial"/>
          <w:sz w:val="19"/>
          <w:szCs w:val="19"/>
          <w:color w:val="auto"/>
        </w:rPr>
        <w:t>un</w:t>
        <w:tab/>
        <w:t>membro</w:t>
        <w:tab/>
        <w:t>della</w:t>
        <w:tab/>
        <w:t>famiglia</w:t>
        <w:tab/>
        <w:t>del</w:t>
      </w:r>
    </w:p>
    <w:p>
      <w:pPr>
        <w:ind w:left="900"/>
        <w:spacing w:after="0"/>
        <w:rPr>
          <w:sz w:val="20"/>
          <w:szCs w:val="20"/>
          <w:color w:val="auto"/>
        </w:rPr>
      </w:pPr>
      <w:r>
        <w:rPr>
          <w:rFonts w:ascii="Arial" w:cs="Arial" w:eastAsia="Arial" w:hAnsi="Arial"/>
          <w:sz w:val="19"/>
          <w:szCs w:val="19"/>
          <w:color w:val="auto"/>
        </w:rPr>
        <w:t>Dirigente, il relativo benefit, la Società</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9.1</w:t>
      </w:r>
    </w:p>
    <w:p>
      <w:pPr>
        <w:sectPr>
          <w:pgSz w:w="11900" w:h="16838" w:orient="portrait"/>
          <w:cols w:equalWidth="0" w:num="1">
            <w:col w:w="9019"/>
          </w:cols>
          <w:pgMar w:left="1440" w:top="760" w:right="1440" w:bottom="1440" w:gutter="0" w:footer="0" w:header="0"/>
        </w:sectPr>
      </w:pPr>
    </w:p>
    <w:bookmarkStart w:id="65" w:name="page66"/>
    <w:bookmarkEnd w:id="65"/>
    <w:p>
      <w:pPr>
        <w:ind w:left="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800" w:right="900" w:hanging="599"/>
        <w:spacing w:after="0" w:line="254" w:lineRule="auto"/>
        <w:tabs>
          <w:tab w:leader="none" w:pos="78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9"/>
          <w:szCs w:val="19"/>
          <w:color w:val="auto"/>
        </w:rPr>
        <w:t>Full details of benefit schemes will be provided, at Executive’s request, by the HR Department.</w:t>
      </w:r>
    </w:p>
    <w:p>
      <w:pPr>
        <w:spacing w:after="0" w:line="200" w:lineRule="exact"/>
        <w:rPr>
          <w:sz w:val="20"/>
          <w:szCs w:val="20"/>
          <w:color w:val="auto"/>
        </w:rPr>
      </w:pPr>
    </w:p>
    <w:p>
      <w:pPr>
        <w:spacing w:after="0" w:line="375" w:lineRule="exact"/>
        <w:rPr>
          <w:sz w:val="20"/>
          <w:szCs w:val="20"/>
          <w:color w:val="auto"/>
        </w:rPr>
      </w:pPr>
    </w:p>
    <w:p>
      <w:pPr>
        <w:ind w:left="200"/>
        <w:spacing w:after="0"/>
        <w:tabs>
          <w:tab w:leader="none" w:pos="780" w:val="left"/>
          <w:tab w:leader="none" w:pos="1960" w:val="left"/>
          <w:tab w:leader="none" w:pos="2640" w:val="left"/>
          <w:tab w:leader="none" w:pos="368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9"/>
          <w:szCs w:val="19"/>
          <w:color w:val="auto"/>
        </w:rPr>
        <w:t>Executives</w:t>
        <w:tab/>
        <w:t>must</w:t>
        <w:tab/>
        <w:t>complete</w:t>
      </w:r>
      <w:r>
        <w:rPr>
          <w:sz w:val="20"/>
          <w:szCs w:val="20"/>
          <w:color w:val="auto"/>
        </w:rPr>
        <w:tab/>
      </w:r>
      <w:r>
        <w:rPr>
          <w:rFonts w:ascii="Arial" w:cs="Arial" w:eastAsia="Arial" w:hAnsi="Arial"/>
          <w:sz w:val="18"/>
          <w:szCs w:val="18"/>
          <w:color w:val="auto"/>
        </w:rPr>
        <w:t>the</w:t>
      </w:r>
    </w:p>
    <w:p>
      <w:pPr>
        <w:spacing w:after="0" w:line="16" w:lineRule="exact"/>
        <w:rPr>
          <w:sz w:val="20"/>
          <w:szCs w:val="20"/>
          <w:color w:val="auto"/>
        </w:rPr>
      </w:pPr>
    </w:p>
    <w:p>
      <w:pPr>
        <w:jc w:val="both"/>
        <w:ind w:left="800" w:right="900"/>
        <w:spacing w:after="0" w:line="241" w:lineRule="auto"/>
        <w:rPr>
          <w:sz w:val="20"/>
          <w:szCs w:val="20"/>
          <w:color w:val="auto"/>
        </w:rPr>
      </w:pPr>
      <w:r>
        <w:rPr>
          <w:rFonts w:ascii="Arial" w:cs="Arial" w:eastAsia="Arial" w:hAnsi="Arial"/>
          <w:sz w:val="19"/>
          <w:szCs w:val="19"/>
          <w:color w:val="auto"/>
        </w:rPr>
        <w:t>necessary paperwork with acceptance by the relevant suppliers to be eligible to participate in the benefit schemes the Company offers.</w:t>
      </w:r>
    </w:p>
    <w:p>
      <w:pPr>
        <w:spacing w:after="0" w:line="20" w:lineRule="exact"/>
        <w:rPr>
          <w:sz w:val="20"/>
          <w:szCs w:val="20"/>
          <w:color w:val="auto"/>
        </w:rPr>
      </w:pPr>
      <w:r>
        <w:rPr>
          <w:sz w:val="20"/>
          <w:szCs w:val="20"/>
          <w:color w:val="auto"/>
        </w:rPr>
        <w:br w:type="column"/>
      </w:r>
    </w:p>
    <w:p>
      <w:pPr>
        <w:jc w:val="both"/>
        <w:ind w:right="279" w:hanging="599"/>
        <w:spacing w:after="0" w:line="255" w:lineRule="auto"/>
        <w:rPr>
          <w:sz w:val="20"/>
          <w:szCs w:val="20"/>
          <w:color w:val="auto"/>
        </w:rPr>
      </w:pPr>
      <w:r>
        <w:rPr>
          <w:rFonts w:ascii="Arial" w:cs="Arial" w:eastAsia="Arial" w:hAnsi="Arial"/>
          <w:sz w:val="19"/>
          <w:szCs w:val="19"/>
          <w:color w:val="auto"/>
        </w:rPr>
        <w:t>9.4</w:t>
      </w:r>
      <w:r>
        <w:rPr>
          <w:sz w:val="20"/>
          <w:szCs w:val="20"/>
          <w:color w:val="auto"/>
        </w:rPr>
        <w:t xml:space="preserve"> </w:t>
      </w:r>
      <w:r>
        <w:rPr>
          <w:rFonts w:ascii="Arial" w:cs="Arial" w:eastAsia="Arial" w:hAnsi="Arial"/>
          <w:sz w:val="18"/>
          <w:szCs w:val="18"/>
          <w:color w:val="auto"/>
        </w:rPr>
        <w:t>The Company reserves the right to alter, terminate, reduce or substitute any of the benefits. The benefits are subject to the rules of the providers and if any scheme provider refuses, for any reason extraneous to the Company, to provide any benefits to the Executive, or a member of the Executive’s family, the Company shall not be liable to provide any such benefits itself or compensation in lieu.</w:t>
      </w:r>
    </w:p>
    <w:p>
      <w:pPr>
        <w:spacing w:after="0" w:line="944" w:lineRule="exact"/>
        <w:rPr>
          <w:sz w:val="20"/>
          <w:szCs w:val="20"/>
          <w:color w:val="auto"/>
        </w:rPr>
      </w:pPr>
    </w:p>
    <w:p>
      <w:pPr>
        <w:sectPr>
          <w:pgSz w:w="11900" w:h="16838" w:orient="portrait"/>
          <w:cols w:equalWidth="0" w:num="2">
            <w:col w:w="4860" w:space="720"/>
            <w:col w:w="3439"/>
          </w:cols>
          <w:pgMar w:left="1440" w:top="8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type w:val="continuous"/>
        </w:sectPr>
      </w:pPr>
    </w:p>
    <w:bookmarkStart w:id="67" w:name="page68"/>
    <w:bookmarkEnd w:id="67"/>
    <w:p>
      <w:pPr>
        <w:spacing w:after="0" w:line="104" w:lineRule="exact"/>
        <w:rPr>
          <w:sz w:val="20"/>
          <w:szCs w:val="20"/>
          <w:color w:val="auto"/>
        </w:rPr>
      </w:pPr>
    </w:p>
    <w:p>
      <w:pPr>
        <w:ind w:left="900"/>
        <w:spacing w:after="0"/>
        <w:rPr>
          <w:sz w:val="20"/>
          <w:szCs w:val="20"/>
          <w:color w:val="auto"/>
        </w:rPr>
      </w:pPr>
      <w:r>
        <w:rPr>
          <w:rFonts w:ascii="Arial" w:cs="Arial" w:eastAsia="Arial" w:hAnsi="Arial"/>
          <w:sz w:val="19"/>
          <w:szCs w:val="19"/>
          <w:color w:val="auto"/>
        </w:rPr>
        <w:t>non sarà tenuta a concederle il benefit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-120650</wp:posOffset>
            </wp:positionV>
            <wp:extent cx="3462020" cy="79724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3462020" cy="797242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-120650</wp:posOffset>
            </wp:positionV>
            <wp:extent cx="8890" cy="79724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8890" cy="797242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9"/>
          <w:szCs w:val="19"/>
          <w:color w:val="auto"/>
        </w:rPr>
        <w:t>oggetto in sostituzione del prestatore né</w:t>
      </w:r>
    </w:p>
    <w:p>
      <w:pPr>
        <w:ind w:left="900"/>
        <w:spacing w:after="0"/>
        <w:rPr>
          <w:sz w:val="20"/>
          <w:szCs w:val="20"/>
          <w:color w:val="auto"/>
        </w:rPr>
      </w:pPr>
      <w:r>
        <w:rPr>
          <w:rFonts w:ascii="Arial" w:cs="Arial" w:eastAsia="Arial" w:hAnsi="Arial"/>
          <w:sz w:val="19"/>
          <w:szCs w:val="19"/>
          <w:color w:val="auto"/>
        </w:rPr>
        <w:t>a compensarla in alcun modo.</w:t>
      </w:r>
    </w:p>
    <w:p>
      <w:pPr>
        <w:spacing w:after="0" w:line="169" w:lineRule="exact"/>
        <w:rPr>
          <w:sz w:val="20"/>
          <w:szCs w:val="20"/>
          <w:color w:val="auto"/>
        </w:rPr>
      </w:pPr>
    </w:p>
    <w:p>
      <w:pPr>
        <w:ind w:left="900" w:hanging="628"/>
        <w:spacing w:after="0"/>
        <w:tabs>
          <w:tab w:leader="none" w:pos="900"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Obblighi professionali</w:t>
      </w:r>
      <w:r>
        <w:rPr>
          <w:rFonts w:ascii="Arial" w:cs="Arial" w:eastAsia="Arial" w:hAnsi="Arial"/>
          <w:sz w:val="19"/>
          <w:szCs w:val="19"/>
          <w:b w:val="1"/>
          <w:bCs w:val="1"/>
          <w:color w:val="auto"/>
        </w:rPr>
        <w:t xml:space="preserve"> </w:t>
      </w:r>
      <w:r>
        <w:rPr>
          <w:rFonts w:ascii="Arial" w:cs="Arial" w:eastAsia="Arial" w:hAnsi="Arial"/>
          <w:sz w:val="19"/>
          <w:szCs w:val="19"/>
          <w:color w:val="auto"/>
        </w:rPr>
        <w:t>10.</w:t>
      </w:r>
      <w:r>
        <w:rPr>
          <w:rFonts w:ascii="Arial" w:cs="Arial" w:eastAsia="Arial" w:hAnsi="Arial"/>
          <w:sz w:val="19"/>
          <w:szCs w:val="19"/>
          <w:b w:val="1"/>
          <w:bCs w:val="1"/>
          <w:color w:val="auto"/>
        </w:rPr>
        <w:t xml:space="preserve">  Professional obligations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10.</w:t>
      </w:r>
      <w:r>
        <w:rPr>
          <w:rFonts w:ascii="Arial" w:cs="Arial" w:eastAsia="Arial" w:hAnsi="Arial"/>
          <w:sz w:val="19"/>
          <w:szCs w:val="19"/>
          <w:u w:val="single" w:color="auto"/>
          <w:color w:val="auto"/>
        </w:rPr>
        <w:t>1Lealtà:</w:t>
      </w:r>
      <w:r>
        <w:rPr>
          <w:rFonts w:ascii="Arial" w:cs="Arial" w:eastAsia="Arial" w:hAnsi="Arial"/>
          <w:sz w:val="19"/>
          <w:szCs w:val="19"/>
          <w:color w:val="auto"/>
        </w:rPr>
        <w:t xml:space="preserve"> Il Dirigente si impegna a svolgere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tutti i compiti con lealtà, competenza e</w:t>
      </w:r>
    </w:p>
    <w:p>
      <w:pPr>
        <w:ind w:left="560"/>
        <w:spacing w:after="0" w:line="237" w:lineRule="auto"/>
        <w:rPr>
          <w:sz w:val="20"/>
          <w:szCs w:val="20"/>
          <w:color w:val="auto"/>
        </w:rPr>
      </w:pPr>
      <w:r>
        <w:rPr>
          <w:rFonts w:ascii="Arial" w:cs="Arial" w:eastAsia="Arial" w:hAnsi="Arial"/>
          <w:sz w:val="19"/>
          <w:szCs w:val="19"/>
          <w:color w:val="auto"/>
        </w:rPr>
        <w:t>diligenza, in conformità alle leggi vigenti, a</w:t>
      </w:r>
    </w:p>
    <w:p>
      <w:pPr>
        <w:ind w:left="560"/>
        <w:spacing w:after="0" w:line="237" w:lineRule="auto"/>
        <w:rPr>
          <w:sz w:val="20"/>
          <w:szCs w:val="20"/>
          <w:color w:val="auto"/>
        </w:rPr>
      </w:pPr>
      <w:r>
        <w:rPr>
          <w:rFonts w:ascii="Arial" w:cs="Arial" w:eastAsia="Arial" w:hAnsi="Arial"/>
          <w:sz w:val="19"/>
          <w:szCs w:val="19"/>
          <w:color w:val="auto"/>
        </w:rPr>
        <w:t>procedure e regolamenti interni aziendali,</w:t>
      </w:r>
    </w:p>
    <w:p>
      <w:pPr>
        <w:ind w:left="560"/>
        <w:spacing w:after="0"/>
        <w:rPr>
          <w:sz w:val="20"/>
          <w:szCs w:val="20"/>
          <w:color w:val="auto"/>
        </w:rPr>
      </w:pPr>
      <w:r>
        <w:rPr>
          <w:rFonts w:ascii="Arial" w:cs="Arial" w:eastAsia="Arial" w:hAnsi="Arial"/>
          <w:sz w:val="19"/>
          <w:szCs w:val="19"/>
          <w:color w:val="auto"/>
        </w:rPr>
        <w:t>al budget di Gruppo e della Società.</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9"/>
          <w:szCs w:val="19"/>
          <w:color w:val="auto"/>
        </w:rPr>
        <w:t>Il Dirigente si impegna ad operare, in</w:t>
      </w:r>
    </w:p>
    <w:p>
      <w:pPr>
        <w:spacing w:after="0" w:line="13" w:lineRule="exact"/>
        <w:rPr>
          <w:sz w:val="20"/>
          <w:szCs w:val="20"/>
          <w:color w:val="auto"/>
        </w:rPr>
      </w:pPr>
    </w:p>
    <w:p>
      <w:pPr>
        <w:ind w:left="900"/>
        <w:spacing w:after="0"/>
        <w:tabs>
          <w:tab w:leader="none" w:pos="1880" w:val="left"/>
          <w:tab w:leader="none" w:pos="2980" w:val="left"/>
          <w:tab w:leader="none" w:pos="3500" w:val="left"/>
        </w:tabs>
        <w:rPr>
          <w:sz w:val="20"/>
          <w:szCs w:val="20"/>
          <w:color w:val="auto"/>
        </w:rPr>
      </w:pPr>
      <w:r>
        <w:rPr>
          <w:rFonts w:ascii="Arial" w:cs="Arial" w:eastAsia="Arial" w:hAnsi="Arial"/>
          <w:sz w:val="19"/>
          <w:szCs w:val="19"/>
          <w:color w:val="auto"/>
        </w:rPr>
        <w:t>qualsiasi</w:t>
        <w:tab/>
        <w:t>momento,</w:t>
        <w:tab/>
        <w:t>nel</w:t>
      </w:r>
      <w:r>
        <w:rPr>
          <w:sz w:val="20"/>
          <w:szCs w:val="20"/>
          <w:color w:val="auto"/>
        </w:rPr>
        <w:tab/>
      </w:r>
      <w:r>
        <w:rPr>
          <w:rFonts w:ascii="Arial" w:cs="Arial" w:eastAsia="Arial" w:hAnsi="Arial"/>
          <w:sz w:val="18"/>
          <w:szCs w:val="18"/>
          <w:color w:val="auto"/>
        </w:rPr>
        <w:t>migliore</w:t>
      </w:r>
    </w:p>
    <w:p>
      <w:pPr>
        <w:ind w:left="900"/>
        <w:spacing w:after="0"/>
        <w:rPr>
          <w:sz w:val="20"/>
          <w:szCs w:val="20"/>
          <w:color w:val="auto"/>
        </w:rPr>
      </w:pPr>
      <w:r>
        <w:rPr>
          <w:rFonts w:ascii="Arial" w:cs="Arial" w:eastAsia="Arial" w:hAnsi="Arial"/>
          <w:sz w:val="19"/>
          <w:szCs w:val="19"/>
          <w:color w:val="auto"/>
        </w:rPr>
        <w:t>interesse della Società.</w:t>
      </w:r>
    </w:p>
    <w:p>
      <w:pPr>
        <w:spacing w:after="0" w:line="169" w:lineRule="exact"/>
        <w:rPr>
          <w:sz w:val="20"/>
          <w:szCs w:val="20"/>
          <w:color w:val="auto"/>
        </w:rPr>
      </w:pPr>
    </w:p>
    <w:p>
      <w:pPr>
        <w:ind w:left="280"/>
        <w:spacing w:after="0"/>
        <w:tabs>
          <w:tab w:leader="none" w:pos="1800" w:val="left"/>
          <w:tab w:leader="none" w:pos="2580" w:val="left"/>
          <w:tab w:leader="none" w:pos="4000" w:val="left"/>
        </w:tabs>
        <w:rPr>
          <w:sz w:val="20"/>
          <w:szCs w:val="20"/>
          <w:color w:val="auto"/>
        </w:rPr>
      </w:pPr>
      <w:r>
        <w:rPr>
          <w:rFonts w:ascii="Arial" w:cs="Arial" w:eastAsia="Arial" w:hAnsi="Arial"/>
          <w:sz w:val="19"/>
          <w:szCs w:val="19"/>
          <w:color w:val="auto"/>
        </w:rPr>
        <w:t>10.2Esclusività</w:t>
      </w:r>
      <w:r>
        <w:rPr>
          <w:sz w:val="20"/>
          <w:szCs w:val="20"/>
          <w:color w:val="auto"/>
        </w:rPr>
        <w:tab/>
      </w:r>
      <w:r>
        <w:rPr>
          <w:rFonts w:ascii="Arial" w:cs="Arial" w:eastAsia="Arial" w:hAnsi="Arial"/>
          <w:sz w:val="19"/>
          <w:szCs w:val="19"/>
          <w:color w:val="auto"/>
        </w:rPr>
        <w:t>della</w:t>
      </w:r>
      <w:r>
        <w:rPr>
          <w:sz w:val="20"/>
          <w:szCs w:val="20"/>
          <w:color w:val="auto"/>
        </w:rPr>
        <w:tab/>
      </w:r>
      <w:r>
        <w:rPr>
          <w:rFonts w:ascii="Arial" w:cs="Arial" w:eastAsia="Arial" w:hAnsi="Arial"/>
          <w:sz w:val="19"/>
          <w:szCs w:val="19"/>
          <w:color w:val="auto"/>
        </w:rPr>
        <w:t>prestazione:</w:t>
      </w:r>
      <w:r>
        <w:rPr>
          <w:sz w:val="20"/>
          <w:szCs w:val="20"/>
          <w:color w:val="auto"/>
        </w:rPr>
        <w:tab/>
      </w:r>
      <w:r>
        <w:rPr>
          <w:rFonts w:ascii="Arial" w:cs="Arial" w:eastAsia="Arial" w:hAnsi="Arial"/>
          <w:sz w:val="19"/>
          <w:szCs w:val="19"/>
          <w:color w:val="auto"/>
        </w:rPr>
        <w:t>In</w:t>
      </w:r>
    </w:p>
    <w:p>
      <w:pPr>
        <w:spacing w:after="0" w:line="13" w:lineRule="exact"/>
        <w:rPr>
          <w:sz w:val="20"/>
          <w:szCs w:val="20"/>
          <w:color w:val="auto"/>
        </w:rPr>
      </w:pPr>
    </w:p>
    <w:p>
      <w:pPr>
        <w:ind w:left="560"/>
        <w:spacing w:after="0"/>
        <w:tabs>
          <w:tab w:leader="none" w:pos="1960" w:val="left"/>
          <w:tab w:leader="none" w:pos="2520" w:val="left"/>
        </w:tabs>
        <w:rPr>
          <w:sz w:val="20"/>
          <w:szCs w:val="20"/>
          <w:color w:val="auto"/>
        </w:rPr>
      </w:pPr>
      <w:r>
        <w:rPr>
          <w:rFonts w:ascii="Arial" w:cs="Arial" w:eastAsia="Arial" w:hAnsi="Arial"/>
          <w:sz w:val="19"/>
          <w:szCs w:val="19"/>
          <w:color w:val="auto"/>
        </w:rPr>
        <w:t>considerazione</w:t>
        <w:tab/>
        <w:t>della</w:t>
        <w:tab/>
        <w:t>natura  dei  servizi</w:t>
      </w:r>
    </w:p>
    <w:p>
      <w:pPr>
        <w:ind w:left="560"/>
        <w:spacing w:after="0" w:line="237" w:lineRule="auto"/>
        <w:rPr>
          <w:sz w:val="20"/>
          <w:szCs w:val="20"/>
          <w:color w:val="auto"/>
        </w:rPr>
      </w:pPr>
      <w:r>
        <w:rPr>
          <w:rFonts w:ascii="Arial" w:cs="Arial" w:eastAsia="Arial" w:hAnsi="Arial"/>
          <w:sz w:val="19"/>
          <w:szCs w:val="19"/>
          <w:color w:val="auto"/>
        </w:rPr>
        <w:t>assegnati e della natura dell’attività della</w:t>
      </w:r>
    </w:p>
    <w:p>
      <w:pPr>
        <w:ind w:left="560"/>
        <w:spacing w:after="0" w:line="237" w:lineRule="auto"/>
        <w:rPr>
          <w:sz w:val="20"/>
          <w:szCs w:val="20"/>
          <w:color w:val="auto"/>
        </w:rPr>
      </w:pPr>
      <w:r>
        <w:rPr>
          <w:rFonts w:ascii="Arial" w:cs="Arial" w:eastAsia="Arial" w:hAnsi="Arial"/>
          <w:sz w:val="19"/>
          <w:szCs w:val="19"/>
          <w:color w:val="auto"/>
        </w:rPr>
        <w:t>Società, il Dirigente si impegna a riservare</w:t>
      </w:r>
    </w:p>
    <w:p>
      <w:pPr>
        <w:ind w:left="560"/>
        <w:spacing w:after="0" w:line="237" w:lineRule="auto"/>
        <w:tabs>
          <w:tab w:leader="none" w:pos="800" w:val="left"/>
          <w:tab w:leader="none" w:pos="1560" w:val="left"/>
          <w:tab w:leader="none" w:pos="2380" w:val="left"/>
          <w:tab w:leader="none" w:pos="3860" w:val="left"/>
        </w:tabs>
        <w:rPr>
          <w:sz w:val="20"/>
          <w:szCs w:val="20"/>
          <w:color w:val="auto"/>
        </w:rPr>
      </w:pPr>
      <w:r>
        <w:rPr>
          <w:rFonts w:ascii="Arial" w:cs="Arial" w:eastAsia="Arial" w:hAnsi="Arial"/>
          <w:sz w:val="19"/>
          <w:szCs w:val="19"/>
          <w:color w:val="auto"/>
        </w:rPr>
        <w:t>il</w:t>
        <w:tab/>
        <w:t>proprio</w:t>
        <w:tab/>
        <w:t>servizio</w:t>
        <w:tab/>
        <w:t>esclusivamente</w:t>
        <w:tab/>
        <w:t>alla</w:t>
      </w:r>
    </w:p>
    <w:p>
      <w:pPr>
        <w:ind w:left="560"/>
        <w:spacing w:after="0" w:line="238" w:lineRule="auto"/>
        <w:rPr>
          <w:sz w:val="20"/>
          <w:szCs w:val="20"/>
          <w:color w:val="auto"/>
        </w:rPr>
      </w:pPr>
      <w:r>
        <w:rPr>
          <w:rFonts w:ascii="Arial" w:cs="Arial" w:eastAsia="Arial" w:hAnsi="Arial"/>
          <w:sz w:val="19"/>
          <w:szCs w:val="19"/>
          <w:color w:val="auto"/>
        </w:rPr>
        <w:t>Società, per tutta la durata del presente</w:t>
      </w:r>
    </w:p>
    <w:p>
      <w:pPr>
        <w:ind w:left="560"/>
        <w:spacing w:after="0" w:line="237" w:lineRule="auto"/>
        <w:tabs>
          <w:tab w:leader="none" w:pos="1540" w:val="left"/>
          <w:tab w:leader="none" w:pos="1820" w:val="left"/>
          <w:tab w:leader="none" w:pos="2300" w:val="left"/>
          <w:tab w:leader="none" w:pos="2900" w:val="left"/>
          <w:tab w:leader="none" w:pos="3780" w:val="left"/>
        </w:tabs>
        <w:rPr>
          <w:sz w:val="20"/>
          <w:szCs w:val="20"/>
          <w:color w:val="auto"/>
        </w:rPr>
      </w:pPr>
      <w:r>
        <w:rPr>
          <w:rFonts w:ascii="Arial" w:cs="Arial" w:eastAsia="Arial" w:hAnsi="Arial"/>
          <w:sz w:val="19"/>
          <w:szCs w:val="19"/>
          <w:color w:val="auto"/>
        </w:rPr>
        <w:t>Contratto,</w:t>
        <w:tab/>
        <w:t>e</w:t>
        <w:tab/>
        <w:t>non</w:t>
        <w:tab/>
        <w:t>potrà</w:t>
        <w:tab/>
        <w:t>svolgere</w:t>
        <w:tab/>
        <w:t>altra</w:t>
      </w:r>
    </w:p>
    <w:p>
      <w:pPr>
        <w:ind w:left="560"/>
        <w:spacing w:after="0"/>
        <w:tabs>
          <w:tab w:leader="none" w:pos="1300" w:val="left"/>
          <w:tab w:leader="none" w:pos="2680" w:val="left"/>
          <w:tab w:leader="none" w:pos="3420" w:val="left"/>
          <w:tab w:leader="none" w:pos="3840" w:val="left"/>
        </w:tabs>
        <w:rPr>
          <w:sz w:val="20"/>
          <w:szCs w:val="20"/>
          <w:color w:val="auto"/>
        </w:rPr>
      </w:pPr>
      <w:r>
        <w:rPr>
          <w:rFonts w:ascii="Arial" w:cs="Arial" w:eastAsia="Arial" w:hAnsi="Arial"/>
          <w:sz w:val="19"/>
          <w:szCs w:val="19"/>
          <w:color w:val="auto"/>
        </w:rPr>
        <w:t>attività</w:t>
        <w:tab/>
        <w:t>professionale,</w:t>
        <w:tab/>
        <w:t>anche</w:t>
        <w:tab/>
        <w:t>se</w:t>
      </w:r>
      <w:r>
        <w:rPr>
          <w:sz w:val="20"/>
          <w:szCs w:val="20"/>
          <w:color w:val="auto"/>
        </w:rPr>
        <w:tab/>
      </w:r>
      <w:r>
        <w:rPr>
          <w:rFonts w:ascii="Arial" w:cs="Arial" w:eastAsia="Arial" w:hAnsi="Arial"/>
          <w:sz w:val="17"/>
          <w:szCs w:val="17"/>
          <w:color w:val="auto"/>
        </w:rPr>
        <w:t>non</w:t>
      </w:r>
    </w:p>
    <w:p>
      <w:pPr>
        <w:ind w:left="560"/>
        <w:spacing w:after="0" w:line="237" w:lineRule="auto"/>
        <w:rPr>
          <w:sz w:val="20"/>
          <w:szCs w:val="20"/>
          <w:color w:val="auto"/>
        </w:rPr>
      </w:pPr>
      <w:r>
        <w:rPr>
          <w:rFonts w:ascii="Arial" w:cs="Arial" w:eastAsia="Arial" w:hAnsi="Arial"/>
          <w:sz w:val="19"/>
          <w:szCs w:val="19"/>
          <w:color w:val="auto"/>
        </w:rPr>
        <w:t>concorrenziale, come Dirigente o in altro</w:t>
      </w:r>
    </w:p>
    <w:p>
      <w:pPr>
        <w:ind w:left="560"/>
        <w:spacing w:after="0" w:line="238" w:lineRule="auto"/>
        <w:rPr>
          <w:sz w:val="20"/>
          <w:szCs w:val="20"/>
          <w:color w:val="auto"/>
        </w:rPr>
      </w:pPr>
      <w:r>
        <w:rPr>
          <w:rFonts w:ascii="Arial" w:cs="Arial" w:eastAsia="Arial" w:hAnsi="Arial"/>
          <w:sz w:val="19"/>
          <w:szCs w:val="19"/>
          <w:color w:val="auto"/>
        </w:rPr>
        <w:t>ruolo,  senza  previo  espresso  consenso</w:t>
      </w:r>
    </w:p>
    <w:p>
      <w:pPr>
        <w:ind w:left="560"/>
        <w:spacing w:after="0"/>
        <w:rPr>
          <w:sz w:val="20"/>
          <w:szCs w:val="20"/>
          <w:color w:val="auto"/>
        </w:rPr>
      </w:pPr>
      <w:r>
        <w:rPr>
          <w:rFonts w:ascii="Arial" w:cs="Arial" w:eastAsia="Arial" w:hAnsi="Arial"/>
          <w:sz w:val="19"/>
          <w:szCs w:val="19"/>
          <w:color w:val="auto"/>
        </w:rPr>
        <w:t>scritto da parte della Società.</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10.</w:t>
      </w:r>
      <w:r>
        <w:rPr>
          <w:rFonts w:ascii="Arial" w:cs="Arial" w:eastAsia="Arial" w:hAnsi="Arial"/>
          <w:sz w:val="19"/>
          <w:szCs w:val="19"/>
          <w:u w:val="single" w:color="auto"/>
          <w:color w:val="auto"/>
        </w:rPr>
        <w:t>3Segreto professionale e riservatezza:</w:t>
      </w:r>
      <w:r>
        <w:rPr>
          <w:rFonts w:ascii="Arial" w:cs="Arial" w:eastAsia="Arial" w:hAnsi="Arial"/>
          <w:sz w:val="19"/>
          <w:szCs w:val="19"/>
          <w:color w:val="auto"/>
        </w:rPr>
        <w:t xml:space="preserve"> Nel</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corso del periodo di efficacia del presente</w:t>
      </w:r>
    </w:p>
    <w:p>
      <w:pPr>
        <w:ind w:left="560"/>
        <w:spacing w:after="0"/>
        <w:tabs>
          <w:tab w:leader="none" w:pos="1560" w:val="left"/>
          <w:tab w:leader="none" w:pos="1840" w:val="left"/>
          <w:tab w:leader="none" w:pos="2780" w:val="left"/>
          <w:tab w:leader="none" w:pos="3340" w:val="left"/>
          <w:tab w:leader="none" w:pos="4060" w:val="left"/>
        </w:tabs>
        <w:rPr>
          <w:sz w:val="20"/>
          <w:szCs w:val="20"/>
          <w:color w:val="auto"/>
        </w:rPr>
      </w:pPr>
      <w:r>
        <w:rPr>
          <w:rFonts w:ascii="Arial" w:cs="Arial" w:eastAsia="Arial" w:hAnsi="Arial"/>
          <w:sz w:val="19"/>
          <w:szCs w:val="19"/>
          <w:color w:val="auto"/>
        </w:rPr>
        <w:t>Contratto,</w:t>
        <w:tab/>
        <w:t>il</w:t>
        <w:tab/>
        <w:t>Dirigente</w:t>
        <w:tab/>
        <w:t>sarà</w:t>
        <w:tab/>
        <w:t>tenuto</w:t>
      </w:r>
      <w:r>
        <w:rPr>
          <w:sz w:val="20"/>
          <w:szCs w:val="20"/>
          <w:color w:val="auto"/>
        </w:rPr>
        <w:tab/>
      </w:r>
      <w:r>
        <w:rPr>
          <w:rFonts w:ascii="Arial" w:cs="Arial" w:eastAsia="Arial" w:hAnsi="Arial"/>
          <w:sz w:val="17"/>
          <w:szCs w:val="17"/>
          <w:color w:val="auto"/>
        </w:rPr>
        <w:t>a</w:t>
      </w:r>
    </w:p>
    <w:p>
      <w:pPr>
        <w:ind w:left="560"/>
        <w:spacing w:after="0"/>
        <w:tabs>
          <w:tab w:leader="none" w:pos="1900" w:val="left"/>
          <w:tab w:leader="none" w:pos="3300" w:val="left"/>
        </w:tabs>
        <w:rPr>
          <w:sz w:val="20"/>
          <w:szCs w:val="20"/>
          <w:color w:val="auto"/>
        </w:rPr>
      </w:pPr>
      <w:r>
        <w:rPr>
          <w:rFonts w:ascii="Arial" w:cs="Arial" w:eastAsia="Arial" w:hAnsi="Arial"/>
          <w:sz w:val="19"/>
          <w:szCs w:val="19"/>
          <w:color w:val="auto"/>
        </w:rPr>
        <w:t>ottemperare</w:t>
      </w:r>
      <w:r>
        <w:rPr>
          <w:sz w:val="20"/>
          <w:szCs w:val="20"/>
          <w:color w:val="auto"/>
        </w:rPr>
        <w:tab/>
      </w:r>
      <w:r>
        <w:rPr>
          <w:rFonts w:ascii="Arial" w:cs="Arial" w:eastAsia="Arial" w:hAnsi="Arial"/>
          <w:sz w:val="19"/>
          <w:szCs w:val="19"/>
          <w:color w:val="auto"/>
        </w:rPr>
        <w:t>strettamente</w:t>
      </w:r>
      <w:r>
        <w:rPr>
          <w:sz w:val="20"/>
          <w:szCs w:val="20"/>
          <w:color w:val="auto"/>
        </w:rPr>
        <w:tab/>
      </w:r>
      <w:r>
        <w:rPr>
          <w:rFonts w:ascii="Arial" w:cs="Arial" w:eastAsia="Arial" w:hAnsi="Arial"/>
          <w:sz w:val="18"/>
          <w:szCs w:val="18"/>
          <w:color w:val="auto"/>
        </w:rPr>
        <w:t>all’obbligo</w:t>
      </w:r>
    </w:p>
    <w:p>
      <w:pPr>
        <w:ind w:left="560"/>
        <w:spacing w:after="0"/>
        <w:tabs>
          <w:tab w:leader="none" w:pos="1480" w:val="left"/>
          <w:tab w:leader="none" w:pos="1840" w:val="left"/>
          <w:tab w:leader="none" w:pos="3020" w:val="left"/>
          <w:tab w:leader="none" w:pos="3440" w:val="left"/>
        </w:tabs>
        <w:rPr>
          <w:sz w:val="20"/>
          <w:szCs w:val="20"/>
          <w:color w:val="auto"/>
        </w:rPr>
      </w:pPr>
      <w:r>
        <w:rPr>
          <w:rFonts w:ascii="Arial" w:cs="Arial" w:eastAsia="Arial" w:hAnsi="Arial"/>
          <w:sz w:val="19"/>
          <w:szCs w:val="19"/>
          <w:color w:val="auto"/>
        </w:rPr>
        <w:t>generale</w:t>
        <w:tab/>
        <w:t>di</w:t>
        <w:tab/>
        <w:t>discrezione</w:t>
        <w:tab/>
        <w:t>ed</w:t>
      </w:r>
      <w:r>
        <w:rPr>
          <w:sz w:val="20"/>
          <w:szCs w:val="20"/>
          <w:color w:val="auto"/>
        </w:rPr>
        <w:tab/>
      </w:r>
      <w:r>
        <w:rPr>
          <w:rFonts w:ascii="Arial" w:cs="Arial" w:eastAsia="Arial" w:hAnsi="Arial"/>
          <w:sz w:val="18"/>
          <w:szCs w:val="18"/>
          <w:color w:val="auto"/>
        </w:rPr>
        <w:t>assoluta</w:t>
      </w:r>
    </w:p>
    <w:p>
      <w:pPr>
        <w:ind w:left="560"/>
        <w:spacing w:after="0" w:line="238" w:lineRule="auto"/>
        <w:tabs>
          <w:tab w:leader="none" w:pos="1820" w:val="left"/>
          <w:tab w:leader="none" w:pos="2220" w:val="left"/>
          <w:tab w:leader="none" w:pos="3020" w:val="left"/>
          <w:tab w:leader="none" w:pos="3380" w:val="left"/>
          <w:tab w:leader="none" w:pos="4000" w:val="left"/>
        </w:tabs>
        <w:rPr>
          <w:sz w:val="20"/>
          <w:szCs w:val="20"/>
          <w:color w:val="auto"/>
        </w:rPr>
      </w:pPr>
      <w:r>
        <w:rPr>
          <w:rFonts w:ascii="Arial" w:cs="Arial" w:eastAsia="Arial" w:hAnsi="Arial"/>
          <w:sz w:val="19"/>
          <w:szCs w:val="19"/>
          <w:color w:val="auto"/>
        </w:rPr>
        <w:t>riservatezza</w:t>
        <w:tab/>
        <w:t>in</w:t>
        <w:tab/>
        <w:t>merito</w:t>
        <w:tab/>
        <w:t>a</w:t>
        <w:tab/>
        <w:t>tutte</w:t>
        <w:tab/>
        <w:t>le</w:t>
      </w:r>
    </w:p>
    <w:p>
      <w:pPr>
        <w:ind w:left="560"/>
        <w:spacing w:after="0" w:line="237" w:lineRule="auto"/>
        <w:tabs>
          <w:tab w:leader="none" w:pos="1780" w:val="left"/>
          <w:tab w:leader="none" w:pos="2220" w:val="left"/>
          <w:tab w:leader="none" w:pos="2500" w:val="left"/>
          <w:tab w:leader="none" w:pos="3600" w:val="left"/>
        </w:tabs>
        <w:rPr>
          <w:sz w:val="20"/>
          <w:szCs w:val="20"/>
          <w:color w:val="auto"/>
        </w:rPr>
      </w:pPr>
      <w:r>
        <w:rPr>
          <w:rFonts w:ascii="Arial" w:cs="Arial" w:eastAsia="Arial" w:hAnsi="Arial"/>
          <w:sz w:val="19"/>
          <w:szCs w:val="19"/>
          <w:color w:val="auto"/>
        </w:rPr>
        <w:t>informazioni</w:t>
        <w:tab/>
        <w:t>ed</w:t>
        <w:tab/>
        <w:t>i</w:t>
        <w:tab/>
        <w:t>documenti</w:t>
        <w:tab/>
        <w:t>relativi</w:t>
      </w:r>
    </w:p>
    <w:p>
      <w:pPr>
        <w:ind w:left="560"/>
        <w:spacing w:after="0" w:line="237" w:lineRule="auto"/>
        <w:rPr>
          <w:sz w:val="20"/>
          <w:szCs w:val="20"/>
          <w:color w:val="auto"/>
        </w:rPr>
      </w:pPr>
      <w:r>
        <w:rPr>
          <w:rFonts w:ascii="Arial" w:cs="Arial" w:eastAsia="Arial" w:hAnsi="Arial"/>
          <w:sz w:val="19"/>
          <w:szCs w:val="19"/>
          <w:color w:val="auto"/>
        </w:rPr>
        <w:t>all’attività della Società e/o del Gruppo dei</w:t>
      </w:r>
    </w:p>
    <w:p>
      <w:pPr>
        <w:ind w:left="560"/>
        <w:spacing w:after="0" w:line="237" w:lineRule="auto"/>
        <w:rPr>
          <w:sz w:val="20"/>
          <w:szCs w:val="20"/>
          <w:color w:val="auto"/>
        </w:rPr>
      </w:pPr>
      <w:r>
        <w:rPr>
          <w:rFonts w:ascii="Arial" w:cs="Arial" w:eastAsia="Arial" w:hAnsi="Arial"/>
          <w:sz w:val="19"/>
          <w:szCs w:val="19"/>
          <w:color w:val="auto"/>
        </w:rPr>
        <w:t>Dirigenti o rispettivi clienti, ai quali ha avuto</w:t>
      </w:r>
    </w:p>
    <w:p>
      <w:pPr>
        <w:ind w:left="560"/>
        <w:spacing w:after="0" w:line="238" w:lineRule="auto"/>
        <w:rPr>
          <w:sz w:val="20"/>
          <w:szCs w:val="20"/>
          <w:color w:val="auto"/>
        </w:rPr>
      </w:pPr>
      <w:r>
        <w:rPr>
          <w:rFonts w:ascii="Arial" w:cs="Arial" w:eastAsia="Arial" w:hAnsi="Arial"/>
          <w:sz w:val="19"/>
          <w:szCs w:val="19"/>
          <w:color w:val="auto"/>
        </w:rPr>
        <w:t>accesso  o  che  sono  state  allo  stesso</w:t>
      </w:r>
    </w:p>
    <w:p>
      <w:pPr>
        <w:ind w:left="560"/>
        <w:spacing w:after="0"/>
        <w:rPr>
          <w:sz w:val="20"/>
          <w:szCs w:val="20"/>
          <w:color w:val="auto"/>
        </w:rPr>
      </w:pPr>
      <w:r>
        <w:rPr>
          <w:rFonts w:ascii="Arial" w:cs="Arial" w:eastAsia="Arial" w:hAnsi="Arial"/>
          <w:sz w:val="19"/>
          <w:szCs w:val="19"/>
          <w:color w:val="auto"/>
        </w:rPr>
        <w:t>affidati in relazione ai suoi compiti.</w:t>
      </w:r>
    </w:p>
    <w:p>
      <w:pPr>
        <w:spacing w:after="0" w:line="169" w:lineRule="exact"/>
        <w:rPr>
          <w:sz w:val="20"/>
          <w:szCs w:val="20"/>
          <w:color w:val="auto"/>
        </w:rPr>
      </w:pPr>
    </w:p>
    <w:p>
      <w:pPr>
        <w:ind w:left="900"/>
        <w:spacing w:after="0"/>
        <w:tabs>
          <w:tab w:leader="none" w:pos="1200" w:val="left"/>
          <w:tab w:leader="none" w:pos="1700" w:val="left"/>
          <w:tab w:leader="none" w:pos="2740" w:val="left"/>
          <w:tab w:leader="none" w:pos="3080" w:val="left"/>
        </w:tabs>
        <w:rPr>
          <w:sz w:val="20"/>
          <w:szCs w:val="20"/>
          <w:color w:val="auto"/>
        </w:rPr>
      </w:pPr>
      <w:r>
        <w:rPr>
          <w:rFonts w:ascii="Arial" w:cs="Arial" w:eastAsia="Arial" w:hAnsi="Arial"/>
          <w:sz w:val="19"/>
          <w:szCs w:val="19"/>
          <w:color w:val="auto"/>
        </w:rPr>
        <w:t>A</w:t>
        <w:tab/>
        <w:t>tale</w:t>
        <w:tab/>
        <w:t>proposito,</w:t>
        <w:tab/>
        <w:t>le</w:t>
      </w:r>
      <w:r>
        <w:rPr>
          <w:sz w:val="20"/>
          <w:szCs w:val="20"/>
          <w:color w:val="auto"/>
        </w:rPr>
        <w:tab/>
      </w:r>
      <w:r>
        <w:rPr>
          <w:rFonts w:ascii="Arial" w:cs="Arial" w:eastAsia="Arial" w:hAnsi="Arial"/>
          <w:sz w:val="18"/>
          <w:szCs w:val="18"/>
          <w:color w:val="auto"/>
        </w:rPr>
        <w:t>“informazioni</w:t>
      </w:r>
    </w:p>
    <w:p>
      <w:pPr>
        <w:spacing w:after="0" w:line="13" w:lineRule="exact"/>
        <w:rPr>
          <w:sz w:val="20"/>
          <w:szCs w:val="20"/>
          <w:color w:val="auto"/>
        </w:rPr>
      </w:pPr>
    </w:p>
    <w:p>
      <w:pPr>
        <w:ind w:left="900"/>
        <w:spacing w:after="0"/>
        <w:tabs>
          <w:tab w:leader="none" w:pos="2040" w:val="left"/>
          <w:tab w:leader="none" w:pos="3280" w:val="left"/>
          <w:tab w:leader="none" w:pos="3760" w:val="left"/>
        </w:tabs>
        <w:rPr>
          <w:sz w:val="20"/>
          <w:szCs w:val="20"/>
          <w:color w:val="auto"/>
        </w:rPr>
      </w:pPr>
      <w:r>
        <w:rPr>
          <w:rFonts w:ascii="Arial" w:cs="Arial" w:eastAsia="Arial" w:hAnsi="Arial"/>
          <w:sz w:val="19"/>
          <w:szCs w:val="19"/>
          <w:color w:val="auto"/>
        </w:rPr>
        <w:t>riservate”</w:t>
      </w:r>
      <w:r>
        <w:rPr>
          <w:sz w:val="20"/>
          <w:szCs w:val="20"/>
          <w:color w:val="auto"/>
        </w:rPr>
        <w:tab/>
      </w:r>
      <w:r>
        <w:rPr>
          <w:rFonts w:ascii="Arial" w:cs="Arial" w:eastAsia="Arial" w:hAnsi="Arial"/>
          <w:sz w:val="19"/>
          <w:szCs w:val="19"/>
          <w:color w:val="auto"/>
        </w:rPr>
        <w:t>includono,</w:t>
      </w:r>
      <w:r>
        <w:rPr>
          <w:sz w:val="20"/>
          <w:szCs w:val="20"/>
          <w:color w:val="auto"/>
        </w:rPr>
        <w:tab/>
      </w:r>
      <w:r>
        <w:rPr>
          <w:rFonts w:ascii="Arial" w:cs="Arial" w:eastAsia="Arial" w:hAnsi="Arial"/>
          <w:sz w:val="19"/>
          <w:szCs w:val="19"/>
          <w:color w:val="auto"/>
        </w:rPr>
        <w:t>a</w:t>
      </w:r>
      <w:r>
        <w:rPr>
          <w:sz w:val="20"/>
          <w:szCs w:val="20"/>
          <w:color w:val="auto"/>
        </w:rPr>
        <w:tab/>
      </w:r>
      <w:r>
        <w:rPr>
          <w:rFonts w:ascii="Arial" w:cs="Arial" w:eastAsia="Arial" w:hAnsi="Arial"/>
          <w:sz w:val="18"/>
          <w:szCs w:val="18"/>
          <w:color w:val="auto"/>
        </w:rPr>
        <w:t>titolo</w:t>
      </w:r>
    </w:p>
    <w:p>
      <w:pPr>
        <w:ind w:left="900"/>
        <w:spacing w:after="0" w:line="237" w:lineRule="auto"/>
        <w:rPr>
          <w:sz w:val="20"/>
          <w:szCs w:val="20"/>
          <w:color w:val="auto"/>
        </w:rPr>
      </w:pPr>
      <w:r>
        <w:rPr>
          <w:rFonts w:ascii="Arial" w:cs="Arial" w:eastAsia="Arial" w:hAnsi="Arial"/>
          <w:sz w:val="19"/>
          <w:szCs w:val="19"/>
          <w:color w:val="auto"/>
        </w:rPr>
        <w:t>esemplificativo, informazioni relative a</w:t>
      </w:r>
    </w:p>
    <w:p>
      <w:pPr>
        <w:ind w:left="900"/>
        <w:spacing w:after="0" w:line="237" w:lineRule="auto"/>
        <w:rPr>
          <w:sz w:val="20"/>
          <w:szCs w:val="20"/>
          <w:color w:val="auto"/>
        </w:rPr>
      </w:pPr>
      <w:r>
        <w:rPr>
          <w:rFonts w:ascii="Arial" w:cs="Arial" w:eastAsia="Arial" w:hAnsi="Arial"/>
          <w:sz w:val="19"/>
          <w:szCs w:val="19"/>
          <w:color w:val="auto"/>
        </w:rPr>
        <w:t>fornitori  della  Società  e/o  qualsiasi</w:t>
      </w:r>
    </w:p>
    <w:p>
      <w:pPr>
        <w:ind w:left="900"/>
        <w:spacing w:after="0" w:line="237" w:lineRule="auto"/>
        <w:rPr>
          <w:sz w:val="20"/>
          <w:szCs w:val="20"/>
          <w:color w:val="auto"/>
        </w:rPr>
      </w:pPr>
      <w:r>
        <w:rPr>
          <w:rFonts w:ascii="Arial" w:cs="Arial" w:eastAsia="Arial" w:hAnsi="Arial"/>
          <w:sz w:val="19"/>
          <w:szCs w:val="19"/>
          <w:color w:val="auto"/>
        </w:rPr>
        <w:t>Società del Gruppo, dettagli su clienti</w:t>
      </w:r>
    </w:p>
    <w:p>
      <w:pPr>
        <w:ind w:left="900"/>
        <w:spacing w:after="0" w:line="238" w:lineRule="auto"/>
        <w:rPr>
          <w:sz w:val="20"/>
          <w:szCs w:val="20"/>
          <w:color w:val="auto"/>
        </w:rPr>
      </w:pPr>
      <w:r>
        <w:rPr>
          <w:rFonts w:ascii="Arial" w:cs="Arial" w:eastAsia="Arial" w:hAnsi="Arial"/>
          <w:sz w:val="19"/>
          <w:szCs w:val="19"/>
          <w:color w:val="auto"/>
        </w:rPr>
        <w:t>e relative esigenze, prezzi richiesti e</w:t>
      </w:r>
    </w:p>
    <w:p>
      <w:pPr>
        <w:ind w:left="900"/>
        <w:spacing w:after="0"/>
        <w:tabs>
          <w:tab w:leader="none" w:pos="1920" w:val="left"/>
          <w:tab w:leader="none" w:pos="3100" w:val="left"/>
          <w:tab w:leader="none" w:pos="4040" w:val="left"/>
        </w:tabs>
        <w:rPr>
          <w:sz w:val="20"/>
          <w:szCs w:val="20"/>
          <w:color w:val="auto"/>
        </w:rPr>
      </w:pPr>
      <w:r>
        <w:rPr>
          <w:rFonts w:ascii="Arial" w:cs="Arial" w:eastAsia="Arial" w:hAnsi="Arial"/>
          <w:sz w:val="19"/>
          <w:szCs w:val="19"/>
          <w:color w:val="auto"/>
        </w:rPr>
        <w:t>condizioni</w:t>
        <w:tab/>
        <w:t>commerciali</w:t>
        <w:tab/>
        <w:t>applicate</w:t>
      </w:r>
      <w:r>
        <w:rPr>
          <w:sz w:val="20"/>
          <w:szCs w:val="20"/>
          <w:color w:val="auto"/>
        </w:rPr>
        <w:tab/>
      </w:r>
      <w:r>
        <w:rPr>
          <w:rFonts w:ascii="Arial" w:cs="Arial" w:eastAsia="Arial" w:hAnsi="Arial"/>
          <w:sz w:val="17"/>
          <w:szCs w:val="17"/>
          <w:color w:val="auto"/>
        </w:rPr>
        <w:t>a</w:t>
      </w:r>
    </w:p>
    <w:p>
      <w:pPr>
        <w:ind w:left="900"/>
        <w:spacing w:after="0" w:line="237" w:lineRule="auto"/>
        <w:rPr>
          <w:sz w:val="20"/>
          <w:szCs w:val="20"/>
          <w:color w:val="auto"/>
        </w:rPr>
      </w:pPr>
      <w:r>
        <w:rPr>
          <w:rFonts w:ascii="Arial" w:cs="Arial" w:eastAsia="Arial" w:hAnsi="Arial"/>
          <w:sz w:val="19"/>
          <w:szCs w:val="19"/>
          <w:color w:val="auto"/>
        </w:rPr>
        <w:t>clienti, informazioni finanziarie, risultati</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9"/>
          <w:szCs w:val="19"/>
          <w:color w:val="auto"/>
        </w:rPr>
        <w:t>e stime.</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9"/>
          <w:szCs w:val="19"/>
          <w:color w:val="auto"/>
        </w:rPr>
        <w:t>Le “Informazioni riservate” includono</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anche  dettagli  su  Dirigenti,  la  loro</w:t>
      </w:r>
    </w:p>
    <w:p>
      <w:pPr>
        <w:ind w:left="900"/>
        <w:spacing w:after="0"/>
        <w:tabs>
          <w:tab w:leader="none" w:pos="2320" w:val="left"/>
          <w:tab w:leader="none" w:pos="3140" w:val="left"/>
        </w:tabs>
        <w:rPr>
          <w:sz w:val="20"/>
          <w:szCs w:val="20"/>
          <w:color w:val="auto"/>
        </w:rPr>
      </w:pPr>
      <w:r>
        <w:rPr>
          <w:rFonts w:ascii="Arial" w:cs="Arial" w:eastAsia="Arial" w:hAnsi="Arial"/>
          <w:sz w:val="19"/>
          <w:szCs w:val="19"/>
          <w:color w:val="auto"/>
        </w:rPr>
        <w:t>retribuzione,</w:t>
      </w:r>
      <w:r>
        <w:rPr>
          <w:sz w:val="20"/>
          <w:szCs w:val="20"/>
          <w:color w:val="auto"/>
        </w:rPr>
        <w:tab/>
      </w:r>
      <w:r>
        <w:rPr>
          <w:rFonts w:ascii="Arial" w:cs="Arial" w:eastAsia="Arial" w:hAnsi="Arial"/>
          <w:sz w:val="19"/>
          <w:szCs w:val="19"/>
          <w:color w:val="auto"/>
        </w:rPr>
        <w:t>idee,</w:t>
      </w:r>
      <w:r>
        <w:rPr>
          <w:sz w:val="20"/>
          <w:szCs w:val="20"/>
          <w:color w:val="auto"/>
        </w:rPr>
        <w:tab/>
      </w:r>
      <w:r>
        <w:rPr>
          <w:rFonts w:ascii="Arial" w:cs="Arial" w:eastAsia="Arial" w:hAnsi="Arial"/>
          <w:sz w:val="18"/>
          <w:szCs w:val="18"/>
          <w:color w:val="auto"/>
        </w:rPr>
        <w:t>metodologie</w:t>
      </w:r>
    </w:p>
    <w:p>
      <w:pPr>
        <w:ind w:left="900"/>
        <w:spacing w:after="0"/>
        <w:rPr>
          <w:sz w:val="20"/>
          <w:szCs w:val="20"/>
          <w:color w:val="auto"/>
        </w:rPr>
      </w:pPr>
      <w:r>
        <w:rPr>
          <w:rFonts w:ascii="Arial" w:cs="Arial" w:eastAsia="Arial" w:hAnsi="Arial"/>
          <w:sz w:val="19"/>
          <w:szCs w:val="19"/>
          <w:color w:val="auto"/>
        </w:rPr>
        <w:t>aziendali,</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10.1</w:t>
      </w:r>
    </w:p>
    <w:p>
      <w:pPr>
        <w:sectPr>
          <w:pgSz w:w="11900" w:h="16838" w:orient="portrait"/>
          <w:cols w:equalWidth="0" w:num="1">
            <w:col w:w="9019"/>
          </w:cols>
          <w:pgMar w:left="1440" w:top="1440" w:right="1440" w:bottom="1440" w:gutter="0" w:footer="0" w:header="0"/>
        </w:sectPr>
      </w:pPr>
    </w:p>
    <w:bookmarkStart w:id="68" w:name="page69"/>
    <w:bookmarkEnd w:id="68"/>
    <w:p>
      <w:pPr>
        <w:ind w:left="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997585</wp:posOffset>
            </wp:positionV>
            <wp:extent cx="8255" cy="79463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255" cy="7946390"/>
                    </a:xfrm>
                    <a:prstGeom prst="rect">
                      <a:avLst/>
                    </a:prstGeom>
                    <a:noFill/>
                  </pic:spPr>
                </pic:pic>
              </a:graphicData>
            </a:graphic>
          </wp:anchor>
        </w:drawing>
        <w:drawing>
          <wp:anchor simplePos="0" relativeHeight="251657728" behindDoc="1" locked="0" layoutInCell="0" allowOverlap="1">
            <wp:simplePos x="0" y="0"/>
            <wp:positionH relativeFrom="page">
              <wp:posOffset>3723005</wp:posOffset>
            </wp:positionH>
            <wp:positionV relativeFrom="page">
              <wp:posOffset>997585</wp:posOffset>
            </wp:positionV>
            <wp:extent cx="8890" cy="79463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8890" cy="79463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840" w:right="900"/>
        <w:spacing w:after="0" w:line="254" w:lineRule="auto"/>
        <w:rPr>
          <w:sz w:val="20"/>
          <w:szCs w:val="20"/>
          <w:color w:val="auto"/>
        </w:rPr>
      </w:pPr>
      <w:r>
        <w:rPr>
          <w:rFonts w:ascii="Arial" w:cs="Arial" w:eastAsia="Arial" w:hAnsi="Arial"/>
          <w:sz w:val="19"/>
          <w:szCs w:val="19"/>
          <w:color w:val="auto"/>
        </w:rPr>
        <w:t>The Executive undertakes to act at all times in the Company's best interests.</w:t>
      </w:r>
    </w:p>
    <w:p>
      <w:pPr>
        <w:spacing w:after="0" w:line="386" w:lineRule="exact"/>
        <w:rPr>
          <w:sz w:val="20"/>
          <w:szCs w:val="20"/>
          <w:color w:val="auto"/>
        </w:rPr>
      </w:pPr>
    </w:p>
    <w:p>
      <w:pPr>
        <w:jc w:val="both"/>
        <w:ind w:left="800" w:right="900" w:hanging="599"/>
        <w:spacing w:after="0"/>
        <w:tabs>
          <w:tab w:leader="none" w:pos="78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9"/>
          <w:szCs w:val="19"/>
          <w:u w:val="single" w:color="auto"/>
          <w:color w:val="auto"/>
        </w:rPr>
        <w:t>Exclusivity of service</w:t>
      </w:r>
      <w:r>
        <w:rPr>
          <w:rFonts w:ascii="Arial" w:cs="Arial" w:eastAsia="Arial" w:hAnsi="Arial"/>
          <w:sz w:val="19"/>
          <w:szCs w:val="19"/>
          <w:color w:val="auto"/>
        </w:rPr>
        <w:t>: Given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nature of the duties entrusted to the Executive, and the nature of the Company's business, the Executive undertakes to reserve for the Company his exclusive service throughout the duration of this Contract, and may not engage in any other professional occupation, even non-competing, whether as an Executive or otherwise, absent express prior consent in writing from the Company.</w:t>
      </w:r>
    </w:p>
    <w:p>
      <w:pPr>
        <w:spacing w:after="0" w:line="157" w:lineRule="exact"/>
        <w:rPr>
          <w:sz w:val="20"/>
          <w:szCs w:val="20"/>
          <w:color w:val="auto"/>
        </w:rPr>
      </w:pPr>
    </w:p>
    <w:p>
      <w:pPr>
        <w:jc w:val="both"/>
        <w:ind w:left="800" w:right="900" w:hanging="599"/>
        <w:spacing w:after="0" w:line="270" w:lineRule="auto"/>
        <w:tabs>
          <w:tab w:leader="none" w:pos="78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9"/>
          <w:szCs w:val="19"/>
          <w:u w:val="single" w:color="auto"/>
          <w:color w:val="auto"/>
        </w:rPr>
        <w:t>Secrecy and confidentiality</w:t>
      </w:r>
      <w:r>
        <w:rPr>
          <w:rFonts w:ascii="Arial" w:cs="Arial" w:eastAsia="Arial" w:hAnsi="Arial"/>
          <w:sz w:val="19"/>
          <w:szCs w:val="19"/>
          <w:color w:val="auto"/>
        </w:rPr>
        <w:t>: During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performance of this Agreement of</w:t>
      </w:r>
    </w:p>
    <w:p>
      <w:pPr>
        <w:spacing w:after="0" w:line="35" w:lineRule="exact"/>
        <w:rPr>
          <w:sz w:val="20"/>
          <w:szCs w:val="20"/>
          <w:color w:val="auto"/>
        </w:rPr>
      </w:pPr>
    </w:p>
    <w:p>
      <w:pPr>
        <w:ind w:left="900" w:right="680"/>
        <w:spacing w:after="0"/>
        <w:rPr>
          <w:sz w:val="20"/>
          <w:szCs w:val="20"/>
          <w:color w:val="auto"/>
        </w:rPr>
      </w:pPr>
      <w:r>
        <w:rPr>
          <w:rFonts w:ascii="Arial" w:cs="Arial" w:eastAsia="Arial" w:hAnsi="Arial"/>
          <w:sz w:val="19"/>
          <w:szCs w:val="19"/>
          <w:color w:val="auto"/>
        </w:rPr>
        <w:t>piani finanziari, piani di marketing, di sviluppo, piani relativi all’organico aziendale, accordi di vendita, sistemi informatici, software, know-how, segreti commerciali o altre questioni legate a prodotti o servizi ideati, commercializzati, forniti o ottenuti dalla Società, le controllate o collegate e qualsiasi informazione che venga confidenzialmente data alla Società, a controllate o collegate da clienti, fornitori o altri.</w:t>
      </w:r>
    </w:p>
    <w:p>
      <w:pPr>
        <w:spacing w:after="0" w:line="159" w:lineRule="exact"/>
        <w:rPr>
          <w:sz w:val="20"/>
          <w:szCs w:val="20"/>
          <w:color w:val="auto"/>
        </w:rPr>
      </w:pPr>
    </w:p>
    <w:p>
      <w:pPr>
        <w:ind w:left="900"/>
        <w:spacing w:after="0"/>
        <w:rPr>
          <w:sz w:val="20"/>
          <w:szCs w:val="20"/>
          <w:color w:val="auto"/>
        </w:rPr>
      </w:pPr>
      <w:r>
        <w:rPr>
          <w:rFonts w:ascii="Arial" w:cs="Arial" w:eastAsia="Arial" w:hAnsi="Arial"/>
          <w:sz w:val="19"/>
          <w:szCs w:val="19"/>
          <w:color w:val="auto"/>
        </w:rPr>
        <w:t>Le "Informazioni riservate" includono</w:t>
      </w:r>
    </w:p>
    <w:p>
      <w:pPr>
        <w:spacing w:after="0" w:line="16" w:lineRule="exact"/>
        <w:rPr>
          <w:sz w:val="20"/>
          <w:szCs w:val="20"/>
          <w:color w:val="auto"/>
        </w:rPr>
      </w:pPr>
    </w:p>
    <w:p>
      <w:pPr>
        <w:jc w:val="both"/>
        <w:ind w:left="900" w:right="680"/>
        <w:spacing w:after="0" w:line="238" w:lineRule="auto"/>
        <w:rPr>
          <w:sz w:val="20"/>
          <w:szCs w:val="20"/>
          <w:color w:val="auto"/>
        </w:rPr>
      </w:pPr>
      <w:r>
        <w:rPr>
          <w:rFonts w:ascii="Arial" w:cs="Arial" w:eastAsia="Arial" w:hAnsi="Arial"/>
          <w:sz w:val="19"/>
          <w:szCs w:val="19"/>
          <w:color w:val="auto"/>
        </w:rPr>
        <w:t xml:space="preserve">anche informazioni riguardanti qualsiasi acquisizione, alleanza strategica o </w:t>
      </w:r>
      <w:r>
        <w:rPr>
          <w:rFonts w:ascii="Arial" w:cs="Arial" w:eastAsia="Arial" w:hAnsi="Arial"/>
          <w:sz w:val="19"/>
          <w:szCs w:val="19"/>
          <w:i w:val="1"/>
          <w:iCs w:val="1"/>
          <w:color w:val="auto"/>
        </w:rPr>
        <w:t>joint venture</w:t>
      </w:r>
      <w:r>
        <w:rPr>
          <w:rFonts w:ascii="Arial" w:cs="Arial" w:eastAsia="Arial" w:hAnsi="Arial"/>
          <w:sz w:val="19"/>
          <w:szCs w:val="19"/>
          <w:color w:val="auto"/>
        </w:rPr>
        <w:t xml:space="preserve"> avviata dalla Società, e/o qualsiasi Società del Gruppo o qualsiasi proposta di acquisizione, alleanza strategica o </w:t>
      </w:r>
      <w:r>
        <w:rPr>
          <w:rFonts w:ascii="Arial" w:cs="Arial" w:eastAsia="Arial" w:hAnsi="Arial"/>
          <w:sz w:val="19"/>
          <w:szCs w:val="19"/>
          <w:i w:val="1"/>
          <w:iCs w:val="1"/>
          <w:color w:val="auto"/>
        </w:rPr>
        <w:t xml:space="preserve">joint venture </w:t>
      </w:r>
      <w:r>
        <w:rPr>
          <w:rFonts w:ascii="Arial" w:cs="Arial" w:eastAsia="Arial" w:hAnsi="Arial"/>
          <w:sz w:val="19"/>
          <w:szCs w:val="19"/>
          <w:color w:val="auto"/>
        </w:rPr>
        <w:t>oggetto di considerazione</w:t>
      </w:r>
      <w:r>
        <w:rPr>
          <w:rFonts w:ascii="Arial" w:cs="Arial" w:eastAsia="Arial" w:hAnsi="Arial"/>
          <w:sz w:val="19"/>
          <w:szCs w:val="19"/>
          <w:i w:val="1"/>
          <w:iCs w:val="1"/>
          <w:color w:val="auto"/>
        </w:rPr>
        <w:t xml:space="preserve"> </w:t>
      </w:r>
      <w:r>
        <w:rPr>
          <w:rFonts w:ascii="Arial" w:cs="Arial" w:eastAsia="Arial" w:hAnsi="Arial"/>
          <w:sz w:val="19"/>
          <w:szCs w:val="19"/>
          <w:color w:val="auto"/>
        </w:rPr>
        <w:t>da parte della Società, e/o da qualsiasi Società del Gruppo, informazioni riguardanti lo stato o l'esito di qualsiasi negoziazione intrapresa dalla Società, e/o qualsiasi Società del Gruppo, informazioni riguardanti l'esistenza o i termini di qualsiasi contratto commerciale stipulato dalla Società, e/o qualsiasi Società del Gruppo.</w:t>
      </w:r>
    </w:p>
    <w:p>
      <w:pPr>
        <w:spacing w:after="0" w:line="160" w:lineRule="exact"/>
        <w:rPr>
          <w:sz w:val="20"/>
          <w:szCs w:val="20"/>
          <w:color w:val="auto"/>
        </w:rPr>
      </w:pPr>
    </w:p>
    <w:p>
      <w:pPr>
        <w:jc w:val="both"/>
        <w:ind w:left="900" w:right="680"/>
        <w:spacing w:after="0" w:line="243" w:lineRule="auto"/>
        <w:rPr>
          <w:sz w:val="20"/>
          <w:szCs w:val="20"/>
          <w:color w:val="auto"/>
        </w:rPr>
      </w:pPr>
      <w:r>
        <w:rPr>
          <w:rFonts w:ascii="Arial" w:cs="Arial" w:eastAsia="Arial" w:hAnsi="Arial"/>
          <w:sz w:val="19"/>
          <w:szCs w:val="19"/>
          <w:color w:val="auto"/>
        </w:rPr>
        <w:t>L’assoluto divieto di divulgare o utilizzare informazioni e documenti rimarrà efficace, senza limitazioni, fintantoché tali informazioni siano riservate, dopo la risoluzione del Contratto per qualsivoglia ragione.</w:t>
      </w:r>
    </w:p>
    <w:p>
      <w:pPr>
        <w:spacing w:after="0" w:line="158" w:lineRule="exact"/>
        <w:rPr>
          <w:sz w:val="20"/>
          <w:szCs w:val="20"/>
          <w:color w:val="auto"/>
        </w:rPr>
      </w:pPr>
    </w:p>
    <w:p>
      <w:pPr>
        <w:ind w:left="900" w:right="680"/>
        <w:spacing w:after="0"/>
        <w:rPr>
          <w:sz w:val="20"/>
          <w:szCs w:val="20"/>
          <w:color w:val="auto"/>
        </w:rPr>
      </w:pPr>
      <w:r>
        <w:rPr>
          <w:rFonts w:ascii="Arial" w:cs="Arial" w:eastAsia="Arial" w:hAnsi="Arial"/>
          <w:sz w:val="19"/>
          <w:szCs w:val="19"/>
          <w:color w:val="auto"/>
        </w:rPr>
        <w:t>Conseguentemente, e salvo nell’esecuzione dei compiti assegnati ai sensi del presente Contratto, il Dirigente, in nessun momento ed in nessun modo, farà, o farà fare, copie, fotografie, duplicati, copie anastatiche o altre riproduzioni o registrazioni, né estratti o sommari, in qualsivoglia formato, di o da relazioni, studi, memoranda, corrispondenza, manuali,</w:t>
      </w:r>
    </w:p>
    <w:p>
      <w:pPr>
        <w:spacing w:after="0" w:line="20" w:lineRule="exact"/>
        <w:rPr>
          <w:sz w:val="20"/>
          <w:szCs w:val="20"/>
          <w:color w:val="auto"/>
        </w:rPr>
      </w:pPr>
      <w:r>
        <w:rPr>
          <w:sz w:val="20"/>
          <w:szCs w:val="20"/>
          <w:color w:val="auto"/>
        </w:rPr>
        <w:br w:type="column"/>
      </w:r>
    </w:p>
    <w:p>
      <w:pPr>
        <w:jc w:val="both"/>
        <w:ind w:right="279"/>
        <w:spacing w:after="0" w:line="255" w:lineRule="auto"/>
        <w:rPr>
          <w:sz w:val="20"/>
          <w:szCs w:val="20"/>
          <w:color w:val="auto"/>
        </w:rPr>
      </w:pPr>
      <w:r>
        <w:rPr>
          <w:rFonts w:ascii="Arial" w:cs="Arial" w:eastAsia="Arial" w:hAnsi="Arial"/>
          <w:sz w:val="18"/>
          <w:szCs w:val="18"/>
          <w:color w:val="auto"/>
        </w:rPr>
        <w:t>employment, the Executive will be bound to comply strictly with a general duty of discretion and absolute confidentiality for all the information and documents relating to the activities of the Company and/or any Group Company, of its or their Executives or its or their respective clients, to which he will have had access or which were entrusted to him in connection with his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-1098550</wp:posOffset>
            </wp:positionV>
            <wp:extent cx="8890" cy="79463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8890" cy="7946390"/>
                    </a:xfrm>
                    <a:prstGeom prst="rect">
                      <a:avLst/>
                    </a:prstGeom>
                    <a:noFill/>
                  </pic:spPr>
                </pic:pic>
              </a:graphicData>
            </a:graphic>
          </wp:anchor>
        </w:drawing>
      </w:r>
    </w:p>
    <w:p>
      <w:pPr>
        <w:spacing w:after="0" w:line="355" w:lineRule="exact"/>
        <w:rPr>
          <w:sz w:val="20"/>
          <w:szCs w:val="20"/>
          <w:color w:val="auto"/>
        </w:rPr>
      </w:pPr>
    </w:p>
    <w:p>
      <w:pPr>
        <w:jc w:val="both"/>
        <w:ind w:left="40" w:right="279"/>
        <w:spacing w:after="0"/>
        <w:rPr>
          <w:sz w:val="20"/>
          <w:szCs w:val="20"/>
          <w:color w:val="auto"/>
        </w:rPr>
      </w:pPr>
      <w:r>
        <w:rPr>
          <w:rFonts w:ascii="Arial" w:cs="Arial" w:eastAsia="Arial" w:hAnsi="Arial"/>
          <w:sz w:val="19"/>
          <w:szCs w:val="19"/>
          <w:color w:val="auto"/>
        </w:rPr>
        <w:t>In this respect, “confidential information” includes, but is not limited to, information relating to the Company’s, and/or any Group Company’s details of suppliers and their terms of business, details of customers or clients and their requirements, the prices charged and terms of business with customers, financial information results and forecasts.</w:t>
      </w:r>
    </w:p>
    <w:p>
      <w:pPr>
        <w:spacing w:after="0" w:line="94" w:lineRule="exact"/>
        <w:rPr>
          <w:sz w:val="20"/>
          <w:szCs w:val="20"/>
          <w:color w:val="auto"/>
        </w:rPr>
      </w:pPr>
    </w:p>
    <w:p>
      <w:pPr>
        <w:jc w:val="both"/>
        <w:ind w:left="120" w:right="59"/>
        <w:spacing w:after="0" w:line="243" w:lineRule="auto"/>
        <w:rPr>
          <w:sz w:val="20"/>
          <w:szCs w:val="20"/>
          <w:color w:val="auto"/>
        </w:rPr>
      </w:pPr>
      <w:r>
        <w:rPr>
          <w:rFonts w:ascii="Arial" w:cs="Arial" w:eastAsia="Arial" w:hAnsi="Arial"/>
          <w:sz w:val="19"/>
          <w:szCs w:val="19"/>
          <w:color w:val="auto"/>
        </w:rPr>
        <w:t>incartamenti, banche dati, piani, design, progetti, produzioni, software o liste di clienti o prezzi, o altro materiale scritto, stampato o registrato in nessun modo e in nessun formato o di prodotti o materiali che</w:t>
      </w:r>
    </w:p>
    <w:p>
      <w:pPr>
        <w:sectPr>
          <w:pgSz w:w="11900" w:h="16838" w:orient="portrait"/>
          <w:cols w:equalWidth="0" w:num="2">
            <w:col w:w="4860" w:space="720"/>
            <w:col w:w="3439"/>
          </w:cols>
          <w:pgMar w:left="1440" w:top="882" w:right="1440" w:bottom="0" w:gutter="0" w:footer="0" w:header="0"/>
        </w:sectPr>
      </w:pPr>
    </w:p>
    <w:bookmarkStart w:id="70" w:name="page71"/>
    <w:bookmarkEnd w:id="70"/>
    <w:p>
      <w:pPr>
        <w:ind w:left="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71" w:name="page72"/>
    <w:bookmarkEnd w:id="71"/>
    <w:p>
      <w:pPr>
        <w:spacing w:after="0" w:line="150" w:lineRule="exact"/>
        <w:rPr>
          <w:sz w:val="20"/>
          <w:szCs w:val="20"/>
          <w:color w:val="auto"/>
        </w:rPr>
      </w:pPr>
    </w:p>
    <w:p>
      <w:pPr>
        <w:jc w:val="both"/>
        <w:ind w:left="840" w:right="940"/>
        <w:spacing w:after="0" w:line="241" w:lineRule="auto"/>
        <w:rPr>
          <w:sz w:val="20"/>
          <w:szCs w:val="20"/>
          <w:color w:val="auto"/>
        </w:rPr>
      </w:pPr>
      <w:r>
        <w:rPr>
          <w:rFonts w:ascii="Arial" w:cs="Arial" w:eastAsia="Arial" w:hAnsi="Arial"/>
          <w:sz w:val="19"/>
          <w:szCs w:val="19"/>
          <w:color w:val="auto"/>
        </w:rPr>
        <w:t>“Confidential information” also includes details of Executives and their remuneration, ideas, business methods, financial, marketing, development or manpower plans,</w:t>
      </w:r>
    </w:p>
    <w:p>
      <w:pPr>
        <w:spacing w:after="0" w:line="1" w:lineRule="exact"/>
        <w:rPr>
          <w:sz w:val="20"/>
          <w:szCs w:val="20"/>
          <w:color w:val="auto"/>
        </w:rPr>
      </w:pPr>
    </w:p>
    <w:p>
      <w:pPr>
        <w:jc w:val="both"/>
        <w:ind w:left="840" w:right="940"/>
        <w:spacing w:after="0" w:line="238" w:lineRule="auto"/>
        <w:rPr>
          <w:sz w:val="20"/>
          <w:szCs w:val="20"/>
          <w:color w:val="auto"/>
        </w:rPr>
      </w:pPr>
      <w:r>
        <w:rPr>
          <w:rFonts w:ascii="Arial" w:cs="Arial" w:eastAsia="Arial" w:hAnsi="Arial"/>
          <w:sz w:val="19"/>
          <w:szCs w:val="19"/>
          <w:color w:val="auto"/>
        </w:rPr>
        <w:t>sales agreements, computer systems and software know-how or trade secrets or other matters connected with the products or services manufactured, marketed, provided or obtained by the Company, and/or any Group Company and any information which has been given to the Company, and/or any Group Company in confidence by customers, suppliers or other persons.</w:t>
      </w:r>
    </w:p>
    <w:p>
      <w:pPr>
        <w:spacing w:after="0" w:line="163" w:lineRule="exact"/>
        <w:rPr>
          <w:sz w:val="20"/>
          <w:szCs w:val="20"/>
          <w:color w:val="auto"/>
        </w:rPr>
      </w:pPr>
    </w:p>
    <w:p>
      <w:pPr>
        <w:jc w:val="both"/>
        <w:ind w:left="840" w:right="940"/>
        <w:spacing w:after="0" w:line="239" w:lineRule="auto"/>
        <w:rPr>
          <w:sz w:val="20"/>
          <w:szCs w:val="20"/>
          <w:color w:val="auto"/>
        </w:rPr>
      </w:pPr>
      <w:r>
        <w:rPr>
          <w:rFonts w:ascii="Arial" w:cs="Arial" w:eastAsia="Arial" w:hAnsi="Arial"/>
          <w:sz w:val="19"/>
          <w:szCs w:val="19"/>
          <w:color w:val="auto"/>
        </w:rPr>
        <w:t>“Confidential information” also includes information regarding any acquisition, strategic alliance or joint venture effected by the Company, and/or any Group Company or any proposed acquisition, strategic alliance or joint venture being considered by the Company, and/or any Group Company, information regarding the status or outcome of any negotiations engaged in by the Company, and/or any Group Company, information regarding the existence or terms of any</w:t>
      </w:r>
    </w:p>
    <w:p>
      <w:pPr>
        <w:spacing w:after="0" w:line="59" w:lineRule="exact"/>
        <w:rPr>
          <w:sz w:val="20"/>
          <w:szCs w:val="20"/>
          <w:color w:val="auto"/>
        </w:rPr>
      </w:pPr>
    </w:p>
    <w:p>
      <w:pPr>
        <w:jc w:val="both"/>
        <w:ind w:left="900" w:right="720"/>
        <w:spacing w:after="0" w:line="243" w:lineRule="auto"/>
        <w:rPr>
          <w:sz w:val="20"/>
          <w:szCs w:val="20"/>
          <w:color w:val="auto"/>
        </w:rPr>
      </w:pPr>
      <w:r>
        <w:rPr>
          <w:rFonts w:ascii="Arial" w:cs="Arial" w:eastAsia="Arial" w:hAnsi="Arial"/>
          <w:sz w:val="19"/>
          <w:szCs w:val="19"/>
          <w:color w:val="auto"/>
        </w:rPr>
        <w:t>appartengono alla, o sono in possesso della, Società o di qualsiasi Società del Gruppo o dei rispettivi clienti. Il Dirigente non avrà diritto, titolo o interesse in alcun documento, informazione o materiale di tal genere.</w:t>
      </w:r>
    </w:p>
    <w:p>
      <w:pPr>
        <w:spacing w:after="0" w:line="158" w:lineRule="exact"/>
        <w:rPr>
          <w:sz w:val="20"/>
          <w:szCs w:val="20"/>
          <w:color w:val="auto"/>
        </w:rPr>
      </w:pPr>
    </w:p>
    <w:p>
      <w:pPr>
        <w:jc w:val="both"/>
        <w:ind w:left="900" w:right="720"/>
        <w:spacing w:after="0" w:line="248" w:lineRule="auto"/>
        <w:rPr>
          <w:sz w:val="20"/>
          <w:szCs w:val="20"/>
          <w:color w:val="auto"/>
        </w:rPr>
      </w:pPr>
      <w:r>
        <w:rPr>
          <w:rFonts w:ascii="Arial" w:cs="Arial" w:eastAsia="Arial" w:hAnsi="Arial"/>
          <w:sz w:val="19"/>
          <w:szCs w:val="19"/>
          <w:color w:val="auto"/>
        </w:rPr>
        <w:t>Qualsiasi violazione dell’obbligo assoluto di riservatezza potrà costituire una grave negligenza o un caso di colpa grave.</w:t>
      </w:r>
    </w:p>
    <w:p>
      <w:pPr>
        <w:spacing w:after="0" w:line="150" w:lineRule="exact"/>
        <w:rPr>
          <w:sz w:val="20"/>
          <w:szCs w:val="20"/>
          <w:color w:val="auto"/>
        </w:rPr>
      </w:pPr>
    </w:p>
    <w:p>
      <w:pPr>
        <w:ind w:left="900" w:right="720" w:hanging="634"/>
        <w:spacing w:after="0"/>
        <w:tabs>
          <w:tab w:leader="none" w:pos="88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9"/>
          <w:szCs w:val="19"/>
          <w:u w:val="single" w:color="auto"/>
          <w:color w:val="auto"/>
        </w:rPr>
        <w:t xml:space="preserve">Pubblicazione: </w:t>
      </w:r>
      <w:r>
        <w:rPr>
          <w:rFonts w:ascii="Arial" w:cs="Arial" w:eastAsia="Arial" w:hAnsi="Arial"/>
          <w:sz w:val="19"/>
          <w:szCs w:val="19"/>
          <w:color w:val="auto"/>
        </w:rPr>
        <w:t>Senza previo consenso</w:t>
      </w:r>
      <w:r>
        <w:rPr>
          <w:rFonts w:ascii="Arial" w:cs="Arial" w:eastAsia="Arial" w:hAnsi="Arial"/>
          <w:sz w:val="19"/>
          <w:szCs w:val="19"/>
          <w:u w:val="single" w:color="auto"/>
          <w:color w:val="auto"/>
        </w:rPr>
        <w:t xml:space="preserve"> </w:t>
      </w:r>
      <w:r>
        <w:rPr>
          <w:rFonts w:ascii="Arial" w:cs="Arial" w:eastAsia="Arial" w:hAnsi="Arial"/>
          <w:sz w:val="19"/>
          <w:szCs w:val="19"/>
          <w:color w:val="auto"/>
        </w:rPr>
        <w:t>scritto della Società, il Dirigente, in particolare, si asterrà da rendere pubbliche informazioni che appartengano a una o più collegate o alla Società, o studi basati su attività svolta per la Società o suoi clienti, ovvero si asterrà dal riferire informazioni o risultati ottenuti da clienti.</w:t>
      </w:r>
    </w:p>
    <w:p>
      <w:pPr>
        <w:spacing w:after="0" w:line="164" w:lineRule="exact"/>
        <w:rPr>
          <w:sz w:val="20"/>
          <w:szCs w:val="20"/>
          <w:color w:val="auto"/>
        </w:rPr>
      </w:pPr>
    </w:p>
    <w:p>
      <w:pPr>
        <w:jc w:val="both"/>
        <w:ind w:left="900" w:right="720" w:hanging="634"/>
        <w:spacing w:after="0" w:line="245" w:lineRule="auto"/>
        <w:tabs>
          <w:tab w:leader="none" w:pos="88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9"/>
          <w:szCs w:val="19"/>
          <w:u w:val="single" w:color="auto"/>
          <w:color w:val="auto"/>
        </w:rPr>
        <w:t xml:space="preserve">Restituzione di materiale: </w:t>
      </w:r>
      <w:r>
        <w:rPr>
          <w:rFonts w:ascii="Arial" w:cs="Arial" w:eastAsia="Arial" w:hAnsi="Arial"/>
          <w:sz w:val="19"/>
          <w:szCs w:val="19"/>
          <w:color w:val="auto"/>
        </w:rPr>
        <w:t>Si precisa</w:t>
      </w:r>
      <w:r>
        <w:rPr>
          <w:rFonts w:ascii="Arial" w:cs="Arial" w:eastAsia="Arial" w:hAnsi="Arial"/>
          <w:sz w:val="19"/>
          <w:szCs w:val="19"/>
          <w:u w:val="single" w:color="auto"/>
          <w:color w:val="auto"/>
        </w:rPr>
        <w:t xml:space="preserve"> </w:t>
      </w:r>
      <w:r>
        <w:rPr>
          <w:rFonts w:ascii="Arial" w:cs="Arial" w:eastAsia="Arial" w:hAnsi="Arial"/>
          <w:sz w:val="19"/>
          <w:szCs w:val="19"/>
          <w:color w:val="auto"/>
        </w:rPr>
        <w:t>che tutti i beni forniti al Dirigente per lo svolgimento dei suoi compiti rimarranno di esclusiva proprietà della Società.</w:t>
      </w:r>
    </w:p>
    <w:p>
      <w:pPr>
        <w:spacing w:after="0" w:line="154" w:lineRule="exact"/>
        <w:rPr>
          <w:sz w:val="20"/>
          <w:szCs w:val="20"/>
          <w:color w:val="auto"/>
        </w:rPr>
      </w:pPr>
    </w:p>
    <w:p>
      <w:pPr>
        <w:jc w:val="both"/>
        <w:ind w:left="900" w:right="720"/>
        <w:spacing w:after="0"/>
        <w:rPr>
          <w:sz w:val="20"/>
          <w:szCs w:val="20"/>
          <w:color w:val="auto"/>
        </w:rPr>
      </w:pPr>
      <w:r>
        <w:rPr>
          <w:rFonts w:ascii="Arial" w:cs="Arial" w:eastAsia="Arial" w:hAnsi="Arial"/>
          <w:sz w:val="19"/>
          <w:szCs w:val="19"/>
          <w:color w:val="auto"/>
        </w:rPr>
        <w:t>Il Dirigente, il giorno in cui vengano a cessare i suoi compiti presso la Società, per qualsivoglia motivo, si impegna a restituire, senza necessità di richiesta o preavviso da parte della Società, ovvero anche prima se richiesto dalla Società, qualsiasi supporto, scritto o registrato, contenente informazioni riservate, incluso, a titolo esemplificativo, documenti, studi, documentazione, corrispondenza, dischetti, statistiche o</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right="279"/>
        <w:spacing w:after="0" w:line="254" w:lineRule="auto"/>
        <w:rPr>
          <w:sz w:val="20"/>
          <w:szCs w:val="20"/>
          <w:color w:val="auto"/>
        </w:rPr>
      </w:pPr>
      <w:r>
        <w:rPr>
          <w:rFonts w:ascii="Arial" w:cs="Arial" w:eastAsia="Arial" w:hAnsi="Arial"/>
          <w:sz w:val="19"/>
          <w:szCs w:val="19"/>
          <w:color w:val="auto"/>
        </w:rPr>
        <w:t>commercial contract entered into by the Company, and/or any Group Company.</w:t>
      </w:r>
    </w:p>
    <w:p>
      <w:pPr>
        <w:spacing w:after="0" w:line="143" w:lineRule="exact"/>
        <w:rPr>
          <w:sz w:val="20"/>
          <w:szCs w:val="20"/>
          <w:color w:val="auto"/>
        </w:rPr>
      </w:pPr>
    </w:p>
    <w:p>
      <w:pPr>
        <w:jc w:val="both"/>
        <w:ind w:right="279"/>
        <w:spacing w:after="0" w:line="242" w:lineRule="auto"/>
        <w:rPr>
          <w:sz w:val="20"/>
          <w:szCs w:val="20"/>
          <w:color w:val="auto"/>
        </w:rPr>
      </w:pPr>
      <w:r>
        <w:rPr>
          <w:rFonts w:ascii="Arial" w:cs="Arial" w:eastAsia="Arial" w:hAnsi="Arial"/>
          <w:sz w:val="19"/>
          <w:szCs w:val="19"/>
          <w:color w:val="auto"/>
        </w:rPr>
        <w:t>This strict interdiction to divulge or use information and documents will remain in effect, without limitation for so long as the relevant information shall remain confidential, after the termination of this Agreement for any reason whatsoever.</w:t>
      </w:r>
    </w:p>
    <w:p>
      <w:pPr>
        <w:spacing w:after="0" w:line="159" w:lineRule="exact"/>
        <w:rPr>
          <w:sz w:val="20"/>
          <w:szCs w:val="20"/>
          <w:color w:val="auto"/>
        </w:rPr>
      </w:pPr>
    </w:p>
    <w:p>
      <w:pPr>
        <w:jc w:val="both"/>
        <w:ind w:right="279"/>
        <w:spacing w:after="0" w:line="239" w:lineRule="auto"/>
        <w:rPr>
          <w:sz w:val="20"/>
          <w:szCs w:val="20"/>
          <w:color w:val="auto"/>
        </w:rPr>
      </w:pPr>
      <w:r>
        <w:rPr>
          <w:rFonts w:ascii="Arial" w:cs="Arial" w:eastAsia="Arial" w:hAnsi="Arial"/>
          <w:sz w:val="19"/>
          <w:szCs w:val="19"/>
          <w:color w:val="auto"/>
        </w:rPr>
        <w:t>Accordingly, and except in performance of his duties in accordance with this Contract, he will not, at any time and in any way, make or cause to be made any copy, photograph, duplicate, facsimile or other reproduction or record, nor any extract or summary, on any medium whatsoever, of or from any report,</w:t>
      </w:r>
    </w:p>
    <w:p>
      <w:pPr>
        <w:spacing w:after="0" w:line="4" w:lineRule="exact"/>
        <w:rPr>
          <w:sz w:val="20"/>
          <w:szCs w:val="20"/>
          <w:color w:val="auto"/>
        </w:rPr>
      </w:pPr>
    </w:p>
    <w:p>
      <w:pPr>
        <w:jc w:val="both"/>
        <w:ind w:right="279"/>
        <w:spacing w:after="0" w:line="238" w:lineRule="auto"/>
        <w:rPr>
          <w:sz w:val="20"/>
          <w:szCs w:val="20"/>
          <w:color w:val="auto"/>
        </w:rPr>
      </w:pPr>
      <w:r>
        <w:rPr>
          <w:rFonts w:ascii="Arial" w:cs="Arial" w:eastAsia="Arial" w:hAnsi="Arial"/>
          <w:sz w:val="19"/>
          <w:szCs w:val="19"/>
          <w:color w:val="auto"/>
        </w:rPr>
        <w:t>study, memorandum, correspondence, manual, dossier, data-base, plan, design, project, production, software or lists of customers or prices, or other written, printed or recorded material in any manner and on any medium whatsoever, or of products or elements belonging to or in the possession of the Company, and/or any Group Company, or</w:t>
      </w:r>
    </w:p>
    <w:p>
      <w:pPr>
        <w:spacing w:after="0" w:line="83" w:lineRule="exact"/>
        <w:rPr>
          <w:sz w:val="20"/>
          <w:szCs w:val="20"/>
          <w:color w:val="auto"/>
        </w:rPr>
      </w:pPr>
    </w:p>
    <w:p>
      <w:pPr>
        <w:jc w:val="both"/>
        <w:ind w:left="80" w:right="59"/>
        <w:spacing w:after="0" w:line="257" w:lineRule="auto"/>
        <w:rPr>
          <w:sz w:val="20"/>
          <w:szCs w:val="20"/>
          <w:color w:val="auto"/>
        </w:rPr>
      </w:pPr>
      <w:r>
        <w:rPr>
          <w:rFonts w:ascii="Arial" w:cs="Arial" w:eastAsia="Arial" w:hAnsi="Arial"/>
          <w:sz w:val="18"/>
          <w:szCs w:val="18"/>
          <w:color w:val="auto"/>
        </w:rPr>
        <w:t>copie in suo possesso relative alla Società, a società collegate, a clienti della Società o di società collegate e si asterrà dal tenerne copia, direttamente o indirettamente, in qualsiasi formato; si impegna altresì a restituire qualsiasi attrezzatura affidatagli dalla Società in relazione al suo rapporto di lavoro.</w:t>
      </w:r>
    </w:p>
    <w:p>
      <w:pPr>
        <w:sectPr>
          <w:pgSz w:w="11900" w:h="16907" w:orient="portrait"/>
          <w:cols w:equalWidth="0" w:num="2">
            <w:col w:w="4900" w:space="720"/>
            <w:col w:w="3399"/>
          </w:cols>
          <w:pgMar w:left="1440" w:top="882" w:right="1440" w:bottom="0" w:gutter="0" w:footer="0" w:header="0"/>
        </w:sectPr>
      </w:pPr>
    </w:p>
    <w:bookmarkStart w:id="72" w:name="page73"/>
    <w:bookmarkEnd w:id="72"/>
    <w:p>
      <w:pPr>
        <w:ind w:left="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73" w:name="page74"/>
    <w:bookmarkEnd w:id="73"/>
    <w:p>
      <w:pPr>
        <w:spacing w:after="0" w:line="81" w:lineRule="exact"/>
        <w:rPr>
          <w:sz w:val="20"/>
          <w:szCs w:val="20"/>
          <w:color w:val="auto"/>
        </w:rPr>
      </w:pPr>
    </w:p>
    <w:p>
      <w:pPr>
        <w:jc w:val="both"/>
        <w:ind w:left="840" w:right="920"/>
        <w:spacing w:after="0" w:line="248" w:lineRule="auto"/>
        <w:rPr>
          <w:sz w:val="20"/>
          <w:szCs w:val="20"/>
          <w:color w:val="auto"/>
        </w:rPr>
      </w:pPr>
      <w:r>
        <w:rPr>
          <w:rFonts w:ascii="Arial" w:cs="Arial" w:eastAsia="Arial" w:hAnsi="Arial"/>
          <w:sz w:val="19"/>
          <w:szCs w:val="19"/>
          <w:color w:val="auto"/>
        </w:rPr>
        <w:t>of its or their respective clients. S/he will have no right, title or interest in any such documents, information or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-187325</wp:posOffset>
            </wp:positionV>
            <wp:extent cx="8255" cy="79813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255" cy="798131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-187325</wp:posOffset>
            </wp:positionV>
            <wp:extent cx="8890" cy="79813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890" cy="7981315"/>
                    </a:xfrm>
                    <a:prstGeom prst="rect">
                      <a:avLst/>
                    </a:prstGeom>
                    <a:noFill/>
                  </pic:spPr>
                </pic:pic>
              </a:graphicData>
            </a:graphic>
          </wp:anchor>
        </w:drawing>
      </w:r>
    </w:p>
    <w:p>
      <w:pPr>
        <w:spacing w:after="0" w:line="130" w:lineRule="exact"/>
        <w:rPr>
          <w:sz w:val="20"/>
          <w:szCs w:val="20"/>
          <w:color w:val="auto"/>
        </w:rPr>
      </w:pPr>
    </w:p>
    <w:p>
      <w:pPr>
        <w:jc w:val="both"/>
        <w:ind w:left="840" w:right="900"/>
        <w:spacing w:after="0" w:line="254" w:lineRule="auto"/>
        <w:rPr>
          <w:sz w:val="20"/>
          <w:szCs w:val="20"/>
          <w:color w:val="auto"/>
        </w:rPr>
      </w:pPr>
      <w:r>
        <w:rPr>
          <w:rFonts w:ascii="Arial" w:cs="Arial" w:eastAsia="Arial" w:hAnsi="Arial"/>
          <w:sz w:val="19"/>
          <w:szCs w:val="19"/>
          <w:color w:val="auto"/>
        </w:rPr>
        <w:t>Any breach of this strict duty of confidentiality may constitute gross negligence or serious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800" w:right="900" w:hanging="599"/>
        <w:spacing w:after="0"/>
        <w:tabs>
          <w:tab w:leader="none" w:pos="78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9"/>
          <w:szCs w:val="19"/>
          <w:u w:val="single" w:color="auto"/>
          <w:color w:val="auto"/>
        </w:rPr>
        <w:t>Publication</w:t>
      </w:r>
      <w:r>
        <w:rPr>
          <w:rFonts w:ascii="Arial" w:cs="Arial" w:eastAsia="Arial" w:hAnsi="Arial"/>
          <w:sz w:val="19"/>
          <w:szCs w:val="19"/>
          <w:color w:val="auto"/>
        </w:rPr>
        <w:t>: Absent prior consent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writing from the Company, the Executive will abstain in particular from publishing any information belonging to one or more affiliates or to the Company, or any study based on work performed for the Company or its clients, or from referring to information or results obtained from clients.</w:t>
      </w:r>
    </w:p>
    <w:p>
      <w:pPr>
        <w:spacing w:after="0" w:line="164" w:lineRule="exact"/>
        <w:rPr>
          <w:sz w:val="20"/>
          <w:szCs w:val="20"/>
          <w:color w:val="auto"/>
        </w:rPr>
      </w:pPr>
    </w:p>
    <w:p>
      <w:pPr>
        <w:jc w:val="both"/>
        <w:ind w:left="800" w:right="900" w:hanging="599"/>
        <w:spacing w:after="0" w:line="270" w:lineRule="auto"/>
        <w:tabs>
          <w:tab w:leader="none" w:pos="78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9"/>
          <w:szCs w:val="19"/>
          <w:u w:val="single" w:color="auto"/>
          <w:color w:val="auto"/>
        </w:rPr>
        <w:t xml:space="preserve">Return of material </w:t>
      </w:r>
      <w:r>
        <w:rPr>
          <w:rFonts w:ascii="Arial" w:cs="Arial" w:eastAsia="Arial" w:hAnsi="Arial"/>
          <w:sz w:val="19"/>
          <w:szCs w:val="19"/>
          <w:color w:val="auto"/>
        </w:rPr>
        <w:t>: It is specified that</w:t>
      </w:r>
      <w:r>
        <w:rPr>
          <w:rFonts w:ascii="Arial" w:cs="Arial" w:eastAsia="Arial" w:hAnsi="Arial"/>
          <w:sz w:val="19"/>
          <w:szCs w:val="19"/>
          <w:u w:val="single" w:color="auto"/>
          <w:color w:val="auto"/>
        </w:rPr>
        <w:t xml:space="preserve"> </w:t>
      </w:r>
      <w:r>
        <w:rPr>
          <w:rFonts w:ascii="Arial" w:cs="Arial" w:eastAsia="Arial" w:hAnsi="Arial"/>
          <w:sz w:val="19"/>
          <w:szCs w:val="19"/>
          <w:color w:val="auto"/>
        </w:rPr>
        <w:t>all the material provided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00" w:right="860" w:hanging="628"/>
        <w:spacing w:after="0" w:line="274" w:lineRule="auto"/>
        <w:tabs>
          <w:tab w:leader="none" w:pos="900"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Patto di non concorrenza e divieto di storno</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br w:type="column"/>
      </w:r>
    </w:p>
    <w:p>
      <w:pPr>
        <w:jc w:val="both"/>
        <w:ind w:right="279"/>
        <w:spacing w:after="0" w:line="254" w:lineRule="auto"/>
        <w:rPr>
          <w:sz w:val="20"/>
          <w:szCs w:val="20"/>
          <w:color w:val="auto"/>
        </w:rPr>
      </w:pPr>
      <w:r>
        <w:rPr>
          <w:rFonts w:ascii="Arial" w:cs="Arial" w:eastAsia="Arial" w:hAnsi="Arial"/>
          <w:sz w:val="19"/>
          <w:szCs w:val="19"/>
          <w:color w:val="auto"/>
        </w:rPr>
        <w:t>Executive for carrying out his duties remain the sole property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-2540</wp:posOffset>
            </wp:positionV>
            <wp:extent cx="8890" cy="79813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890" cy="7981315"/>
                    </a:xfrm>
                    <a:prstGeom prst="rect">
                      <a:avLst/>
                    </a:prstGeom>
                    <a:noFill/>
                  </pic:spPr>
                </pic:pic>
              </a:graphicData>
            </a:graphic>
          </wp:anchor>
        </w:drawing>
      </w:r>
    </w:p>
    <w:p>
      <w:pPr>
        <w:spacing w:after="0" w:line="123" w:lineRule="exact"/>
        <w:rPr>
          <w:sz w:val="20"/>
          <w:szCs w:val="20"/>
          <w:color w:val="auto"/>
        </w:rPr>
      </w:pPr>
    </w:p>
    <w:p>
      <w:pPr>
        <w:jc w:val="both"/>
        <w:ind w:left="40" w:right="279"/>
        <w:spacing w:after="0"/>
        <w:rPr>
          <w:sz w:val="20"/>
          <w:szCs w:val="20"/>
          <w:color w:val="auto"/>
        </w:rPr>
      </w:pPr>
      <w:r>
        <w:rPr>
          <w:rFonts w:ascii="Arial" w:cs="Arial" w:eastAsia="Arial" w:hAnsi="Arial"/>
          <w:sz w:val="19"/>
          <w:szCs w:val="19"/>
          <w:color w:val="auto"/>
        </w:rPr>
        <w:t>The Executive undertakes to return, on the day his duties within the Company cease for any reason whatsoever, and without requiring a request or prior notice from the Company, or previously at the Company's request, any written or</w:t>
      </w:r>
    </w:p>
    <w:p>
      <w:pPr>
        <w:spacing w:after="0" w:line="1" w:lineRule="exact"/>
        <w:rPr>
          <w:sz w:val="20"/>
          <w:szCs w:val="20"/>
          <w:color w:val="auto"/>
        </w:rPr>
      </w:pPr>
    </w:p>
    <w:p>
      <w:pPr>
        <w:jc w:val="both"/>
        <w:ind w:left="40" w:right="279"/>
        <w:spacing w:after="0" w:line="237" w:lineRule="auto"/>
        <w:rPr>
          <w:sz w:val="20"/>
          <w:szCs w:val="20"/>
          <w:color w:val="auto"/>
        </w:rPr>
      </w:pPr>
      <w:r>
        <w:rPr>
          <w:rFonts w:ascii="Arial" w:cs="Arial" w:eastAsia="Arial" w:hAnsi="Arial"/>
          <w:sz w:val="19"/>
          <w:szCs w:val="19"/>
          <w:color w:val="auto"/>
        </w:rPr>
        <w:t>recorded medium containing confidential information, including without limitation any documents,</w:t>
      </w:r>
    </w:p>
    <w:p>
      <w:pPr>
        <w:spacing w:after="0" w:line="1" w:lineRule="exact"/>
        <w:rPr>
          <w:sz w:val="20"/>
          <w:szCs w:val="20"/>
          <w:color w:val="auto"/>
        </w:rPr>
      </w:pPr>
    </w:p>
    <w:p>
      <w:pPr>
        <w:jc w:val="both"/>
        <w:ind w:left="40" w:right="279"/>
        <w:spacing w:after="0" w:line="238" w:lineRule="auto"/>
        <w:rPr>
          <w:sz w:val="20"/>
          <w:szCs w:val="20"/>
          <w:color w:val="auto"/>
        </w:rPr>
      </w:pPr>
      <w:r>
        <w:rPr>
          <w:rFonts w:ascii="Arial" w:cs="Arial" w:eastAsia="Arial" w:hAnsi="Arial"/>
          <w:sz w:val="19"/>
          <w:szCs w:val="19"/>
          <w:color w:val="auto"/>
        </w:rPr>
        <w:t>studies, documentation, correspondence, diskettes, statistics or copies in his possession relating to the Company or any affiliate or client of the Company or affiliates, and will abstain from keeping any copy thereof, directly or indirectly, on any medium whatsoever, and will return any equipment entrusted to him by the Company in connection with his employment.</w:t>
      </w:r>
    </w:p>
    <w:p>
      <w:pPr>
        <w:sectPr>
          <w:pgSz w:w="11900" w:h="16838" w:orient="portrait"/>
          <w:cols w:equalWidth="0" w:num="2">
            <w:col w:w="4860" w:space="720"/>
            <w:col w:w="3439"/>
          </w:cols>
          <w:pgMar w:left="1440" w:top="882" w:right="1440" w:bottom="1440" w:gutter="0" w:footer="0" w:header="0"/>
        </w:sectPr>
      </w:pPr>
    </w:p>
    <w:bookmarkStart w:id="74" w:name="page75"/>
    <w:bookmarkEnd w:id="74"/>
    <w:p>
      <w:pPr>
        <w:spacing w:after="0" w:line="243" w:lineRule="exact"/>
        <w:rPr>
          <w:sz w:val="20"/>
          <w:szCs w:val="20"/>
          <w:color w:val="auto"/>
        </w:rPr>
      </w:pPr>
    </w:p>
    <w:p>
      <w:pPr>
        <w:jc w:val="both"/>
        <w:ind w:left="900" w:right="1140"/>
        <w:spacing w:after="0" w:line="254" w:lineRule="auto"/>
        <w:rPr>
          <w:sz w:val="20"/>
          <w:szCs w:val="20"/>
          <w:color w:val="auto"/>
        </w:rPr>
      </w:pPr>
      <w:r>
        <w:rPr>
          <w:rFonts w:ascii="Arial" w:cs="Arial" w:eastAsia="Arial" w:hAnsi="Arial"/>
          <w:sz w:val="19"/>
          <w:szCs w:val="19"/>
          <w:color w:val="auto"/>
        </w:rPr>
        <w:t>Per tutta la durata del rapporto di lavoro e per un periodo di 12 mesi successivo</w:t>
      </w:r>
    </w:p>
    <w:p>
      <w:pPr>
        <w:spacing w:after="0" w:line="20" w:lineRule="exact"/>
        <w:rPr>
          <w:sz w:val="20"/>
          <w:szCs w:val="20"/>
          <w:color w:val="auto"/>
        </w:rPr>
      </w:pPr>
      <w:r>
        <w:rPr>
          <w:sz w:val="20"/>
          <w:szCs w:val="20"/>
          <w:color w:val="auto"/>
        </w:rPr>
        <w:br w:type="column"/>
      </w:r>
    </w:p>
    <w:p>
      <w:pPr>
        <w:jc w:val="both"/>
        <w:ind w:right="279"/>
        <w:spacing w:after="0" w:line="248" w:lineRule="auto"/>
        <w:rPr>
          <w:sz w:val="20"/>
          <w:szCs w:val="20"/>
          <w:color w:val="auto"/>
        </w:rPr>
      </w:pPr>
      <w:r>
        <w:rPr>
          <w:rFonts w:ascii="Arial" w:cs="Arial" w:eastAsia="Arial" w:hAnsi="Arial"/>
          <w:sz w:val="19"/>
          <w:szCs w:val="19"/>
          <w:color w:val="auto"/>
        </w:rPr>
        <w:t>For the duration of your employment relationship and for a period of 12 months after its termination,You hereby undertake</w:t>
      </w:r>
    </w:p>
    <w:p>
      <w:pPr>
        <w:sectPr>
          <w:pgSz w:w="11900" w:h="16838" w:orient="portrait"/>
          <w:cols w:equalWidth="0" w:num="2">
            <w:col w:w="4900" w:space="720"/>
            <w:col w:w="3399"/>
          </w:cols>
          <w:pgMar w:left="1440" w:top="733" w:right="1440" w:bottom="1440" w:gutter="0" w:footer="0" w:header="0"/>
        </w:sectPr>
      </w:pPr>
    </w:p>
    <w:bookmarkStart w:id="75" w:name="page76"/>
    <w:bookmarkEnd w:id="75"/>
    <w:p>
      <w:pPr>
        <w:spacing w:after="0" w:line="81" w:lineRule="exact"/>
        <w:rPr>
          <w:sz w:val="20"/>
          <w:szCs w:val="20"/>
          <w:color w:val="auto"/>
        </w:rPr>
      </w:pPr>
    </w:p>
    <w:p>
      <w:pPr>
        <w:jc w:val="both"/>
        <w:ind w:left="900" w:right="1440"/>
        <w:spacing w:after="0" w:line="248" w:lineRule="auto"/>
        <w:rPr>
          <w:sz w:val="20"/>
          <w:szCs w:val="20"/>
          <w:color w:val="auto"/>
        </w:rPr>
      </w:pPr>
      <w:r>
        <w:rPr>
          <w:rFonts w:ascii="Arial" w:cs="Arial" w:eastAsia="Arial" w:hAnsi="Arial"/>
          <w:sz w:val="19"/>
          <w:szCs w:val="19"/>
          <w:color w:val="auto"/>
        </w:rPr>
        <w:t>alla cessazione del rapporto, Lei si impegna a non intraprendere - all'interno dell’Unione europea e del Regno Unito - le seguenti attività:</w:t>
      </w:r>
    </w:p>
    <w:p>
      <w:pPr>
        <w:spacing w:after="0" w:line="150" w:lineRule="exact"/>
        <w:rPr>
          <w:sz w:val="20"/>
          <w:szCs w:val="20"/>
          <w:color w:val="auto"/>
        </w:rPr>
      </w:pPr>
    </w:p>
    <w:p>
      <w:pPr>
        <w:ind w:left="1540" w:right="1440" w:hanging="633"/>
        <w:spacing w:after="0" w:line="239" w:lineRule="auto"/>
        <w:tabs>
          <w:tab w:leader="none" w:pos="1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svolgere attività lavorativa od essere coinvolto, a qualsiasi titolo, sia direttamente che indirettamente, sia a fronte di un corrispettivo sia senza percepire una remunerazione, con qualsiasi persona, organizzazione o società che svolga Attività d’Impresa in Concorrenza con, o simile o connessa a, quella svolta dalla Società o dalle Società del Gruppo ed, in particolare che sviluppano e/o distribuiscono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59"/>
        <w:spacing w:after="0"/>
        <w:rPr>
          <w:sz w:val="20"/>
          <w:szCs w:val="20"/>
          <w:color w:val="auto"/>
        </w:rPr>
      </w:pPr>
      <w:r>
        <w:rPr>
          <w:rFonts w:ascii="Arial" w:cs="Arial" w:eastAsia="Arial" w:hAnsi="Arial"/>
          <w:sz w:val="19"/>
          <w:szCs w:val="19"/>
          <w:color w:val="auto"/>
        </w:rPr>
        <w:t>prodotti e/o servizi analoghi a quelli sviluppati e/o distribuiti dalla Società e/o dalle Società del Gruppo o che perseguono interessi contrastanti a quelli della Società e/o delle Società del Gruppo, o a mantenere un qualche interesse in tali persone, organizzazioni o società;</w:t>
      </w:r>
    </w:p>
    <w:p>
      <w:pPr>
        <w:spacing w:after="0" w:line="164" w:lineRule="exact"/>
        <w:rPr>
          <w:sz w:val="20"/>
          <w:szCs w:val="20"/>
          <w:color w:val="auto"/>
        </w:rPr>
      </w:pPr>
    </w:p>
    <w:p>
      <w:pPr>
        <w:jc w:val="both"/>
        <w:ind w:right="59" w:hanging="639"/>
        <w:spacing w:after="0" w:line="241" w:lineRule="auto"/>
        <w:rPr>
          <w:sz w:val="20"/>
          <w:szCs w:val="20"/>
          <w:color w:val="auto"/>
        </w:rPr>
      </w:pPr>
      <w:r>
        <w:rPr>
          <w:rFonts w:ascii="Arial" w:cs="Arial" w:eastAsia="Arial" w:hAnsi="Arial"/>
          <w:sz w:val="19"/>
          <w:szCs w:val="19"/>
          <w:color w:val="auto"/>
        </w:rPr>
        <w:t>(b)</w:t>
      </w:r>
      <w:r>
        <w:rPr>
          <w:sz w:val="20"/>
          <w:szCs w:val="20"/>
          <w:color w:val="auto"/>
        </w:rPr>
        <w:t xml:space="preserve"> </w:t>
      </w:r>
      <w:r>
        <w:rPr>
          <w:rFonts w:ascii="Arial" w:cs="Arial" w:eastAsia="Arial" w:hAnsi="Arial"/>
          <w:sz w:val="19"/>
          <w:szCs w:val="19"/>
          <w:color w:val="auto"/>
        </w:rPr>
        <w:t>costituire, direttamente o indirettamente, singolarmente o unitamente ad altre persone o per conto delle stesse, un'azienda che sia in</w:t>
      </w:r>
    </w:p>
    <w:p>
      <w:pPr>
        <w:spacing w:after="0" w:line="1" w:lineRule="exact"/>
        <w:rPr>
          <w:sz w:val="20"/>
          <w:szCs w:val="20"/>
          <w:color w:val="auto"/>
        </w:rPr>
      </w:pPr>
    </w:p>
    <w:p>
      <w:pPr>
        <w:jc w:val="both"/>
        <w:ind w:right="59"/>
        <w:spacing w:after="0" w:line="244" w:lineRule="auto"/>
        <w:rPr>
          <w:sz w:val="20"/>
          <w:szCs w:val="20"/>
          <w:color w:val="auto"/>
        </w:rPr>
      </w:pPr>
      <w:r>
        <w:rPr>
          <w:rFonts w:ascii="Arial" w:cs="Arial" w:eastAsia="Arial" w:hAnsi="Arial"/>
          <w:sz w:val="19"/>
          <w:szCs w:val="19"/>
          <w:color w:val="auto"/>
        </w:rPr>
        <w:t>concorrenza/svolga Attività d’Impresa in Concorrenza con la Società o con qualsiasi</w:t>
      </w:r>
    </w:p>
    <w:p>
      <w:pPr>
        <w:sectPr>
          <w:pgSz w:w="11900" w:h="16838" w:orient="portrait"/>
          <w:cols w:equalWidth="0" w:num="2">
            <w:col w:w="5620" w:space="720"/>
            <w:col w:w="2679"/>
          </w:cols>
          <w:pgMar w:left="1440" w:top="126" w:right="1440" w:bottom="1440" w:gutter="0" w:footer="0" w:header="0"/>
        </w:sectPr>
      </w:pPr>
    </w:p>
    <w:bookmarkStart w:id="76" w:name="page77"/>
    <w:bookmarkEnd w:id="76"/>
    <w:p>
      <w:pPr>
        <w:spacing w:after="0" w:line="108" w:lineRule="exact"/>
        <w:rPr>
          <w:sz w:val="20"/>
          <w:szCs w:val="20"/>
          <w:color w:val="auto"/>
        </w:rPr>
      </w:pPr>
    </w:p>
    <w:p>
      <w:pPr>
        <w:ind w:left="1540"/>
        <w:spacing w:after="0"/>
        <w:tabs>
          <w:tab w:leader="none" w:pos="2320" w:val="left"/>
          <w:tab w:leader="none" w:pos="2740" w:val="left"/>
          <w:tab w:leader="none" w:pos="3580" w:val="left"/>
        </w:tabs>
        <w:rPr>
          <w:sz w:val="20"/>
          <w:szCs w:val="20"/>
          <w:color w:val="auto"/>
        </w:rPr>
      </w:pPr>
      <w:r>
        <w:rPr>
          <w:rFonts w:ascii="Arial" w:cs="Arial" w:eastAsia="Arial" w:hAnsi="Arial"/>
          <w:sz w:val="19"/>
          <w:szCs w:val="19"/>
          <w:color w:val="auto"/>
        </w:rPr>
        <w:t>Società</w:t>
        <w:tab/>
        <w:t>del</w:t>
        <w:tab/>
        <w:t>Gruppo,</w:t>
        <w:tab/>
        <w:t>ovvero</w:t>
      </w:r>
    </w:p>
    <w:p>
      <w:pPr>
        <w:spacing w:after="0" w:line="13"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entrare a far parte, in qualità di</w:t>
      </w:r>
    </w:p>
    <w:p>
      <w:pPr>
        <w:ind w:left="1540"/>
        <w:spacing w:after="0" w:line="237" w:lineRule="auto"/>
        <w:rPr>
          <w:sz w:val="20"/>
          <w:szCs w:val="20"/>
          <w:color w:val="auto"/>
        </w:rPr>
      </w:pPr>
      <w:r>
        <w:rPr>
          <w:rFonts w:ascii="Arial" w:cs="Arial" w:eastAsia="Arial" w:hAnsi="Arial"/>
          <w:sz w:val="19"/>
          <w:szCs w:val="19"/>
          <w:color w:val="auto"/>
        </w:rPr>
        <w:t>dipendente, consulente, agente</w:t>
      </w:r>
    </w:p>
    <w:p>
      <w:pPr>
        <w:ind w:left="1540"/>
        <w:spacing w:after="0" w:line="237" w:lineRule="auto"/>
        <w:tabs>
          <w:tab w:leader="none" w:pos="1860" w:val="left"/>
          <w:tab w:leader="none" w:pos="2300" w:val="left"/>
          <w:tab w:leader="none" w:pos="2880" w:val="left"/>
          <w:tab w:leader="none" w:pos="3560" w:val="left"/>
          <w:tab w:leader="none" w:pos="3940" w:val="left"/>
        </w:tabs>
        <w:rPr>
          <w:sz w:val="20"/>
          <w:szCs w:val="20"/>
          <w:color w:val="auto"/>
        </w:rPr>
      </w:pPr>
      <w:r>
        <w:rPr>
          <w:rFonts w:ascii="Arial" w:cs="Arial" w:eastAsia="Arial" w:hAnsi="Arial"/>
          <w:sz w:val="19"/>
          <w:szCs w:val="19"/>
          <w:color w:val="auto"/>
        </w:rPr>
        <w:t>o</w:t>
        <w:tab/>
        <w:t>ad</w:t>
        <w:tab/>
        <w:t>altro</w:t>
        <w:tab/>
        <w:t>titolo,</w:t>
        <w:tab/>
        <w:t>di</w:t>
        <w:tab/>
        <w:t>un</w:t>
      </w:r>
    </w:p>
    <w:p>
      <w:pPr>
        <w:ind w:left="1540"/>
        <w:spacing w:after="0" w:line="237" w:lineRule="auto"/>
        <w:rPr>
          <w:sz w:val="20"/>
          <w:szCs w:val="20"/>
          <w:color w:val="auto"/>
        </w:rPr>
      </w:pPr>
      <w:r>
        <w:rPr>
          <w:rFonts w:ascii="Arial" w:cs="Arial" w:eastAsia="Arial" w:hAnsi="Arial"/>
          <w:sz w:val="19"/>
          <w:szCs w:val="19"/>
          <w:color w:val="auto"/>
        </w:rPr>
        <w:t>concorrente della Società o di</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qualsiasi Società del Gruppo;</w:t>
      </w:r>
    </w:p>
    <w:p>
      <w:pPr>
        <w:spacing w:after="0" w:line="169" w:lineRule="exact"/>
        <w:rPr>
          <w:sz w:val="20"/>
          <w:szCs w:val="20"/>
          <w:color w:val="auto"/>
        </w:rPr>
      </w:pPr>
    </w:p>
    <w:p>
      <w:pPr>
        <w:ind w:left="900"/>
        <w:spacing w:after="0"/>
        <w:tabs>
          <w:tab w:leader="none" w:pos="1520" w:val="left"/>
          <w:tab w:leader="none" w:pos="2840" w:val="left"/>
          <w:tab w:leader="none" w:pos="342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mantenere</w:t>
      </w:r>
      <w:r>
        <w:rPr>
          <w:sz w:val="20"/>
          <w:szCs w:val="20"/>
          <w:color w:val="auto"/>
        </w:rPr>
        <w:tab/>
      </w:r>
      <w:r>
        <w:rPr>
          <w:rFonts w:ascii="Arial" w:cs="Arial" w:eastAsia="Arial" w:hAnsi="Arial"/>
          <w:sz w:val="19"/>
          <w:szCs w:val="19"/>
          <w:color w:val="auto"/>
        </w:rPr>
        <w:t>in</w:t>
      </w:r>
      <w:r>
        <w:rPr>
          <w:sz w:val="20"/>
          <w:szCs w:val="20"/>
          <w:color w:val="auto"/>
        </w:rPr>
        <w:tab/>
      </w:r>
      <w:r>
        <w:rPr>
          <w:rFonts w:ascii="Arial" w:cs="Arial" w:eastAsia="Arial" w:hAnsi="Arial"/>
          <w:sz w:val="19"/>
          <w:szCs w:val="19"/>
          <w:color w:val="auto"/>
        </w:rPr>
        <w:t>qualsiasi</w:t>
      </w:r>
    </w:p>
    <w:p>
      <w:pPr>
        <w:spacing w:after="0" w:line="13" w:lineRule="exact"/>
        <w:rPr>
          <w:sz w:val="20"/>
          <w:szCs w:val="20"/>
          <w:color w:val="auto"/>
        </w:rPr>
      </w:pPr>
    </w:p>
    <w:p>
      <w:pPr>
        <w:ind w:left="1540"/>
        <w:spacing w:after="0"/>
        <w:tabs>
          <w:tab w:leader="none" w:pos="2480" w:val="left"/>
        </w:tabs>
        <w:rPr>
          <w:sz w:val="20"/>
          <w:szCs w:val="20"/>
          <w:color w:val="auto"/>
        </w:rPr>
      </w:pPr>
      <w:r>
        <w:rPr>
          <w:rFonts w:ascii="Arial" w:cs="Arial" w:eastAsia="Arial" w:hAnsi="Arial"/>
          <w:sz w:val="19"/>
          <w:szCs w:val="19"/>
          <w:color w:val="auto"/>
        </w:rPr>
        <w:t>maniera,</w:t>
        <w:tab/>
        <w:t>sia direttamente</w:t>
      </w:r>
    </w:p>
    <w:p>
      <w:pPr>
        <w:ind w:left="1540"/>
        <w:spacing w:after="0"/>
        <w:tabs>
          <w:tab w:leader="none" w:pos="2000" w:val="left"/>
          <w:tab w:leader="none" w:pos="3620" w:val="left"/>
        </w:tabs>
        <w:rPr>
          <w:sz w:val="20"/>
          <w:szCs w:val="20"/>
          <w:color w:val="auto"/>
        </w:rPr>
      </w:pPr>
      <w:r>
        <w:rPr>
          <w:rFonts w:ascii="Arial" w:cs="Arial" w:eastAsia="Arial" w:hAnsi="Arial"/>
          <w:sz w:val="19"/>
          <w:szCs w:val="19"/>
          <w:color w:val="auto"/>
        </w:rPr>
        <w:t>che</w:t>
        <w:tab/>
        <w:t>indirettamente,</w:t>
      </w:r>
      <w:r>
        <w:rPr>
          <w:sz w:val="20"/>
          <w:szCs w:val="20"/>
          <w:color w:val="auto"/>
        </w:rPr>
        <w:tab/>
      </w:r>
      <w:r>
        <w:rPr>
          <w:rFonts w:ascii="Arial" w:cs="Arial" w:eastAsia="Arial" w:hAnsi="Arial"/>
          <w:sz w:val="18"/>
          <w:szCs w:val="18"/>
          <w:color w:val="auto"/>
        </w:rPr>
        <w:t>relazioni</w:t>
      </w:r>
    </w:p>
    <w:p>
      <w:pPr>
        <w:ind w:left="1540"/>
        <w:spacing w:after="0"/>
        <w:tabs>
          <w:tab w:leader="none" w:pos="2820" w:val="left"/>
          <w:tab w:leader="none" w:pos="3420" w:val="left"/>
        </w:tabs>
        <w:rPr>
          <w:sz w:val="20"/>
          <w:szCs w:val="20"/>
          <w:color w:val="auto"/>
        </w:rPr>
      </w:pPr>
      <w:r>
        <w:rPr>
          <w:rFonts w:ascii="Arial" w:cs="Arial" w:eastAsia="Arial" w:hAnsi="Arial"/>
          <w:sz w:val="19"/>
          <w:szCs w:val="19"/>
          <w:color w:val="auto"/>
        </w:rPr>
        <w:t>commerciali</w:t>
        <w:tab/>
        <w:t>con</w:t>
      </w:r>
      <w:r>
        <w:rPr>
          <w:sz w:val="20"/>
          <w:szCs w:val="20"/>
          <w:color w:val="auto"/>
        </w:rPr>
        <w:tab/>
      </w:r>
      <w:r>
        <w:rPr>
          <w:rFonts w:ascii="Arial" w:cs="Arial" w:eastAsia="Arial" w:hAnsi="Arial"/>
          <w:sz w:val="18"/>
          <w:szCs w:val="18"/>
          <w:color w:val="auto"/>
        </w:rPr>
        <w:t>persone,</w:t>
      </w:r>
    </w:p>
    <w:p>
      <w:pPr>
        <w:ind w:left="1540"/>
        <w:spacing w:after="0" w:line="237" w:lineRule="auto"/>
        <w:tabs>
          <w:tab w:leader="none" w:pos="3060" w:val="left"/>
        </w:tabs>
        <w:rPr>
          <w:sz w:val="20"/>
          <w:szCs w:val="20"/>
          <w:color w:val="auto"/>
        </w:rPr>
      </w:pPr>
      <w:r>
        <w:rPr>
          <w:rFonts w:ascii="Arial" w:cs="Arial" w:eastAsia="Arial" w:hAnsi="Arial"/>
          <w:sz w:val="19"/>
          <w:szCs w:val="19"/>
          <w:color w:val="auto"/>
        </w:rPr>
        <w:t>clienti,</w:t>
      </w:r>
      <w:r>
        <w:rPr>
          <w:sz w:val="20"/>
          <w:szCs w:val="20"/>
          <w:color w:val="auto"/>
        </w:rPr>
        <w:tab/>
      </w:r>
      <w:r>
        <w:rPr>
          <w:rFonts w:ascii="Arial" w:cs="Arial" w:eastAsia="Arial" w:hAnsi="Arial"/>
          <w:sz w:val="19"/>
          <w:szCs w:val="19"/>
          <w:color w:val="auto"/>
        </w:rPr>
        <w:t>collaboratori,</w:t>
      </w:r>
    </w:p>
    <w:p>
      <w:pPr>
        <w:ind w:left="1540"/>
        <w:spacing w:after="0" w:line="238" w:lineRule="auto"/>
        <w:rPr>
          <w:sz w:val="20"/>
          <w:szCs w:val="20"/>
          <w:color w:val="auto"/>
        </w:rPr>
      </w:pPr>
      <w:r>
        <w:rPr>
          <w:rFonts w:ascii="Arial" w:cs="Arial" w:eastAsia="Arial" w:hAnsi="Arial"/>
          <w:sz w:val="19"/>
          <w:szCs w:val="19"/>
          <w:color w:val="auto"/>
        </w:rPr>
        <w:t>organizzazioni o società con le</w:t>
      </w:r>
    </w:p>
    <w:p>
      <w:pPr>
        <w:ind w:left="1540"/>
        <w:spacing w:after="0" w:line="237" w:lineRule="auto"/>
        <w:rPr>
          <w:sz w:val="20"/>
          <w:szCs w:val="20"/>
          <w:color w:val="auto"/>
        </w:rPr>
      </w:pPr>
      <w:r>
        <w:rPr>
          <w:rFonts w:ascii="Arial" w:cs="Arial" w:eastAsia="Arial" w:hAnsi="Arial"/>
          <w:sz w:val="19"/>
          <w:szCs w:val="19"/>
          <w:color w:val="auto"/>
        </w:rPr>
        <w:t>quali la Società o le Società del</w:t>
      </w:r>
    </w:p>
    <w:p>
      <w:pPr>
        <w:ind w:left="1540"/>
        <w:spacing w:after="0"/>
        <w:tabs>
          <w:tab w:leader="none" w:pos="2340" w:val="left"/>
          <w:tab w:leader="none" w:pos="3220" w:val="left"/>
        </w:tabs>
        <w:rPr>
          <w:sz w:val="20"/>
          <w:szCs w:val="20"/>
          <w:color w:val="auto"/>
        </w:rPr>
      </w:pPr>
      <w:r>
        <w:rPr>
          <w:rFonts w:ascii="Arial" w:cs="Arial" w:eastAsia="Arial" w:hAnsi="Arial"/>
          <w:sz w:val="19"/>
          <w:szCs w:val="19"/>
          <w:color w:val="auto"/>
        </w:rPr>
        <w:t>Gruppo</w:t>
        <w:tab/>
        <w:t>abbiano</w:t>
      </w:r>
      <w:r>
        <w:rPr>
          <w:sz w:val="20"/>
          <w:szCs w:val="20"/>
          <w:color w:val="auto"/>
        </w:rPr>
        <w:tab/>
      </w:r>
      <w:r>
        <w:rPr>
          <w:rFonts w:ascii="Arial" w:cs="Arial" w:eastAsia="Arial" w:hAnsi="Arial"/>
          <w:sz w:val="18"/>
          <w:szCs w:val="18"/>
          <w:color w:val="auto"/>
        </w:rPr>
        <w:t>intrattenuto</w:t>
      </w:r>
    </w:p>
    <w:p>
      <w:pPr>
        <w:ind w:left="1540"/>
        <w:spacing w:after="0" w:line="237" w:lineRule="auto"/>
        <w:rPr>
          <w:sz w:val="20"/>
          <w:szCs w:val="20"/>
          <w:color w:val="auto"/>
        </w:rPr>
      </w:pPr>
      <w:r>
        <w:rPr>
          <w:rFonts w:ascii="Arial" w:cs="Arial" w:eastAsia="Arial" w:hAnsi="Arial"/>
          <w:sz w:val="19"/>
          <w:szCs w:val="19"/>
          <w:color w:val="auto"/>
        </w:rPr>
        <w:t>relazioni commerciali durante i</w:t>
      </w:r>
    </w:p>
    <w:p>
      <w:pPr>
        <w:ind w:left="1540"/>
        <w:spacing w:after="0" w:line="238" w:lineRule="auto"/>
        <w:tabs>
          <w:tab w:leader="none" w:pos="2140" w:val="left"/>
          <w:tab w:leader="none" w:pos="2820" w:val="left"/>
          <w:tab w:leader="none" w:pos="4000" w:val="left"/>
        </w:tabs>
        <w:rPr>
          <w:sz w:val="20"/>
          <w:szCs w:val="20"/>
          <w:color w:val="auto"/>
        </w:rPr>
      </w:pPr>
      <w:r>
        <w:rPr>
          <w:rFonts w:ascii="Arial" w:cs="Arial" w:eastAsia="Arial" w:hAnsi="Arial"/>
          <w:sz w:val="19"/>
          <w:szCs w:val="19"/>
          <w:color w:val="auto"/>
        </w:rPr>
        <w:t>due</w:t>
        <w:tab/>
        <w:t>anni</w:t>
      </w:r>
      <w:r>
        <w:rPr>
          <w:sz w:val="20"/>
          <w:szCs w:val="20"/>
          <w:color w:val="auto"/>
        </w:rPr>
        <w:tab/>
      </w:r>
      <w:r>
        <w:rPr>
          <w:rFonts w:ascii="Arial" w:cs="Arial" w:eastAsia="Arial" w:hAnsi="Arial"/>
          <w:sz w:val="19"/>
          <w:szCs w:val="19"/>
          <w:color w:val="auto"/>
        </w:rPr>
        <w:t>precedenti</w:t>
        <w:tab/>
        <w:t>la</w:t>
      </w:r>
    </w:p>
    <w:p>
      <w:pPr>
        <w:ind w:left="1540"/>
        <w:spacing w:after="0"/>
        <w:rPr>
          <w:sz w:val="20"/>
          <w:szCs w:val="20"/>
          <w:color w:val="auto"/>
        </w:rPr>
      </w:pPr>
      <w:r>
        <w:rPr>
          <w:rFonts w:ascii="Arial" w:cs="Arial" w:eastAsia="Arial" w:hAnsi="Arial"/>
          <w:sz w:val="19"/>
          <w:szCs w:val="19"/>
          <w:color w:val="auto"/>
        </w:rPr>
        <w:t>cessazione del suo rapporto;</w:t>
      </w:r>
    </w:p>
    <w:p>
      <w:pPr>
        <w:spacing w:after="0" w:line="169" w:lineRule="exact"/>
        <w:rPr>
          <w:sz w:val="20"/>
          <w:szCs w:val="20"/>
          <w:color w:val="auto"/>
        </w:rPr>
      </w:pPr>
    </w:p>
    <w:p>
      <w:pPr>
        <w:jc w:val="both"/>
        <w:ind w:left="1540" w:right="718" w:hanging="639"/>
        <w:spacing w:after="0" w:line="243" w:lineRule="auto"/>
        <w:tabs>
          <w:tab w:leader="none" w:pos="152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sollecitare o tentare di sollecitare, direttamente o indirettamente,:</w:t>
      </w:r>
    </w:p>
    <w:p>
      <w:pPr>
        <w:spacing w:after="0" w:line="2" w:lineRule="exact"/>
        <w:rPr>
          <w:sz w:val="20"/>
          <w:szCs w:val="20"/>
          <w:color w:val="auto"/>
        </w:rPr>
      </w:pPr>
    </w:p>
    <w:p>
      <w:pPr>
        <w:ind w:left="1540" w:right="798" w:firstLine="4"/>
        <w:spacing w:after="0" w:line="244" w:lineRule="auto"/>
        <w:tabs>
          <w:tab w:leader="none" w:pos="1823"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alcun cliente della Società con il quale ha avuto contatti o ha</w:t>
      </w:r>
    </w:p>
    <w:p>
      <w:pPr>
        <w:spacing w:after="0" w:line="20" w:lineRule="exact"/>
        <w:rPr>
          <w:sz w:val="20"/>
          <w:szCs w:val="20"/>
          <w:color w:val="auto"/>
        </w:rPr>
      </w:pPr>
      <w:r>
        <w:rPr>
          <w:sz w:val="20"/>
          <w:szCs w:val="20"/>
          <w:color w:val="auto"/>
        </w:rPr>
        <w:br w:type="column"/>
      </w:r>
    </w:p>
    <w:p>
      <w:pPr>
        <w:ind w:left="122" w:hanging="121"/>
        <w:spacing w:after="0"/>
        <w:tabs>
          <w:tab w:leader="none" w:pos="1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the territory of EU and the UK</w:t>
      </w:r>
    </w:p>
    <w:p>
      <w:pPr>
        <w:spacing w:after="0" w:line="27" w:lineRule="exact"/>
        <w:rPr>
          <w:rFonts w:ascii="Arial" w:cs="Arial" w:eastAsia="Arial" w:hAnsi="Arial"/>
          <w:sz w:val="18"/>
          <w:szCs w:val="18"/>
          <w:color w:val="auto"/>
        </w:rPr>
      </w:pPr>
    </w:p>
    <w:p>
      <w:pPr>
        <w:ind w:left="122" w:hanging="121"/>
        <w:spacing w:after="0"/>
        <w:tabs>
          <w:tab w:leader="none" w:pos="122"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of the following activities:</w:t>
      </w:r>
    </w:p>
    <w:p>
      <w:pPr>
        <w:spacing w:after="0" w:line="169" w:lineRule="exact"/>
        <w:rPr>
          <w:sz w:val="20"/>
          <w:szCs w:val="20"/>
          <w:color w:val="auto"/>
        </w:rPr>
      </w:pPr>
    </w:p>
    <w:p>
      <w:pPr>
        <w:jc w:val="both"/>
        <w:ind w:left="602" w:right="279" w:hanging="602"/>
        <w:spacing w:after="0" w:line="241" w:lineRule="auto"/>
        <w:tabs>
          <w:tab w:leader="none" w:pos="602"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work for or be involved with, in any manner, directly or indirectly and whether paid or unpaid, any person, organization or company</w:t>
      </w:r>
    </w:p>
    <w:p>
      <w:pPr>
        <w:spacing w:after="0" w:line="1" w:lineRule="exact"/>
        <w:rPr>
          <w:rFonts w:ascii="Arial" w:cs="Arial" w:eastAsia="Arial" w:hAnsi="Arial"/>
          <w:sz w:val="19"/>
          <w:szCs w:val="19"/>
          <w:color w:val="auto"/>
        </w:rPr>
      </w:pPr>
    </w:p>
    <w:p>
      <w:pPr>
        <w:jc w:val="both"/>
        <w:ind w:left="602" w:right="279"/>
        <w:spacing w:after="0" w:line="238" w:lineRule="auto"/>
        <w:rPr>
          <w:rFonts w:ascii="Arial" w:cs="Arial" w:eastAsia="Arial" w:hAnsi="Arial"/>
          <w:sz w:val="19"/>
          <w:szCs w:val="19"/>
          <w:color w:val="auto"/>
        </w:rPr>
      </w:pPr>
      <w:r>
        <w:rPr>
          <w:rFonts w:ascii="Arial" w:cs="Arial" w:eastAsia="Arial" w:hAnsi="Arial"/>
          <w:sz w:val="19"/>
          <w:szCs w:val="19"/>
          <w:color w:val="auto"/>
        </w:rPr>
        <w:t>pursuing Competitive Business Activity with or similar or related activities to that of the Company and/or the Group Companies and, in particular, which develop and/or distribute products and services similar to those developed/ distributed by the Company and/or Group Companies and/or whose business conflicts with the business interests of the Company and/or of any other Group Companies or to have or take any interest in such person, organization or company;</w:t>
      </w:r>
    </w:p>
    <w:p>
      <w:pPr>
        <w:spacing w:after="0" w:line="159" w:lineRule="exact"/>
        <w:rPr>
          <w:rFonts w:ascii="Arial" w:cs="Arial" w:eastAsia="Arial" w:hAnsi="Arial"/>
          <w:sz w:val="19"/>
          <w:szCs w:val="19"/>
          <w:color w:val="auto"/>
        </w:rPr>
      </w:pPr>
    </w:p>
    <w:p>
      <w:pPr>
        <w:jc w:val="both"/>
        <w:ind w:left="602" w:right="279" w:hanging="602"/>
        <w:spacing w:after="0" w:line="243" w:lineRule="auto"/>
        <w:tabs>
          <w:tab w:leader="none" w:pos="602"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set up, directly or indirectly, either alone or jointly, with or on behalf of others, a rival</w:t>
      </w:r>
    </w:p>
    <w:p>
      <w:pPr>
        <w:spacing w:after="0" w:line="2" w:lineRule="exact"/>
        <w:rPr>
          <w:rFonts w:ascii="Arial" w:cs="Arial" w:eastAsia="Arial" w:hAnsi="Arial"/>
          <w:sz w:val="19"/>
          <w:szCs w:val="19"/>
          <w:color w:val="auto"/>
        </w:rPr>
      </w:pPr>
    </w:p>
    <w:p>
      <w:pPr>
        <w:jc w:val="both"/>
        <w:ind w:left="602" w:right="279"/>
        <w:spacing w:after="0" w:line="239" w:lineRule="auto"/>
        <w:rPr>
          <w:rFonts w:ascii="Arial" w:cs="Arial" w:eastAsia="Arial" w:hAnsi="Arial"/>
          <w:sz w:val="19"/>
          <w:szCs w:val="19"/>
          <w:color w:val="auto"/>
        </w:rPr>
      </w:pPr>
      <w:r>
        <w:rPr>
          <w:rFonts w:ascii="Arial" w:cs="Arial" w:eastAsia="Arial" w:hAnsi="Arial"/>
          <w:sz w:val="19"/>
          <w:szCs w:val="19"/>
          <w:color w:val="auto"/>
        </w:rPr>
        <w:t>business/ Competitive Business Activity in relation to the Company or of any other of the Group Companies or to join as employee, consultant, agent or whatsoever, a competitor of the Company or of any other of the Group Companies;</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left="602" w:right="279" w:hanging="602"/>
        <w:spacing w:after="0" w:line="247" w:lineRule="auto"/>
        <w:tabs>
          <w:tab w:leader="none" w:pos="602"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maintain in any manner whatsoever, whether directly</w:t>
      </w:r>
    </w:p>
    <w:p>
      <w:pPr>
        <w:jc w:val="both"/>
        <w:ind w:left="602" w:right="279"/>
        <w:spacing w:after="0" w:line="237" w:lineRule="auto"/>
        <w:rPr>
          <w:rFonts w:ascii="Arial" w:cs="Arial" w:eastAsia="Arial" w:hAnsi="Arial"/>
          <w:sz w:val="19"/>
          <w:szCs w:val="19"/>
          <w:color w:val="auto"/>
        </w:rPr>
      </w:pPr>
      <w:r>
        <w:rPr>
          <w:rFonts w:ascii="Arial" w:cs="Arial" w:eastAsia="Arial" w:hAnsi="Arial"/>
          <w:sz w:val="19"/>
          <w:szCs w:val="19"/>
          <w:color w:val="auto"/>
        </w:rPr>
        <w:t>or indirectly, business contacts with any person,</w:t>
      </w:r>
    </w:p>
    <w:p>
      <w:pPr>
        <w:jc w:val="both"/>
        <w:ind w:left="602" w:right="279"/>
        <w:spacing w:after="0" w:line="237" w:lineRule="auto"/>
        <w:rPr>
          <w:rFonts w:ascii="Arial" w:cs="Arial" w:eastAsia="Arial" w:hAnsi="Arial"/>
          <w:sz w:val="19"/>
          <w:szCs w:val="19"/>
          <w:color w:val="auto"/>
        </w:rPr>
      </w:pPr>
      <w:r>
        <w:rPr>
          <w:rFonts w:ascii="Arial" w:cs="Arial" w:eastAsia="Arial" w:hAnsi="Arial"/>
          <w:sz w:val="19"/>
          <w:szCs w:val="19"/>
          <w:color w:val="auto"/>
        </w:rPr>
        <w:t>customer, merchant, organization or company with whom the Company or any other of the Group Companies had any business contacts during the last two</w:t>
      </w:r>
    </w:p>
    <w:p>
      <w:pPr>
        <w:spacing w:after="0" w:line="1" w:lineRule="exact"/>
        <w:rPr>
          <w:rFonts w:ascii="Arial" w:cs="Arial" w:eastAsia="Arial" w:hAnsi="Arial"/>
          <w:sz w:val="19"/>
          <w:szCs w:val="19"/>
          <w:color w:val="auto"/>
        </w:rPr>
      </w:pPr>
    </w:p>
    <w:p>
      <w:pPr>
        <w:jc w:val="both"/>
        <w:ind w:left="602" w:right="279"/>
        <w:spacing w:after="0" w:line="244" w:lineRule="auto"/>
        <w:rPr>
          <w:rFonts w:ascii="Arial" w:cs="Arial" w:eastAsia="Arial" w:hAnsi="Arial"/>
          <w:sz w:val="19"/>
          <w:szCs w:val="19"/>
          <w:color w:val="auto"/>
        </w:rPr>
      </w:pPr>
      <w:r>
        <w:rPr>
          <w:rFonts w:ascii="Arial" w:cs="Arial" w:eastAsia="Arial" w:hAnsi="Arial"/>
          <w:sz w:val="19"/>
          <w:szCs w:val="19"/>
          <w:color w:val="auto"/>
        </w:rPr>
        <w:t>years preceding the termination of the your employment;</w:t>
      </w:r>
    </w:p>
    <w:p>
      <w:pPr>
        <w:spacing w:after="0" w:line="152" w:lineRule="exact"/>
        <w:rPr>
          <w:rFonts w:ascii="Arial" w:cs="Arial" w:eastAsia="Arial" w:hAnsi="Arial"/>
          <w:sz w:val="19"/>
          <w:szCs w:val="19"/>
          <w:color w:val="auto"/>
        </w:rPr>
      </w:pPr>
    </w:p>
    <w:p>
      <w:pPr>
        <w:jc w:val="both"/>
        <w:ind w:left="602" w:right="279" w:hanging="602"/>
        <w:spacing w:after="0" w:line="242" w:lineRule="auto"/>
        <w:tabs>
          <w:tab w:leader="none" w:pos="602" w:val="left"/>
        </w:tabs>
        <w:numPr>
          <w:ilvl w:val="0"/>
          <w:numId w:val="51"/>
        </w:numPr>
        <w:rPr>
          <w:rFonts w:ascii="Arial" w:cs="Arial" w:eastAsia="Arial" w:hAnsi="Arial"/>
          <w:sz w:val="19"/>
          <w:szCs w:val="19"/>
          <w:color w:val="auto"/>
        </w:rPr>
      </w:pPr>
      <w:r>
        <w:rPr>
          <w:rFonts w:ascii="Arial" w:cs="Arial" w:eastAsia="Arial" w:hAnsi="Arial"/>
          <w:sz w:val="19"/>
          <w:szCs w:val="19"/>
          <w:color w:val="auto"/>
        </w:rPr>
        <w:t>should not directly or indirectly, solicit or attempt to solicit: (a) any of the Company’s customers with whom he has had contact, dealt with (e.g. directly or actively supervised dealings with), or (b) any of the</w:t>
      </w:r>
    </w:p>
    <w:p>
      <w:pPr>
        <w:sectPr>
          <w:pgSz w:w="11900" w:h="16838" w:orient="portrait"/>
          <w:cols w:equalWidth="0" w:num="2">
            <w:col w:w="4898" w:space="720"/>
            <w:col w:w="3401"/>
          </w:cols>
          <w:pgMar w:left="1440" w:top="963" w:right="1440" w:bottom="1440" w:gutter="0" w:footer="0" w:header="0"/>
        </w:sectPr>
      </w:pPr>
    </w:p>
    <w:bookmarkStart w:id="77" w:name="page78"/>
    <w:bookmarkEnd w:id="77"/>
    <w:p>
      <w:pPr>
        <w:ind w:left="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8" w:name="page79"/>
    <w:bookmarkEnd w:id="78"/>
    <w:p>
      <w:pPr>
        <w:spacing w:after="0" w:line="189" w:lineRule="exact"/>
        <w:rPr>
          <w:sz w:val="20"/>
          <w:szCs w:val="20"/>
          <w:color w:val="auto"/>
        </w:rPr>
      </w:pPr>
    </w:p>
    <w:p>
      <w:pPr>
        <w:ind w:left="1420"/>
        <w:spacing w:after="0"/>
        <w:tabs>
          <w:tab w:leader="none" w:pos="2960" w:val="left"/>
        </w:tabs>
        <w:rPr>
          <w:sz w:val="20"/>
          <w:szCs w:val="20"/>
          <w:color w:val="auto"/>
        </w:rPr>
      </w:pPr>
      <w:r>
        <w:rPr>
          <w:rFonts w:ascii="Arial" w:cs="Arial" w:eastAsia="Arial" w:hAnsi="Arial"/>
          <w:sz w:val="19"/>
          <w:szCs w:val="19"/>
          <w:color w:val="auto"/>
        </w:rPr>
        <w:t>Company’s</w:t>
      </w:r>
      <w:r>
        <w:rPr>
          <w:sz w:val="20"/>
          <w:szCs w:val="20"/>
          <w:color w:val="auto"/>
        </w:rPr>
        <w:tab/>
      </w:r>
      <w:r>
        <w:rPr>
          <w:rFonts w:ascii="Arial" w:cs="Arial" w:eastAsia="Arial" w:hAnsi="Arial"/>
          <w:sz w:val="19"/>
          <w:szCs w:val="19"/>
          <w:color w:val="auto"/>
        </w:rPr>
        <w:t>prospective</w:t>
      </w:r>
    </w:p>
    <w:p>
      <w:pPr>
        <w:spacing w:after="0" w:line="13" w:lineRule="exact"/>
        <w:rPr>
          <w:sz w:val="20"/>
          <w:szCs w:val="20"/>
          <w:color w:val="auto"/>
        </w:rPr>
      </w:pPr>
    </w:p>
    <w:p>
      <w:pPr>
        <w:ind w:left="1420"/>
        <w:spacing w:after="0"/>
        <w:tabs>
          <w:tab w:leader="none" w:pos="2580" w:val="left"/>
          <w:tab w:leader="none" w:pos="3720" w:val="left"/>
        </w:tabs>
        <w:rPr>
          <w:sz w:val="20"/>
          <w:szCs w:val="20"/>
          <w:color w:val="auto"/>
        </w:rPr>
      </w:pPr>
      <w:r>
        <w:rPr>
          <w:rFonts w:ascii="Arial" w:cs="Arial" w:eastAsia="Arial" w:hAnsi="Arial"/>
          <w:sz w:val="19"/>
          <w:szCs w:val="19"/>
          <w:color w:val="auto"/>
        </w:rPr>
        <w:t>customers</w:t>
        <w:tab/>
        <w:t>(prospect)</w:t>
      </w:r>
      <w:r>
        <w:rPr>
          <w:sz w:val="20"/>
          <w:szCs w:val="20"/>
          <w:color w:val="auto"/>
        </w:rPr>
        <w:tab/>
      </w:r>
      <w:r>
        <w:rPr>
          <w:rFonts w:ascii="Arial" w:cs="Arial" w:eastAsia="Arial" w:hAnsi="Arial"/>
          <w:sz w:val="18"/>
          <w:szCs w:val="18"/>
          <w:color w:val="auto"/>
        </w:rPr>
        <w:t>for</w:t>
      </w:r>
    </w:p>
    <w:p>
      <w:pPr>
        <w:ind w:left="1420"/>
        <w:spacing w:after="0" w:line="237" w:lineRule="auto"/>
        <w:rPr>
          <w:sz w:val="20"/>
          <w:szCs w:val="20"/>
          <w:color w:val="auto"/>
        </w:rPr>
      </w:pPr>
      <w:r>
        <w:rPr>
          <w:rFonts w:ascii="Arial" w:cs="Arial" w:eastAsia="Arial" w:hAnsi="Arial"/>
          <w:sz w:val="19"/>
          <w:szCs w:val="19"/>
          <w:color w:val="auto"/>
        </w:rPr>
        <w:t>whom he has made a formal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-104775</wp:posOffset>
            </wp:positionV>
            <wp:extent cx="8255" cy="79806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255" cy="7980680"/>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-104775</wp:posOffset>
            </wp:positionV>
            <wp:extent cx="8890" cy="79806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890" cy="7980680"/>
                    </a:xfrm>
                    <a:prstGeom prst="rect">
                      <a:avLst/>
                    </a:prstGeom>
                    <a:noFill/>
                  </pic:spPr>
                </pic:pic>
              </a:graphicData>
            </a:graphic>
          </wp:anchor>
        </w:drawing>
      </w:r>
    </w:p>
    <w:p>
      <w:pPr>
        <w:ind w:left="1420"/>
        <w:spacing w:after="0"/>
        <w:tabs>
          <w:tab w:leader="none" w:pos="2960" w:val="left"/>
          <w:tab w:leader="none" w:pos="3640" w:val="left"/>
        </w:tabs>
        <w:rPr>
          <w:sz w:val="20"/>
          <w:szCs w:val="20"/>
          <w:color w:val="auto"/>
        </w:rPr>
      </w:pPr>
      <w:r>
        <w:rPr>
          <w:rFonts w:ascii="Arial" w:cs="Arial" w:eastAsia="Arial" w:hAnsi="Arial"/>
          <w:sz w:val="19"/>
          <w:szCs w:val="19"/>
          <w:color w:val="auto"/>
        </w:rPr>
        <w:t>presentation</w:t>
      </w:r>
      <w:r>
        <w:rPr>
          <w:sz w:val="20"/>
          <w:szCs w:val="20"/>
          <w:color w:val="auto"/>
        </w:rPr>
        <w:tab/>
      </w:r>
      <w:r>
        <w:rPr>
          <w:rFonts w:ascii="Arial" w:cs="Arial" w:eastAsia="Arial" w:hAnsi="Arial"/>
          <w:sz w:val="19"/>
          <w:szCs w:val="19"/>
          <w:color w:val="auto"/>
        </w:rPr>
        <w:t>or</w:t>
      </w:r>
      <w:r>
        <w:rPr>
          <w:sz w:val="20"/>
          <w:szCs w:val="20"/>
          <w:color w:val="auto"/>
        </w:rPr>
        <w:tab/>
      </w:r>
      <w:r>
        <w:rPr>
          <w:rFonts w:ascii="Arial" w:cs="Arial" w:eastAsia="Arial" w:hAnsi="Arial"/>
          <w:sz w:val="18"/>
          <w:szCs w:val="18"/>
          <w:color w:val="auto"/>
        </w:rPr>
        <w:t>has</w:t>
      </w:r>
    </w:p>
    <w:p>
      <w:pPr>
        <w:ind w:left="1420"/>
        <w:spacing w:after="0"/>
        <w:tabs>
          <w:tab w:leader="none" w:pos="2800" w:val="left"/>
          <w:tab w:leader="none" w:pos="3400" w:val="left"/>
        </w:tabs>
        <w:rPr>
          <w:sz w:val="20"/>
          <w:szCs w:val="20"/>
          <w:color w:val="auto"/>
        </w:rPr>
      </w:pPr>
      <w:r>
        <w:rPr>
          <w:rFonts w:ascii="Arial" w:cs="Arial" w:eastAsia="Arial" w:hAnsi="Arial"/>
          <w:sz w:val="19"/>
          <w:szCs w:val="19"/>
          <w:color w:val="auto"/>
        </w:rPr>
        <w:t>supervised</w:t>
      </w:r>
      <w:r>
        <w:rPr>
          <w:sz w:val="20"/>
          <w:szCs w:val="20"/>
          <w:color w:val="auto"/>
        </w:rPr>
        <w:tab/>
      </w:r>
      <w:r>
        <w:rPr>
          <w:rFonts w:ascii="Arial" w:cs="Arial" w:eastAsia="Arial" w:hAnsi="Arial"/>
          <w:sz w:val="19"/>
          <w:szCs w:val="19"/>
          <w:color w:val="auto"/>
        </w:rPr>
        <w:t>a</w:t>
      </w:r>
      <w:r>
        <w:rPr>
          <w:sz w:val="20"/>
          <w:szCs w:val="20"/>
          <w:color w:val="auto"/>
        </w:rPr>
        <w:tab/>
      </w:r>
      <w:r>
        <w:rPr>
          <w:rFonts w:ascii="Arial" w:cs="Arial" w:eastAsia="Arial" w:hAnsi="Arial"/>
          <w:sz w:val="18"/>
          <w:szCs w:val="18"/>
          <w:color w:val="auto"/>
        </w:rPr>
        <w:t>formal</w:t>
      </w:r>
    </w:p>
    <w:p>
      <w:pPr>
        <w:spacing w:after="0" w:line="61"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avuto a che fare (ad esempio,</w:t>
      </w:r>
    </w:p>
    <w:p>
      <w:pPr>
        <w:spacing w:after="0" w:line="13"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soprintendendo, direttamente o</w:t>
      </w:r>
    </w:p>
    <w:p>
      <w:pPr>
        <w:ind w:left="1540"/>
        <w:spacing w:after="0" w:line="237" w:lineRule="auto"/>
        <w:rPr>
          <w:sz w:val="20"/>
          <w:szCs w:val="20"/>
          <w:color w:val="auto"/>
        </w:rPr>
      </w:pPr>
      <w:r>
        <w:rPr>
          <w:rFonts w:ascii="Arial" w:cs="Arial" w:eastAsia="Arial" w:hAnsi="Arial"/>
          <w:sz w:val="19"/>
          <w:szCs w:val="19"/>
          <w:color w:val="auto"/>
        </w:rPr>
        <w:t>attivamente, i rapporti), o (b)</w:t>
      </w:r>
    </w:p>
    <w:p>
      <w:pPr>
        <w:ind w:left="1540"/>
        <w:spacing w:after="0" w:line="237" w:lineRule="auto"/>
        <w:rPr>
          <w:sz w:val="20"/>
          <w:szCs w:val="20"/>
          <w:color w:val="auto"/>
        </w:rPr>
      </w:pPr>
      <w:r>
        <w:rPr>
          <w:rFonts w:ascii="Arial" w:cs="Arial" w:eastAsia="Arial" w:hAnsi="Arial"/>
          <w:sz w:val="19"/>
          <w:szCs w:val="19"/>
          <w:color w:val="auto"/>
        </w:rPr>
        <w:t>alcun potenziale cliente della</w:t>
      </w:r>
    </w:p>
    <w:p>
      <w:pPr>
        <w:ind w:left="1540"/>
        <w:spacing w:after="0" w:line="237" w:lineRule="auto"/>
        <w:rPr>
          <w:sz w:val="20"/>
          <w:szCs w:val="20"/>
          <w:color w:val="auto"/>
        </w:rPr>
      </w:pPr>
      <w:r>
        <w:rPr>
          <w:rFonts w:ascii="Arial" w:cs="Arial" w:eastAsia="Arial" w:hAnsi="Arial"/>
          <w:sz w:val="19"/>
          <w:szCs w:val="19"/>
          <w:color w:val="auto"/>
        </w:rPr>
        <w:t>Società (</w:t>
      </w:r>
      <w:r>
        <w:rPr>
          <w:rFonts w:ascii="Arial" w:cs="Arial" w:eastAsia="Arial" w:hAnsi="Arial"/>
          <w:sz w:val="19"/>
          <w:szCs w:val="19"/>
          <w:i w:val="1"/>
          <w:iCs w:val="1"/>
          <w:color w:val="auto"/>
        </w:rPr>
        <w:t>prospect</w:t>
      </w:r>
      <w:r>
        <w:rPr>
          <w:rFonts w:ascii="Arial" w:cs="Arial" w:eastAsia="Arial" w:hAnsi="Arial"/>
          <w:sz w:val="19"/>
          <w:szCs w:val="19"/>
          <w:color w:val="auto"/>
        </w:rPr>
        <w:t>), per il quale</w:t>
      </w:r>
    </w:p>
    <w:p>
      <w:pPr>
        <w:ind w:left="1540"/>
        <w:spacing w:after="0" w:line="238" w:lineRule="auto"/>
        <w:tabs>
          <w:tab w:leader="none" w:pos="2400" w:val="left"/>
          <w:tab w:leader="none" w:pos="3840" w:val="left"/>
        </w:tabs>
        <w:rPr>
          <w:sz w:val="20"/>
          <w:szCs w:val="20"/>
          <w:color w:val="auto"/>
        </w:rPr>
      </w:pPr>
      <w:r>
        <w:rPr>
          <w:rFonts w:ascii="Arial" w:cs="Arial" w:eastAsia="Arial" w:hAnsi="Arial"/>
          <w:sz w:val="19"/>
          <w:szCs w:val="19"/>
          <w:color w:val="auto"/>
        </w:rPr>
        <w:t>ha</w:t>
      </w:r>
      <w:r>
        <w:rPr>
          <w:sz w:val="20"/>
          <w:szCs w:val="20"/>
          <w:color w:val="auto"/>
        </w:rPr>
        <w:tab/>
      </w:r>
      <w:r>
        <w:rPr>
          <w:rFonts w:ascii="Arial" w:cs="Arial" w:eastAsia="Arial" w:hAnsi="Arial"/>
          <w:sz w:val="19"/>
          <w:szCs w:val="19"/>
          <w:color w:val="auto"/>
        </w:rPr>
        <w:t>effettuato</w:t>
      </w:r>
      <w:r>
        <w:rPr>
          <w:sz w:val="20"/>
          <w:szCs w:val="20"/>
          <w:color w:val="auto"/>
        </w:rPr>
        <w:tab/>
      </w:r>
      <w:r>
        <w:rPr>
          <w:rFonts w:ascii="Arial" w:cs="Arial" w:eastAsia="Arial" w:hAnsi="Arial"/>
          <w:sz w:val="19"/>
          <w:szCs w:val="19"/>
          <w:color w:val="auto"/>
        </w:rPr>
        <w:t>una</w:t>
      </w:r>
    </w:p>
    <w:p>
      <w:pPr>
        <w:ind w:left="1540"/>
        <w:spacing w:after="0"/>
        <w:tabs>
          <w:tab w:leader="none" w:pos="2880" w:val="left"/>
          <w:tab w:leader="none" w:pos="3680" w:val="left"/>
          <w:tab w:leader="none" w:pos="3940" w:val="left"/>
        </w:tabs>
        <w:rPr>
          <w:sz w:val="20"/>
          <w:szCs w:val="20"/>
          <w:color w:val="auto"/>
        </w:rPr>
      </w:pPr>
      <w:r>
        <w:rPr>
          <w:rFonts w:ascii="Arial" w:cs="Arial" w:eastAsia="Arial" w:hAnsi="Arial"/>
          <w:sz w:val="19"/>
          <w:szCs w:val="19"/>
          <w:color w:val="auto"/>
        </w:rPr>
        <w:t>presentazione</w:t>
        <w:tab/>
        <w:t>ufficiale</w:t>
        <w:tab/>
        <w:t>o</w:t>
      </w:r>
      <w:r>
        <w:rPr>
          <w:sz w:val="20"/>
          <w:szCs w:val="20"/>
          <w:color w:val="auto"/>
        </w:rPr>
        <w:tab/>
      </w:r>
      <w:r>
        <w:rPr>
          <w:rFonts w:ascii="Arial" w:cs="Arial" w:eastAsia="Arial" w:hAnsi="Arial"/>
          <w:sz w:val="17"/>
          <w:szCs w:val="17"/>
          <w:color w:val="auto"/>
        </w:rPr>
        <w:t>ha</w:t>
      </w:r>
    </w:p>
    <w:p>
      <w:pPr>
        <w:ind w:left="1540"/>
        <w:spacing w:after="0"/>
        <w:tabs>
          <w:tab w:leader="none" w:pos="2600" w:val="left"/>
          <w:tab w:leader="none" w:pos="2960" w:val="left"/>
        </w:tabs>
        <w:rPr>
          <w:sz w:val="20"/>
          <w:szCs w:val="20"/>
          <w:color w:val="auto"/>
        </w:rPr>
      </w:pPr>
      <w:r>
        <w:rPr>
          <w:rFonts w:ascii="Arial" w:cs="Arial" w:eastAsia="Arial" w:hAnsi="Arial"/>
          <w:sz w:val="19"/>
          <w:szCs w:val="19"/>
          <w:color w:val="auto"/>
        </w:rPr>
        <w:t>soprinteso</w:t>
        <w:tab/>
        <w:t>la</w:t>
      </w:r>
      <w:r>
        <w:rPr>
          <w:sz w:val="20"/>
          <w:szCs w:val="20"/>
          <w:color w:val="auto"/>
        </w:rPr>
        <w:tab/>
      </w:r>
      <w:r>
        <w:rPr>
          <w:rFonts w:ascii="Arial" w:cs="Arial" w:eastAsia="Arial" w:hAnsi="Arial"/>
          <w:sz w:val="18"/>
          <w:szCs w:val="18"/>
          <w:color w:val="auto"/>
        </w:rPr>
        <w:t>presentazione</w:t>
      </w:r>
    </w:p>
    <w:p>
      <w:pPr>
        <w:ind w:left="1540"/>
        <w:spacing w:after="0" w:line="237" w:lineRule="auto"/>
        <w:rPr>
          <w:sz w:val="20"/>
          <w:szCs w:val="20"/>
          <w:color w:val="auto"/>
        </w:rPr>
      </w:pPr>
      <w:r>
        <w:rPr>
          <w:rFonts w:ascii="Arial" w:cs="Arial" w:eastAsia="Arial" w:hAnsi="Arial"/>
          <w:sz w:val="19"/>
          <w:szCs w:val="19"/>
          <w:color w:val="auto"/>
        </w:rPr>
        <w:t>ufficiale, nel corso degli ultimi</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due (2) anni del suo rapporto di</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lavoro presso la Società, al fine</w:t>
      </w:r>
    </w:p>
    <w:p>
      <w:pPr>
        <w:spacing w:after="0" w:line="7" w:lineRule="exact"/>
        <w:rPr>
          <w:sz w:val="20"/>
          <w:szCs w:val="20"/>
          <w:color w:val="auto"/>
        </w:rPr>
      </w:pPr>
    </w:p>
    <w:p>
      <w:pPr>
        <w:ind w:left="1540"/>
        <w:spacing w:after="0"/>
        <w:tabs>
          <w:tab w:leader="none" w:pos="2120" w:val="left"/>
          <w:tab w:leader="none" w:pos="3580" w:val="left"/>
        </w:tabs>
        <w:rPr>
          <w:sz w:val="20"/>
          <w:szCs w:val="20"/>
          <w:color w:val="auto"/>
        </w:rPr>
      </w:pPr>
      <w:r>
        <w:rPr>
          <w:rFonts w:ascii="Arial" w:cs="Arial" w:eastAsia="Arial" w:hAnsi="Arial"/>
          <w:sz w:val="19"/>
          <w:szCs w:val="19"/>
          <w:color w:val="auto"/>
        </w:rPr>
        <w:t>di</w:t>
      </w:r>
      <w:r>
        <w:rPr>
          <w:sz w:val="20"/>
          <w:szCs w:val="20"/>
          <w:color w:val="auto"/>
        </w:rPr>
        <w:tab/>
      </w:r>
      <w:r>
        <w:rPr>
          <w:rFonts w:ascii="Arial" w:cs="Arial" w:eastAsia="Arial" w:hAnsi="Arial"/>
          <w:sz w:val="19"/>
          <w:szCs w:val="19"/>
          <w:color w:val="auto"/>
        </w:rPr>
        <w:t>promuovere</w:t>
      </w:r>
      <w:r>
        <w:rPr>
          <w:sz w:val="20"/>
          <w:szCs w:val="20"/>
          <w:color w:val="auto"/>
        </w:rPr>
        <w:tab/>
      </w:r>
      <w:r>
        <w:rPr>
          <w:rFonts w:ascii="Arial" w:cs="Arial" w:eastAsia="Arial" w:hAnsi="Arial"/>
          <w:sz w:val="18"/>
          <w:szCs w:val="18"/>
          <w:color w:val="auto"/>
        </w:rPr>
        <w:t>Attività</w:t>
      </w:r>
    </w:p>
    <w:p>
      <w:pPr>
        <w:ind w:left="1540"/>
        <w:spacing w:after="0"/>
        <w:tabs>
          <w:tab w:leader="none" w:pos="2780" w:val="left"/>
        </w:tabs>
        <w:rPr>
          <w:sz w:val="20"/>
          <w:szCs w:val="20"/>
          <w:color w:val="auto"/>
        </w:rPr>
      </w:pPr>
      <w:r>
        <w:rPr>
          <w:rFonts w:ascii="Arial" w:cs="Arial" w:eastAsia="Arial" w:hAnsi="Arial"/>
          <w:sz w:val="19"/>
          <w:szCs w:val="19"/>
          <w:color w:val="auto"/>
        </w:rPr>
        <w:t>d’Impresa</w:t>
      </w:r>
      <w:r>
        <w:rPr>
          <w:sz w:val="20"/>
          <w:szCs w:val="20"/>
          <w:color w:val="auto"/>
        </w:rPr>
        <w:tab/>
      </w:r>
      <w:r>
        <w:rPr>
          <w:rFonts w:ascii="Arial" w:cs="Arial" w:eastAsia="Arial" w:hAnsi="Arial"/>
          <w:sz w:val="19"/>
          <w:szCs w:val="19"/>
          <w:color w:val="auto"/>
        </w:rPr>
        <w:t>in Concorrenza.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Attività d’Impresa in Concorrenza significa:</w:t>
      </w:r>
    </w:p>
    <w:p>
      <w:pPr>
        <w:spacing w:after="0" w:line="200" w:lineRule="exact"/>
        <w:rPr>
          <w:sz w:val="20"/>
          <w:szCs w:val="20"/>
          <w:color w:val="auto"/>
        </w:rPr>
      </w:pPr>
    </w:p>
    <w:p>
      <w:pPr>
        <w:jc w:val="both"/>
        <w:ind w:left="640" w:right="1320" w:hanging="316"/>
        <w:spacing w:after="0" w:line="253" w:lineRule="auto"/>
        <w:tabs>
          <w:tab w:leader="none" w:pos="64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Tutte le interfacce digitali che offrono servizi di prenotazione di ristoranti, takeaway, hotel e locazioni stagionali;</w:t>
      </w:r>
    </w:p>
    <w:p>
      <w:pPr>
        <w:spacing w:after="0" w:line="158" w:lineRule="exact"/>
        <w:rPr>
          <w:rFonts w:ascii="Times New Roman" w:cs="Times New Roman" w:eastAsia="Times New Roman" w:hAnsi="Times New Roman"/>
          <w:sz w:val="19"/>
          <w:szCs w:val="19"/>
          <w:color w:val="auto"/>
        </w:rPr>
      </w:pPr>
    </w:p>
    <w:p>
      <w:pPr>
        <w:jc w:val="both"/>
        <w:ind w:left="640" w:right="1320" w:hanging="316"/>
        <w:spacing w:after="0"/>
        <w:tabs>
          <w:tab w:leader="none" w:pos="10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Tutte le interfacce digitali che offrono Benefits ai consumatori quando usufruiscono di ristoranti, hotel o alloggi in locazione. I Benefits sono rappresentati da qualsiasi forma di valore aggiunto, ad esempio il prezzo oppure un prodotto offerto ai clienti. Tali Benefits includono, a titolo esemplificativo, tutte le forme di coupon, promozioni, prezzi scontati, prodotti gratuiti, ad esempio un aperitivo, oppure un tavolo in posizione particolarmente favorevole;</w:t>
      </w:r>
    </w:p>
    <w:p>
      <w:pPr>
        <w:spacing w:after="0" w:line="158" w:lineRule="exact"/>
        <w:rPr>
          <w:rFonts w:ascii="Times New Roman" w:cs="Times New Roman" w:eastAsia="Times New Roman" w:hAnsi="Times New Roman"/>
          <w:sz w:val="19"/>
          <w:szCs w:val="19"/>
          <w:color w:val="auto"/>
        </w:rPr>
      </w:pPr>
    </w:p>
    <w:p>
      <w:pPr>
        <w:jc w:val="both"/>
        <w:ind w:left="640" w:right="1320" w:hanging="316"/>
        <w:spacing w:after="0" w:line="242" w:lineRule="auto"/>
        <w:tabs>
          <w:tab w:leader="none" w:pos="10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Tutte le interfacce digitali che offrono assistenza nella selezione di ristoranti, hotel, locazioni stagionali, che ricercano informazioni su ristoranti, hotel e locazioni stagionali e mettono in condivisione informazioni su ristoranti, hotel e locazioni stagionali tra i consumatori;</w:t>
      </w:r>
    </w:p>
    <w:p>
      <w:pPr>
        <w:spacing w:after="0" w:line="158" w:lineRule="exact"/>
        <w:rPr>
          <w:rFonts w:ascii="Times New Roman" w:cs="Times New Roman" w:eastAsia="Times New Roman" w:hAnsi="Times New Roman"/>
          <w:sz w:val="19"/>
          <w:szCs w:val="19"/>
          <w:color w:val="auto"/>
        </w:rPr>
      </w:pPr>
    </w:p>
    <w:p>
      <w:pPr>
        <w:jc w:val="both"/>
        <w:ind w:left="640" w:right="1320" w:hanging="316"/>
        <w:spacing w:after="0" w:line="248" w:lineRule="auto"/>
        <w:tabs>
          <w:tab w:leader="none" w:pos="64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Tutte le attività di guida, diffusione e promozione di ristoranti, hotel e locazioni stagionali tramite interfaccia digitale, stampa o altro formato;</w:t>
      </w:r>
    </w:p>
    <w:p>
      <w:pPr>
        <w:spacing w:after="0" w:line="149" w:lineRule="exact"/>
        <w:rPr>
          <w:rFonts w:ascii="Times New Roman" w:cs="Times New Roman" w:eastAsia="Times New Roman" w:hAnsi="Times New Roman"/>
          <w:sz w:val="19"/>
          <w:szCs w:val="19"/>
          <w:color w:val="auto"/>
        </w:rPr>
      </w:pPr>
    </w:p>
    <w:p>
      <w:pPr>
        <w:jc w:val="both"/>
        <w:ind w:left="640" w:right="1320" w:hanging="316"/>
        <w:spacing w:after="0" w:line="245" w:lineRule="auto"/>
        <w:tabs>
          <w:tab w:leader="none" w:pos="106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Tutte le interfacce digitali, i software ed i servizi che permettono a ristoranti, hotel, locazioni stagionali, di gestire i pagamenti della clientela, le prenotazioni e di ottimizzare le specifiche prenotazioni.</w:t>
      </w:r>
    </w:p>
    <w:p>
      <w:pPr>
        <w:spacing w:after="0" w:line="153" w:lineRule="exact"/>
        <w:rPr>
          <w:sz w:val="20"/>
          <w:szCs w:val="20"/>
          <w:color w:val="auto"/>
        </w:rPr>
      </w:pPr>
    </w:p>
    <w:p>
      <w:pPr>
        <w:ind w:left="900" w:right="1440"/>
        <w:spacing w:after="0" w:line="299" w:lineRule="auto"/>
        <w:rPr>
          <w:sz w:val="20"/>
          <w:szCs w:val="20"/>
          <w:color w:val="auto"/>
        </w:rPr>
      </w:pPr>
      <w:r>
        <w:rPr>
          <w:rFonts w:ascii="Arial" w:cs="Arial" w:eastAsia="Arial" w:hAnsi="Arial"/>
          <w:sz w:val="18"/>
          <w:szCs w:val="18"/>
          <w:color w:val="auto"/>
        </w:rPr>
        <w:t>Si conviene che "ristoranti" sono tutti i servizi di catering, che offrono pasti al</w:t>
      </w:r>
    </w:p>
    <w:p>
      <w:pPr>
        <w:spacing w:after="0" w:line="20" w:lineRule="exact"/>
        <w:rPr>
          <w:sz w:val="20"/>
          <w:szCs w:val="20"/>
          <w:color w:val="auto"/>
        </w:rPr>
      </w:pPr>
      <w:r>
        <w:rPr>
          <w:sz w:val="20"/>
          <w:szCs w:val="20"/>
          <w:color w:val="auto"/>
        </w:rPr>
        <w:br w:type="column"/>
      </w:r>
    </w:p>
    <w:p>
      <w:pPr>
        <w:jc w:val="both"/>
        <w:ind w:right="279"/>
        <w:spacing w:after="0" w:line="247" w:lineRule="auto"/>
        <w:rPr>
          <w:sz w:val="20"/>
          <w:szCs w:val="20"/>
          <w:color w:val="auto"/>
        </w:rPr>
      </w:pPr>
      <w:r>
        <w:rPr>
          <w:rFonts w:ascii="Arial" w:cs="Arial" w:eastAsia="Arial" w:hAnsi="Arial"/>
          <w:sz w:val="19"/>
          <w:szCs w:val="19"/>
          <w:color w:val="auto"/>
        </w:rPr>
        <w:t>presentation, during the last two (2) years of his</w:t>
      </w:r>
    </w:p>
    <w:p>
      <w:pPr>
        <w:jc w:val="both"/>
        <w:ind w:right="279"/>
        <w:spacing w:after="0" w:line="245" w:lineRule="auto"/>
        <w:rPr>
          <w:sz w:val="20"/>
          <w:szCs w:val="20"/>
          <w:color w:val="auto"/>
        </w:rPr>
      </w:pPr>
      <w:r>
        <w:rPr>
          <w:rFonts w:ascii="Arial" w:cs="Arial" w:eastAsia="Arial" w:hAnsi="Arial"/>
          <w:sz w:val="19"/>
          <w:szCs w:val="19"/>
          <w:color w:val="auto"/>
        </w:rPr>
        <w:t>employment with the Company, for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-131445</wp:posOffset>
            </wp:positionV>
            <wp:extent cx="8890" cy="79806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890" cy="7980680"/>
                    </a:xfrm>
                    <a:prstGeom prst="rect">
                      <a:avLst/>
                    </a:prstGeom>
                    <a:noFill/>
                  </pic:spPr>
                </pic:pic>
              </a:graphicData>
            </a:graphic>
          </wp:anchor>
        </w:drawing>
      </w:r>
    </w:p>
    <w:p>
      <w:pPr>
        <w:sectPr>
          <w:pgSz w:w="11900" w:h="16838" w:orient="portrait"/>
          <w:cols w:equalWidth="0" w:num="2">
            <w:col w:w="5500" w:space="720"/>
            <w:col w:w="2799"/>
          </w:cols>
          <w:pgMar w:left="1440" w:top="882" w:right="1440" w:bottom="1440" w:gutter="0" w:footer="0" w:header="0"/>
        </w:sectPr>
      </w:pPr>
    </w:p>
    <w:bookmarkStart w:id="79" w:name="page80"/>
    <w:bookmarkEnd w:id="79"/>
    <w:p>
      <w:pPr>
        <w:ind w:left="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80" w:name="page81"/>
    <w:bookmarkEnd w:id="80"/>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148590</wp:posOffset>
            </wp:positionV>
            <wp:extent cx="8255" cy="77323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255" cy="773239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9"/>
          <w:szCs w:val="19"/>
          <w:color w:val="auto"/>
        </w:rPr>
        <w:t>promoting a Competitive</w:t>
      </w:r>
    </w:p>
    <w:p>
      <w:pPr>
        <w:spacing w:after="0" w:line="16"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Business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Competitive Business Activity means:</w:t>
      </w:r>
    </w:p>
    <w:p>
      <w:pPr>
        <w:spacing w:after="0" w:line="214" w:lineRule="exact"/>
        <w:rPr>
          <w:sz w:val="20"/>
          <w:szCs w:val="20"/>
          <w:color w:val="auto"/>
        </w:rPr>
      </w:pPr>
    </w:p>
    <w:p>
      <w:pPr>
        <w:ind w:left="560" w:right="355" w:hanging="314"/>
        <w:spacing w:after="0" w:line="253" w:lineRule="auto"/>
        <w:tabs>
          <w:tab w:leader="none" w:pos="980" w:val="left"/>
        </w:tabs>
        <w:numPr>
          <w:ilvl w:val="0"/>
          <w:numId w:val="53"/>
        </w:numPr>
        <w:rPr>
          <w:rFonts w:ascii="Times New Roman" w:cs="Times New Roman" w:eastAsia="Times New Roman" w:hAnsi="Times New Roman"/>
          <w:sz w:val="19"/>
          <w:szCs w:val="19"/>
          <w:color w:val="auto"/>
        </w:rPr>
      </w:pPr>
      <w:r>
        <w:rPr>
          <w:rFonts w:ascii="Arial" w:cs="Arial" w:eastAsia="Arial" w:hAnsi="Arial"/>
          <w:sz w:val="19"/>
          <w:szCs w:val="19"/>
          <w:color w:val="auto"/>
        </w:rPr>
        <w:t>All digital interfaces offering booking services for restaurants, takeaways, hotels and vacation rentals;</w:t>
      </w:r>
    </w:p>
    <w:p>
      <w:pPr>
        <w:spacing w:after="0" w:line="145" w:lineRule="exact"/>
        <w:rPr>
          <w:rFonts w:ascii="Times New Roman" w:cs="Times New Roman" w:eastAsia="Times New Roman" w:hAnsi="Times New Roman"/>
          <w:sz w:val="19"/>
          <w:szCs w:val="19"/>
          <w:color w:val="auto"/>
        </w:rPr>
      </w:pPr>
    </w:p>
    <w:p>
      <w:pPr>
        <w:ind w:left="560" w:right="355" w:hanging="314"/>
        <w:spacing w:after="0"/>
        <w:tabs>
          <w:tab w:leader="none" w:pos="980" w:val="left"/>
        </w:tabs>
        <w:numPr>
          <w:ilvl w:val="0"/>
          <w:numId w:val="53"/>
        </w:numPr>
        <w:rPr>
          <w:rFonts w:ascii="Times New Roman" w:cs="Times New Roman" w:eastAsia="Times New Roman" w:hAnsi="Times New Roman"/>
          <w:sz w:val="19"/>
          <w:szCs w:val="19"/>
          <w:color w:val="auto"/>
        </w:rPr>
      </w:pPr>
      <w:r>
        <w:rPr>
          <w:rFonts w:ascii="Arial" w:cs="Arial" w:eastAsia="Arial" w:hAnsi="Arial"/>
          <w:sz w:val="19"/>
          <w:szCs w:val="19"/>
          <w:color w:val="auto"/>
        </w:rPr>
        <w:t>All digital interfaces offering consumers Benefits when they go to restaurant and hotels or vacation rentals. Benefits are defined as any form of added value such as price or product offered to customers. These Benefits include, without this list being exhaustive, all forms of coupons, promotions, discount prices, free product such as for instance having a</w:t>
      </w:r>
    </w:p>
    <w:p>
      <w:pPr>
        <w:spacing w:after="0" w:line="69" w:lineRule="exact"/>
        <w:rPr>
          <w:sz w:val="20"/>
          <w:szCs w:val="20"/>
          <w:color w:val="auto"/>
        </w:rPr>
      </w:pPr>
    </w:p>
    <w:p>
      <w:pPr>
        <w:jc w:val="both"/>
        <w:ind w:left="900" w:right="135"/>
        <w:spacing w:after="0" w:line="270" w:lineRule="auto"/>
        <w:rPr>
          <w:sz w:val="20"/>
          <w:szCs w:val="20"/>
          <w:color w:val="auto"/>
        </w:rPr>
      </w:pPr>
      <w:r>
        <w:rPr>
          <w:rFonts w:ascii="Arial" w:cs="Arial" w:eastAsia="Arial" w:hAnsi="Arial"/>
          <w:sz w:val="19"/>
          <w:szCs w:val="19"/>
          <w:color w:val="auto"/>
        </w:rPr>
        <w:t>tavolo, takeaway, fast food o servizi di ristorazione collettiva.</w:t>
      </w:r>
    </w:p>
    <w:p>
      <w:pPr>
        <w:spacing w:after="0" w:line="129" w:lineRule="exact"/>
        <w:rPr>
          <w:sz w:val="20"/>
          <w:szCs w:val="20"/>
          <w:color w:val="auto"/>
        </w:rPr>
      </w:pPr>
    </w:p>
    <w:p>
      <w:pPr>
        <w:jc w:val="both"/>
        <w:ind w:left="900" w:right="135"/>
        <w:spacing w:after="0"/>
        <w:rPr>
          <w:sz w:val="20"/>
          <w:szCs w:val="20"/>
          <w:color w:val="auto"/>
        </w:rPr>
      </w:pPr>
      <w:r>
        <w:rPr>
          <w:rFonts w:ascii="Arial" w:cs="Arial" w:eastAsia="Arial" w:hAnsi="Arial"/>
          <w:sz w:val="19"/>
          <w:szCs w:val="19"/>
          <w:color w:val="auto"/>
        </w:rPr>
        <w:t>Quale corrispettivo per gli obblighi di cui al patto di non concorrenza e divieto di storno a seguito della cessazione (del rapporto di lavoro) di cui al presente paragrafo, la Società si impegna, fin d'ora, a corrisponderLe un importo lordo pari €210,000. Tale compenso verrà corrisposto in 12 rate mensili di pari importo con decorrenza dalla fine del mese successivo alla data di cessazione del rapporto di lavoro.</w:t>
      </w:r>
    </w:p>
    <w:p>
      <w:pPr>
        <w:spacing w:after="0" w:line="159" w:lineRule="exact"/>
        <w:rPr>
          <w:sz w:val="20"/>
          <w:szCs w:val="20"/>
          <w:color w:val="auto"/>
        </w:rPr>
      </w:pPr>
    </w:p>
    <w:p>
      <w:pPr>
        <w:jc w:val="both"/>
        <w:ind w:left="900" w:right="135"/>
        <w:spacing w:after="0" w:line="239" w:lineRule="auto"/>
        <w:rPr>
          <w:sz w:val="20"/>
          <w:szCs w:val="20"/>
          <w:color w:val="auto"/>
        </w:rPr>
      </w:pPr>
      <w:r>
        <w:rPr>
          <w:rFonts w:ascii="Arial" w:cs="Arial" w:eastAsia="Arial" w:hAnsi="Arial"/>
          <w:sz w:val="19"/>
          <w:szCs w:val="19"/>
          <w:color w:val="auto"/>
        </w:rPr>
        <w:t>La Società si riserva il diritto di rinunciare agli obblighi di cui al patto di non concorrenza e divieto di storno a seguito della cessazione (del rapporto di lavoro) di cui al presente paragrafo mediante comunicazione scritta da inviarLe in qualsiasi momento precedente alla data di cessazione del rapporto o entro 15 giorni dalla data di cessazione del rapporto. Nel caso in cui la Società si avvalga di tale facoltà di rinuncia, Lei non sarà tenuto ad adempiere agli obblighi di cui al presente paragrafo e, per l'effetto, la Società non sarà tenuta al pagamento del corrispettivo di cui al presente paragrafo.</w:t>
      </w:r>
    </w:p>
    <w:p>
      <w:pPr>
        <w:spacing w:after="0" w:line="162" w:lineRule="exact"/>
        <w:rPr>
          <w:sz w:val="20"/>
          <w:szCs w:val="20"/>
          <w:color w:val="auto"/>
        </w:rPr>
      </w:pPr>
    </w:p>
    <w:p>
      <w:pPr>
        <w:jc w:val="both"/>
        <w:ind w:left="900" w:right="135"/>
        <w:spacing w:after="0" w:line="242" w:lineRule="auto"/>
        <w:rPr>
          <w:sz w:val="20"/>
          <w:szCs w:val="20"/>
          <w:color w:val="auto"/>
        </w:rPr>
      </w:pPr>
      <w:r>
        <w:rPr>
          <w:rFonts w:ascii="Arial" w:cs="Arial" w:eastAsia="Arial" w:hAnsi="Arial"/>
          <w:sz w:val="19"/>
          <w:szCs w:val="19"/>
          <w:color w:val="auto"/>
        </w:rPr>
        <w:t>In caso di violazione del patto di non concorrenza e del divieto di storno di cui al presente paragrafo, Lei sarà tenuto a restituire alla Società quanto percepito a titolo di corrispettivo per il patto di non concorrenza e divieto di storno successivi alla cessazione (del rapporto di lavoro) e a corrispondere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305" w:right="279"/>
        <w:spacing w:after="0" w:line="270" w:lineRule="auto"/>
        <w:rPr>
          <w:sz w:val="20"/>
          <w:szCs w:val="20"/>
          <w:color w:val="auto"/>
        </w:rPr>
      </w:pPr>
      <w:r>
        <w:rPr>
          <w:rFonts w:ascii="Arial" w:cs="Arial" w:eastAsia="Arial" w:hAnsi="Arial"/>
          <w:sz w:val="19"/>
          <w:szCs w:val="19"/>
          <w:color w:val="auto"/>
        </w:rPr>
        <w:t>free aperitif or being given a table particularly well placed;</w:t>
      </w:r>
    </w:p>
    <w:p>
      <w:pPr>
        <w:spacing w:after="0" w:line="129" w:lineRule="exact"/>
        <w:rPr>
          <w:sz w:val="20"/>
          <w:szCs w:val="20"/>
          <w:color w:val="auto"/>
        </w:rPr>
      </w:pPr>
    </w:p>
    <w:p>
      <w:pPr>
        <w:ind w:left="305" w:right="279" w:hanging="305"/>
        <w:spacing w:after="0" w:line="242" w:lineRule="auto"/>
        <w:tabs>
          <w:tab w:leader="none" w:pos="725" w:val="left"/>
        </w:tabs>
        <w:numPr>
          <w:ilvl w:val="0"/>
          <w:numId w:val="54"/>
        </w:numPr>
        <w:rPr>
          <w:rFonts w:ascii="Times New Roman" w:cs="Times New Roman" w:eastAsia="Times New Roman" w:hAnsi="Times New Roman"/>
          <w:sz w:val="19"/>
          <w:szCs w:val="19"/>
          <w:color w:val="auto"/>
        </w:rPr>
      </w:pPr>
      <w:r>
        <w:rPr>
          <w:rFonts w:ascii="Arial" w:cs="Arial" w:eastAsia="Arial" w:hAnsi="Arial"/>
          <w:sz w:val="19"/>
          <w:szCs w:val="19"/>
          <w:color w:val="auto"/>
        </w:rPr>
        <w:t>All digital interfaces offering assistance in selecting a restaurant, hotel and vacation rentals looking for information on a restaurant, hotel and vacation rentals and information sharing amongst consumers on restaurants, hotels and vacation rentals;</w:t>
      </w:r>
    </w:p>
    <w:p>
      <w:pPr>
        <w:spacing w:after="0" w:line="158" w:lineRule="exact"/>
        <w:rPr>
          <w:rFonts w:ascii="Times New Roman" w:cs="Times New Roman" w:eastAsia="Times New Roman" w:hAnsi="Times New Roman"/>
          <w:sz w:val="19"/>
          <w:szCs w:val="19"/>
          <w:color w:val="auto"/>
        </w:rPr>
      </w:pPr>
    </w:p>
    <w:p>
      <w:pPr>
        <w:ind w:left="305" w:right="279" w:hanging="305"/>
        <w:spacing w:after="0" w:line="245" w:lineRule="auto"/>
        <w:tabs>
          <w:tab w:leader="none" w:pos="725" w:val="left"/>
        </w:tabs>
        <w:numPr>
          <w:ilvl w:val="0"/>
          <w:numId w:val="54"/>
        </w:numPr>
        <w:rPr>
          <w:rFonts w:ascii="Times New Roman" w:cs="Times New Roman" w:eastAsia="Times New Roman" w:hAnsi="Times New Roman"/>
          <w:sz w:val="19"/>
          <w:szCs w:val="19"/>
          <w:color w:val="auto"/>
        </w:rPr>
      </w:pPr>
      <w:r>
        <w:rPr>
          <w:rFonts w:ascii="Arial" w:cs="Arial" w:eastAsia="Arial" w:hAnsi="Arial"/>
          <w:sz w:val="19"/>
          <w:szCs w:val="19"/>
          <w:color w:val="auto"/>
        </w:rPr>
        <w:t>All activities of guidance, distribution and promotion of restaurants, hotels and vacation rentals on digital interfaces, print media or any other form of medium;</w:t>
      </w:r>
    </w:p>
    <w:p>
      <w:pPr>
        <w:spacing w:after="0" w:line="152" w:lineRule="exact"/>
        <w:rPr>
          <w:rFonts w:ascii="Times New Roman" w:cs="Times New Roman" w:eastAsia="Times New Roman" w:hAnsi="Times New Roman"/>
          <w:sz w:val="19"/>
          <w:szCs w:val="19"/>
          <w:color w:val="auto"/>
        </w:rPr>
      </w:pPr>
    </w:p>
    <w:p>
      <w:pPr>
        <w:jc w:val="both"/>
        <w:ind w:left="305" w:right="279" w:hanging="305"/>
        <w:spacing w:after="0" w:line="243" w:lineRule="auto"/>
        <w:tabs>
          <w:tab w:leader="none" w:pos="725" w:val="left"/>
        </w:tabs>
        <w:numPr>
          <w:ilvl w:val="0"/>
          <w:numId w:val="54"/>
        </w:numPr>
        <w:rPr>
          <w:rFonts w:ascii="Times New Roman" w:cs="Times New Roman" w:eastAsia="Times New Roman" w:hAnsi="Times New Roman"/>
          <w:sz w:val="19"/>
          <w:szCs w:val="19"/>
          <w:color w:val="auto"/>
        </w:rPr>
      </w:pPr>
      <w:r>
        <w:rPr>
          <w:rFonts w:ascii="Arial" w:cs="Arial" w:eastAsia="Arial" w:hAnsi="Arial"/>
          <w:sz w:val="19"/>
          <w:szCs w:val="19"/>
          <w:color w:val="auto"/>
        </w:rPr>
        <w:t>All digital interfaces, software and services that allow restaurants, hotels, vacation rentals to manage customer payments, reservations management and optimization of booking their establishment.</w:t>
      </w:r>
    </w:p>
    <w:p>
      <w:pPr>
        <w:spacing w:after="0" w:line="157" w:lineRule="exact"/>
        <w:rPr>
          <w:sz w:val="20"/>
          <w:szCs w:val="20"/>
          <w:color w:val="auto"/>
        </w:rPr>
      </w:pPr>
    </w:p>
    <w:p>
      <w:pPr>
        <w:jc w:val="both"/>
        <w:ind w:left="585" w:right="279"/>
        <w:spacing w:after="0" w:line="248" w:lineRule="auto"/>
        <w:rPr>
          <w:sz w:val="20"/>
          <w:szCs w:val="20"/>
          <w:color w:val="auto"/>
        </w:rPr>
      </w:pPr>
      <w:r>
        <w:rPr>
          <w:rFonts w:ascii="Arial" w:cs="Arial" w:eastAsia="Arial" w:hAnsi="Arial"/>
          <w:sz w:val="19"/>
          <w:szCs w:val="19"/>
          <w:color w:val="auto"/>
        </w:rPr>
        <w:t>It is agreed that "restaurants" are all catering establishments, providing sitted meals, takeaways, fast food or collective meals.</w:t>
      </w:r>
    </w:p>
    <w:p>
      <w:pPr>
        <w:spacing w:after="0" w:line="177" w:lineRule="exact"/>
        <w:rPr>
          <w:sz w:val="20"/>
          <w:szCs w:val="20"/>
          <w:color w:val="auto"/>
        </w:rPr>
      </w:pPr>
    </w:p>
    <w:p>
      <w:pPr>
        <w:ind w:left="585" w:right="59"/>
        <w:spacing w:after="0" w:line="270" w:lineRule="auto"/>
        <w:rPr>
          <w:sz w:val="20"/>
          <w:szCs w:val="20"/>
          <w:color w:val="auto"/>
        </w:rPr>
      </w:pPr>
      <w:r>
        <w:rPr>
          <w:rFonts w:ascii="Arial" w:cs="Arial" w:eastAsia="Arial" w:hAnsi="Arial"/>
          <w:sz w:val="19"/>
          <w:szCs w:val="19"/>
          <w:color w:val="auto"/>
        </w:rPr>
        <w:t>As compensation for the post-termination</w:t>
      </w:r>
    </w:p>
    <w:p>
      <w:pPr>
        <w:spacing w:after="0" w:line="35" w:lineRule="exact"/>
        <w:rPr>
          <w:sz w:val="20"/>
          <w:szCs w:val="20"/>
          <w:color w:val="auto"/>
        </w:rPr>
      </w:pPr>
    </w:p>
    <w:p>
      <w:pPr>
        <w:jc w:val="both"/>
        <w:ind w:left="665" w:right="59"/>
        <w:spacing w:after="0" w:line="257" w:lineRule="auto"/>
        <w:rPr>
          <w:sz w:val="20"/>
          <w:szCs w:val="20"/>
          <w:color w:val="auto"/>
        </w:rPr>
      </w:pPr>
      <w:r>
        <w:rPr>
          <w:rFonts w:ascii="Arial" w:cs="Arial" w:eastAsia="Arial" w:hAnsi="Arial"/>
          <w:sz w:val="18"/>
          <w:szCs w:val="18"/>
          <w:color w:val="auto"/>
        </w:rPr>
        <w:t>alla Società una penale pari all'ammontare della Sua ultima retribuzione annua fissa lorda. La Società, in ogni caso, si riserva il diritto di agire nei Suoi confronti per ottenere il risarcimento di ogni ulteriore danno subito a fronte della violazione degli obblighi di cui al presente paragrafo.</w:t>
      </w:r>
    </w:p>
    <w:p>
      <w:pPr>
        <w:spacing w:after="0" w:line="144" w:lineRule="exact"/>
        <w:rPr>
          <w:sz w:val="20"/>
          <w:szCs w:val="20"/>
          <w:color w:val="auto"/>
        </w:rPr>
      </w:pPr>
    </w:p>
    <w:p>
      <w:pPr>
        <w:jc w:val="both"/>
        <w:ind w:left="665" w:right="59"/>
        <w:spacing w:after="0" w:line="248" w:lineRule="auto"/>
        <w:rPr>
          <w:sz w:val="20"/>
          <w:szCs w:val="20"/>
          <w:color w:val="auto"/>
        </w:rPr>
      </w:pPr>
      <w:r>
        <w:rPr>
          <w:rFonts w:ascii="Arial" w:cs="Arial" w:eastAsia="Arial" w:hAnsi="Arial"/>
          <w:sz w:val="19"/>
          <w:szCs w:val="19"/>
          <w:color w:val="auto"/>
        </w:rPr>
        <w:t>Resta, fin d'ora inteso, che gli obblighi derivanti dal paragrafo che precede, trovano applicazione anche durante il rapporto di lavoro.</w:t>
      </w:r>
    </w:p>
    <w:p>
      <w:pPr>
        <w:sectPr>
          <w:pgSz w:w="11900" w:h="16885" w:orient="portrait"/>
          <w:cols w:equalWidth="0" w:num="2">
            <w:col w:w="4315" w:space="720"/>
            <w:col w:w="3984"/>
          </w:cols>
          <w:pgMar w:left="1440" w:top="882" w:right="1440" w:bottom="0" w:gutter="0" w:footer="0" w:header="0"/>
        </w:sectPr>
      </w:pPr>
    </w:p>
    <w:bookmarkStart w:id="81" w:name="page82"/>
    <w:bookmarkEnd w:id="81"/>
    <w:p>
      <w:pPr>
        <w:ind w:left="4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82" w:name="page83"/>
    <w:bookmarkEnd w:id="82"/>
    <w:p>
      <w:pPr>
        <w:jc w:val="both"/>
        <w:ind w:left="840" w:right="940"/>
        <w:spacing w:after="0" w:line="241" w:lineRule="auto"/>
        <w:rPr>
          <w:sz w:val="20"/>
          <w:szCs w:val="20"/>
          <w:color w:val="auto"/>
        </w:rPr>
      </w:pPr>
      <w:r>
        <w:rPr>
          <w:rFonts w:ascii="Arial" w:cs="Arial" w:eastAsia="Arial" w:hAnsi="Arial"/>
          <w:sz w:val="19"/>
          <w:szCs w:val="19"/>
          <w:color w:val="auto"/>
        </w:rPr>
        <w:t>non-competition and non-solicitation obligations provided under this paragraph, the Company will pay You a gross amount equal to €210,000. Such compensation will be paid to You by means of 12 equal monthly instalments starting from the month following the month of termination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-953135</wp:posOffset>
            </wp:positionV>
            <wp:extent cx="8890" cy="77323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8890" cy="7732395"/>
                    </a:xfrm>
                    <a:prstGeom prst="rect">
                      <a:avLst/>
                    </a:prstGeom>
                    <a:noFill/>
                  </pic:spPr>
                </pic:pic>
              </a:graphicData>
            </a:graphic>
          </wp:anchor>
        </w:drawing>
      </w:r>
    </w:p>
    <w:p>
      <w:pPr>
        <w:spacing w:after="0" w:line="381" w:lineRule="exact"/>
        <w:rPr>
          <w:sz w:val="20"/>
          <w:szCs w:val="20"/>
          <w:color w:val="auto"/>
        </w:rPr>
      </w:pPr>
    </w:p>
    <w:p>
      <w:pPr>
        <w:jc w:val="both"/>
        <w:ind w:left="840" w:right="940"/>
        <w:spacing w:after="0" w:line="239" w:lineRule="auto"/>
        <w:rPr>
          <w:sz w:val="20"/>
          <w:szCs w:val="20"/>
          <w:color w:val="auto"/>
        </w:rPr>
      </w:pPr>
      <w:r>
        <w:rPr>
          <w:rFonts w:ascii="Arial" w:cs="Arial" w:eastAsia="Arial" w:hAnsi="Arial"/>
          <w:sz w:val="19"/>
          <w:szCs w:val="19"/>
          <w:color w:val="auto"/>
        </w:rPr>
        <w:t>The Company reserves the right to withdraw from the post-termination non-competition and non-solicitation obligations under this paragraph by means of written notice to be sent to You at any time during the employment relationship or within 15 days after the date of termination of your employment. In this event, You will be free of all obligations under this paragraph above and, consequently, the Company will not be required to the payment of the compensation provided under this paragraph.</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right="279"/>
        <w:spacing w:after="0" w:line="239" w:lineRule="auto"/>
        <w:rPr>
          <w:sz w:val="20"/>
          <w:szCs w:val="20"/>
          <w:color w:val="auto"/>
        </w:rPr>
      </w:pPr>
      <w:r>
        <w:rPr>
          <w:rFonts w:ascii="Arial" w:cs="Arial" w:eastAsia="Arial" w:hAnsi="Arial"/>
          <w:sz w:val="19"/>
          <w:szCs w:val="19"/>
          <w:color w:val="auto"/>
        </w:rPr>
        <w:t>In the case of breach of the obligations set forth in this paragraph, You shall pay back to the Company all the amounts received as compensation for the post-termination non-competition and non-solicitation commitment and to pay to the Company a penalty equal to your yearly gross fixed salary received during your last year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-1166495</wp:posOffset>
            </wp:positionV>
            <wp:extent cx="8890" cy="77323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890" cy="7732395"/>
                    </a:xfrm>
                    <a:prstGeom prst="rect">
                      <a:avLst/>
                    </a:prstGeom>
                    <a:noFill/>
                  </pic:spPr>
                </pic:pic>
              </a:graphicData>
            </a:graphic>
          </wp:anchor>
        </w:drawing>
      </w:r>
    </w:p>
    <w:p>
      <w:pPr>
        <w:jc w:val="both"/>
        <w:ind w:right="279"/>
        <w:spacing w:after="0" w:line="239" w:lineRule="auto"/>
        <w:rPr>
          <w:sz w:val="20"/>
          <w:szCs w:val="20"/>
          <w:color w:val="auto"/>
        </w:rPr>
      </w:pPr>
      <w:r>
        <w:rPr>
          <w:rFonts w:ascii="Arial" w:cs="Arial" w:eastAsia="Arial" w:hAnsi="Arial"/>
          <w:sz w:val="19"/>
          <w:szCs w:val="19"/>
          <w:color w:val="auto"/>
        </w:rPr>
        <w:t>employment. The Company reserves, in any case, the right to obtain indemnification from You for any further damages suffered by the Company due to the your breach of the obligations set forth in this paragraph.</w:t>
      </w:r>
    </w:p>
    <w:p>
      <w:pPr>
        <w:spacing w:after="0" w:line="160" w:lineRule="exact"/>
        <w:rPr>
          <w:sz w:val="20"/>
          <w:szCs w:val="20"/>
          <w:color w:val="auto"/>
        </w:rPr>
      </w:pPr>
    </w:p>
    <w:p>
      <w:pPr>
        <w:jc w:val="both"/>
        <w:ind w:right="279"/>
        <w:spacing w:after="0" w:line="248" w:lineRule="auto"/>
        <w:rPr>
          <w:sz w:val="20"/>
          <w:szCs w:val="20"/>
          <w:color w:val="auto"/>
        </w:rPr>
      </w:pPr>
      <w:r>
        <w:rPr>
          <w:rFonts w:ascii="Arial" w:cs="Arial" w:eastAsia="Arial" w:hAnsi="Arial"/>
          <w:sz w:val="19"/>
          <w:szCs w:val="19"/>
          <w:color w:val="auto"/>
        </w:rPr>
        <w:t>It is hereby understood that, the obligations resulting from this paragraph also apply during the employment relationship.</w:t>
      </w:r>
    </w:p>
    <w:p>
      <w:pPr>
        <w:spacing w:after="0" w:line="940" w:lineRule="exact"/>
        <w:rPr>
          <w:sz w:val="20"/>
          <w:szCs w:val="20"/>
          <w:color w:val="auto"/>
        </w:rPr>
      </w:pPr>
    </w:p>
    <w:p>
      <w:pPr>
        <w:sectPr>
          <w:pgSz w:w="11900" w:h="16838" w:orient="portrait"/>
          <w:cols w:equalWidth="0" w:num="2">
            <w:col w:w="4900" w:space="720"/>
            <w:col w:w="3399"/>
          </w:cols>
          <w:pgMar w:left="1440" w:top="9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type w:val="continuous"/>
        </w:sectPr>
      </w:pPr>
    </w:p>
    <w:bookmarkStart w:id="83" w:name="page84"/>
    <w:bookmarkEnd w:id="83"/>
    <w:p>
      <w:pPr>
        <w:spacing w:after="0" w:line="75" w:lineRule="exact"/>
        <w:rPr>
          <w:sz w:val="20"/>
          <w:szCs w:val="20"/>
          <w:color w:val="auto"/>
        </w:rPr>
      </w:pPr>
    </w:p>
    <w:tbl>
      <w:tblPr>
        <w:tblLayout w:type="fixed"/>
        <w:tblInd w:w="280" w:type="dxa"/>
        <w:tblCellMar>
          <w:top w:w="0" w:type="dxa"/>
          <w:left w:w="0" w:type="dxa"/>
          <w:bottom w:w="0" w:type="dxa"/>
          <w:right w:w="0" w:type="dxa"/>
        </w:tblCellMar>
      </w:tblPr>
      <w:tr>
        <w:trPr>
          <w:trHeight w:val="56"/>
        </w:trPr>
        <w:tc>
          <w:tcPr>
            <w:tcW w:w="440" w:type="dxa"/>
            <w:vAlign w:val="bottom"/>
            <w:vMerge w:val="restart"/>
          </w:tcPr>
          <w:p>
            <w:pPr>
              <w:jc w:val="right"/>
              <w:ind w:right="86"/>
              <w:spacing w:after="0"/>
              <w:rPr>
                <w:sz w:val="20"/>
                <w:szCs w:val="20"/>
                <w:color w:val="auto"/>
              </w:rPr>
            </w:pPr>
            <w:r>
              <w:rPr>
                <w:rFonts w:ascii="Arial" w:cs="Arial" w:eastAsia="Arial" w:hAnsi="Arial"/>
                <w:sz w:val="19"/>
                <w:szCs w:val="19"/>
                <w:color w:val="auto"/>
                <w:w w:val="90"/>
              </w:rPr>
              <w:t>12.</w:t>
            </w:r>
          </w:p>
        </w:tc>
        <w:tc>
          <w:tcPr>
            <w:tcW w:w="180" w:type="dxa"/>
            <w:vAlign w:val="bottom"/>
            <w:vMerge w:val="restart"/>
          </w:tcPr>
          <w:p>
            <w:pPr>
              <w:spacing w:after="0"/>
              <w:rPr>
                <w:sz w:val="4"/>
                <w:szCs w:val="4"/>
                <w:color w:val="auto"/>
              </w:rPr>
            </w:pPr>
          </w:p>
        </w:tc>
        <w:tc>
          <w:tcPr>
            <w:tcW w:w="27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Protezione dei dati personali</w:t>
            </w:r>
          </w:p>
        </w:tc>
        <w:tc>
          <w:tcPr>
            <w:tcW w:w="600" w:type="dxa"/>
            <w:vAlign w:val="bottom"/>
            <w:vMerge w:val="restart"/>
          </w:tcPr>
          <w:p>
            <w:pPr>
              <w:jc w:val="right"/>
              <w:ind w:right="46"/>
              <w:spacing w:after="0"/>
              <w:rPr>
                <w:sz w:val="20"/>
                <w:szCs w:val="20"/>
                <w:color w:val="auto"/>
              </w:rPr>
            </w:pPr>
            <w:r>
              <w:rPr>
                <w:rFonts w:ascii="Arial" w:cs="Arial" w:eastAsia="Arial" w:hAnsi="Arial"/>
                <w:sz w:val="19"/>
                <w:szCs w:val="19"/>
                <w:color w:val="auto"/>
              </w:rPr>
              <w:t>12.</w:t>
            </w:r>
          </w:p>
        </w:tc>
        <w:tc>
          <w:tcPr>
            <w:tcW w:w="16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gridSpan w:val="2"/>
            <w:vMerge w:val="restart"/>
          </w:tcPr>
          <w:p>
            <w:pPr>
              <w:spacing w:after="0"/>
              <w:rPr>
                <w:sz w:val="20"/>
                <w:szCs w:val="20"/>
                <w:color w:val="auto"/>
              </w:rPr>
            </w:pPr>
            <w:r>
              <w:rPr>
                <w:rFonts w:ascii="Arial" w:cs="Arial" w:eastAsia="Arial" w:hAnsi="Arial"/>
                <w:sz w:val="19"/>
                <w:szCs w:val="19"/>
                <w:b w:val="1"/>
                <w:bCs w:val="1"/>
                <w:color w:val="auto"/>
                <w:w w:val="93"/>
              </w:rPr>
              <w:t>Protection of personal data</w:t>
            </w: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7"/>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19"/>
                <w:szCs w:val="19"/>
                <w:color w:val="auto"/>
              </w:rPr>
              <w:t>I dati personali del Dirigente saranno</w:t>
            </w: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300" w:type="dxa"/>
            <w:vAlign w:val="bottom"/>
            <w:gridSpan w:val="5"/>
          </w:tcPr>
          <w:p>
            <w:pPr>
              <w:ind w:left="1180"/>
              <w:spacing w:after="0"/>
              <w:rPr>
                <w:sz w:val="20"/>
                <w:szCs w:val="20"/>
                <w:color w:val="auto"/>
              </w:rPr>
            </w:pPr>
            <w:r>
              <w:rPr>
                <w:rFonts w:ascii="Arial" w:cs="Arial" w:eastAsia="Arial" w:hAnsi="Arial"/>
                <w:sz w:val="19"/>
                <w:szCs w:val="19"/>
                <w:color w:val="auto"/>
              </w:rPr>
              <w:t>The Executive's personal data shall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40" w:type="dxa"/>
            <w:vAlign w:val="bottom"/>
            <w:gridSpan w:val="4"/>
          </w:tcPr>
          <w:p>
            <w:pPr>
              <w:ind w:left="180"/>
              <w:spacing w:after="0" w:line="216" w:lineRule="exact"/>
              <w:rPr>
                <w:sz w:val="20"/>
                <w:szCs w:val="20"/>
                <w:color w:val="auto"/>
              </w:rPr>
            </w:pPr>
            <w:r>
              <w:rPr>
                <w:rFonts w:ascii="Arial" w:cs="Arial" w:eastAsia="Arial" w:hAnsi="Arial"/>
                <w:sz w:val="19"/>
                <w:szCs w:val="19"/>
                <w:color w:val="auto"/>
              </w:rPr>
              <w:t>trattati nel rispetto delle disposizioni</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300" w:type="dxa"/>
            <w:vAlign w:val="bottom"/>
            <w:gridSpan w:val="5"/>
          </w:tcPr>
          <w:p>
            <w:pPr>
              <w:ind w:left="1180"/>
              <w:spacing w:after="0" w:line="216" w:lineRule="exact"/>
              <w:rPr>
                <w:sz w:val="20"/>
                <w:szCs w:val="20"/>
                <w:color w:val="auto"/>
              </w:rPr>
            </w:pPr>
            <w:r>
              <w:rPr>
                <w:rFonts w:ascii="Arial" w:cs="Arial" w:eastAsia="Arial" w:hAnsi="Arial"/>
                <w:sz w:val="19"/>
                <w:szCs w:val="19"/>
                <w:color w:val="auto"/>
              </w:rPr>
              <w:t>be treated in compliance with the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40" w:type="dxa"/>
            <w:vAlign w:val="bottom"/>
            <w:gridSpan w:val="4"/>
          </w:tcPr>
          <w:p>
            <w:pPr>
              <w:ind w:left="180"/>
              <w:spacing w:after="0" w:line="216" w:lineRule="exact"/>
              <w:rPr>
                <w:sz w:val="20"/>
                <w:szCs w:val="20"/>
                <w:color w:val="auto"/>
              </w:rPr>
            </w:pPr>
            <w:r>
              <w:rPr>
                <w:rFonts w:ascii="Arial" w:cs="Arial" w:eastAsia="Arial" w:hAnsi="Arial"/>
                <w:sz w:val="19"/>
                <w:szCs w:val="19"/>
                <w:color w:val="auto"/>
              </w:rPr>
              <w:t>del   Regolamento   (UE)   679/2016</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300" w:type="dxa"/>
            <w:vAlign w:val="bottom"/>
            <w:gridSpan w:val="5"/>
          </w:tcPr>
          <w:p>
            <w:pPr>
              <w:ind w:left="1180"/>
              <w:spacing w:after="0" w:line="216" w:lineRule="exact"/>
              <w:rPr>
                <w:sz w:val="20"/>
                <w:szCs w:val="20"/>
                <w:color w:val="auto"/>
              </w:rPr>
            </w:pPr>
            <w:r>
              <w:rPr>
                <w:rFonts w:ascii="Arial" w:cs="Arial" w:eastAsia="Arial" w:hAnsi="Arial"/>
                <w:sz w:val="19"/>
                <w:szCs w:val="19"/>
                <w:color w:val="auto"/>
              </w:rPr>
              <w:t>provisions  set  forth  by  Regulation</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40" w:type="dxa"/>
            <w:vAlign w:val="bottom"/>
            <w:gridSpan w:val="4"/>
          </w:tcPr>
          <w:p>
            <w:pPr>
              <w:ind w:left="180"/>
              <w:spacing w:after="0" w:line="216"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GDPR</w:t>
            </w:r>
            <w:r>
              <w:rPr>
                <w:rFonts w:ascii="Arial" w:cs="Arial" w:eastAsia="Arial" w:hAnsi="Arial"/>
                <w:sz w:val="19"/>
                <w:szCs w:val="19"/>
                <w:color w:val="auto"/>
              </w:rPr>
              <w:t>").  La  Società  agirà  come</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300" w:type="dxa"/>
            <w:vAlign w:val="bottom"/>
            <w:gridSpan w:val="5"/>
          </w:tcPr>
          <w:p>
            <w:pPr>
              <w:ind w:left="1180"/>
              <w:spacing w:after="0" w:line="216" w:lineRule="exact"/>
              <w:rPr>
                <w:sz w:val="20"/>
                <w:szCs w:val="20"/>
                <w:color w:val="auto"/>
              </w:rPr>
            </w:pPr>
            <w:r>
              <w:rPr>
                <w:rFonts w:ascii="Arial" w:cs="Arial" w:eastAsia="Arial" w:hAnsi="Arial"/>
                <w:sz w:val="19"/>
                <w:szCs w:val="19"/>
                <w:color w:val="auto"/>
              </w:rPr>
              <w:t>(EU) 679/2016 (the "</w:t>
            </w:r>
            <w:r>
              <w:rPr>
                <w:rFonts w:ascii="Arial" w:cs="Arial" w:eastAsia="Arial" w:hAnsi="Arial"/>
                <w:sz w:val="19"/>
                <w:szCs w:val="19"/>
                <w:b w:val="1"/>
                <w:bCs w:val="1"/>
                <w:color w:val="auto"/>
              </w:rPr>
              <w:t>GDPR</w:t>
            </w:r>
            <w:r>
              <w:rPr>
                <w:rFonts w:ascii="Arial" w:cs="Arial" w:eastAsia="Arial" w:hAnsi="Arial"/>
                <w:sz w:val="19"/>
                <w:szCs w:val="19"/>
                <w:color w:val="auto"/>
              </w:rPr>
              <w:t>"). The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40" w:type="dxa"/>
            <w:vAlign w:val="bottom"/>
            <w:gridSpan w:val="4"/>
          </w:tcPr>
          <w:p>
            <w:pPr>
              <w:ind w:left="180"/>
              <w:spacing w:after="0" w:line="216" w:lineRule="exact"/>
              <w:rPr>
                <w:sz w:val="20"/>
                <w:szCs w:val="20"/>
                <w:color w:val="auto"/>
              </w:rPr>
            </w:pPr>
            <w:r>
              <w:rPr>
                <w:rFonts w:ascii="Arial" w:cs="Arial" w:eastAsia="Arial" w:hAnsi="Arial"/>
                <w:sz w:val="19"/>
                <w:szCs w:val="19"/>
                <w:color w:val="auto"/>
              </w:rPr>
              <w:t>titolare del trattamento in conformità</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300" w:type="dxa"/>
            <w:vAlign w:val="bottom"/>
            <w:gridSpan w:val="5"/>
          </w:tcPr>
          <w:p>
            <w:pPr>
              <w:ind w:left="1180"/>
              <w:spacing w:after="0" w:line="216" w:lineRule="exact"/>
              <w:rPr>
                <w:sz w:val="20"/>
                <w:szCs w:val="20"/>
                <w:color w:val="auto"/>
              </w:rPr>
            </w:pPr>
            <w:r>
              <w:rPr>
                <w:rFonts w:ascii="Arial" w:cs="Arial" w:eastAsia="Arial" w:hAnsi="Arial"/>
                <w:sz w:val="19"/>
                <w:szCs w:val="19"/>
                <w:color w:val="auto"/>
              </w:rPr>
              <w:t>Company will act as data controller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40" w:type="dxa"/>
            <w:vAlign w:val="bottom"/>
            <w:gridSpan w:val="4"/>
          </w:tcPr>
          <w:p>
            <w:pPr>
              <w:ind w:left="180"/>
              <w:spacing w:after="0" w:line="216" w:lineRule="exact"/>
              <w:rPr>
                <w:sz w:val="20"/>
                <w:szCs w:val="20"/>
                <w:color w:val="auto"/>
              </w:rPr>
            </w:pPr>
            <w:r>
              <w:rPr>
                <w:rFonts w:ascii="Arial" w:cs="Arial" w:eastAsia="Arial" w:hAnsi="Arial"/>
                <w:sz w:val="19"/>
                <w:szCs w:val="19"/>
                <w:color w:val="auto"/>
              </w:rPr>
              <w:t>all'Informativa sul trattamento dei dati</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300" w:type="dxa"/>
            <w:vAlign w:val="bottom"/>
            <w:gridSpan w:val="5"/>
          </w:tcPr>
          <w:p>
            <w:pPr>
              <w:ind w:left="1180"/>
              <w:spacing w:after="0" w:line="216" w:lineRule="exact"/>
              <w:rPr>
                <w:sz w:val="20"/>
                <w:szCs w:val="20"/>
                <w:color w:val="auto"/>
              </w:rPr>
            </w:pPr>
            <w:r>
              <w:rPr>
                <w:rFonts w:ascii="Arial" w:cs="Arial" w:eastAsia="Arial" w:hAnsi="Arial"/>
                <w:sz w:val="19"/>
                <w:szCs w:val="19"/>
                <w:color w:val="auto"/>
              </w:rPr>
              <w:t>pursuant  to  its  Notice  which  is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40" w:type="dxa"/>
            <w:vAlign w:val="bottom"/>
            <w:gridSpan w:val="4"/>
          </w:tcPr>
          <w:p>
            <w:pPr>
              <w:ind w:left="180"/>
              <w:spacing w:after="0" w:line="216" w:lineRule="exact"/>
              <w:rPr>
                <w:sz w:val="20"/>
                <w:szCs w:val="20"/>
                <w:color w:val="auto"/>
              </w:rPr>
            </w:pPr>
            <w:r>
              <w:rPr>
                <w:rFonts w:ascii="Arial" w:cs="Arial" w:eastAsia="Arial" w:hAnsi="Arial"/>
                <w:sz w:val="19"/>
                <w:szCs w:val="19"/>
                <w:color w:val="auto"/>
              </w:rPr>
              <w:t>che  risulta  consultabile  in  qualsiasi</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300" w:type="dxa"/>
            <w:vAlign w:val="bottom"/>
            <w:gridSpan w:val="5"/>
          </w:tcPr>
          <w:p>
            <w:pPr>
              <w:ind w:left="1180"/>
              <w:spacing w:after="0" w:line="216" w:lineRule="exact"/>
              <w:rPr>
                <w:sz w:val="20"/>
                <w:szCs w:val="20"/>
                <w:color w:val="auto"/>
              </w:rPr>
            </w:pPr>
            <w:r>
              <w:rPr>
                <w:rFonts w:ascii="Arial" w:cs="Arial" w:eastAsia="Arial" w:hAnsi="Arial"/>
                <w:sz w:val="19"/>
                <w:szCs w:val="19"/>
                <w:color w:val="auto"/>
              </w:rPr>
              <w:t>available  at  all  times  on  the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40" w:type="dxa"/>
            <w:vAlign w:val="bottom"/>
            <w:gridSpan w:val="4"/>
          </w:tcPr>
          <w:p>
            <w:pPr>
              <w:ind w:left="180"/>
              <w:spacing w:after="0" w:line="216" w:lineRule="exact"/>
              <w:rPr>
                <w:sz w:val="20"/>
                <w:szCs w:val="20"/>
                <w:color w:val="auto"/>
              </w:rPr>
            </w:pPr>
            <w:r>
              <w:rPr>
                <w:rFonts w:ascii="Arial" w:cs="Arial" w:eastAsia="Arial" w:hAnsi="Arial"/>
                <w:sz w:val="19"/>
                <w:szCs w:val="19"/>
                <w:color w:val="auto"/>
              </w:rPr>
              <w:t>momento nell'intranet aziendale e che</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320" w:type="dxa"/>
            <w:vAlign w:val="bottom"/>
            <w:gridSpan w:val="2"/>
          </w:tcPr>
          <w:p>
            <w:pPr>
              <w:ind w:left="1180"/>
              <w:spacing w:after="0" w:line="216" w:lineRule="exact"/>
              <w:rPr>
                <w:sz w:val="20"/>
                <w:szCs w:val="20"/>
                <w:color w:val="auto"/>
              </w:rPr>
            </w:pPr>
            <w:r>
              <w:rPr>
                <w:rFonts w:ascii="Arial" w:cs="Arial" w:eastAsia="Arial" w:hAnsi="Arial"/>
                <w:sz w:val="19"/>
                <w:szCs w:val="19"/>
                <w:color w:val="auto"/>
              </w:rPr>
              <w:t>Company</w:t>
            </w:r>
          </w:p>
        </w:tc>
        <w:tc>
          <w:tcPr>
            <w:tcW w:w="1000" w:type="dxa"/>
            <w:vAlign w:val="bottom"/>
          </w:tcPr>
          <w:p>
            <w:pPr>
              <w:ind w:left="40"/>
              <w:spacing w:after="0" w:line="216" w:lineRule="exact"/>
              <w:rPr>
                <w:sz w:val="20"/>
                <w:szCs w:val="20"/>
                <w:color w:val="auto"/>
              </w:rPr>
            </w:pPr>
            <w:r>
              <w:rPr>
                <w:rFonts w:ascii="Arial" w:cs="Arial" w:eastAsia="Arial" w:hAnsi="Arial"/>
                <w:sz w:val="19"/>
                <w:szCs w:val="19"/>
                <w:color w:val="auto"/>
              </w:rPr>
              <w:t>intranet</w:t>
            </w:r>
          </w:p>
        </w:tc>
        <w:tc>
          <w:tcPr>
            <w:tcW w:w="540" w:type="dxa"/>
            <w:vAlign w:val="bottom"/>
          </w:tcPr>
          <w:p>
            <w:pPr>
              <w:ind w:left="60"/>
              <w:spacing w:after="0" w:line="216" w:lineRule="exact"/>
              <w:rPr>
                <w:sz w:val="20"/>
                <w:szCs w:val="20"/>
                <w:color w:val="auto"/>
              </w:rPr>
            </w:pPr>
            <w:r>
              <w:rPr>
                <w:rFonts w:ascii="Arial" w:cs="Arial" w:eastAsia="Arial" w:hAnsi="Arial"/>
                <w:sz w:val="19"/>
                <w:szCs w:val="19"/>
                <w:color w:val="auto"/>
              </w:rPr>
              <w:t>and</w:t>
            </w:r>
          </w:p>
        </w:tc>
        <w:tc>
          <w:tcPr>
            <w:tcW w:w="440" w:type="dxa"/>
            <w:vAlign w:val="bottom"/>
          </w:tcPr>
          <w:p>
            <w:pPr>
              <w:jc w:val="right"/>
              <w:spacing w:after="0" w:line="216" w:lineRule="exact"/>
              <w:rPr>
                <w:sz w:val="20"/>
                <w:szCs w:val="20"/>
                <w:color w:val="auto"/>
              </w:rPr>
            </w:pPr>
            <w:r>
              <w:rPr>
                <w:rFonts w:ascii="Arial" w:cs="Arial" w:eastAsia="Arial" w:hAnsi="Arial"/>
                <w:sz w:val="19"/>
                <w:szCs w:val="19"/>
                <w:color w:val="auto"/>
              </w:rPr>
              <w:t>for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40" w:type="dxa"/>
            <w:vAlign w:val="bottom"/>
            <w:gridSpan w:val="4"/>
          </w:tcPr>
          <w:p>
            <w:pPr>
              <w:ind w:left="180"/>
              <w:spacing w:after="0" w:line="216" w:lineRule="exact"/>
              <w:rPr>
                <w:sz w:val="20"/>
                <w:szCs w:val="20"/>
                <w:color w:val="auto"/>
              </w:rPr>
            </w:pPr>
            <w:r>
              <w:rPr>
                <w:rFonts w:ascii="Arial" w:cs="Arial" w:eastAsia="Arial" w:hAnsi="Arial"/>
                <w:sz w:val="19"/>
                <w:szCs w:val="19"/>
                <w:color w:val="auto"/>
              </w:rPr>
              <w:t>per convenienza viene inoltre allegata</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320" w:type="dxa"/>
            <w:vAlign w:val="bottom"/>
            <w:gridSpan w:val="2"/>
          </w:tcPr>
          <w:p>
            <w:pPr>
              <w:ind w:left="1180"/>
              <w:spacing w:after="0" w:line="216" w:lineRule="exact"/>
              <w:rPr>
                <w:sz w:val="20"/>
                <w:szCs w:val="20"/>
                <w:color w:val="auto"/>
              </w:rPr>
            </w:pPr>
            <w:r>
              <w:rPr>
                <w:rFonts w:ascii="Arial" w:cs="Arial" w:eastAsia="Arial" w:hAnsi="Arial"/>
                <w:sz w:val="19"/>
                <w:szCs w:val="19"/>
                <w:color w:val="auto"/>
              </w:rPr>
              <w:t>convenience</w:t>
            </w:r>
          </w:p>
        </w:tc>
        <w:tc>
          <w:tcPr>
            <w:tcW w:w="1000" w:type="dxa"/>
            <w:vAlign w:val="bottom"/>
          </w:tcPr>
          <w:p>
            <w:pPr>
              <w:ind w:left="220"/>
              <w:spacing w:after="0" w:line="216" w:lineRule="exact"/>
              <w:rPr>
                <w:sz w:val="20"/>
                <w:szCs w:val="20"/>
                <w:color w:val="auto"/>
              </w:rPr>
            </w:pPr>
            <w:r>
              <w:rPr>
                <w:rFonts w:ascii="Arial" w:cs="Arial" w:eastAsia="Arial" w:hAnsi="Arial"/>
                <w:sz w:val="19"/>
                <w:szCs w:val="19"/>
                <w:color w:val="auto"/>
              </w:rPr>
              <w:t>attached</w:t>
            </w:r>
          </w:p>
        </w:tc>
        <w:tc>
          <w:tcPr>
            <w:tcW w:w="540" w:type="dxa"/>
            <w:vAlign w:val="bottom"/>
          </w:tcPr>
          <w:p>
            <w:pPr>
              <w:ind w:left="240"/>
              <w:spacing w:after="0" w:line="216" w:lineRule="exact"/>
              <w:rPr>
                <w:sz w:val="20"/>
                <w:szCs w:val="20"/>
                <w:color w:val="auto"/>
              </w:rPr>
            </w:pPr>
            <w:r>
              <w:rPr>
                <w:rFonts w:ascii="Arial" w:cs="Arial" w:eastAsia="Arial" w:hAnsi="Arial"/>
                <w:sz w:val="19"/>
                <w:szCs w:val="19"/>
                <w:color w:val="auto"/>
              </w:rPr>
              <w:t>to</w:t>
            </w:r>
          </w:p>
        </w:tc>
        <w:tc>
          <w:tcPr>
            <w:tcW w:w="440" w:type="dxa"/>
            <w:vAlign w:val="bottom"/>
          </w:tcPr>
          <w:p>
            <w:pPr>
              <w:jc w:val="right"/>
              <w:spacing w:after="0" w:line="216" w:lineRule="exact"/>
              <w:rPr>
                <w:sz w:val="20"/>
                <w:szCs w:val="20"/>
                <w:color w:val="auto"/>
              </w:rPr>
            </w:pPr>
            <w:r>
              <w:rPr>
                <w:rFonts w:ascii="Arial" w:cs="Arial" w:eastAsia="Arial" w:hAnsi="Arial"/>
                <w:sz w:val="19"/>
                <w:szCs w:val="19"/>
                <w:color w:val="auto"/>
              </w:rPr>
              <w:t>this</w:t>
            </w:r>
          </w:p>
        </w:tc>
        <w:tc>
          <w:tcPr>
            <w:tcW w:w="0" w:type="dxa"/>
            <w:vAlign w:val="bottom"/>
          </w:tcPr>
          <w:p>
            <w:pPr>
              <w:spacing w:after="0"/>
              <w:rPr>
                <w:sz w:val="1"/>
                <w:szCs w:val="1"/>
                <w:color w:val="auto"/>
              </w:rPr>
            </w:pPr>
          </w:p>
        </w:tc>
      </w:tr>
      <w:tr>
        <w:trPr>
          <w:trHeight w:val="249"/>
        </w:trPr>
        <w:tc>
          <w:tcPr>
            <w:tcW w:w="440" w:type="dxa"/>
            <w:vAlign w:val="bottom"/>
          </w:tcPr>
          <w:p>
            <w:pPr>
              <w:spacing w:after="0"/>
              <w:rPr>
                <w:sz w:val="21"/>
                <w:szCs w:val="21"/>
                <w:color w:val="auto"/>
              </w:rPr>
            </w:pPr>
          </w:p>
        </w:tc>
        <w:tc>
          <w:tcPr>
            <w:tcW w:w="2940" w:type="dxa"/>
            <w:vAlign w:val="bottom"/>
            <w:gridSpan w:val="3"/>
          </w:tcPr>
          <w:p>
            <w:pPr>
              <w:ind w:left="180"/>
              <w:spacing w:after="0"/>
              <w:rPr>
                <w:sz w:val="20"/>
                <w:szCs w:val="20"/>
                <w:color w:val="auto"/>
              </w:rPr>
            </w:pPr>
            <w:r>
              <w:rPr>
                <w:rFonts w:ascii="Arial" w:cs="Arial" w:eastAsia="Arial" w:hAnsi="Arial"/>
                <w:sz w:val="19"/>
                <w:szCs w:val="19"/>
                <w:color w:val="auto"/>
              </w:rPr>
              <w:t>al presente Contratto.</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20" w:type="dxa"/>
            <w:vAlign w:val="bottom"/>
            <w:gridSpan w:val="2"/>
          </w:tcPr>
          <w:p>
            <w:pPr>
              <w:ind w:left="1180"/>
              <w:spacing w:after="0"/>
              <w:rPr>
                <w:sz w:val="20"/>
                <w:szCs w:val="20"/>
                <w:color w:val="auto"/>
              </w:rPr>
            </w:pPr>
            <w:r>
              <w:rPr>
                <w:rFonts w:ascii="Arial" w:cs="Arial" w:eastAsia="Arial" w:hAnsi="Arial"/>
                <w:sz w:val="19"/>
                <w:szCs w:val="19"/>
                <w:color w:val="auto"/>
              </w:rPr>
              <w:t>Agreement.</w:t>
            </w: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71"/>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-7928610</wp:posOffset>
            </wp:positionV>
            <wp:extent cx="8255" cy="79292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255" cy="79292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-7928610</wp:posOffset>
            </wp:positionV>
            <wp:extent cx="8890" cy="79292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890" cy="79292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ind w:left="900" w:hanging="628"/>
        <w:spacing w:after="0"/>
        <w:tabs>
          <w:tab w:leader="none" w:pos="900"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Varie</w:t>
      </w:r>
      <w:r>
        <w:rPr>
          <w:rFonts w:ascii="Arial" w:cs="Arial" w:eastAsia="Arial" w:hAnsi="Arial"/>
          <w:sz w:val="19"/>
          <w:szCs w:val="19"/>
          <w:color w:val="auto"/>
        </w:rPr>
        <w:t xml:space="preserve">13.  </w:t>
      </w:r>
      <w:r>
        <w:rPr>
          <w:rFonts w:ascii="Arial" w:cs="Arial" w:eastAsia="Arial" w:hAnsi="Arial"/>
          <w:sz w:val="19"/>
          <w:szCs w:val="19"/>
          <w:b w:val="1"/>
          <w:bCs w:val="1"/>
          <w:u w:val="single" w:color="auto"/>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13.1In questo Contratto, laddove il contesto</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non richieda diversamente, i singoli termini</w:t>
      </w:r>
    </w:p>
    <w:p>
      <w:pPr>
        <w:ind w:left="560"/>
        <w:spacing w:after="0" w:line="237" w:lineRule="auto"/>
        <w:rPr>
          <w:sz w:val="20"/>
          <w:szCs w:val="20"/>
          <w:color w:val="auto"/>
        </w:rPr>
      </w:pPr>
      <w:r>
        <w:rPr>
          <w:rFonts w:ascii="Arial" w:cs="Arial" w:eastAsia="Arial" w:hAnsi="Arial"/>
          <w:sz w:val="19"/>
          <w:szCs w:val="19"/>
          <w:color w:val="auto"/>
        </w:rPr>
        <w:t>e le definizioni utilizzate avranno i seguenti</w:t>
      </w:r>
    </w:p>
    <w:p>
      <w:pPr>
        <w:ind w:left="560"/>
        <w:spacing w:after="0"/>
        <w:rPr>
          <w:sz w:val="20"/>
          <w:szCs w:val="20"/>
          <w:color w:val="auto"/>
        </w:rPr>
      </w:pPr>
      <w:r>
        <w:rPr>
          <w:rFonts w:ascii="Arial" w:cs="Arial" w:eastAsia="Arial" w:hAnsi="Arial"/>
          <w:sz w:val="19"/>
          <w:szCs w:val="19"/>
          <w:color w:val="auto"/>
        </w:rPr>
        <w:t>significati:</w:t>
      </w:r>
    </w:p>
    <w:p>
      <w:pPr>
        <w:spacing w:after="0" w:line="169" w:lineRule="exact"/>
        <w:rPr>
          <w:sz w:val="20"/>
          <w:szCs w:val="20"/>
          <w:color w:val="auto"/>
        </w:rPr>
      </w:pPr>
    </w:p>
    <w:p>
      <w:pPr>
        <w:ind w:left="560" w:right="4839" w:hanging="288"/>
        <w:spacing w:after="0" w:line="269" w:lineRule="auto"/>
        <w:tabs>
          <w:tab w:leader="none" w:pos="560" w:val="left"/>
        </w:tabs>
        <w:numPr>
          <w:ilvl w:val="0"/>
          <w:numId w:val="56"/>
        </w:numPr>
        <w:rPr>
          <w:rFonts w:ascii="Times New Roman" w:cs="Times New Roman" w:eastAsia="Times New Roman" w:hAnsi="Times New Roman"/>
          <w:sz w:val="19"/>
          <w:szCs w:val="19"/>
          <w:color w:val="auto"/>
        </w:rPr>
      </w:pPr>
      <w:r>
        <w:rPr>
          <w:rFonts w:ascii="Arial" w:cs="Arial" w:eastAsia="Arial" w:hAnsi="Arial"/>
          <w:sz w:val="19"/>
          <w:szCs w:val="19"/>
          <w:color w:val="auto"/>
        </w:rPr>
        <w:t>Il termine “Gruppo” indicherà la Società e le altre Società del Gruppo.</w:t>
      </w:r>
    </w:p>
    <w:p>
      <w:pPr>
        <w:spacing w:after="0" w:line="130" w:lineRule="exact"/>
        <w:rPr>
          <w:rFonts w:ascii="Times New Roman" w:cs="Times New Roman" w:eastAsia="Times New Roman" w:hAnsi="Times New Roman"/>
          <w:sz w:val="19"/>
          <w:szCs w:val="19"/>
          <w:color w:val="auto"/>
        </w:rPr>
      </w:pPr>
    </w:p>
    <w:p>
      <w:pPr>
        <w:jc w:val="both"/>
        <w:ind w:left="560" w:right="4839" w:hanging="288"/>
        <w:spacing w:after="0" w:line="239" w:lineRule="auto"/>
        <w:tabs>
          <w:tab w:leader="none" w:pos="560" w:val="left"/>
        </w:tabs>
        <w:numPr>
          <w:ilvl w:val="0"/>
          <w:numId w:val="56"/>
        </w:numPr>
        <w:rPr>
          <w:rFonts w:ascii="Times New Roman" w:cs="Times New Roman" w:eastAsia="Times New Roman" w:hAnsi="Times New Roman"/>
          <w:sz w:val="19"/>
          <w:szCs w:val="19"/>
          <w:color w:val="auto"/>
        </w:rPr>
      </w:pPr>
      <w:r>
        <w:rPr>
          <w:rFonts w:ascii="Arial" w:cs="Arial" w:eastAsia="Arial" w:hAnsi="Arial"/>
          <w:sz w:val="19"/>
          <w:szCs w:val="19"/>
          <w:color w:val="auto"/>
        </w:rPr>
        <w:t>La definizione “Società del Gruppo” indicherà qualsiasi società controllante e/o controllata dalla Società o qualsiasi societa' collegata ai sensi dell'articolo 2359 del Codice Civile Italiano o in ogni caso appartenenti al medesimo Gruppo e qualsiasi riferimento venga fatto nel presente Contratto a una “Società del Gruppo” o a più “Società del Gruppo”</w:t>
      </w:r>
    </w:p>
    <w:p>
      <w:pPr>
        <w:spacing w:after="0" w:line="2" w:lineRule="exact"/>
        <w:rPr>
          <w:rFonts w:ascii="Times New Roman" w:cs="Times New Roman" w:eastAsia="Times New Roman" w:hAnsi="Times New Roman"/>
          <w:sz w:val="19"/>
          <w:szCs w:val="19"/>
          <w:color w:val="auto"/>
        </w:rPr>
      </w:pPr>
    </w:p>
    <w:p>
      <w:pPr>
        <w:jc w:val="both"/>
        <w:ind w:left="560" w:right="4839"/>
        <w:spacing w:after="0"/>
        <w:rPr>
          <w:rFonts w:ascii="Times New Roman" w:cs="Times New Roman" w:eastAsia="Times New Roman" w:hAnsi="Times New Roman"/>
          <w:sz w:val="19"/>
          <w:szCs w:val="19"/>
          <w:color w:val="auto"/>
        </w:rPr>
      </w:pPr>
      <w:r>
        <w:rPr>
          <w:rFonts w:ascii="Arial" w:cs="Arial" w:eastAsia="Arial" w:hAnsi="Arial"/>
          <w:sz w:val="19"/>
          <w:szCs w:val="19"/>
          <w:color w:val="auto"/>
        </w:rPr>
        <w:t>comprende espressamente anche qualsiasi subentrante o cessionario della Società o di una qualsiasi Società del Gruppo e dovrà essere interpretato di conseguenza.</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13.2Il presente Contratto è regolato dalla legge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italiana e dalle previsioni di diritto Italiano.</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13.3Il  presente  Contratto  è  redatto  in  due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versioni in lingua italiana e inglese. In caso</w:t>
      </w:r>
    </w:p>
    <w:p>
      <w:pPr>
        <w:ind w:left="560"/>
        <w:spacing w:after="0" w:line="237" w:lineRule="auto"/>
        <w:rPr>
          <w:sz w:val="20"/>
          <w:szCs w:val="20"/>
          <w:color w:val="auto"/>
        </w:rPr>
      </w:pPr>
      <w:r>
        <w:rPr>
          <w:rFonts w:ascii="Arial" w:cs="Arial" w:eastAsia="Arial" w:hAnsi="Arial"/>
          <w:sz w:val="19"/>
          <w:szCs w:val="19"/>
          <w:color w:val="auto"/>
        </w:rPr>
        <w:t>di  contrasto  interpretativo,  farà  fede  la</w:t>
      </w:r>
    </w:p>
    <w:p>
      <w:pPr>
        <w:ind w:left="560"/>
        <w:spacing w:after="0" w:line="237" w:lineRule="auto"/>
        <w:rPr>
          <w:sz w:val="20"/>
          <w:szCs w:val="20"/>
          <w:color w:val="auto"/>
        </w:rPr>
      </w:pPr>
      <w:r>
        <w:rPr>
          <w:rFonts w:ascii="Arial" w:cs="Arial" w:eastAsia="Arial" w:hAnsi="Arial"/>
          <w:sz w:val="19"/>
          <w:szCs w:val="19"/>
          <w:color w:val="auto"/>
        </w:rPr>
        <w:t>versione italiana che prevale su quella in</w:t>
      </w:r>
    </w:p>
    <w:p>
      <w:pPr>
        <w:ind w:left="560"/>
        <w:spacing w:after="0"/>
        <w:rPr>
          <w:sz w:val="20"/>
          <w:szCs w:val="20"/>
          <w:color w:val="auto"/>
        </w:rPr>
      </w:pPr>
      <w:r>
        <w:rPr>
          <w:rFonts w:ascii="Arial" w:cs="Arial" w:eastAsia="Arial" w:hAnsi="Arial"/>
          <w:sz w:val="19"/>
          <w:szCs w:val="19"/>
          <w:color w:val="auto"/>
        </w:rPr>
        <w:t>lingua inglese.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13.4Ciascuna delle Parti è libera di accettare</w:t>
      </w:r>
    </w:p>
    <w:p>
      <w:pPr>
        <w:spacing w:after="0" w:line="13" w:lineRule="exact"/>
        <w:rPr>
          <w:sz w:val="20"/>
          <w:szCs w:val="20"/>
          <w:color w:val="auto"/>
        </w:rPr>
      </w:pPr>
    </w:p>
    <w:p>
      <w:pPr>
        <w:ind w:left="560"/>
        <w:spacing w:after="0"/>
        <w:tabs>
          <w:tab w:leader="none" w:pos="1460" w:val="left"/>
          <w:tab w:leader="none" w:pos="2600" w:val="left"/>
          <w:tab w:leader="none" w:pos="3740" w:val="left"/>
        </w:tabs>
        <w:rPr>
          <w:sz w:val="20"/>
          <w:szCs w:val="20"/>
          <w:color w:val="auto"/>
        </w:rPr>
      </w:pPr>
      <w:r>
        <w:rPr>
          <w:rFonts w:ascii="Arial" w:cs="Arial" w:eastAsia="Arial" w:hAnsi="Arial"/>
          <w:sz w:val="19"/>
          <w:szCs w:val="19"/>
          <w:color w:val="auto"/>
        </w:rPr>
        <w:t>questo</w:t>
      </w:r>
      <w:r>
        <w:rPr>
          <w:sz w:val="20"/>
          <w:szCs w:val="20"/>
          <w:color w:val="auto"/>
        </w:rPr>
        <w:tab/>
      </w:r>
      <w:r>
        <w:rPr>
          <w:rFonts w:ascii="Arial" w:cs="Arial" w:eastAsia="Arial" w:hAnsi="Arial"/>
          <w:sz w:val="19"/>
          <w:szCs w:val="19"/>
          <w:color w:val="auto"/>
        </w:rPr>
        <w:t>Contratto</w:t>
      </w:r>
      <w:r>
        <w:rPr>
          <w:sz w:val="20"/>
          <w:szCs w:val="20"/>
          <w:color w:val="auto"/>
        </w:rPr>
        <w:tab/>
      </w:r>
      <w:r>
        <w:rPr>
          <w:rFonts w:ascii="Arial" w:cs="Arial" w:eastAsia="Arial" w:hAnsi="Arial"/>
          <w:sz w:val="19"/>
          <w:szCs w:val="19"/>
          <w:color w:val="auto"/>
        </w:rPr>
        <w:t>mediante</w:t>
      </w:r>
      <w:r>
        <w:rPr>
          <w:sz w:val="20"/>
          <w:szCs w:val="20"/>
          <w:color w:val="auto"/>
        </w:rPr>
        <w:tab/>
      </w:r>
      <w:r>
        <w:rPr>
          <w:rFonts w:ascii="Arial" w:cs="Arial" w:eastAsia="Arial" w:hAnsi="Arial"/>
          <w:sz w:val="18"/>
          <w:szCs w:val="18"/>
          <w:color w:val="auto"/>
        </w:rPr>
        <w:t>firma</w:t>
      </w:r>
    </w:p>
    <w:p>
      <w:pPr>
        <w:ind w:left="560"/>
        <w:spacing w:after="0" w:line="237" w:lineRule="auto"/>
        <w:rPr>
          <w:sz w:val="20"/>
          <w:szCs w:val="20"/>
          <w:color w:val="auto"/>
        </w:rPr>
      </w:pPr>
      <w:r>
        <w:rPr>
          <w:rFonts w:ascii="Arial" w:cs="Arial" w:eastAsia="Arial" w:hAnsi="Arial"/>
          <w:sz w:val="19"/>
          <w:szCs w:val="19"/>
          <w:color w:val="auto"/>
        </w:rPr>
        <w:t>elettronica (qualunque sia la forma della</w:t>
      </w:r>
    </w:p>
    <w:p>
      <w:pPr>
        <w:ind w:left="560"/>
        <w:spacing w:after="0"/>
        <w:rPr>
          <w:sz w:val="20"/>
          <w:szCs w:val="20"/>
          <w:color w:val="auto"/>
        </w:rPr>
      </w:pPr>
      <w:r>
        <w:rPr>
          <w:rFonts w:ascii="Arial" w:cs="Arial" w:eastAsia="Arial" w:hAnsi="Arial"/>
          <w:sz w:val="19"/>
          <w:szCs w:val="19"/>
          <w:color w:val="auto"/>
        </w:rPr>
        <w:t>firma elettronica). Tale modalita' di</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13.1</w:t>
      </w:r>
    </w:p>
    <w:p>
      <w:pPr>
        <w:sectPr>
          <w:pgSz w:w="11900" w:h="16838" w:orient="portrait"/>
          <w:cols w:equalWidth="0" w:num="1">
            <w:col w:w="9019"/>
          </w:cols>
          <w:pgMar w:left="1440" w:top="126" w:right="1440" w:bottom="1440" w:gutter="0" w:footer="0" w:header="0"/>
        </w:sectPr>
      </w:pPr>
    </w:p>
    <w:bookmarkStart w:id="85" w:name="page86"/>
    <w:bookmarkEnd w:id="85"/>
    <w:p>
      <w:pPr>
        <w:ind w:left="4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86" w:name="page87"/>
    <w:bookmarkEnd w:id="86"/>
    <w:p>
      <w:pPr>
        <w:spacing w:after="0" w:line="225" w:lineRule="exact"/>
        <w:rPr>
          <w:sz w:val="20"/>
          <w:szCs w:val="20"/>
          <w:color w:val="auto"/>
        </w:rPr>
      </w:pPr>
    </w:p>
    <w:p>
      <w:pPr>
        <w:ind w:left="800" w:right="900" w:hanging="606"/>
        <w:spacing w:after="0" w:line="269" w:lineRule="auto"/>
        <w:tabs>
          <w:tab w:leader="none" w:pos="800" w:val="left"/>
        </w:tabs>
        <w:numPr>
          <w:ilvl w:val="0"/>
          <w:numId w:val="57"/>
        </w:numPr>
        <w:rPr>
          <w:rFonts w:ascii="Times New Roman" w:cs="Times New Roman" w:eastAsia="Times New Roman" w:hAnsi="Times New Roman"/>
          <w:sz w:val="19"/>
          <w:szCs w:val="19"/>
          <w:color w:val="auto"/>
        </w:rPr>
      </w:pPr>
      <w:r>
        <w:rPr>
          <w:rFonts w:ascii="Arial" w:cs="Arial" w:eastAsia="Arial" w:hAnsi="Arial"/>
          <w:sz w:val="19"/>
          <w:szCs w:val="19"/>
          <w:color w:val="auto"/>
        </w:rPr>
        <w:t>“Group” means the Company and the Group Companies.</w:t>
      </w:r>
    </w:p>
    <w:p>
      <w:pPr>
        <w:spacing w:after="0" w:line="143" w:lineRule="exact"/>
        <w:rPr>
          <w:rFonts w:ascii="Times New Roman" w:cs="Times New Roman" w:eastAsia="Times New Roman" w:hAnsi="Times New Roman"/>
          <w:sz w:val="19"/>
          <w:szCs w:val="19"/>
          <w:color w:val="auto"/>
        </w:rPr>
      </w:pPr>
    </w:p>
    <w:p>
      <w:pPr>
        <w:jc w:val="both"/>
        <w:ind w:left="800" w:right="900" w:hanging="606"/>
        <w:spacing w:after="0" w:line="254" w:lineRule="auto"/>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“Group Company” means any company any controlling or controlled entity by the Company or associated company being part of the Group, as defined under article 2359 of the Italian Civil Code or in any case being part of the Group and reference herein to “a Group Company” or to “Group Companies” includes any successor or assignee of the Company or any Group Company and shall be construed accordingly.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right="279" w:hanging="599"/>
        <w:spacing w:after="0" w:line="270" w:lineRule="auto"/>
        <w:rPr>
          <w:sz w:val="20"/>
          <w:szCs w:val="20"/>
          <w:color w:val="auto"/>
        </w:rPr>
      </w:pPr>
      <w:r>
        <w:rPr>
          <w:rFonts w:ascii="Arial" w:cs="Arial" w:eastAsia="Arial" w:hAnsi="Arial"/>
          <w:sz w:val="19"/>
          <w:szCs w:val="19"/>
          <w:color w:val="auto"/>
        </w:rPr>
        <w:t>13.2</w:t>
      </w:r>
      <w:r>
        <w:rPr>
          <w:sz w:val="20"/>
          <w:szCs w:val="20"/>
          <w:color w:val="auto"/>
        </w:rPr>
        <w:t xml:space="preserve"> </w:t>
      </w:r>
      <w:r>
        <w:rPr>
          <w:rFonts w:ascii="Arial" w:cs="Arial" w:eastAsia="Arial" w:hAnsi="Arial"/>
          <w:sz w:val="19"/>
          <w:szCs w:val="19"/>
          <w:color w:val="auto"/>
        </w:rPr>
        <w:t>This Agreement is governed by Italian law and regulations.</w:t>
      </w:r>
    </w:p>
    <w:p>
      <w:pPr>
        <w:spacing w:after="0" w:line="200" w:lineRule="exact"/>
        <w:rPr>
          <w:sz w:val="20"/>
          <w:szCs w:val="20"/>
          <w:color w:val="auto"/>
        </w:rPr>
      </w:pPr>
    </w:p>
    <w:p>
      <w:pPr>
        <w:spacing w:after="0" w:line="361" w:lineRule="exact"/>
        <w:rPr>
          <w:sz w:val="20"/>
          <w:szCs w:val="20"/>
          <w:color w:val="auto"/>
        </w:rPr>
      </w:pPr>
    </w:p>
    <w:p>
      <w:pPr>
        <w:jc w:val="both"/>
        <w:ind w:right="279" w:hanging="599"/>
        <w:spacing w:after="0" w:line="243" w:lineRule="auto"/>
        <w:rPr>
          <w:sz w:val="20"/>
          <w:szCs w:val="20"/>
          <w:color w:val="auto"/>
        </w:rPr>
      </w:pPr>
      <w:r>
        <w:rPr>
          <w:rFonts w:ascii="Arial" w:cs="Arial" w:eastAsia="Arial" w:hAnsi="Arial"/>
          <w:sz w:val="19"/>
          <w:szCs w:val="19"/>
          <w:color w:val="auto"/>
        </w:rPr>
        <w:t>13.3</w:t>
      </w:r>
      <w:r>
        <w:rPr>
          <w:sz w:val="20"/>
          <w:szCs w:val="20"/>
          <w:color w:val="auto"/>
        </w:rPr>
        <w:t xml:space="preserve"> </w:t>
      </w:r>
      <w:r>
        <w:rPr>
          <w:rFonts w:ascii="Arial" w:cs="Arial" w:eastAsia="Arial" w:hAnsi="Arial"/>
          <w:sz w:val="19"/>
          <w:szCs w:val="19"/>
          <w:color w:val="auto"/>
        </w:rPr>
        <w:t>This Agreement has been drawn in two versions, one in Italian, and the other in English. In the event that difficulties in interpretation arise, the Italian version shall prevail in all respects.</w:t>
      </w:r>
    </w:p>
    <w:p>
      <w:pPr>
        <w:spacing w:after="0" w:line="200" w:lineRule="exact"/>
        <w:rPr>
          <w:sz w:val="20"/>
          <w:szCs w:val="20"/>
          <w:color w:val="auto"/>
        </w:rPr>
      </w:pPr>
    </w:p>
    <w:p>
      <w:pPr>
        <w:spacing w:after="0" w:line="390" w:lineRule="exact"/>
        <w:rPr>
          <w:sz w:val="20"/>
          <w:szCs w:val="20"/>
          <w:color w:val="auto"/>
        </w:rPr>
      </w:pPr>
    </w:p>
    <w:p>
      <w:pPr>
        <w:jc w:val="both"/>
        <w:ind w:right="279" w:hanging="599"/>
        <w:spacing w:after="0" w:line="248" w:lineRule="auto"/>
        <w:rPr>
          <w:sz w:val="20"/>
          <w:szCs w:val="20"/>
          <w:color w:val="auto"/>
        </w:rPr>
      </w:pPr>
      <w:r>
        <w:rPr>
          <w:rFonts w:ascii="Arial" w:cs="Arial" w:eastAsia="Arial" w:hAnsi="Arial"/>
          <w:sz w:val="19"/>
          <w:szCs w:val="19"/>
          <w:color w:val="auto"/>
        </w:rPr>
        <w:t>13.4</w:t>
      </w:r>
      <w:r>
        <w:rPr>
          <w:sz w:val="20"/>
          <w:szCs w:val="20"/>
          <w:color w:val="auto"/>
        </w:rPr>
        <w:t xml:space="preserve"> </w:t>
      </w:r>
      <w:r>
        <w:rPr>
          <w:rFonts w:ascii="Arial" w:cs="Arial" w:eastAsia="Arial" w:hAnsi="Arial"/>
          <w:sz w:val="19"/>
          <w:szCs w:val="19"/>
          <w:color w:val="auto"/>
        </w:rPr>
        <w:t>Each party may agree to sign this Agreement by electronic signature (whatever form the electronic signature</w:t>
      </w:r>
    </w:p>
    <w:p>
      <w:pPr>
        <w:spacing w:after="0" w:line="200" w:lineRule="exact"/>
        <w:rPr>
          <w:sz w:val="20"/>
          <w:szCs w:val="20"/>
          <w:color w:val="auto"/>
        </w:rPr>
      </w:pPr>
    </w:p>
    <w:p>
      <w:pPr>
        <w:sectPr>
          <w:pgSz w:w="11900" w:h="16838" w:orient="portrait"/>
          <w:cols w:equalWidth="0" w:num="2">
            <w:col w:w="4860" w:space="720"/>
            <w:col w:w="343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7" w:name="page88"/>
    <w:bookmarkEnd w:id="87"/>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88900</wp:posOffset>
            </wp:positionV>
            <wp:extent cx="10026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920"/>
        <w:spacing w:after="0" w:line="248" w:lineRule="auto"/>
        <w:rPr>
          <w:sz w:val="20"/>
          <w:szCs w:val="20"/>
          <w:color w:val="auto"/>
        </w:rPr>
      </w:pPr>
      <w:r>
        <w:rPr>
          <w:rFonts w:ascii="Arial" w:cs="Arial" w:eastAsia="Arial" w:hAnsi="Arial"/>
          <w:sz w:val="19"/>
          <w:szCs w:val="19"/>
          <w:color w:val="auto"/>
        </w:rPr>
        <w:t>sottoscrizione è idonea a rappresentare l'intenzione di ciascuna Parte di vincolarsi al presente Contratto al pari di una firma autografa.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80" w:right="320"/>
        <w:spacing w:after="0" w:line="270" w:lineRule="auto"/>
        <w:rPr>
          <w:sz w:val="20"/>
          <w:szCs w:val="20"/>
          <w:color w:val="auto"/>
        </w:rPr>
      </w:pPr>
      <w:r>
        <w:rPr>
          <w:rFonts w:ascii="Arial" w:cs="Arial" w:eastAsia="Arial" w:hAnsi="Arial"/>
          <w:sz w:val="19"/>
          <w:szCs w:val="19"/>
          <w:color w:val="auto"/>
        </w:rPr>
        <w:t>Due originali sottoscritti, ciascuna delle Parti riceve un originale.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640" w:right="379"/>
        <w:spacing w:after="0" w:line="243" w:lineRule="auto"/>
        <w:rPr>
          <w:sz w:val="20"/>
          <w:szCs w:val="20"/>
          <w:color w:val="auto"/>
        </w:rPr>
      </w:pPr>
      <w:r>
        <w:rPr>
          <w:rFonts w:ascii="Arial" w:cs="Arial" w:eastAsia="Arial" w:hAnsi="Arial"/>
          <w:sz w:val="19"/>
          <w:szCs w:val="19"/>
          <w:color w:val="auto"/>
        </w:rPr>
        <w:t>takes). In the event that this Agreement is signed by electronic signature, this method of signature is as conclusive of each party’s intention to be bound by this Agreement as if signed by each party’s manuscript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-833755</wp:posOffset>
            </wp:positionV>
            <wp:extent cx="5494655" cy="2074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5494655" cy="20745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579"/>
        <w:spacing w:after="0" w:line="270" w:lineRule="auto"/>
        <w:rPr>
          <w:sz w:val="20"/>
          <w:szCs w:val="20"/>
          <w:color w:val="auto"/>
        </w:rPr>
      </w:pPr>
      <w:r>
        <w:rPr>
          <w:rFonts w:ascii="Arial" w:cs="Arial" w:eastAsia="Arial" w:hAnsi="Arial"/>
          <w:sz w:val="19"/>
          <w:szCs w:val="19"/>
          <w:color w:val="auto"/>
        </w:rPr>
        <w:t>Two originals signed, each Party receiving one original.</w:t>
      </w:r>
    </w:p>
    <w:p>
      <w:pPr>
        <w:spacing w:after="0" w:line="200" w:lineRule="exact"/>
        <w:rPr>
          <w:sz w:val="20"/>
          <w:szCs w:val="20"/>
          <w:color w:val="auto"/>
        </w:rPr>
      </w:pPr>
    </w:p>
    <w:p>
      <w:pPr>
        <w:sectPr>
          <w:pgSz w:w="11900" w:h="16838" w:orient="portrait"/>
          <w:cols w:equalWidth="0" w:num="2">
            <w:col w:w="4300" w:space="220"/>
            <w:col w:w="449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3/1/2021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9"/>
          <w:szCs w:val="19"/>
          <w:color w:val="auto"/>
        </w:rPr>
        <w:t>Milano,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/s/ Gail Wasylyshyn</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Gail Wasylyshyn</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La Fourchette (Italy) srl</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Firmato digitalmente / Digitally Signed</w:t>
      </w: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Per accettazione/For acceptance</w:t>
      </w:r>
    </w:p>
    <w:p>
      <w:pPr>
        <w:spacing w:after="0" w:line="200" w:lineRule="exact"/>
        <w:rPr>
          <w:sz w:val="20"/>
          <w:szCs w:val="20"/>
          <w:color w:val="auto"/>
        </w:rPr>
      </w:pPr>
    </w:p>
    <w:p>
      <w:pPr>
        <w:spacing w:after="0" w:line="270"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/s/ Almir Abeskovic</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Almir Ambeskovic</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EXECUTIVE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Firmato digitalmente / Digitally Signed</w:t>
      </w: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Annex A: Privacy Notice</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Annex B: Job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568325</wp:posOffset>
            </wp:positionV>
            <wp:extent cx="684911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8" w:name="page89"/>
    <w:bookmarkEnd w:id="88"/>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5977255</wp:posOffset>
            </wp:positionH>
            <wp:positionV relativeFrom="page">
              <wp:posOffset>560070</wp:posOffset>
            </wp:positionV>
            <wp:extent cx="600075" cy="3860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ind w:left="60"/>
        <w:spacing w:after="0"/>
        <w:rPr>
          <w:sz w:val="20"/>
          <w:szCs w:val="20"/>
          <w:color w:val="auto"/>
        </w:rPr>
      </w:pPr>
      <w:r>
        <w:rPr>
          <w:rFonts w:ascii="Arial" w:cs="Arial" w:eastAsia="Arial" w:hAnsi="Arial"/>
          <w:sz w:val="32"/>
          <w:szCs w:val="32"/>
          <w:b w:val="1"/>
          <w:bCs w:val="1"/>
          <w:color w:val="242424"/>
        </w:rPr>
        <w:t>Informativa sulla privacy</w:t>
      </w:r>
    </w:p>
    <w:p>
      <w:pPr>
        <w:spacing w:after="0" w:line="39" w:lineRule="exact"/>
        <w:rPr>
          <w:sz w:val="20"/>
          <w:szCs w:val="20"/>
          <w:color w:val="auto"/>
        </w:rPr>
      </w:pPr>
    </w:p>
    <w:p>
      <w:pPr>
        <w:jc w:val="both"/>
        <w:ind w:left="60"/>
        <w:spacing w:after="0" w:line="237" w:lineRule="auto"/>
        <w:rPr>
          <w:sz w:val="20"/>
          <w:szCs w:val="20"/>
          <w:color w:val="auto"/>
        </w:rPr>
      </w:pPr>
      <w:r>
        <w:rPr>
          <w:rFonts w:ascii="Arial" w:cs="Arial" w:eastAsia="Arial" w:hAnsi="Arial"/>
          <w:sz w:val="18"/>
          <w:szCs w:val="18"/>
          <w:color w:val="auto"/>
        </w:rPr>
        <w:t>TripAdvisor e le relative affiliate (tra cui, in via esemplificativa, Viator, Holiday Lettings e La Fourchette, collettivamente "TripAdvisor") si impegnano a proteggere la privacy e la sicurezza dei dati personali dei collaboratori. La presente Informativa sulla privacy descrive le modalità di raccolta e trattamento dei dati personali dei collaboratori, durante e dopo il rapporto di lavoro con TripAdvisor. La presente Informativa si applica a dipendenti, collaboratori e appaltatori attuali e precedenti. La presente Informativa non costituisce parte di un contratto di impiego o altro contratto di fornitura di servizi. TripAdvisor si riserva di aggiornare la presente Informativa in qualsiasi momento. Si consiglia di leggere la presente Informativa ed eventuali altri avvisi sulla privacy che TripAdvisor si riserva di fornire in occasioni specifiche che prevedano la raccolta e il trattamento dei dati personali dei collaboratori, in modo da metterli al corrente delle modalità e dei motivi di tale utilizzo.</w:t>
      </w:r>
    </w:p>
    <w:p>
      <w:pPr>
        <w:spacing w:after="0" w:line="167"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TripAdvisor funge da "controllore dei dati". Questo significa che è responsabile di decidere le modalità di conservazione e trattamento dei dati personali dei collaboratori. Le normative in materia di protezione dei dati impongono la divulgazione delle informazioni contenute nella presente Informativa sulla privacy.</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PRINCIPI DI TUTELA DEI DATI</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 legge in materia di tutela dei dati impone che i dati personali che TripAdvisor detiene sui collaboratori siano:</w:t>
      </w:r>
    </w:p>
    <w:p>
      <w:pPr>
        <w:spacing w:after="0" w:line="185" w:lineRule="exact"/>
        <w:rPr>
          <w:sz w:val="20"/>
          <w:szCs w:val="20"/>
          <w:color w:val="auto"/>
        </w:rPr>
      </w:pPr>
    </w:p>
    <w:p>
      <w:pPr>
        <w:ind w:left="220" w:hanging="178"/>
        <w:spacing w:after="0"/>
        <w:tabs>
          <w:tab w:leader="none" w:pos="220" w:val="left"/>
        </w:tabs>
        <w:numPr>
          <w:ilvl w:val="1"/>
          <w:numId w:val="58"/>
        </w:numPr>
        <w:rPr>
          <w:rFonts w:ascii="Calibri" w:cs="Calibri" w:eastAsia="Calibri" w:hAnsi="Calibri"/>
          <w:sz w:val="18"/>
          <w:szCs w:val="18"/>
          <w:color w:val="auto"/>
        </w:rPr>
      </w:pPr>
      <w:r>
        <w:rPr>
          <w:rFonts w:ascii="Arial" w:cs="Arial" w:eastAsia="Arial" w:hAnsi="Arial"/>
          <w:sz w:val="18"/>
          <w:szCs w:val="18"/>
          <w:color w:val="auto"/>
        </w:rPr>
        <w:t>Utilizzati in modo legale, corretto e trasparente.</w:t>
      </w:r>
    </w:p>
    <w:p>
      <w:pPr>
        <w:spacing w:after="0" w:line="212" w:lineRule="exact"/>
        <w:rPr>
          <w:rFonts w:ascii="Calibri" w:cs="Calibri" w:eastAsia="Calibri" w:hAnsi="Calibri"/>
          <w:sz w:val="18"/>
          <w:szCs w:val="18"/>
          <w:color w:val="auto"/>
        </w:rPr>
      </w:pPr>
    </w:p>
    <w:p>
      <w:pPr>
        <w:ind w:left="20" w:right="300" w:firstLine="9"/>
        <w:spacing w:after="0" w:line="288" w:lineRule="auto"/>
        <w:tabs>
          <w:tab w:leader="none" w:pos="413" w:val="left"/>
        </w:tabs>
        <w:numPr>
          <w:ilvl w:val="0"/>
          <w:numId w:val="59"/>
        </w:numPr>
        <w:rPr>
          <w:rFonts w:ascii="Calibri" w:cs="Calibri" w:eastAsia="Calibri" w:hAnsi="Calibri"/>
          <w:sz w:val="18"/>
          <w:szCs w:val="18"/>
          <w:color w:val="auto"/>
        </w:rPr>
      </w:pPr>
      <w:r>
        <w:rPr>
          <w:rFonts w:ascii="Arial" w:cs="Arial" w:eastAsia="Arial" w:hAnsi="Arial"/>
          <w:sz w:val="18"/>
          <w:szCs w:val="18"/>
          <w:color w:val="auto"/>
        </w:rPr>
        <w:t>Raccolti esclusivamente per scopi validi e chiaramente illustrati ai collaboratori e non utilizzati in modi non compatibili con tali scopi.</w:t>
      </w:r>
    </w:p>
    <w:p>
      <w:pPr>
        <w:spacing w:after="0" w:line="122" w:lineRule="exact"/>
        <w:rPr>
          <w:rFonts w:ascii="Calibri" w:cs="Calibri" w:eastAsia="Calibri" w:hAnsi="Calibri"/>
          <w:sz w:val="18"/>
          <w:szCs w:val="18"/>
          <w:color w:val="auto"/>
        </w:rPr>
      </w:pPr>
    </w:p>
    <w:p>
      <w:pPr>
        <w:ind w:left="220" w:hanging="178"/>
        <w:spacing w:after="0"/>
        <w:tabs>
          <w:tab w:leader="none" w:pos="220" w:val="left"/>
        </w:tabs>
        <w:numPr>
          <w:ilvl w:val="1"/>
          <w:numId w:val="59"/>
        </w:numPr>
        <w:rPr>
          <w:rFonts w:ascii="Calibri" w:cs="Calibri" w:eastAsia="Calibri" w:hAnsi="Calibri"/>
          <w:sz w:val="18"/>
          <w:szCs w:val="18"/>
          <w:color w:val="auto"/>
        </w:rPr>
      </w:pPr>
      <w:r>
        <w:rPr>
          <w:rFonts w:ascii="Arial" w:cs="Arial" w:eastAsia="Arial" w:hAnsi="Arial"/>
          <w:sz w:val="18"/>
          <w:szCs w:val="18"/>
          <w:color w:val="auto"/>
        </w:rPr>
        <w:t>Pertinenti agli scopi indicati e limitati esclusivamente a essi.</w:t>
      </w:r>
    </w:p>
    <w:p>
      <w:pPr>
        <w:spacing w:after="0" w:line="198" w:lineRule="exact"/>
        <w:rPr>
          <w:rFonts w:ascii="Calibri" w:cs="Calibri" w:eastAsia="Calibri" w:hAnsi="Calibri"/>
          <w:sz w:val="18"/>
          <w:szCs w:val="18"/>
          <w:color w:val="auto"/>
        </w:rPr>
      </w:pPr>
    </w:p>
    <w:p>
      <w:pPr>
        <w:ind w:left="220" w:hanging="178"/>
        <w:spacing w:after="0"/>
        <w:tabs>
          <w:tab w:leader="none" w:pos="220" w:val="left"/>
        </w:tabs>
        <w:numPr>
          <w:ilvl w:val="1"/>
          <w:numId w:val="59"/>
        </w:numPr>
        <w:rPr>
          <w:rFonts w:ascii="Calibri" w:cs="Calibri" w:eastAsia="Calibri" w:hAnsi="Calibri"/>
          <w:sz w:val="18"/>
          <w:szCs w:val="18"/>
          <w:color w:val="auto"/>
        </w:rPr>
      </w:pPr>
      <w:r>
        <w:rPr>
          <w:rFonts w:ascii="Arial" w:cs="Arial" w:eastAsia="Arial" w:hAnsi="Arial"/>
          <w:sz w:val="18"/>
          <w:szCs w:val="18"/>
          <w:color w:val="auto"/>
        </w:rPr>
        <w:t>Registrati e aggiornati in modo accurato.</w:t>
      </w:r>
    </w:p>
    <w:p>
      <w:pPr>
        <w:spacing w:after="0" w:line="212" w:lineRule="exact"/>
        <w:rPr>
          <w:rFonts w:ascii="Calibri" w:cs="Calibri" w:eastAsia="Calibri" w:hAnsi="Calibri"/>
          <w:sz w:val="18"/>
          <w:szCs w:val="18"/>
          <w:color w:val="auto"/>
        </w:rPr>
      </w:pPr>
    </w:p>
    <w:p>
      <w:pPr>
        <w:ind w:left="220" w:hanging="178"/>
        <w:spacing w:after="0"/>
        <w:tabs>
          <w:tab w:leader="none" w:pos="220" w:val="left"/>
        </w:tabs>
        <w:numPr>
          <w:ilvl w:val="1"/>
          <w:numId w:val="59"/>
        </w:numPr>
        <w:rPr>
          <w:rFonts w:ascii="Calibri" w:cs="Calibri" w:eastAsia="Calibri" w:hAnsi="Calibri"/>
          <w:sz w:val="18"/>
          <w:szCs w:val="18"/>
          <w:color w:val="auto"/>
        </w:rPr>
      </w:pPr>
      <w:r>
        <w:rPr>
          <w:rFonts w:ascii="Arial" w:cs="Arial" w:eastAsia="Arial" w:hAnsi="Arial"/>
          <w:sz w:val="18"/>
          <w:szCs w:val="18"/>
          <w:color w:val="auto"/>
        </w:rPr>
        <w:t>Conservati solo per il periodo necessario agli scopi comunicati.</w:t>
      </w:r>
    </w:p>
    <w:p>
      <w:pPr>
        <w:spacing w:after="0" w:line="212" w:lineRule="exact"/>
        <w:rPr>
          <w:rFonts w:ascii="Calibri" w:cs="Calibri" w:eastAsia="Calibri" w:hAnsi="Calibri"/>
          <w:sz w:val="18"/>
          <w:szCs w:val="18"/>
          <w:color w:val="auto"/>
        </w:rPr>
      </w:pPr>
    </w:p>
    <w:p>
      <w:pPr>
        <w:ind w:left="220" w:hanging="178"/>
        <w:spacing w:after="0"/>
        <w:tabs>
          <w:tab w:leader="none" w:pos="220" w:val="left"/>
        </w:tabs>
        <w:numPr>
          <w:ilvl w:val="1"/>
          <w:numId w:val="59"/>
        </w:numPr>
        <w:rPr>
          <w:rFonts w:ascii="Calibri" w:cs="Calibri" w:eastAsia="Calibri" w:hAnsi="Calibri"/>
          <w:sz w:val="18"/>
          <w:szCs w:val="18"/>
          <w:color w:val="auto"/>
        </w:rPr>
      </w:pPr>
      <w:r>
        <w:rPr>
          <w:rFonts w:ascii="Arial" w:cs="Arial" w:eastAsia="Arial" w:hAnsi="Arial"/>
          <w:sz w:val="18"/>
          <w:szCs w:val="18"/>
          <w:color w:val="auto"/>
        </w:rPr>
        <w:t>Archiviati in modo sicuro.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INFORMAZIONI ARCHIVIATE SUI COLLABORATORI</w:t>
      </w:r>
    </w:p>
    <w:p>
      <w:pPr>
        <w:spacing w:after="0" w:line="200" w:lineRule="exact"/>
        <w:rPr>
          <w:sz w:val="20"/>
          <w:szCs w:val="20"/>
          <w:color w:val="auto"/>
        </w:rPr>
      </w:pPr>
    </w:p>
    <w:p>
      <w:pPr>
        <w:spacing w:after="0" w:line="201" w:lineRule="exact"/>
        <w:rPr>
          <w:sz w:val="20"/>
          <w:szCs w:val="20"/>
          <w:color w:val="auto"/>
        </w:rPr>
      </w:pPr>
    </w:p>
    <w:p>
      <w:pPr>
        <w:ind w:left="40" w:right="400"/>
        <w:spacing w:after="0" w:line="271" w:lineRule="auto"/>
        <w:rPr>
          <w:sz w:val="20"/>
          <w:szCs w:val="20"/>
          <w:color w:val="auto"/>
        </w:rPr>
      </w:pPr>
      <w:r>
        <w:rPr>
          <w:rFonts w:ascii="Arial" w:cs="Arial" w:eastAsia="Arial" w:hAnsi="Arial"/>
          <w:sz w:val="18"/>
          <w:szCs w:val="18"/>
          <w:color w:val="auto"/>
        </w:rPr>
        <w:t>Per dati personali, o informazioni personali, si intendono quelle informazioni sulla persona che ne consentono l'identificazione. Non sono inclusi i dati da cui l'identità sia stata rimossa (dati anonimi).</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Esistono "categorie speciali" per dati personali più sensibili che richiedono un livello di protezione superiore.</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TripAdvisor raccoglie, archivia e utilizza le seguenti categorie di informazioni personali sui collaboratori: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AAAAA"/>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784860</wp:posOffset>
            </wp:positionV>
            <wp:extent cx="703770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-15875</wp:posOffset>
            </wp:positionV>
            <wp:extent cx="57175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ectPr>
          <w:pgSz w:w="11900" w:h="16838" w:orient="portrait"/>
          <w:cols w:equalWidth="0" w:num="1">
            <w:col w:w="9140"/>
          </w:cols>
          <w:pgMar w:left="1340" w:top="1440" w:right="1419" w:bottom="1440" w:gutter="0" w:footer="0" w:header="0"/>
        </w:sectPr>
      </w:pPr>
    </w:p>
    <w:bookmarkStart w:id="89" w:name="page90"/>
    <w:bookmarkEnd w:id="89"/>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5977255</wp:posOffset>
            </wp:positionH>
            <wp:positionV relativeFrom="page">
              <wp:posOffset>560070</wp:posOffset>
            </wp:positionV>
            <wp:extent cx="600075" cy="3860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Contatti personali, ad esempio nome, titolo, indirizzo, numeri di telefono e indirizzi email personali.</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Data di nascita.</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Sesso.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Stato civile e persone a carico.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Contatti del parente più prossimo o della persona a cui rivolgersi in caso di emergenza.</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Codice fiscale/Partita IVA.</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Dati del conto corrente, archivi delle buste paga e informazioni sulla posizione fiscale.</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sulla retribuzione, sulle ferie annuali, sui contributi previdenziali e sui benefit.</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Data di inizio.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Sede o località di impiego.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Copia del passaporto o della patente di guida.</w:t>
      </w:r>
    </w:p>
    <w:p>
      <w:pPr>
        <w:spacing w:after="0" w:line="116" w:lineRule="exact"/>
        <w:rPr>
          <w:rFonts w:ascii="Times New Roman" w:cs="Times New Roman" w:eastAsia="Times New Roman" w:hAnsi="Times New Roman"/>
          <w:sz w:val="18"/>
          <w:szCs w:val="18"/>
          <w:color w:val="auto"/>
        </w:rPr>
      </w:pPr>
    </w:p>
    <w:p>
      <w:pPr>
        <w:ind w:left="500" w:right="160" w:hanging="328"/>
        <w:spacing w:after="0" w:line="270" w:lineRule="auto"/>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sulla selezione (tra cui copie della documentazione relativa al permesso di lavoro, referenze e altre informazioni incluse in un CV, lettera di presentazione o nell'ambito di una candidatura).</w:t>
      </w:r>
    </w:p>
    <w:p>
      <w:pPr>
        <w:spacing w:after="0" w:line="46" w:lineRule="exact"/>
        <w:rPr>
          <w:rFonts w:ascii="Times New Roman" w:cs="Times New Roman" w:eastAsia="Times New Roman" w:hAnsi="Times New Roman"/>
          <w:sz w:val="18"/>
          <w:szCs w:val="18"/>
          <w:color w:val="auto"/>
        </w:rPr>
      </w:pPr>
    </w:p>
    <w:p>
      <w:pPr>
        <w:ind w:left="500" w:right="760" w:hanging="328"/>
        <w:spacing w:after="0" w:line="270" w:lineRule="auto"/>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Dati sull'impiego (tra cui posizioni ricoperte, esperienza lavorativa, orari di lavoro, informazioni sulla formazione e sull'appartenenza ad associazioni di categoria).</w:t>
      </w:r>
    </w:p>
    <w:p>
      <w:pPr>
        <w:spacing w:after="0" w:line="4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Storico della retribuzione.</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sulle prestazioni.</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 provvedimenti disciplinari e vertenze.</w:t>
      </w:r>
    </w:p>
    <w:p>
      <w:pPr>
        <w:spacing w:after="0" w:line="116" w:lineRule="exact"/>
        <w:rPr>
          <w:rFonts w:ascii="Times New Roman" w:cs="Times New Roman" w:eastAsia="Times New Roman" w:hAnsi="Times New Roman"/>
          <w:sz w:val="18"/>
          <w:szCs w:val="18"/>
          <w:color w:val="auto"/>
        </w:rPr>
      </w:pPr>
    </w:p>
    <w:p>
      <w:pPr>
        <w:ind w:left="500" w:right="60" w:hanging="328"/>
        <w:spacing w:after="0" w:line="270" w:lineRule="auto"/>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Filmati di telecamere e altre informazioni ottenute tramite mezzi elettronici, ad esempio dati registrati tramite tessere magnetiche.</w:t>
      </w:r>
    </w:p>
    <w:p>
      <w:pPr>
        <w:spacing w:after="0" w:line="4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sull'uso da parte dei collaboratori dei sistemi informatici e di comunicazione di TripAdvisor.</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Fotografie.</w:t>
      </w:r>
    </w:p>
    <w:p>
      <w:pPr>
        <w:spacing w:after="0" w:line="278" w:lineRule="exact"/>
        <w:rPr>
          <w:sz w:val="20"/>
          <w:szCs w:val="20"/>
          <w:color w:val="auto"/>
        </w:rPr>
      </w:pPr>
    </w:p>
    <w:p>
      <w:pPr>
        <w:ind w:left="60"/>
        <w:spacing w:after="0" w:line="271" w:lineRule="auto"/>
        <w:rPr>
          <w:sz w:val="20"/>
          <w:szCs w:val="20"/>
          <w:color w:val="auto"/>
        </w:rPr>
      </w:pPr>
      <w:r>
        <w:rPr>
          <w:rFonts w:ascii="Arial" w:cs="Arial" w:eastAsia="Arial" w:hAnsi="Arial"/>
          <w:sz w:val="18"/>
          <w:szCs w:val="18"/>
          <w:color w:val="auto"/>
        </w:rPr>
        <w:t>TripAdvisor, si riserva inoltre di raccogliere, archiviare e utilizzare le seguenti informazioni personali più sensibili appartenenti a "categorie speciali":</w:t>
      </w:r>
    </w:p>
    <w:p>
      <w:pPr>
        <w:spacing w:after="0" w:line="140" w:lineRule="exact"/>
        <w:rPr>
          <w:sz w:val="20"/>
          <w:szCs w:val="20"/>
          <w:color w:val="auto"/>
        </w:rPr>
      </w:pPr>
    </w:p>
    <w:p>
      <w:pPr>
        <w:ind w:left="500" w:hanging="328"/>
        <w:spacing w:after="0"/>
        <w:tabs>
          <w:tab w:leader="none" w:pos="5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 razza o etnia, credo religioso, orientamento sessuale e opinioni politiche, se divulgate.</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Iscrizione a sindacati.</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sulla salute dei collaboratori, tra cui condizioni cliniche, di salute o dati sui congedi per malattia.</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relative a condanne penali o reati civili.</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MODALITÀ DI RACCOLTA DEI DATI PERSONALI</w:t>
      </w:r>
    </w:p>
    <w:p>
      <w:pPr>
        <w:spacing w:after="0" w:line="212" w:lineRule="exact"/>
        <w:rPr>
          <w:sz w:val="20"/>
          <w:szCs w:val="20"/>
          <w:color w:val="auto"/>
        </w:rPr>
      </w:pPr>
    </w:p>
    <w:p>
      <w:pPr>
        <w:jc w:val="both"/>
        <w:ind w:left="60"/>
        <w:spacing w:after="0"/>
        <w:rPr>
          <w:sz w:val="20"/>
          <w:szCs w:val="20"/>
          <w:color w:val="auto"/>
        </w:rPr>
      </w:pPr>
      <w:r>
        <w:rPr>
          <w:rFonts w:ascii="Arial" w:cs="Arial" w:eastAsia="Arial" w:hAnsi="Arial"/>
          <w:sz w:val="18"/>
          <w:szCs w:val="18"/>
          <w:color w:val="auto"/>
        </w:rPr>
        <w:t>TripAdvisor raccoglie i dati personali di dipendenti, collaboratori e subappaltatori attraverso le procedure di candidatura e selezione, nonché nel corso del coinvolgimento o impiego, sia direttamente dai candidati sia, talvolta, presso agenzie per l'impiego o agenzie di controllo dei precedenti personali. TripAdvisor raccoglie inoltre informazioni direttamente dai collaboratori nel corso del periodo di impiego, se caricate sulla Intranet o nei sistemi informativi di gestione delle risorse umane, ad esempio WorkDay. TripAdvisor si riserva, talvolta, di raccogliere informazioni aggiuntive presso terze parti, tra cui ex datori di lavoro, agenzie di verifica della posizione creditizia o altre agenzie di controllo dei precedenti personali.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AAAAA"/>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784860</wp:posOffset>
            </wp:positionV>
            <wp:extent cx="703770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-15875</wp:posOffset>
            </wp:positionV>
            <wp:extent cx="57175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ectPr>
          <w:pgSz w:w="11900" w:h="16838" w:orient="portrait"/>
          <w:cols w:equalWidth="0" w:num="1">
            <w:col w:w="9140"/>
          </w:cols>
          <w:pgMar w:left="1340" w:top="1440" w:right="1419" w:bottom="1440" w:gutter="0" w:footer="0" w:header="0"/>
        </w:sectPr>
      </w:pPr>
    </w:p>
    <w:bookmarkStart w:id="90" w:name="page91"/>
    <w:bookmarkEnd w:id="90"/>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5977255</wp:posOffset>
            </wp:positionH>
            <wp:positionV relativeFrom="page">
              <wp:posOffset>560070</wp:posOffset>
            </wp:positionV>
            <wp:extent cx="600075" cy="3860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TRATTAMENTO DEI DATI DEI COLLABORATORI</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TripAdvisor utilizza i dati personali dei collaboratori solo nei casi consentiti dalla legge. Più comunemente,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TripAdvisor utilizza i dati personali dei collaboratori nelle circostanze seguenti:</w:t>
      </w:r>
    </w:p>
    <w:p>
      <w:pPr>
        <w:spacing w:after="0" w:line="180" w:lineRule="exact"/>
        <w:rPr>
          <w:sz w:val="20"/>
          <w:szCs w:val="20"/>
          <w:color w:val="auto"/>
        </w:rPr>
      </w:pPr>
    </w:p>
    <w:p>
      <w:pPr>
        <w:ind w:left="220" w:hanging="178"/>
        <w:spacing w:after="0"/>
        <w:tabs>
          <w:tab w:leader="none" w:pos="220" w:val="left"/>
        </w:tabs>
        <w:numPr>
          <w:ilvl w:val="1"/>
          <w:numId w:val="62"/>
        </w:numPr>
        <w:rPr>
          <w:rFonts w:ascii="Calibri" w:cs="Calibri" w:eastAsia="Calibri" w:hAnsi="Calibri"/>
          <w:sz w:val="18"/>
          <w:szCs w:val="18"/>
          <w:color w:val="auto"/>
        </w:rPr>
      </w:pPr>
      <w:r>
        <w:rPr>
          <w:rFonts w:ascii="Arial" w:cs="Arial" w:eastAsia="Arial" w:hAnsi="Arial"/>
          <w:sz w:val="18"/>
          <w:szCs w:val="18"/>
          <w:color w:val="auto"/>
        </w:rPr>
        <w:t>Per applicare il contratto sottoscritto con il collaboratore.</w:t>
      </w:r>
    </w:p>
    <w:p>
      <w:pPr>
        <w:spacing w:after="0" w:line="198" w:lineRule="exact"/>
        <w:rPr>
          <w:rFonts w:ascii="Calibri" w:cs="Calibri" w:eastAsia="Calibri" w:hAnsi="Calibri"/>
          <w:sz w:val="18"/>
          <w:szCs w:val="18"/>
          <w:color w:val="auto"/>
        </w:rPr>
      </w:pPr>
    </w:p>
    <w:p>
      <w:pPr>
        <w:ind w:left="220" w:hanging="178"/>
        <w:spacing w:after="0"/>
        <w:tabs>
          <w:tab w:leader="none" w:pos="220" w:val="left"/>
        </w:tabs>
        <w:numPr>
          <w:ilvl w:val="1"/>
          <w:numId w:val="62"/>
        </w:numPr>
        <w:rPr>
          <w:rFonts w:ascii="Calibri" w:cs="Calibri" w:eastAsia="Calibri" w:hAnsi="Calibri"/>
          <w:sz w:val="18"/>
          <w:szCs w:val="18"/>
          <w:color w:val="auto"/>
        </w:rPr>
      </w:pPr>
      <w:r>
        <w:rPr>
          <w:rFonts w:ascii="Arial" w:cs="Arial" w:eastAsia="Arial" w:hAnsi="Arial"/>
          <w:sz w:val="18"/>
          <w:szCs w:val="18"/>
          <w:color w:val="auto"/>
        </w:rPr>
        <w:t>A scopo di conformità a obblighi di legge.</w:t>
      </w:r>
    </w:p>
    <w:p>
      <w:pPr>
        <w:spacing w:after="0" w:line="212" w:lineRule="exact"/>
        <w:rPr>
          <w:rFonts w:ascii="Calibri" w:cs="Calibri" w:eastAsia="Calibri" w:hAnsi="Calibri"/>
          <w:sz w:val="18"/>
          <w:szCs w:val="18"/>
          <w:color w:val="auto"/>
        </w:rPr>
      </w:pPr>
    </w:p>
    <w:p>
      <w:pPr>
        <w:ind w:left="20" w:right="580" w:firstLine="9"/>
        <w:spacing w:after="0" w:line="288" w:lineRule="auto"/>
        <w:tabs>
          <w:tab w:leader="none" w:pos="410" w:val="left"/>
        </w:tabs>
        <w:numPr>
          <w:ilvl w:val="0"/>
          <w:numId w:val="63"/>
        </w:numPr>
        <w:rPr>
          <w:rFonts w:ascii="Calibri" w:cs="Calibri" w:eastAsia="Calibri" w:hAnsi="Calibri"/>
          <w:sz w:val="18"/>
          <w:szCs w:val="18"/>
          <w:color w:val="auto"/>
        </w:rPr>
      </w:pPr>
      <w:r>
        <w:rPr>
          <w:rFonts w:ascii="Arial" w:cs="Arial" w:eastAsia="Arial" w:hAnsi="Arial"/>
          <w:sz w:val="18"/>
          <w:szCs w:val="18"/>
          <w:color w:val="auto"/>
        </w:rPr>
        <w:t>In caso di necessità per tutelare i legittimi interessi di TripAdvisor (o di terze parti); gli interessi e i diritti fondamentali dei collaboratori non prevalgono su tali interessi.</w:t>
      </w:r>
    </w:p>
    <w:p>
      <w:pPr>
        <w:spacing w:after="0" w:line="122" w:lineRule="exact"/>
        <w:rPr>
          <w:sz w:val="20"/>
          <w:szCs w:val="20"/>
          <w:color w:val="auto"/>
        </w:rPr>
      </w:pPr>
    </w:p>
    <w:p>
      <w:pPr>
        <w:ind w:left="40" w:right="180"/>
        <w:spacing w:after="0" w:line="271" w:lineRule="auto"/>
        <w:rPr>
          <w:sz w:val="20"/>
          <w:szCs w:val="20"/>
          <w:color w:val="auto"/>
        </w:rPr>
      </w:pPr>
      <w:r>
        <w:rPr>
          <w:rFonts w:ascii="Arial" w:cs="Arial" w:eastAsia="Arial" w:hAnsi="Arial"/>
          <w:sz w:val="18"/>
          <w:szCs w:val="18"/>
          <w:color w:val="auto"/>
        </w:rPr>
        <w:t>TripAdvisor si riserva di utilizzare i dati personali dei collaboratori nelle situazioni seguenti, potenzialmente molto rare:</w:t>
      </w:r>
    </w:p>
    <w:p>
      <w:pPr>
        <w:spacing w:after="0" w:line="127" w:lineRule="exact"/>
        <w:rPr>
          <w:sz w:val="20"/>
          <w:szCs w:val="20"/>
          <w:color w:val="auto"/>
        </w:rPr>
      </w:pPr>
    </w:p>
    <w:p>
      <w:pPr>
        <w:ind w:left="220" w:hanging="178"/>
        <w:spacing w:after="0"/>
        <w:tabs>
          <w:tab w:leader="none" w:pos="220" w:val="left"/>
        </w:tabs>
        <w:numPr>
          <w:ilvl w:val="0"/>
          <w:numId w:val="64"/>
        </w:numPr>
        <w:rPr>
          <w:rFonts w:ascii="Calibri" w:cs="Calibri" w:eastAsia="Calibri" w:hAnsi="Calibri"/>
          <w:sz w:val="18"/>
          <w:szCs w:val="18"/>
          <w:color w:val="auto"/>
        </w:rPr>
      </w:pPr>
      <w:r>
        <w:rPr>
          <w:rFonts w:ascii="Arial" w:cs="Arial" w:eastAsia="Arial" w:hAnsi="Arial"/>
          <w:sz w:val="18"/>
          <w:szCs w:val="18"/>
          <w:color w:val="auto"/>
        </w:rPr>
        <w:t>Per di tutelare gli interessi dei collaboratori (o di terzi).</w:t>
      </w:r>
    </w:p>
    <w:p>
      <w:pPr>
        <w:spacing w:after="0" w:line="212" w:lineRule="exact"/>
        <w:rPr>
          <w:rFonts w:ascii="Calibri" w:cs="Calibri" w:eastAsia="Calibri" w:hAnsi="Calibri"/>
          <w:sz w:val="18"/>
          <w:szCs w:val="18"/>
          <w:color w:val="auto"/>
        </w:rPr>
      </w:pPr>
    </w:p>
    <w:p>
      <w:pPr>
        <w:ind w:left="220" w:hanging="178"/>
        <w:spacing w:after="0"/>
        <w:tabs>
          <w:tab w:leader="none" w:pos="220" w:val="left"/>
        </w:tabs>
        <w:numPr>
          <w:ilvl w:val="0"/>
          <w:numId w:val="64"/>
        </w:numPr>
        <w:rPr>
          <w:rFonts w:ascii="Calibri" w:cs="Calibri" w:eastAsia="Calibri" w:hAnsi="Calibri"/>
          <w:sz w:val="18"/>
          <w:szCs w:val="18"/>
          <w:color w:val="auto"/>
        </w:rPr>
      </w:pPr>
      <w:r>
        <w:rPr>
          <w:rFonts w:ascii="Arial" w:cs="Arial" w:eastAsia="Arial" w:hAnsi="Arial"/>
          <w:sz w:val="18"/>
          <w:szCs w:val="18"/>
          <w:color w:val="auto"/>
        </w:rPr>
        <w:t>Per di tutelare gli interessi di TripAdvisor.</w:t>
      </w:r>
    </w:p>
    <w:p>
      <w:pPr>
        <w:spacing w:after="0" w:line="212" w:lineRule="exact"/>
        <w:rPr>
          <w:rFonts w:ascii="Calibri" w:cs="Calibri" w:eastAsia="Calibri" w:hAnsi="Calibri"/>
          <w:sz w:val="18"/>
          <w:szCs w:val="18"/>
          <w:color w:val="auto"/>
        </w:rPr>
      </w:pPr>
    </w:p>
    <w:p>
      <w:pPr>
        <w:ind w:left="220" w:hanging="178"/>
        <w:spacing w:after="0"/>
        <w:tabs>
          <w:tab w:leader="none" w:pos="220" w:val="left"/>
        </w:tabs>
        <w:numPr>
          <w:ilvl w:val="0"/>
          <w:numId w:val="64"/>
        </w:numPr>
        <w:rPr>
          <w:rFonts w:ascii="Calibri" w:cs="Calibri" w:eastAsia="Calibri" w:hAnsi="Calibri"/>
          <w:sz w:val="18"/>
          <w:szCs w:val="18"/>
          <w:color w:val="auto"/>
        </w:rPr>
      </w:pPr>
      <w:r>
        <w:rPr>
          <w:rFonts w:ascii="Arial" w:cs="Arial" w:eastAsia="Arial" w:hAnsi="Arial"/>
          <w:sz w:val="18"/>
          <w:szCs w:val="18"/>
          <w:color w:val="auto"/>
        </w:rPr>
        <w:t>Per tutelare l'interesse pubblico.</w:t>
      </w: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Situazioni in cui TripAdvisor utilizza i dati personali dei collaboratori</w:t>
      </w:r>
    </w:p>
    <w:p>
      <w:pPr>
        <w:spacing w:after="0" w:line="225" w:lineRule="exact"/>
        <w:rPr>
          <w:sz w:val="20"/>
          <w:szCs w:val="20"/>
          <w:color w:val="auto"/>
        </w:rPr>
      </w:pPr>
    </w:p>
    <w:p>
      <w:pPr>
        <w:jc w:val="both"/>
        <w:ind w:left="60"/>
        <w:spacing w:after="0" w:line="242" w:lineRule="auto"/>
        <w:rPr>
          <w:sz w:val="20"/>
          <w:szCs w:val="20"/>
          <w:color w:val="auto"/>
        </w:rPr>
      </w:pPr>
      <w:r>
        <w:rPr>
          <w:rFonts w:ascii="Arial" w:cs="Arial" w:eastAsia="Arial" w:hAnsi="Arial"/>
          <w:sz w:val="18"/>
          <w:szCs w:val="18"/>
          <w:color w:val="auto"/>
        </w:rPr>
        <w:t xml:space="preserve">TripAdvisor potrebbe necessitare di tutte le categorie di informazioni citate nel suddetto elenco (vedere </w:t>
      </w:r>
      <w:r>
        <w:rPr>
          <w:rFonts w:ascii="Arial" w:cs="Arial" w:eastAsia="Arial" w:hAnsi="Arial"/>
          <w:sz w:val="18"/>
          <w:szCs w:val="18"/>
          <w:i w:val="1"/>
          <w:iCs w:val="1"/>
          <w:color w:val="0000FF"/>
        </w:rPr>
        <w:t>Informazioni archiviate sui collaboratori</w:t>
      </w:r>
      <w:r>
        <w:rPr>
          <w:rFonts w:ascii="Arial" w:cs="Arial" w:eastAsia="Arial" w:hAnsi="Arial"/>
          <w:sz w:val="18"/>
          <w:szCs w:val="18"/>
          <w:color w:val="000000"/>
        </w:rPr>
        <w:t>) principalmente per consentire l'attuazione del contratto stipulato e</w:t>
      </w:r>
      <w:r>
        <w:rPr>
          <w:rFonts w:ascii="Arial" w:cs="Arial" w:eastAsia="Arial" w:hAnsi="Arial"/>
          <w:sz w:val="18"/>
          <w:szCs w:val="18"/>
          <w:i w:val="1"/>
          <w:iCs w:val="1"/>
          <w:color w:val="0000FF"/>
        </w:rPr>
        <w:t xml:space="preserve"> </w:t>
      </w:r>
      <w:r>
        <w:rPr>
          <w:rFonts w:ascii="Arial" w:cs="Arial" w:eastAsia="Arial" w:hAnsi="Arial"/>
          <w:sz w:val="18"/>
          <w:szCs w:val="18"/>
          <w:color w:val="000000"/>
        </w:rPr>
        <w:t>assicurare la conformità agli obblighi di legge. In alcuni casi TripAdvisor potrebbe utilizzare i dati personali dei collaboratori per perseguire legittimi interessi propri o di terze parti, fermo restando che gli interessi e i diritti fondamentali dei collaboratori non prevalgono su tali interessi. Le situazioni in cui vengono elaborati i dati personali dei collaboratori sono elencate di seguito.</w:t>
      </w:r>
    </w:p>
    <w:p>
      <w:pPr>
        <w:spacing w:after="0" w:line="165" w:lineRule="exact"/>
        <w:rPr>
          <w:sz w:val="20"/>
          <w:szCs w:val="20"/>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Prendere decisioni sulla selezione o sulla nomina dei collaboratori.</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Determinare i termini del rapporto di lavoro.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Verificare l'idoneità legale al lavoro per TripAdvisor in un determinato territorio.</w:t>
      </w:r>
    </w:p>
    <w:p>
      <w:pPr>
        <w:spacing w:after="0" w:line="116" w:lineRule="exact"/>
        <w:rPr>
          <w:rFonts w:ascii="Times New Roman" w:cs="Times New Roman" w:eastAsia="Times New Roman" w:hAnsi="Times New Roman"/>
          <w:sz w:val="18"/>
          <w:szCs w:val="18"/>
          <w:color w:val="auto"/>
        </w:rPr>
      </w:pPr>
    </w:p>
    <w:p>
      <w:pPr>
        <w:ind w:left="500" w:right="600" w:hanging="328"/>
        <w:spacing w:after="0" w:line="270" w:lineRule="auto"/>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Retribuire i collaboratori e, in caso di dipendenti, di dedurre le imposte e i contributi statali previsti (ad esempio, per l'assicurazione).</w:t>
      </w:r>
    </w:p>
    <w:p>
      <w:pPr>
        <w:spacing w:after="0" w:line="32"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Erogare benefit.</w:t>
      </w:r>
    </w:p>
    <w:p>
      <w:pPr>
        <w:spacing w:after="0" w:line="129"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Interagire con l'ente previdenziale.</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Gestire il contratto sottoscritto.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Gestire e pianificare l'attività aziendale, ad esempio in materia di contabilità e controllo.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Verificare, gestire e determinare i requisiti delle prestazioni.</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Prendere decisioni circa le valutazioni salariali e le retribuzioni.</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Valutare le qualifiche per una determinata posizione o attività, incluse le decisioni sulle promozioni.</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Raccogliere evidenze per potenziali vertenze o provvedimenti disciplinari.</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Prendere decisioni sulla continuità del rapporto di lavoro.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Predisporre la chiusura del rapporto di lavoro.</w:t>
      </w:r>
    </w:p>
    <w:p>
      <w:pPr>
        <w:spacing w:after="0" w:line="34"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Gestire i requisiti di istruzione, formazione e crescita professionale.</w:t>
      </w:r>
    </w:p>
    <w:p>
      <w:pPr>
        <w:spacing w:after="0"/>
        <w:rPr>
          <w:sz w:val="20"/>
          <w:szCs w:val="20"/>
          <w:color w:val="auto"/>
        </w:rPr>
      </w:pPr>
      <w:r>
        <w:rPr>
          <w:rFonts w:ascii="Arial" w:cs="Arial" w:eastAsia="Arial" w:hAnsi="Arial"/>
          <w:sz w:val="18"/>
          <w:szCs w:val="18"/>
          <w:color w:val="AAAAAA"/>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773430</wp:posOffset>
            </wp:positionV>
            <wp:extent cx="703770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-27305</wp:posOffset>
            </wp:positionV>
            <wp:extent cx="57175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ectPr>
          <w:pgSz w:w="11900" w:h="16838" w:orient="portrait"/>
          <w:cols w:equalWidth="0" w:num="1">
            <w:col w:w="9140"/>
          </w:cols>
          <w:pgMar w:left="1340" w:top="1440" w:right="1419" w:bottom="1440" w:gutter="0" w:footer="0" w:header="0"/>
        </w:sectPr>
      </w:pPr>
    </w:p>
    <w:bookmarkStart w:id="91" w:name="page92"/>
    <w:bookmarkEnd w:id="91"/>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5977255</wp:posOffset>
            </wp:positionH>
            <wp:positionV relativeFrom="page">
              <wp:posOffset>560070</wp:posOffset>
            </wp:positionV>
            <wp:extent cx="600075" cy="3860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ind w:left="500" w:right="79" w:hanging="328"/>
        <w:spacing w:after="0" w:line="270" w:lineRule="auto"/>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Gestire controversie legali che riguardano i dipendenti, i collaboratori e i subappaltatori, ad esempio in caso di incidenti sul lavoro.</w:t>
      </w:r>
    </w:p>
    <w:p>
      <w:pPr>
        <w:spacing w:after="0" w:line="4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Accertare l'idoneità dei collaboratori al lavoro.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Gestire le assenze per malattia.</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Adempiere agli obblighi di salute e sicurezza.</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Prevenire le frodi.</w:t>
      </w:r>
    </w:p>
    <w:p>
      <w:pPr>
        <w:spacing w:after="0" w:line="116" w:lineRule="exact"/>
        <w:rPr>
          <w:rFonts w:ascii="Times New Roman" w:cs="Times New Roman" w:eastAsia="Times New Roman" w:hAnsi="Times New Roman"/>
          <w:sz w:val="18"/>
          <w:szCs w:val="18"/>
          <w:color w:val="auto"/>
        </w:rPr>
      </w:pPr>
    </w:p>
    <w:p>
      <w:pPr>
        <w:ind w:left="500" w:right="399" w:hanging="328"/>
        <w:spacing w:after="0" w:line="252" w:lineRule="auto"/>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Monitorare l'utilizzo da parte dei collaboratori dei sistemi informatici e di comunicazione di TripAdvisor e assicurare la conformità al regolamento interno sull'uso accettabile dei sistemi informatici e di comunicazione elettronica.</w:t>
      </w:r>
    </w:p>
    <w:p>
      <w:pPr>
        <w:spacing w:after="0" w:line="62" w:lineRule="exact"/>
        <w:rPr>
          <w:rFonts w:ascii="Times New Roman" w:cs="Times New Roman" w:eastAsia="Times New Roman" w:hAnsi="Times New Roman"/>
          <w:sz w:val="18"/>
          <w:szCs w:val="18"/>
          <w:color w:val="auto"/>
        </w:rPr>
      </w:pPr>
    </w:p>
    <w:p>
      <w:pPr>
        <w:ind w:left="500" w:right="299" w:hanging="328"/>
        <w:spacing w:after="0" w:line="252" w:lineRule="auto"/>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Assicurare la sicurezza della rete e delle informazioni, ad esempio prevenire l'accesso non autorizzato ai computer e ai sistemi di comunicazione elettronica di TripAdvisor e impedire la distribuzione di software dannosi.</w:t>
      </w:r>
    </w:p>
    <w:p>
      <w:pPr>
        <w:spacing w:after="0" w:line="62"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Monitorare la posizione delle apparecchiature di TripAdvisor.</w:t>
      </w:r>
    </w:p>
    <w:p>
      <w:pPr>
        <w:spacing w:after="0" w:line="116" w:lineRule="exact"/>
        <w:rPr>
          <w:rFonts w:ascii="Times New Roman" w:cs="Times New Roman" w:eastAsia="Times New Roman" w:hAnsi="Times New Roman"/>
          <w:sz w:val="18"/>
          <w:szCs w:val="18"/>
          <w:color w:val="auto"/>
        </w:rPr>
      </w:pPr>
    </w:p>
    <w:p>
      <w:pPr>
        <w:ind w:left="500" w:right="559" w:hanging="328"/>
        <w:spacing w:after="0" w:line="270" w:lineRule="auto"/>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Condurre analisi dei dati per esaminare e meglio interpretare i tassi di abbandono e fidelizzazione dei dipendenti.</w:t>
      </w:r>
    </w:p>
    <w:p>
      <w:pPr>
        <w:spacing w:after="0" w:line="4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Garantire pari opportunità.</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AAAAA"/>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784860</wp:posOffset>
            </wp:positionV>
            <wp:extent cx="703770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-15875</wp:posOffset>
            </wp:positionV>
            <wp:extent cx="57175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ectPr>
          <w:pgSz w:w="11900" w:h="16838" w:orient="portrait"/>
          <w:cols w:equalWidth="0" w:num="1">
            <w:col w:w="9119"/>
          </w:cols>
          <w:pgMar w:left="1340" w:top="1440" w:right="1440" w:bottom="1440" w:gutter="0" w:footer="0" w:header="0"/>
        </w:sectPr>
      </w:pPr>
    </w:p>
    <w:bookmarkStart w:id="92" w:name="page93"/>
    <w:bookmarkEnd w:id="92"/>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5977255</wp:posOffset>
            </wp:positionH>
            <wp:positionV relativeFrom="page">
              <wp:posOffset>560070</wp:posOffset>
            </wp:positionV>
            <wp:extent cx="600075" cy="3860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L'utilizzo dei dati personali dei collaboratori nelle suddette attività può trovare varie giustificazioni.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Casi in cui il collaboratore non fornisce i propri dati personali</w:t>
      </w:r>
    </w:p>
    <w:p>
      <w:pPr>
        <w:spacing w:after="0" w:line="198"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Se il collaboratore non fornisce determinate informazioni ove richieste, non sarà possibile attuare il contratto sottoscritto (ad esempio, erogare pagamenti o benefit) oppure TripAdvisor potrebbe non essere in condizione di adempiere agli obblighi di legge (ad esempio per la salute e la sicurezza dei lavoratori).</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Cambio di scopo</w:t>
      </w:r>
    </w:p>
    <w:p>
      <w:pPr>
        <w:spacing w:after="0" w:line="198" w:lineRule="exact"/>
        <w:rPr>
          <w:sz w:val="20"/>
          <w:szCs w:val="20"/>
          <w:color w:val="auto"/>
        </w:rPr>
      </w:pPr>
    </w:p>
    <w:p>
      <w:pPr>
        <w:jc w:val="both"/>
        <w:ind w:left="60"/>
        <w:spacing w:after="0" w:line="247" w:lineRule="auto"/>
        <w:rPr>
          <w:sz w:val="20"/>
          <w:szCs w:val="20"/>
          <w:color w:val="auto"/>
        </w:rPr>
      </w:pPr>
      <w:r>
        <w:rPr>
          <w:rFonts w:ascii="Arial" w:cs="Arial" w:eastAsia="Arial" w:hAnsi="Arial"/>
          <w:sz w:val="18"/>
          <w:szCs w:val="18"/>
          <w:color w:val="auto"/>
        </w:rPr>
        <w:t>TripAdvisor utilizza i dati personali dei collaboratori per gli scopi per cui sono stati raccolti, salvo i casi in cui individui ulteriori necessità ragionevoli di utilizzo compatibili con gli scopi originali. Qualora occorra utilizzare i dati personali dei collaboratori per scopi non correlati, TripAdvisor si impegna a informare i collaboratori interessati illustrando le basi giuridiche che lo consentono.</w:t>
      </w:r>
    </w:p>
    <w:p>
      <w:pPr>
        <w:spacing w:after="0" w:line="160" w:lineRule="exact"/>
        <w:rPr>
          <w:sz w:val="20"/>
          <w:szCs w:val="20"/>
          <w:color w:val="auto"/>
        </w:rPr>
      </w:pPr>
    </w:p>
    <w:p>
      <w:pPr>
        <w:jc w:val="both"/>
        <w:ind w:left="60"/>
        <w:spacing w:after="0" w:line="271" w:lineRule="auto"/>
        <w:rPr>
          <w:sz w:val="20"/>
          <w:szCs w:val="20"/>
          <w:color w:val="auto"/>
        </w:rPr>
      </w:pPr>
      <w:r>
        <w:rPr>
          <w:rFonts w:ascii="Arial" w:cs="Arial" w:eastAsia="Arial" w:hAnsi="Arial"/>
          <w:sz w:val="18"/>
          <w:szCs w:val="18"/>
          <w:color w:val="auto"/>
        </w:rPr>
        <w:t>TripAdvisor si riserva di elaborare i dati personali dei collaboratori a loro insaputa e senza il loro consenso, in conformità alle suddette regole, ove richiesto o consentito dalla legge.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TRATTAMENTO DI DATI PERSONALI PARTICOLARMENTE SENSIBILI</w:t>
      </w:r>
    </w:p>
    <w:p>
      <w:pPr>
        <w:spacing w:after="0" w:line="200" w:lineRule="exact"/>
        <w:rPr>
          <w:sz w:val="20"/>
          <w:szCs w:val="20"/>
          <w:color w:val="auto"/>
        </w:rPr>
      </w:pPr>
    </w:p>
    <w:p>
      <w:pPr>
        <w:spacing w:after="0" w:line="201" w:lineRule="exact"/>
        <w:rPr>
          <w:sz w:val="20"/>
          <w:szCs w:val="20"/>
          <w:color w:val="auto"/>
        </w:rPr>
      </w:pPr>
    </w:p>
    <w:p>
      <w:pPr>
        <w:ind w:left="40" w:right="600"/>
        <w:spacing w:after="0" w:line="253" w:lineRule="auto"/>
        <w:rPr>
          <w:sz w:val="20"/>
          <w:szCs w:val="20"/>
          <w:color w:val="auto"/>
        </w:rPr>
      </w:pPr>
      <w:r>
        <w:rPr>
          <w:rFonts w:ascii="Arial" w:cs="Arial" w:eastAsia="Arial" w:hAnsi="Arial"/>
          <w:sz w:val="18"/>
          <w:szCs w:val="18"/>
          <w:color w:val="auto"/>
        </w:rPr>
        <w:t>Le "categorie speciali" di dati personali particolarmente sensibili richiedono livelli di protezione superiori. La raccolta, l'archiviazione e il trattamento di tali informazioni personali necessitano di giustificativi ulteriori. TripAdvisor si riserva di elaborare le categorie speciali di dati personali nelle seguenti circostanze:</w:t>
      </w:r>
    </w:p>
    <w:p>
      <w:pPr>
        <w:spacing w:after="0" w:line="155" w:lineRule="exact"/>
        <w:rPr>
          <w:sz w:val="20"/>
          <w:szCs w:val="20"/>
          <w:color w:val="auto"/>
        </w:rPr>
      </w:pPr>
    </w:p>
    <w:p>
      <w:pPr>
        <w:ind w:left="220" w:hanging="178"/>
        <w:spacing w:after="0"/>
        <w:tabs>
          <w:tab w:leader="none" w:pos="220" w:val="left"/>
        </w:tabs>
        <w:numPr>
          <w:ilvl w:val="1"/>
          <w:numId w:val="67"/>
        </w:numPr>
        <w:rPr>
          <w:rFonts w:ascii="Calibri" w:cs="Calibri" w:eastAsia="Calibri" w:hAnsi="Calibri"/>
          <w:sz w:val="18"/>
          <w:szCs w:val="18"/>
          <w:color w:val="auto"/>
        </w:rPr>
      </w:pPr>
      <w:r>
        <w:rPr>
          <w:rFonts w:ascii="Arial" w:cs="Arial" w:eastAsia="Arial" w:hAnsi="Arial"/>
          <w:sz w:val="18"/>
          <w:szCs w:val="18"/>
          <w:color w:val="auto"/>
        </w:rPr>
        <w:t>In circostanze limitate, previo consenso scritto dell'interessato.</w:t>
      </w:r>
    </w:p>
    <w:p>
      <w:pPr>
        <w:spacing w:after="0" w:line="212" w:lineRule="exact"/>
        <w:rPr>
          <w:rFonts w:ascii="Calibri" w:cs="Calibri" w:eastAsia="Calibri" w:hAnsi="Calibri"/>
          <w:sz w:val="18"/>
          <w:szCs w:val="18"/>
          <w:color w:val="auto"/>
        </w:rPr>
      </w:pPr>
    </w:p>
    <w:p>
      <w:pPr>
        <w:ind w:left="220" w:hanging="178"/>
        <w:spacing w:after="0"/>
        <w:tabs>
          <w:tab w:leader="none" w:pos="220" w:val="left"/>
        </w:tabs>
        <w:numPr>
          <w:ilvl w:val="1"/>
          <w:numId w:val="67"/>
        </w:numPr>
        <w:rPr>
          <w:rFonts w:ascii="Calibri" w:cs="Calibri" w:eastAsia="Calibri" w:hAnsi="Calibri"/>
          <w:sz w:val="18"/>
          <w:szCs w:val="18"/>
          <w:color w:val="auto"/>
        </w:rPr>
      </w:pPr>
      <w:r>
        <w:rPr>
          <w:rFonts w:ascii="Arial" w:cs="Arial" w:eastAsia="Arial" w:hAnsi="Arial"/>
          <w:sz w:val="18"/>
          <w:szCs w:val="18"/>
          <w:color w:val="auto"/>
        </w:rPr>
        <w:t>In caso di necessità dovuta all'adempimento agli obblighi di legge e nel rispetto dei regolamenti di TripAdvisor.</w:t>
      </w:r>
    </w:p>
    <w:p>
      <w:pPr>
        <w:spacing w:after="0" w:line="198" w:lineRule="exact"/>
        <w:rPr>
          <w:rFonts w:ascii="Calibri" w:cs="Calibri" w:eastAsia="Calibri" w:hAnsi="Calibri"/>
          <w:sz w:val="18"/>
          <w:szCs w:val="18"/>
          <w:color w:val="auto"/>
        </w:rPr>
      </w:pPr>
    </w:p>
    <w:p>
      <w:pPr>
        <w:ind w:left="20" w:right="600" w:firstLine="9"/>
        <w:spacing w:after="0" w:line="288" w:lineRule="auto"/>
        <w:tabs>
          <w:tab w:leader="none" w:pos="408" w:val="left"/>
        </w:tabs>
        <w:numPr>
          <w:ilvl w:val="0"/>
          <w:numId w:val="68"/>
        </w:numPr>
        <w:rPr>
          <w:rFonts w:ascii="Calibri" w:cs="Calibri" w:eastAsia="Calibri" w:hAnsi="Calibri"/>
          <w:sz w:val="18"/>
          <w:szCs w:val="18"/>
          <w:color w:val="auto"/>
        </w:rPr>
      </w:pPr>
      <w:r>
        <w:rPr>
          <w:rFonts w:ascii="Arial" w:cs="Arial" w:eastAsia="Arial" w:hAnsi="Arial"/>
          <w:sz w:val="18"/>
          <w:szCs w:val="18"/>
          <w:color w:val="auto"/>
        </w:rPr>
        <w:t>In caso di necessità per la tutela dell'interesse pubblico, ad esempio per garantire pari opportunità o in relazione allo schema pensionistico e nel rispetto dei regolamenti applicabili.</w:t>
      </w:r>
    </w:p>
    <w:p>
      <w:pPr>
        <w:spacing w:after="0" w:line="122" w:lineRule="exact"/>
        <w:rPr>
          <w:rFonts w:ascii="Calibri" w:cs="Calibri" w:eastAsia="Calibri" w:hAnsi="Calibri"/>
          <w:sz w:val="18"/>
          <w:szCs w:val="18"/>
          <w:color w:val="auto"/>
        </w:rPr>
      </w:pPr>
    </w:p>
    <w:p>
      <w:pPr>
        <w:ind w:left="220" w:hanging="178"/>
        <w:spacing w:after="0"/>
        <w:tabs>
          <w:tab w:leader="none" w:pos="220" w:val="left"/>
        </w:tabs>
        <w:numPr>
          <w:ilvl w:val="1"/>
          <w:numId w:val="68"/>
        </w:numPr>
        <w:rPr>
          <w:rFonts w:ascii="Calibri" w:cs="Calibri" w:eastAsia="Calibri" w:hAnsi="Calibri"/>
          <w:sz w:val="18"/>
          <w:szCs w:val="18"/>
          <w:color w:val="auto"/>
        </w:rPr>
      </w:pPr>
      <w:r>
        <w:rPr>
          <w:rFonts w:ascii="Arial" w:cs="Arial" w:eastAsia="Arial" w:hAnsi="Arial"/>
          <w:sz w:val="18"/>
          <w:szCs w:val="18"/>
          <w:color w:val="auto"/>
        </w:rPr>
        <w:t>In caso di necessità per valutare l'idoneità fisica al lavoro, a condizione di garantire le necessarie tutele per 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AAAA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784860</wp:posOffset>
            </wp:positionV>
            <wp:extent cx="703770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-15875</wp:posOffset>
            </wp:positionV>
            <wp:extent cx="57175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ectPr>
          <w:pgSz w:w="11900" w:h="16838" w:orient="portrait"/>
          <w:cols w:equalWidth="0" w:num="1">
            <w:col w:w="9140"/>
          </w:cols>
          <w:pgMar w:left="1340" w:top="1440" w:right="1419" w:bottom="1440" w:gutter="0" w:footer="0" w:header="0"/>
        </w:sectPr>
      </w:pPr>
    </w:p>
    <w:bookmarkStart w:id="93" w:name="page94"/>
    <w:bookmarkEnd w:id="93"/>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5977255</wp:posOffset>
            </wp:positionH>
            <wp:positionV relativeFrom="page">
              <wp:posOffset>560070</wp:posOffset>
            </wp:positionV>
            <wp:extent cx="600075" cy="3860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riservatezza.</w:t>
      </w:r>
    </w:p>
    <w:p>
      <w:pPr>
        <w:spacing w:after="0" w:line="185" w:lineRule="exact"/>
        <w:rPr>
          <w:sz w:val="20"/>
          <w:szCs w:val="20"/>
          <w:color w:val="auto"/>
        </w:rPr>
      </w:pPr>
    </w:p>
    <w:p>
      <w:pPr>
        <w:ind w:left="40" w:right="40"/>
        <w:spacing w:after="0" w:line="247" w:lineRule="auto"/>
        <w:rPr>
          <w:sz w:val="20"/>
          <w:szCs w:val="20"/>
          <w:color w:val="auto"/>
        </w:rPr>
      </w:pPr>
      <w:r>
        <w:rPr>
          <w:rFonts w:ascii="Arial" w:cs="Arial" w:eastAsia="Arial" w:hAnsi="Arial"/>
          <w:sz w:val="18"/>
          <w:szCs w:val="18"/>
          <w:color w:val="auto"/>
        </w:rPr>
        <w:t>Più raramente, TripAdvisor si riserva di elaborare questo tipo di informazioni, se necessario, in relazione a reclami legali o al fine di tutelare gli interessi del collaboratore interessato (o di terzi), ove il collaboratore non sia in grado di fornire il proprio consenso o abbia già reso pubbliche le informazioni. TripAdvisor si riserva inoltre di elaborare tali informazioni su utenti o ex utenti nel corso delle attività aziendali legittime con le tutele appropriate.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Gli obblighi di TripAdvisor in qualità di datore di lavoro</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TripAdvisor si riserva di utilizzare i dati personali particolarmente sensibili nei seguenti modi:</w:t>
      </w:r>
    </w:p>
    <w:p>
      <w:pPr>
        <w:spacing w:after="0" w:line="198" w:lineRule="exact"/>
        <w:rPr>
          <w:sz w:val="20"/>
          <w:szCs w:val="20"/>
          <w:color w:val="auto"/>
        </w:rPr>
      </w:pPr>
    </w:p>
    <w:p>
      <w:pPr>
        <w:ind w:left="500" w:right="20" w:hanging="328"/>
        <w:spacing w:after="0" w:line="270" w:lineRule="auto"/>
        <w:tabs>
          <w:tab w:leader="none" w:pos="5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relative a ferie e permessi, congedi familiari o per malattia: in conformità alle leggi in materia di lavoro o altre leggi.</w:t>
      </w:r>
    </w:p>
    <w:p>
      <w:pPr>
        <w:spacing w:after="0" w:line="46" w:lineRule="exact"/>
        <w:rPr>
          <w:rFonts w:ascii="Times New Roman" w:cs="Times New Roman" w:eastAsia="Times New Roman" w:hAnsi="Times New Roman"/>
          <w:sz w:val="18"/>
          <w:szCs w:val="18"/>
          <w:color w:val="auto"/>
        </w:rPr>
      </w:pPr>
    </w:p>
    <w:p>
      <w:pPr>
        <w:jc w:val="both"/>
        <w:ind w:left="500" w:hanging="328"/>
        <w:spacing w:after="0" w:line="252" w:lineRule="auto"/>
        <w:tabs>
          <w:tab w:leader="none" w:pos="5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sulla salute fisica e mentale, o sullo stato di disabilità, dei collaboratori: al fine di assicurare la salute e la sicurezza sul luogo di lavoro, per valutare l'idoneità al lavoro, adeguare gli ambienti, monitorare e gestire i congedi per malattia ed erogare i benefit.</w:t>
      </w:r>
    </w:p>
    <w:p>
      <w:pPr>
        <w:spacing w:after="0" w:line="62" w:lineRule="exact"/>
        <w:rPr>
          <w:rFonts w:ascii="Times New Roman" w:cs="Times New Roman" w:eastAsia="Times New Roman" w:hAnsi="Times New Roman"/>
          <w:sz w:val="18"/>
          <w:szCs w:val="18"/>
          <w:color w:val="auto"/>
        </w:rPr>
      </w:pPr>
    </w:p>
    <w:p>
      <w:pPr>
        <w:ind w:left="500" w:right="20" w:hanging="328"/>
        <w:spacing w:after="0" w:line="270" w:lineRule="auto"/>
        <w:tabs>
          <w:tab w:leader="none" w:pos="5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 razza, nazionalità o etnia, convinzioni religiose, filosofiche o morali, vita e orientamento sessuale: al fine di garantire pari opportunità, monitorare e rendicontare le opportunità offerte.</w:t>
      </w:r>
    </w:p>
    <w:p>
      <w:pPr>
        <w:spacing w:after="0" w:line="46" w:lineRule="exact"/>
        <w:rPr>
          <w:rFonts w:ascii="Times New Roman" w:cs="Times New Roman" w:eastAsia="Times New Roman" w:hAnsi="Times New Roman"/>
          <w:sz w:val="18"/>
          <w:szCs w:val="18"/>
          <w:color w:val="auto"/>
        </w:rPr>
      </w:pPr>
    </w:p>
    <w:p>
      <w:pPr>
        <w:ind w:left="500" w:hanging="328"/>
        <w:spacing w:after="0" w:line="270" w:lineRule="auto"/>
        <w:tabs>
          <w:tab w:leader="none" w:pos="5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Informazioni sull'iscrizione a sindacati: al fine di erogare i premi sindacali, registrare lo stato di dipendenti appartenenti a fasce protette e adempiere agli obblighi sanciti dalle leggi in materia di lavoro.</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Casi un cui occorre o non occorre il consenso dell'interessato</w:t>
      </w:r>
    </w:p>
    <w:p>
      <w:pPr>
        <w:spacing w:after="0" w:line="198" w:lineRule="exact"/>
        <w:rPr>
          <w:sz w:val="20"/>
          <w:szCs w:val="20"/>
          <w:color w:val="auto"/>
        </w:rPr>
      </w:pPr>
    </w:p>
    <w:p>
      <w:pPr>
        <w:jc w:val="both"/>
        <w:ind w:left="60"/>
        <w:spacing w:after="0"/>
        <w:rPr>
          <w:sz w:val="20"/>
          <w:szCs w:val="20"/>
          <w:color w:val="auto"/>
        </w:rPr>
      </w:pPr>
      <w:r>
        <w:rPr>
          <w:rFonts w:ascii="Arial" w:cs="Arial" w:eastAsia="Arial" w:hAnsi="Arial"/>
          <w:sz w:val="18"/>
          <w:szCs w:val="18"/>
          <w:color w:val="auto"/>
        </w:rPr>
        <w:t>Non occorre il consenso dell'interessato se le informazioni personali appartenenti alle categorie speciali vengono utilizzate in conformità all'informativa scritta di TripAdvisor e al fine di adempiere agli obblighi legali o esercitare specifici diritti in materia di lavoro. In circostanze limitate, TripAdvisor si riserva di richiedere il consenso scritto all'interessato per poter elaborare alcuni dati particolarmente sensibili. In tal caso, verranno forniti i dettagli completi delle informazioni richieste e i motivi, in modo che l'interessato possa valutare attentamente se fornire o meno il proprio consenso. Si noti che l'accettazione di eventuali richieste di consenso sottoposte da TripAdvisor non è una condizione prevista dal contratto.</w:t>
      </w:r>
    </w:p>
    <w:p>
      <w:pPr>
        <w:spacing w:after="0" w:line="185" w:lineRule="exact"/>
        <w:rPr>
          <w:sz w:val="20"/>
          <w:szCs w:val="20"/>
          <w:color w:val="auto"/>
        </w:rPr>
      </w:pPr>
    </w:p>
    <w:p>
      <w:pPr>
        <w:jc w:val="both"/>
        <w:ind w:left="60" w:right="20"/>
        <w:spacing w:after="0" w:line="271" w:lineRule="auto"/>
        <w:rPr>
          <w:sz w:val="20"/>
          <w:szCs w:val="20"/>
          <w:color w:val="auto"/>
        </w:rPr>
      </w:pPr>
      <w:r>
        <w:rPr>
          <w:rFonts w:ascii="Arial" w:cs="Arial" w:eastAsia="Arial" w:hAnsi="Arial"/>
          <w:sz w:val="18"/>
          <w:szCs w:val="18"/>
          <w:color w:val="auto"/>
        </w:rPr>
        <w:t>TripAdvisor non auspica che eventuali decisioni sui collaboratori vengano prese attraverso mezzi elettronici, tuttavia se questa posizione dovesse cambiare gli interessati verranno informati per iscritto.</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CONDIVISIONE DEI DATI</w:t>
      </w:r>
    </w:p>
    <w:p>
      <w:pPr>
        <w:spacing w:after="0" w:line="200" w:lineRule="exact"/>
        <w:rPr>
          <w:sz w:val="20"/>
          <w:szCs w:val="20"/>
          <w:color w:val="auto"/>
        </w:rPr>
      </w:pPr>
    </w:p>
    <w:p>
      <w:pPr>
        <w:spacing w:after="0" w:line="201" w:lineRule="exact"/>
        <w:rPr>
          <w:sz w:val="20"/>
          <w:szCs w:val="20"/>
          <w:color w:val="auto"/>
        </w:rPr>
      </w:pPr>
    </w:p>
    <w:p>
      <w:pPr>
        <w:ind w:left="40" w:right="120"/>
        <w:spacing w:after="0" w:line="271" w:lineRule="auto"/>
        <w:rPr>
          <w:sz w:val="20"/>
          <w:szCs w:val="20"/>
          <w:color w:val="auto"/>
        </w:rPr>
      </w:pPr>
      <w:r>
        <w:rPr>
          <w:rFonts w:ascii="Arial" w:cs="Arial" w:eastAsia="Arial" w:hAnsi="Arial"/>
          <w:sz w:val="18"/>
          <w:szCs w:val="18"/>
          <w:color w:val="auto"/>
        </w:rPr>
        <w:t>TripAdvisor potrebbe necessitare di condividere i dati dei collaboratori con terze parti, inclusi fornitori di servizio e altri soggetti del gruppo TripAdvisor.</w:t>
      </w:r>
    </w:p>
    <w:p>
      <w:pPr>
        <w:spacing w:after="0" w:line="127" w:lineRule="exact"/>
        <w:rPr>
          <w:sz w:val="20"/>
          <w:szCs w:val="20"/>
          <w:color w:val="auto"/>
        </w:rPr>
      </w:pPr>
    </w:p>
    <w:p>
      <w:pPr>
        <w:ind w:left="40" w:right="80"/>
        <w:spacing w:after="0" w:line="253" w:lineRule="auto"/>
        <w:rPr>
          <w:sz w:val="20"/>
          <w:szCs w:val="20"/>
          <w:color w:val="auto"/>
        </w:rPr>
      </w:pPr>
      <w:r>
        <w:rPr>
          <w:rFonts w:ascii="Arial" w:cs="Arial" w:eastAsia="Arial" w:hAnsi="Arial"/>
          <w:sz w:val="18"/>
          <w:szCs w:val="18"/>
          <w:color w:val="auto"/>
        </w:rPr>
        <w:t>TripAdvisor impone alle terze parti di rispettare la sicurezza dei dati dei collaboratori e di trattarli in conformità alla legge. TripAdvisor si riserva di trasferire i dati personali dei collaboratori fuori dall'Unione Europea. In tal caso, i collaboratori possono aspettarsi lo stesso livello di protezione dei propri dati personali.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AAAAA"/>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784860</wp:posOffset>
            </wp:positionV>
            <wp:extent cx="703770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-15875</wp:posOffset>
            </wp:positionV>
            <wp:extent cx="57175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ectPr>
          <w:pgSz w:w="11900" w:h="16838" w:orient="portrait"/>
          <w:cols w:equalWidth="0" w:num="1">
            <w:col w:w="9140"/>
          </w:cols>
          <w:pgMar w:left="1340" w:top="1440" w:right="1419" w:bottom="1440" w:gutter="0" w:footer="0" w:header="0"/>
        </w:sectPr>
      </w:pPr>
    </w:p>
    <w:bookmarkStart w:id="94" w:name="page95"/>
    <w:bookmarkEnd w:id="94"/>
    <w:p>
      <w:pPr>
        <w:spacing w:after="0" w:line="3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5977255</wp:posOffset>
            </wp:positionH>
            <wp:positionV relativeFrom="page">
              <wp:posOffset>560070</wp:posOffset>
            </wp:positionV>
            <wp:extent cx="600075" cy="3860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Per quale motivo potrebbe essere necessaria la condivisione dei dati personali con terze parti?</w:t>
      </w:r>
    </w:p>
    <w:p>
      <w:pPr>
        <w:spacing w:after="0" w:line="212" w:lineRule="exact"/>
        <w:rPr>
          <w:sz w:val="20"/>
          <w:szCs w:val="20"/>
          <w:color w:val="auto"/>
        </w:rPr>
      </w:pPr>
    </w:p>
    <w:p>
      <w:pPr>
        <w:jc w:val="both"/>
        <w:ind w:left="60" w:right="80"/>
        <w:spacing w:after="0" w:line="271" w:lineRule="auto"/>
        <w:rPr>
          <w:sz w:val="20"/>
          <w:szCs w:val="20"/>
          <w:color w:val="auto"/>
        </w:rPr>
      </w:pPr>
      <w:r>
        <w:rPr>
          <w:rFonts w:ascii="Arial" w:cs="Arial" w:eastAsia="Arial" w:hAnsi="Arial"/>
          <w:sz w:val="18"/>
          <w:szCs w:val="18"/>
          <w:color w:val="auto"/>
        </w:rPr>
        <w:t>TripAdvisor si riserva di condividere i dati personali dei collaboratori con terze parti ove richiesto dalla legge, se necessario per gestire il rapporto di lavoro o in presenza di altro interesse legittimo.</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Quali fornitori di servizi di terze parti elaborano i dati personali dei collaboratori?</w:t>
      </w:r>
    </w:p>
    <w:p>
      <w:pPr>
        <w:spacing w:after="0" w:line="198"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8"/>
          <w:szCs w:val="18"/>
          <w:color w:val="auto"/>
        </w:rPr>
        <w:t>Per "terze parti" si intendono i fornitori di servizi di terze parti (ad esempio, subappaltatori) e altri soggetti all'interno del gruppo TripAdvisor. Di seguito, le attività che i fornitori di servizi di terze parti potrebbero condurre: emissione di buste page, gestione dei contributi previdenziali, erogazione e gestione di benefit, servizi IT.</w:t>
      </w:r>
    </w:p>
    <w:p>
      <w:pPr>
        <w:spacing w:after="0" w:line="155" w:lineRule="exact"/>
        <w:rPr>
          <w:sz w:val="20"/>
          <w:szCs w:val="20"/>
          <w:color w:val="auto"/>
        </w:rPr>
      </w:pPr>
    </w:p>
    <w:p>
      <w:pPr>
        <w:ind w:left="60"/>
        <w:spacing w:after="0" w:line="281" w:lineRule="auto"/>
        <w:rPr>
          <w:sz w:val="20"/>
          <w:szCs w:val="20"/>
          <w:color w:val="auto"/>
        </w:rPr>
      </w:pPr>
      <w:r>
        <w:rPr>
          <w:rFonts w:ascii="Arial" w:cs="Arial" w:eastAsia="Arial" w:hAnsi="Arial"/>
          <w:sz w:val="18"/>
          <w:szCs w:val="18"/>
          <w:b w:val="1"/>
          <w:bCs w:val="1"/>
          <w:color w:val="auto"/>
        </w:rPr>
        <w:t>Qual è il livello di sicurezza dei dati personali presso i fornitori di terze parti e altri soggetti del gruppo TripAdvisor?</w:t>
      </w:r>
    </w:p>
    <w:p>
      <w:pPr>
        <w:spacing w:after="0" w:line="136" w:lineRule="exact"/>
        <w:rPr>
          <w:sz w:val="20"/>
          <w:szCs w:val="20"/>
          <w:color w:val="auto"/>
        </w:rPr>
      </w:pPr>
    </w:p>
    <w:p>
      <w:pPr>
        <w:jc w:val="both"/>
        <w:ind w:left="60" w:right="60"/>
        <w:spacing w:after="0" w:line="244" w:lineRule="auto"/>
        <w:rPr>
          <w:sz w:val="20"/>
          <w:szCs w:val="20"/>
          <w:color w:val="auto"/>
        </w:rPr>
      </w:pPr>
      <w:r>
        <w:rPr>
          <w:rFonts w:ascii="Arial" w:cs="Arial" w:eastAsia="Arial" w:hAnsi="Arial"/>
          <w:sz w:val="18"/>
          <w:szCs w:val="18"/>
          <w:color w:val="auto"/>
        </w:rPr>
        <w:t>Tutti i fornitori di servizi di terze parti e altri soggetti del gruppo TripAdvisor sono obbligati ad adottare misure di sicurezza appropriate per tutelare i dati personali, in linea con i regolamenti della società. TripAdvisor non consente ai fornitori di servizi di terze parti di utilizzare i dati personali dei collaboratori per scopi propri. L'elaborazione dei dati personali da parte loro è consentita esclusivamente per gli scopi specificati in conformità alle istruzioni di TripAdvisor.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quali casi TripAdvisor può condividere i dati personali dei collaboratori con altri soggetti del gruppo?</w:t>
      </w:r>
    </w:p>
    <w:p>
      <w:pPr>
        <w:spacing w:after="0" w:line="212"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8"/>
          <w:szCs w:val="18"/>
          <w:color w:val="auto"/>
        </w:rPr>
        <w:t>TripAdvisor condivide i dati personali con altri soggetti del gruppo in diversi casi, ad esempio nell'ambito di attività di rendicontazione delle prestazioni aziendali, nel contesto di riorganizzazioni aziendali o ristrutturazioni del gruppo, per la manutenzione dei sistemi e l'hosting dei dati.</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Possono essere coinvolte altre terze parti?</w:t>
      </w:r>
    </w:p>
    <w:p>
      <w:pPr>
        <w:spacing w:after="0" w:line="198"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8"/>
          <w:szCs w:val="18"/>
          <w:color w:val="auto"/>
        </w:rPr>
        <w:t>TripAdvisor si riserva di condividere i dati personali dei collaboratori con altre terze parti, ad esempio nel contesto di una possibile vendita o ristrutturazione dell'attività. TripAdvisor potrebbe inoltre dover condividere i dati personali dei collaboratori con autorità di regolazione o per rispettare altrimenti le leggi.</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Trasferimento delle informazioni fuori dall'Unione Europea</w:t>
      </w:r>
    </w:p>
    <w:p>
      <w:pPr>
        <w:spacing w:after="0" w:line="212" w:lineRule="exact"/>
        <w:rPr>
          <w:sz w:val="20"/>
          <w:szCs w:val="20"/>
          <w:color w:val="auto"/>
        </w:rPr>
      </w:pPr>
    </w:p>
    <w:p>
      <w:pPr>
        <w:jc w:val="both"/>
        <w:ind w:left="60" w:right="60"/>
        <w:spacing w:after="0" w:line="271" w:lineRule="auto"/>
        <w:rPr>
          <w:sz w:val="20"/>
          <w:szCs w:val="20"/>
          <w:color w:val="auto"/>
        </w:rPr>
      </w:pPr>
      <w:r>
        <w:rPr>
          <w:rFonts w:ascii="Arial" w:cs="Arial" w:eastAsia="Arial" w:hAnsi="Arial"/>
          <w:sz w:val="18"/>
          <w:szCs w:val="18"/>
          <w:color w:val="auto"/>
        </w:rPr>
        <w:t>TripAdvisor si riserva di trasferire i dati personali raccolti sui collaboratori fuori dallo Spazio economico europeo ("SEE"), ad esempio negli Stati Uniti d'America, al fine di attuare il contratto stipulato.</w:t>
      </w:r>
    </w:p>
    <w:p>
      <w:pPr>
        <w:spacing w:after="0" w:line="140"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8"/>
          <w:szCs w:val="18"/>
          <w:color w:val="auto"/>
        </w:rPr>
        <w:t>Inoltre, per assicurare che i dati personali ricevano un livello di protezione adeguato, TripAdvisor attua le seguenti misure di garanzia di trattamento dei dati personali da parte di terze parti, in conformità alle leggi in materia dell'Unione Europea e del Regno Unito: clausole contrattuali.</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SICUREZZA DEI DATI</w:t>
      </w:r>
    </w:p>
    <w:p>
      <w:pPr>
        <w:spacing w:after="0" w:line="387" w:lineRule="exact"/>
        <w:rPr>
          <w:sz w:val="20"/>
          <w:szCs w:val="20"/>
          <w:color w:val="auto"/>
        </w:rPr>
      </w:pPr>
    </w:p>
    <w:p>
      <w:pPr>
        <w:ind w:left="40" w:right="320"/>
        <w:spacing w:after="0" w:line="271" w:lineRule="auto"/>
        <w:rPr>
          <w:sz w:val="20"/>
          <w:szCs w:val="20"/>
          <w:color w:val="auto"/>
        </w:rPr>
      </w:pPr>
      <w:r>
        <w:rPr>
          <w:rFonts w:ascii="Arial" w:cs="Arial" w:eastAsia="Arial" w:hAnsi="Arial"/>
          <w:sz w:val="18"/>
          <w:szCs w:val="18"/>
          <w:color w:val="auto"/>
        </w:rPr>
        <w:t>Sono in atto misure per proteggere la sicurezza dei dati dei collaboratori. I dettagli di tali misure sono disponibili nelle informative pertinenti in Passport.</w:t>
      </w:r>
    </w:p>
    <w:p>
      <w:pPr>
        <w:spacing w:after="0" w:line="140" w:lineRule="exact"/>
        <w:rPr>
          <w:sz w:val="20"/>
          <w:szCs w:val="20"/>
          <w:color w:val="auto"/>
        </w:rPr>
      </w:pPr>
    </w:p>
    <w:p>
      <w:pPr>
        <w:jc w:val="both"/>
        <w:ind w:left="40" w:right="400"/>
        <w:spacing w:after="0" w:line="301" w:lineRule="auto"/>
        <w:rPr>
          <w:sz w:val="20"/>
          <w:szCs w:val="20"/>
          <w:color w:val="auto"/>
        </w:rPr>
      </w:pPr>
      <w:r>
        <w:rPr>
          <w:rFonts w:ascii="Arial" w:cs="Arial" w:eastAsia="Arial" w:hAnsi="Arial"/>
          <w:sz w:val="17"/>
          <w:szCs w:val="17"/>
          <w:color w:val="auto"/>
        </w:rPr>
        <w:t>Eventuali terze parti sono autorizzate ad elaborare i dati personali dei collaboratori esclusivamente secondo le istruzioni di TripAdvisor e solo dopo aver sottoscritto un accordo di riservatezza e sicurezza delle informazioni.</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TripAdvisor adotta misure di sicurezza appropriate per prevenire la perdita accidentale delle informazioni, l'utilizzo</w:t>
      </w:r>
    </w:p>
    <w:p>
      <w:pPr>
        <w:spacing w:after="0" w:line="14" w:lineRule="exact"/>
        <w:rPr>
          <w:sz w:val="20"/>
          <w:szCs w:val="20"/>
          <w:color w:val="auto"/>
        </w:rPr>
      </w:pPr>
    </w:p>
    <w:p>
      <w:pPr>
        <w:ind w:left="220" w:hanging="15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l'accesso</w:t>
      </w: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AAAAA"/>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784860</wp:posOffset>
            </wp:positionV>
            <wp:extent cx="703770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-15875</wp:posOffset>
            </wp:positionV>
            <wp:extent cx="57175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ectPr>
          <w:pgSz w:w="11900" w:h="16838" w:orient="portrait"/>
          <w:cols w:equalWidth="0" w:num="1">
            <w:col w:w="9200"/>
          </w:cols>
          <w:pgMar w:left="1340" w:top="1440" w:right="1359" w:bottom="1440" w:gutter="0" w:footer="0" w:header="0"/>
        </w:sectPr>
      </w:pPr>
    </w:p>
    <w:bookmarkStart w:id="95" w:name="page96"/>
    <w:bookmarkEnd w:id="95"/>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5977255</wp:posOffset>
            </wp:positionH>
            <wp:positionV relativeFrom="page">
              <wp:posOffset>560070</wp:posOffset>
            </wp:positionV>
            <wp:extent cx="600075" cy="3860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jc w:val="both"/>
        <w:ind w:left="60"/>
        <w:spacing w:after="0" w:line="247" w:lineRule="auto"/>
        <w:rPr>
          <w:sz w:val="20"/>
          <w:szCs w:val="20"/>
          <w:color w:val="auto"/>
        </w:rPr>
      </w:pPr>
      <w:r>
        <w:rPr>
          <w:rFonts w:ascii="Arial" w:cs="Arial" w:eastAsia="Arial" w:hAnsi="Arial"/>
          <w:sz w:val="18"/>
          <w:szCs w:val="18"/>
          <w:color w:val="auto"/>
        </w:rPr>
        <w:t>non autorizzato, l'alterazione o la divulgazione. Inoltre, viene limitato l'accesso ai dati personali dei collaboratori da parte di dipendenti, agenti, subappaltatori e altre terze parti ai casi di necessità. Tali soggetti sono autorizzati ad elaborare i dati personali dei collaboratori esclusivamente secondo le istruzioni di TripAdvisor e a condizione di rispettarne l'obbligo di riservatezza.</w:t>
      </w:r>
    </w:p>
    <w:p>
      <w:pPr>
        <w:spacing w:after="0" w:line="160" w:lineRule="exact"/>
        <w:rPr>
          <w:sz w:val="20"/>
          <w:szCs w:val="20"/>
          <w:color w:val="auto"/>
        </w:rPr>
      </w:pPr>
    </w:p>
    <w:p>
      <w:pPr>
        <w:jc w:val="both"/>
        <w:ind w:left="60" w:right="20"/>
        <w:spacing w:after="0" w:line="271" w:lineRule="auto"/>
        <w:rPr>
          <w:sz w:val="20"/>
          <w:szCs w:val="20"/>
          <w:color w:val="auto"/>
        </w:rPr>
      </w:pPr>
      <w:r>
        <w:rPr>
          <w:rFonts w:ascii="Arial" w:cs="Arial" w:eastAsia="Arial" w:hAnsi="Arial"/>
          <w:sz w:val="18"/>
          <w:szCs w:val="18"/>
          <w:color w:val="auto"/>
        </w:rPr>
        <w:t>TripAdvisor attua procedure di gestione di potenziali violazioni della sicurezza dei dati e informa i soggetti interessati ed eventuali autorità di regolazione competenti in caso di sospetta violazione, ove la legge lo richieda.</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CONSERVAZIONE DEI DATI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 quanto tempo vengono utilizzate le informazioni dei collaboratori?</w:t>
      </w:r>
    </w:p>
    <w:p>
      <w:pPr>
        <w:spacing w:after="0" w:line="212" w:lineRule="exact"/>
        <w:rPr>
          <w:sz w:val="20"/>
          <w:szCs w:val="20"/>
          <w:color w:val="auto"/>
        </w:rPr>
      </w:pPr>
    </w:p>
    <w:p>
      <w:pPr>
        <w:jc w:val="both"/>
        <w:ind w:left="60"/>
        <w:spacing w:after="0" w:line="242" w:lineRule="auto"/>
        <w:rPr>
          <w:sz w:val="20"/>
          <w:szCs w:val="20"/>
          <w:color w:val="auto"/>
        </w:rPr>
      </w:pPr>
      <w:r>
        <w:rPr>
          <w:rFonts w:ascii="Arial" w:cs="Arial" w:eastAsia="Arial" w:hAnsi="Arial"/>
          <w:sz w:val="18"/>
          <w:szCs w:val="18"/>
          <w:color w:val="auto"/>
        </w:rPr>
        <w:t>TripAdvisor conserva i dati personali dei collaboratori per i periodo necessario per adempiere agli scopi di raccolta, tra cui per soddisfare requisiti di legge, di contabilità e di rendicontazione. Per determinare il periodo di conservazione appropriato per i dati personali, TripAdvisor tiene conto della quantità, della natura e della sensibilità dei dati personali, del rischio potenziale di danno derivante dall'uso o divulgazione non autorizzati, degli scopi per cui vengono elaborati i dati, della possibilità di raggiungere gli stessi scopi con altri mezzi, nonché dei requisiti legali.</w:t>
      </w:r>
    </w:p>
    <w:p>
      <w:pPr>
        <w:spacing w:after="0" w:line="179" w:lineRule="exact"/>
        <w:rPr>
          <w:sz w:val="20"/>
          <w:szCs w:val="20"/>
          <w:color w:val="auto"/>
        </w:rPr>
      </w:pPr>
    </w:p>
    <w:p>
      <w:pPr>
        <w:jc w:val="both"/>
        <w:ind w:left="60"/>
        <w:spacing w:after="0" w:line="244" w:lineRule="auto"/>
        <w:rPr>
          <w:sz w:val="20"/>
          <w:szCs w:val="20"/>
          <w:color w:val="auto"/>
        </w:rPr>
      </w:pPr>
      <w:r>
        <w:rPr>
          <w:rFonts w:ascii="Arial" w:cs="Arial" w:eastAsia="Arial" w:hAnsi="Arial"/>
          <w:sz w:val="18"/>
          <w:szCs w:val="18"/>
          <w:color w:val="auto"/>
        </w:rPr>
        <w:t>In determinate circostanze, i dati personali vengono resi anonimi in modo da non consentire l'associazione alla persona a cui appartengono. In tali casi, TripAdvisor si riserva di utilizzarli senza ulteriore preavviso. Alla cessazione del rapporto di lavoro o collaborazione con l'azienda, TripAdvisor si riserva di conservare e distruggere in modo sicuro i dati personali di dipendenti, collaboratori o subappaltatori, in conformità alle leggi e normative vigenti.</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DIRITTI DI ACCESSO, CORREZIONE, CANCELLAZIONE E LIMITAZIONE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Obbligo di informare TripAdvisor in caso di cambiamenti</w:t>
      </w:r>
    </w:p>
    <w:p>
      <w:pPr>
        <w:spacing w:after="0" w:line="198" w:lineRule="exact"/>
        <w:rPr>
          <w:sz w:val="20"/>
          <w:szCs w:val="20"/>
          <w:color w:val="auto"/>
        </w:rPr>
      </w:pPr>
    </w:p>
    <w:p>
      <w:pPr>
        <w:jc w:val="both"/>
        <w:ind w:left="60" w:firstLine="8"/>
        <w:spacing w:after="0" w:line="247" w:lineRule="auto"/>
        <w:tabs>
          <w:tab w:leader="none" w:pos="2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importante che i dati personali archiviati da TripAdvisor siano accurati e aggiornati. Si invitano pertanto i collaboratori a informare la società in caso di modifiche dei propri dati personali nel corso del rapporto di lavoro. È possibile accedere al proprio account WorkDay in qualsiasi momento per visualizzare, verificare e modificare i propri dati personali. È inoltre possibile rivolgersi al partner locale per le risorse umane.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Diritti dei collaboratori rispetto ai dati personali</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determinate circostanze, rispetto ai dati personali la legge garantisce il diritto di:</w:t>
      </w:r>
    </w:p>
    <w:p>
      <w:pPr>
        <w:spacing w:after="0" w:line="198" w:lineRule="exact"/>
        <w:rPr>
          <w:sz w:val="20"/>
          <w:szCs w:val="20"/>
          <w:color w:val="auto"/>
        </w:rPr>
      </w:pPr>
    </w:p>
    <w:p>
      <w:pPr>
        <w:ind w:left="500" w:hanging="328"/>
        <w:spacing w:after="0"/>
        <w:tabs>
          <w:tab w:leader="none" w:pos="5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Richiedere l'accesso e la correzione</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Richiedere la cancellazione</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Opporsi al trattamento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Richiedere limitazioni al trattamento</w:t>
      </w:r>
    </w:p>
    <w:p>
      <w:pPr>
        <w:spacing w:after="0" w:line="116"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Richiedere il trasferimento</w:t>
      </w:r>
    </w:p>
    <w:p>
      <w:pPr>
        <w:spacing w:after="0" w:line="278"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Se si desidera visualizzare, verificare, correggere o richiedere la cancellazione, opporsi al trattamento o richiedere il trasferimento dei propri dati personali a terze parti, sarà necessario inoltrare una richiesta scritta al partner locale per le risorse umane.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Nessuna tariffa richiesta per prassi</w:t>
      </w:r>
    </w:p>
    <w:p>
      <w:pPr>
        <w:spacing w:after="0" w:line="198"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L'accesso ai propri dati personali (o l'esercizio di eventuali altri diritti) è gratuito. Tuttavia, TripAdvisor potrebbe applicare una tariffa ragionevole se la richiesta di accesso è chiaramente infondata o eccessiva. In alternativa, TripAdvisor si riserva di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AAAAA"/>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784860</wp:posOffset>
            </wp:positionV>
            <wp:extent cx="703770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-15875</wp:posOffset>
            </wp:positionV>
            <wp:extent cx="57175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ectPr>
          <w:pgSz w:w="11900" w:h="16838" w:orient="portrait"/>
          <w:cols w:equalWidth="0" w:num="1">
            <w:col w:w="9140"/>
          </w:cols>
          <w:pgMar w:left="1340" w:top="1440" w:right="1419" w:bottom="1440" w:gutter="0" w:footer="0" w:header="0"/>
        </w:sectPr>
      </w:pPr>
    </w:p>
    <w:bookmarkStart w:id="96" w:name="page97"/>
    <w:bookmarkEnd w:id="96"/>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5977255</wp:posOffset>
            </wp:positionH>
            <wp:positionV relativeFrom="page">
              <wp:posOffset>560070</wp:posOffset>
            </wp:positionV>
            <wp:extent cx="600075" cy="3860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jc w:val="both"/>
        <w:ind w:left="60"/>
        <w:spacing w:after="0" w:line="271" w:lineRule="auto"/>
        <w:rPr>
          <w:sz w:val="20"/>
          <w:szCs w:val="20"/>
          <w:color w:val="auto"/>
        </w:rPr>
      </w:pPr>
      <w:r>
        <w:rPr>
          <w:rFonts w:ascii="Arial" w:cs="Arial" w:eastAsia="Arial" w:hAnsi="Arial"/>
          <w:sz w:val="18"/>
          <w:szCs w:val="18"/>
          <w:color w:val="auto"/>
        </w:rPr>
        <w:t>respingere la richiesta in tali circostanze. Prima di rispondere alla richiesta, TripAdvisor terrà conto di eventuali altre basi giuridiche per agire in tal senso.</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Informazioni potenzialmente necessarie</w:t>
      </w:r>
    </w:p>
    <w:p>
      <w:pPr>
        <w:spacing w:after="0" w:line="198"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TripAdvisor si riserva di richiedere informazioni specifiche ai collaboratori per confermare la loro identità e il diritto di accedere ai dati (o di esercitare altri diritti). Si tratta di un'ulteriore misura di sicurezza atta a garantire che i dati personali non vengano divulgati a persone che non hanno diritto di riceverli.</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DIRITTO DI REVOCARE IL CONSENSO</w:t>
      </w:r>
    </w:p>
    <w:p>
      <w:pPr>
        <w:spacing w:after="0" w:line="212" w:lineRule="exact"/>
        <w:rPr>
          <w:sz w:val="20"/>
          <w:szCs w:val="20"/>
          <w:color w:val="auto"/>
        </w:rPr>
      </w:pPr>
    </w:p>
    <w:p>
      <w:pPr>
        <w:jc w:val="both"/>
        <w:ind w:left="60"/>
        <w:spacing w:after="0" w:line="242" w:lineRule="auto"/>
        <w:rPr>
          <w:sz w:val="20"/>
          <w:szCs w:val="20"/>
          <w:color w:val="auto"/>
        </w:rPr>
      </w:pPr>
      <w:r>
        <w:rPr>
          <w:rFonts w:ascii="Arial" w:cs="Arial" w:eastAsia="Arial" w:hAnsi="Arial"/>
          <w:sz w:val="18"/>
          <w:szCs w:val="18"/>
          <w:color w:val="auto"/>
        </w:rPr>
        <w:t>Nelle circostanze limitate in cui un collaboratore abbia acconsentito alla raccolta, al trattamento e al trasferimento dei propri dati personali per uno scopo specifico, tale collaboratore avrà diritto di revocare il proprio consenso per tale trattamento specifico in qualsiasi momento. Per revocare il consenso, contattare il partner di riferimento per le risorse umane. Una volta ricevuta la notifica di revoca del consenso, TripAdvisor cesserà ogni trattamento dei dati del collaboratore per lo scopo o per gli scopi originariamente concordati, a condizione che non vi siano altre motivazioni legittime per procedere in tal senso secondo la legge.</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RESPONSABILE DELLA PROTEZIONE DEI DATI</w:t>
      </w:r>
    </w:p>
    <w:p>
      <w:pPr>
        <w:spacing w:after="0" w:line="212" w:lineRule="exact"/>
        <w:rPr>
          <w:sz w:val="20"/>
          <w:szCs w:val="20"/>
          <w:color w:val="auto"/>
        </w:rPr>
      </w:pPr>
    </w:p>
    <w:p>
      <w:pPr>
        <w:jc w:val="both"/>
        <w:ind w:left="60"/>
        <w:spacing w:after="0" w:line="244" w:lineRule="auto"/>
        <w:rPr>
          <w:sz w:val="20"/>
          <w:szCs w:val="20"/>
          <w:color w:val="auto"/>
        </w:rPr>
      </w:pPr>
      <w:r>
        <w:rPr>
          <w:rFonts w:ascii="Arial" w:cs="Arial" w:eastAsia="Arial" w:hAnsi="Arial"/>
          <w:sz w:val="18"/>
          <w:szCs w:val="18"/>
          <w:color w:val="auto"/>
        </w:rPr>
        <w:t>L'ufficio legale e il reparto di sicurezza delle informazioni supervisioneranno la conformità alla presente Informativa sulla privacy. Tuttavia, in caso di domande sulla presente o sulle modalità di trattamento dei dati personali dei collaboratori, è possibile rivolgersi, in prima istanza, al proprio responsabile o al partner per le risorse umane. I collaboratori hanno il diritto di inoltrare reclami in qualsiasi momento presso l'autorità competente per la tutela dei dati nel proprio paese.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MODIFICHE DELLA PRESENTE INFORMATIVA SULLA PRIVACY</w:t>
      </w:r>
    </w:p>
    <w:p>
      <w:pPr>
        <w:spacing w:after="0" w:line="171" w:lineRule="exact"/>
        <w:rPr>
          <w:sz w:val="20"/>
          <w:szCs w:val="20"/>
          <w:color w:val="auto"/>
        </w:rPr>
      </w:pPr>
    </w:p>
    <w:p>
      <w:pPr>
        <w:jc w:val="both"/>
        <w:ind w:left="60" w:right="20"/>
        <w:spacing w:after="0" w:line="253" w:lineRule="auto"/>
        <w:rPr>
          <w:sz w:val="20"/>
          <w:szCs w:val="20"/>
          <w:color w:val="auto"/>
        </w:rPr>
      </w:pPr>
      <w:r>
        <w:rPr>
          <w:rFonts w:ascii="Arial" w:cs="Arial" w:eastAsia="Arial" w:hAnsi="Arial"/>
          <w:sz w:val="18"/>
          <w:szCs w:val="18"/>
          <w:color w:val="auto"/>
        </w:rPr>
        <w:t>TripAdvisor si riserva il diritto di aggiornare la presente informativa sulla privacy in qualsiasi momento, divulgando una nuova informativa in caso di aggiornamenti sostanziali. TripAdvisor si riserva inoltre di informare occasionalmente i collaboratori con altri mezzi circa il trattamento dei loro dati personali.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505050"/>
        </w:rPr>
        <w:t>Aprile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AAAAA"/>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784860</wp:posOffset>
            </wp:positionV>
            <wp:extent cx="703770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-15875</wp:posOffset>
            </wp:positionV>
            <wp:extent cx="57175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ectPr>
          <w:pgSz w:w="11900" w:h="16838" w:orient="portrait"/>
          <w:cols w:equalWidth="0" w:num="1">
            <w:col w:w="9140"/>
          </w:cols>
          <w:pgMar w:left="1340" w:top="1440" w:right="1419" w:bottom="1440" w:gutter="0" w:footer="0" w:header="0"/>
        </w:sectPr>
      </w:pPr>
    </w:p>
    <w:bookmarkStart w:id="97" w:name="page98"/>
    <w:bookmarkEnd w:id="97"/>
    <w:tbl>
      <w:tblPr>
        <w:tblLayout w:type="fixed"/>
        <w:tblInd w:w="540" w:type="dxa"/>
        <w:tblCellMar>
          <w:top w:w="0" w:type="dxa"/>
          <w:left w:w="0" w:type="dxa"/>
          <w:bottom w:w="0" w:type="dxa"/>
          <w:right w:w="0" w:type="dxa"/>
        </w:tblCellMar>
      </w:tblPr>
      <w:tr>
        <w:trPr>
          <w:trHeight w:val="218"/>
        </w:trPr>
        <w:tc>
          <w:tcPr>
            <w:tcW w:w="3900" w:type="dxa"/>
            <w:vAlign w:val="bottom"/>
          </w:tcPr>
          <w:p>
            <w:pPr>
              <w:spacing w:after="0"/>
              <w:rPr>
                <w:sz w:val="20"/>
                <w:szCs w:val="20"/>
                <w:color w:val="auto"/>
              </w:rPr>
            </w:pPr>
            <w:r>
              <w:rPr>
                <w:rFonts w:ascii="Arial" w:cs="Arial" w:eastAsia="Arial" w:hAnsi="Arial"/>
                <w:sz w:val="19"/>
                <w:szCs w:val="19"/>
                <w:color w:val="auto"/>
              </w:rPr>
              <w:t>Il Vicepresidente Senior, CEO di La</w:t>
            </w:r>
          </w:p>
        </w:tc>
        <w:tc>
          <w:tcPr>
            <w:tcW w:w="4000" w:type="dxa"/>
            <w:vAlign w:val="bottom"/>
          </w:tcPr>
          <w:p>
            <w:pPr>
              <w:ind w:left="140"/>
              <w:spacing w:after="0"/>
              <w:rPr>
                <w:sz w:val="20"/>
                <w:szCs w:val="20"/>
                <w:color w:val="auto"/>
              </w:rPr>
            </w:pPr>
            <w:r>
              <w:rPr>
                <w:rFonts w:ascii="Arial" w:cs="Arial" w:eastAsia="Arial" w:hAnsi="Arial"/>
                <w:sz w:val="19"/>
                <w:szCs w:val="19"/>
                <w:color w:val="auto"/>
                <w:w w:val="99"/>
              </w:rPr>
              <w:t>The Sr. Vice President, CEO of La Fourchette</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9"/>
                <w:szCs w:val="19"/>
                <w:color w:val="auto"/>
              </w:rPr>
              <w:t>Fourchette Srl (“TheFork”) sarà responsabile</w:t>
            </w:r>
          </w:p>
        </w:tc>
        <w:tc>
          <w:tcPr>
            <w:tcW w:w="4000" w:type="dxa"/>
            <w:vAlign w:val="bottom"/>
          </w:tcPr>
          <w:p>
            <w:pPr>
              <w:ind w:left="140"/>
              <w:spacing w:after="0" w:line="216" w:lineRule="exact"/>
              <w:rPr>
                <w:sz w:val="20"/>
                <w:szCs w:val="20"/>
                <w:color w:val="auto"/>
              </w:rPr>
            </w:pPr>
            <w:r>
              <w:rPr>
                <w:rFonts w:ascii="Arial" w:cs="Arial" w:eastAsia="Arial" w:hAnsi="Arial"/>
                <w:sz w:val="19"/>
                <w:szCs w:val="19"/>
                <w:color w:val="auto"/>
                <w:w w:val="99"/>
              </w:rPr>
              <w:t>Srl (“TheFork”) will be responsible for the P&amp;L</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9"/>
                <w:szCs w:val="19"/>
                <w:color w:val="auto"/>
              </w:rPr>
              <w:t>del P&amp;L (profit&amp;loss/profitti e perdite) di</w:t>
            </w:r>
          </w:p>
        </w:tc>
        <w:tc>
          <w:tcPr>
            <w:tcW w:w="4000" w:type="dxa"/>
            <w:vAlign w:val="bottom"/>
          </w:tcPr>
          <w:p>
            <w:pPr>
              <w:ind w:left="140"/>
              <w:spacing w:after="0" w:line="216" w:lineRule="exact"/>
              <w:rPr>
                <w:sz w:val="20"/>
                <w:szCs w:val="20"/>
                <w:color w:val="auto"/>
              </w:rPr>
            </w:pPr>
            <w:r>
              <w:rPr>
                <w:rFonts w:ascii="Arial" w:cs="Arial" w:eastAsia="Arial" w:hAnsi="Arial"/>
                <w:sz w:val="19"/>
                <w:szCs w:val="19"/>
                <w:color w:val="auto"/>
              </w:rPr>
              <w:t>of TheFork. As a member of the Tripadvisor</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9"/>
                <w:szCs w:val="19"/>
                <w:color w:val="auto"/>
              </w:rPr>
              <w:t>TheFork. Come membro del team esecutivo</w:t>
            </w:r>
          </w:p>
        </w:tc>
        <w:tc>
          <w:tcPr>
            <w:tcW w:w="4000" w:type="dxa"/>
            <w:vAlign w:val="bottom"/>
          </w:tcPr>
          <w:p>
            <w:pPr>
              <w:ind w:left="140"/>
              <w:spacing w:after="0" w:line="216" w:lineRule="exact"/>
              <w:rPr>
                <w:sz w:val="20"/>
                <w:szCs w:val="20"/>
                <w:color w:val="auto"/>
              </w:rPr>
            </w:pPr>
            <w:r>
              <w:rPr>
                <w:rFonts w:ascii="Arial" w:cs="Arial" w:eastAsia="Arial" w:hAnsi="Arial"/>
                <w:sz w:val="19"/>
                <w:szCs w:val="19"/>
                <w:color w:val="auto"/>
              </w:rPr>
              <w:t>Executive Team, this leader will have end to</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9"/>
                <w:szCs w:val="19"/>
                <w:color w:val="auto"/>
              </w:rPr>
              <w:t>di Tripadvisor, egli avrà completa</w:t>
            </w:r>
          </w:p>
        </w:tc>
        <w:tc>
          <w:tcPr>
            <w:tcW w:w="4000" w:type="dxa"/>
            <w:vAlign w:val="bottom"/>
          </w:tcPr>
          <w:p>
            <w:pPr>
              <w:ind w:left="140"/>
              <w:spacing w:after="0" w:line="216" w:lineRule="exact"/>
              <w:rPr>
                <w:sz w:val="20"/>
                <w:szCs w:val="20"/>
                <w:color w:val="auto"/>
              </w:rPr>
            </w:pPr>
            <w:r>
              <w:rPr>
                <w:rFonts w:ascii="Arial" w:cs="Arial" w:eastAsia="Arial" w:hAnsi="Arial"/>
                <w:sz w:val="19"/>
                <w:szCs w:val="19"/>
                <w:color w:val="auto"/>
              </w:rPr>
              <w:t>end responsibilities for a team that includes</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9"/>
                <w:szCs w:val="19"/>
                <w:color w:val="auto"/>
              </w:rPr>
              <w:t>responsabilità per ogni team che comprende</w:t>
            </w:r>
          </w:p>
        </w:tc>
        <w:tc>
          <w:tcPr>
            <w:tcW w:w="4000" w:type="dxa"/>
            <w:vAlign w:val="bottom"/>
          </w:tcPr>
          <w:p>
            <w:pPr>
              <w:ind w:left="140"/>
              <w:spacing w:after="0" w:line="216" w:lineRule="exact"/>
              <w:rPr>
                <w:sz w:val="20"/>
                <w:szCs w:val="20"/>
                <w:color w:val="auto"/>
              </w:rPr>
            </w:pPr>
            <w:r>
              <w:rPr>
                <w:rFonts w:ascii="Arial" w:cs="Arial" w:eastAsia="Arial" w:hAnsi="Arial"/>
                <w:sz w:val="19"/>
                <w:szCs w:val="19"/>
                <w:color w:val="auto"/>
              </w:rPr>
              <w:t>product, core engineering, sales, marketing</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9"/>
                <w:szCs w:val="19"/>
                <w:color w:val="auto"/>
              </w:rPr>
              <w:t>prodotti, ingegneria di base, vendite,</w:t>
            </w:r>
          </w:p>
        </w:tc>
        <w:tc>
          <w:tcPr>
            <w:tcW w:w="4000" w:type="dxa"/>
            <w:vAlign w:val="bottom"/>
          </w:tcPr>
          <w:p>
            <w:pPr>
              <w:ind w:left="140"/>
              <w:spacing w:after="0" w:line="216" w:lineRule="exact"/>
              <w:rPr>
                <w:sz w:val="20"/>
                <w:szCs w:val="20"/>
                <w:color w:val="auto"/>
              </w:rPr>
            </w:pPr>
            <w:r>
              <w:rPr>
                <w:rFonts w:ascii="Arial" w:cs="Arial" w:eastAsia="Arial" w:hAnsi="Arial"/>
                <w:sz w:val="19"/>
                <w:szCs w:val="19"/>
                <w:color w:val="auto"/>
              </w:rPr>
              <w:t>and customer service. Key Responsibilities of</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9"/>
                <w:szCs w:val="19"/>
                <w:color w:val="auto"/>
              </w:rPr>
              <w:t>marketing e servizio clienti. Le responsabilità</w:t>
            </w:r>
          </w:p>
        </w:tc>
        <w:tc>
          <w:tcPr>
            <w:tcW w:w="4000" w:type="dxa"/>
            <w:vAlign w:val="bottom"/>
          </w:tcPr>
          <w:p>
            <w:pPr>
              <w:ind w:left="140"/>
              <w:spacing w:after="0" w:line="216" w:lineRule="exact"/>
              <w:rPr>
                <w:sz w:val="20"/>
                <w:szCs w:val="20"/>
                <w:color w:val="auto"/>
              </w:rPr>
            </w:pPr>
            <w:r>
              <w:rPr>
                <w:rFonts w:ascii="Arial" w:cs="Arial" w:eastAsia="Arial" w:hAnsi="Arial"/>
                <w:sz w:val="19"/>
                <w:szCs w:val="19"/>
                <w:color w:val="auto"/>
              </w:rPr>
              <w:t>the Role will include:</w:t>
            </w:r>
          </w:p>
        </w:tc>
        <w:tc>
          <w:tcPr>
            <w:tcW w:w="0" w:type="dxa"/>
            <w:vAlign w:val="bottom"/>
          </w:tcPr>
          <w:p>
            <w:pPr>
              <w:spacing w:after="0"/>
              <w:rPr>
                <w:sz w:val="1"/>
                <w:szCs w:val="1"/>
                <w:color w:val="auto"/>
              </w:rPr>
            </w:pPr>
          </w:p>
        </w:tc>
      </w:tr>
      <w:tr>
        <w:trPr>
          <w:trHeight w:val="249"/>
        </w:trPr>
        <w:tc>
          <w:tcPr>
            <w:tcW w:w="3900" w:type="dxa"/>
            <w:vAlign w:val="bottom"/>
          </w:tcPr>
          <w:p>
            <w:pPr>
              <w:spacing w:after="0"/>
              <w:rPr>
                <w:sz w:val="20"/>
                <w:szCs w:val="20"/>
                <w:color w:val="auto"/>
              </w:rPr>
            </w:pPr>
            <w:r>
              <w:rPr>
                <w:rFonts w:ascii="Arial" w:cs="Arial" w:eastAsia="Arial" w:hAnsi="Arial"/>
                <w:sz w:val="19"/>
                <w:szCs w:val="19"/>
                <w:color w:val="auto"/>
              </w:rPr>
              <w:t>chiave del Ruolo includono:</w:t>
            </w:r>
          </w:p>
        </w:tc>
        <w:tc>
          <w:tcPr>
            <w:tcW w:w="4000" w:type="dxa"/>
            <w:vAlign w:val="bottom"/>
            <w:vMerge w:val="restart"/>
          </w:tcPr>
          <w:p>
            <w:pPr>
              <w:ind w:left="140"/>
              <w:spacing w:after="0"/>
              <w:rPr>
                <w:sz w:val="20"/>
                <w:szCs w:val="20"/>
                <w:color w:val="auto"/>
              </w:rPr>
            </w:pPr>
            <w:r>
              <w:rPr>
                <w:rFonts w:ascii="Arial" w:cs="Arial" w:eastAsia="Arial" w:hAnsi="Arial"/>
                <w:sz w:val="19"/>
                <w:szCs w:val="19"/>
                <w:color w:val="auto"/>
              </w:rPr>
              <w:t>Establishing the Strategic Direction</w:t>
            </w: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Arial" w:cs="Arial" w:eastAsia="Arial" w:hAnsi="Arial"/>
                <w:sz w:val="19"/>
                <w:szCs w:val="19"/>
                <w:color w:val="auto"/>
              </w:rPr>
              <w:t>Stabilire la direzione strategica</w:t>
            </w:r>
          </w:p>
        </w:tc>
        <w:tc>
          <w:tcPr>
            <w:tcW w:w="4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4000" w:type="dxa"/>
            <w:vAlign w:val="bottom"/>
            <w:vMerge w:val="restart"/>
          </w:tcPr>
          <w:p>
            <w:pPr>
              <w:ind w:left="14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Building  a  future-focused  strategy  that</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4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jc w:val="both"/>
        <w:ind w:left="520" w:right="579" w:firstLine="9"/>
        <w:spacing w:after="0" w:line="241" w:lineRule="auto"/>
        <w:tabs>
          <w:tab w:leader="none" w:pos="860" w:val="left"/>
        </w:tabs>
        <w:numPr>
          <w:ilvl w:val="0"/>
          <w:numId w:val="73"/>
        </w:numPr>
        <w:rPr>
          <w:rFonts w:ascii="Times New Roman" w:cs="Times New Roman" w:eastAsia="Times New Roman" w:hAnsi="Times New Roman"/>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1183640</wp:posOffset>
            </wp:positionH>
            <wp:positionV relativeFrom="page">
              <wp:posOffset>643890</wp:posOffset>
            </wp:positionV>
            <wp:extent cx="5162550" cy="79679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5162550" cy="7967980"/>
                    </a:xfrm>
                    <a:prstGeom prst="rect">
                      <a:avLst/>
                    </a:prstGeom>
                    <a:noFill/>
                  </pic:spPr>
                </pic:pic>
              </a:graphicData>
            </a:graphic>
          </wp:anchor>
        </w:drawing>
        <w:t>Costruire una strategia focalizzata sul ensures TheFork’s continued growth and futuro che assicuri la continua crescita e profitability by anticipating and navigating a redditività di TheFork, anticipando e rapidly shifting, increasingly complex,</w:t>
      </w:r>
    </w:p>
    <w:tbl>
      <w:tblPr>
        <w:tblLayout w:type="fixed"/>
        <w:tblInd w:w="520" w:type="dxa"/>
        <w:tblCellMar>
          <w:top w:w="0" w:type="dxa"/>
          <w:left w:w="0" w:type="dxa"/>
          <w:bottom w:w="0" w:type="dxa"/>
          <w:right w:w="0" w:type="dxa"/>
        </w:tblCellMar>
      </w:tblPr>
      <w:tr>
        <w:trPr>
          <w:trHeight w:val="200"/>
        </w:trPr>
        <w:tc>
          <w:tcPr>
            <w:tcW w:w="3960" w:type="dxa"/>
            <w:vAlign w:val="bottom"/>
          </w:tcPr>
          <w:p>
            <w:pPr>
              <w:spacing w:after="0" w:line="201" w:lineRule="exact"/>
              <w:rPr>
                <w:sz w:val="20"/>
                <w:szCs w:val="20"/>
                <w:color w:val="auto"/>
              </w:rPr>
            </w:pPr>
            <w:r>
              <w:rPr>
                <w:rFonts w:ascii="Arial" w:cs="Arial" w:eastAsia="Arial" w:hAnsi="Arial"/>
                <w:sz w:val="19"/>
                <w:szCs w:val="19"/>
                <w:color w:val="auto"/>
              </w:rPr>
              <w:t>navigando in un panorama globale in rapida</w:t>
            </w:r>
          </w:p>
        </w:tc>
        <w:tc>
          <w:tcPr>
            <w:tcW w:w="3220" w:type="dxa"/>
            <w:vAlign w:val="bottom"/>
            <w:gridSpan w:val="3"/>
          </w:tcPr>
          <w:p>
            <w:pPr>
              <w:ind w:left="100"/>
              <w:spacing w:after="0" w:line="201" w:lineRule="exact"/>
              <w:rPr>
                <w:sz w:val="20"/>
                <w:szCs w:val="20"/>
                <w:color w:val="auto"/>
              </w:rPr>
            </w:pPr>
            <w:r>
              <w:rPr>
                <w:rFonts w:ascii="Arial" w:cs="Arial" w:eastAsia="Arial" w:hAnsi="Arial"/>
                <w:sz w:val="19"/>
                <w:szCs w:val="19"/>
                <w:color w:val="auto"/>
              </w:rPr>
              <w:t>competitive global landscape.</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960" w:type="dxa"/>
            <w:vAlign w:val="bottom"/>
          </w:tcPr>
          <w:p>
            <w:pPr>
              <w:spacing w:after="0"/>
              <w:rPr>
                <w:sz w:val="20"/>
                <w:szCs w:val="20"/>
                <w:color w:val="auto"/>
              </w:rPr>
            </w:pPr>
            <w:r>
              <w:rPr>
                <w:rFonts w:ascii="Arial" w:cs="Arial" w:eastAsia="Arial" w:hAnsi="Arial"/>
                <w:sz w:val="19"/>
                <w:szCs w:val="19"/>
                <w:color w:val="auto"/>
              </w:rPr>
              <w:t>evoluzione,   sempre   più   complesso   e</w:t>
            </w: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Generate,   encourage,   and</w:t>
            </w:r>
          </w:p>
        </w:tc>
        <w:tc>
          <w:tcPr>
            <w:tcW w:w="740" w:type="dxa"/>
            <w:vAlign w:val="bottom"/>
          </w:tcPr>
          <w:p>
            <w:pPr>
              <w:jc w:val="right"/>
              <w:spacing w:after="0"/>
              <w:rPr>
                <w:sz w:val="20"/>
                <w:szCs w:val="20"/>
                <w:color w:val="auto"/>
              </w:rPr>
            </w:pPr>
            <w:r>
              <w:rPr>
                <w:rFonts w:ascii="Arial" w:cs="Arial" w:eastAsia="Arial" w:hAnsi="Arial"/>
                <w:sz w:val="19"/>
                <w:szCs w:val="19"/>
                <w:color w:val="auto"/>
              </w:rPr>
              <w:t>explore</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9"/>
                <w:szCs w:val="19"/>
                <w:color w:val="auto"/>
              </w:rPr>
              <w:t>competitivo.</w:t>
            </w:r>
          </w:p>
        </w:tc>
        <w:tc>
          <w:tcPr>
            <w:tcW w:w="3960" w:type="dxa"/>
            <w:vAlign w:val="bottom"/>
            <w:gridSpan w:val="4"/>
            <w:vMerge w:val="restart"/>
          </w:tcPr>
          <w:p>
            <w:pPr>
              <w:ind w:left="100"/>
              <w:spacing w:after="0"/>
              <w:rPr>
                <w:sz w:val="20"/>
                <w:szCs w:val="20"/>
                <w:color w:val="auto"/>
              </w:rPr>
            </w:pPr>
            <w:r>
              <w:rPr>
                <w:rFonts w:ascii="Arial" w:cs="Arial" w:eastAsia="Arial" w:hAnsi="Arial"/>
                <w:sz w:val="19"/>
                <w:szCs w:val="19"/>
                <w:color w:val="auto"/>
                <w:w w:val="99"/>
              </w:rPr>
              <w:t>disruptive ideas and solutions by painting bold</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Generare, incoraggiare ed esplorare idee</w:t>
            </w:r>
          </w:p>
        </w:tc>
        <w:tc>
          <w:tcPr>
            <w:tcW w:w="3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960" w:type="dxa"/>
            <w:vAlign w:val="bottom"/>
            <w:vMerge w:val="continue"/>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9"/>
                <w:szCs w:val="19"/>
                <w:color w:val="auto"/>
              </w:rPr>
              <w:t>future</w:t>
            </w:r>
          </w:p>
        </w:tc>
        <w:tc>
          <w:tcPr>
            <w:tcW w:w="1180" w:type="dxa"/>
            <w:vAlign w:val="bottom"/>
          </w:tcPr>
          <w:p>
            <w:pPr>
              <w:ind w:left="160"/>
              <w:spacing w:after="0"/>
              <w:rPr>
                <w:sz w:val="20"/>
                <w:szCs w:val="20"/>
                <w:color w:val="auto"/>
              </w:rPr>
            </w:pPr>
            <w:r>
              <w:rPr>
                <w:rFonts w:ascii="Arial" w:cs="Arial" w:eastAsia="Arial" w:hAnsi="Arial"/>
                <w:sz w:val="19"/>
                <w:szCs w:val="19"/>
                <w:color w:val="auto"/>
              </w:rPr>
              <w:t>scenarios,</w:t>
            </w:r>
          </w:p>
        </w:tc>
        <w:tc>
          <w:tcPr>
            <w:tcW w:w="1300" w:type="dxa"/>
            <w:vAlign w:val="bottom"/>
          </w:tcPr>
          <w:p>
            <w:pPr>
              <w:ind w:left="160"/>
              <w:spacing w:after="0"/>
              <w:rPr>
                <w:sz w:val="20"/>
                <w:szCs w:val="20"/>
                <w:color w:val="auto"/>
              </w:rPr>
            </w:pPr>
            <w:r>
              <w:rPr>
                <w:rFonts w:ascii="Arial" w:cs="Arial" w:eastAsia="Arial" w:hAnsi="Arial"/>
                <w:sz w:val="19"/>
                <w:szCs w:val="19"/>
                <w:color w:val="auto"/>
              </w:rPr>
              <w:t>challenging</w:t>
            </w:r>
          </w:p>
        </w:tc>
        <w:tc>
          <w:tcPr>
            <w:tcW w:w="740" w:type="dxa"/>
            <w:vAlign w:val="bottom"/>
          </w:tcPr>
          <w:p>
            <w:pPr>
              <w:jc w:val="right"/>
              <w:spacing w:after="0"/>
              <w:rPr>
                <w:sz w:val="20"/>
                <w:szCs w:val="20"/>
                <w:color w:val="auto"/>
              </w:rPr>
            </w:pPr>
            <w:r>
              <w:rPr>
                <w:rFonts w:ascii="Arial" w:cs="Arial" w:eastAsia="Arial" w:hAnsi="Arial"/>
                <w:sz w:val="19"/>
                <w:szCs w:val="19"/>
                <w:color w:val="auto"/>
              </w:rPr>
              <w:t>current</w:t>
            </w:r>
          </w:p>
        </w:tc>
        <w:tc>
          <w:tcPr>
            <w:tcW w:w="0" w:type="dxa"/>
            <w:vAlign w:val="bottom"/>
          </w:tcPr>
          <w:p>
            <w:pPr>
              <w:spacing w:after="0"/>
              <w:rPr>
                <w:sz w:val="1"/>
                <w:szCs w:val="1"/>
                <w:color w:val="auto"/>
              </w:rPr>
            </w:pPr>
          </w:p>
        </w:tc>
      </w:tr>
    </w:tbl>
    <w:p>
      <w:pPr>
        <w:jc w:val="both"/>
        <w:ind w:left="520" w:right="579" w:firstLine="9"/>
        <w:spacing w:after="0" w:line="237" w:lineRule="auto"/>
        <w:tabs>
          <w:tab w:leader="none" w:pos="769" w:val="left"/>
        </w:tabs>
        <w:numPr>
          <w:ilvl w:val="0"/>
          <w:numId w:val="74"/>
        </w:numPr>
        <w:rPr>
          <w:rFonts w:ascii="Arial" w:cs="Arial" w:eastAsia="Arial" w:hAnsi="Arial"/>
          <w:sz w:val="19"/>
          <w:szCs w:val="19"/>
          <w:color w:val="auto"/>
        </w:rPr>
      </w:pPr>
      <w:r>
        <w:rPr>
          <w:rFonts w:ascii="Arial" w:cs="Arial" w:eastAsia="Arial" w:hAnsi="Arial"/>
          <w:sz w:val="19"/>
          <w:szCs w:val="19"/>
          <w:color w:val="auto"/>
        </w:rPr>
        <w:t>soluzioni dirompenti elaborando scenari perceptions, soliciting new ideas from others, futuri audaci, sfidando le percezioni attuali, testing the limits, and striking the right sollecitando nuove idee dagli altri, testando i balance between implementation of the limiti e trovando il giusto equilibrio tra strategic plan and continuous innovation.</w:t>
      </w:r>
    </w:p>
    <w:tbl>
      <w:tblPr>
        <w:tblLayout w:type="fixed"/>
        <w:tblInd w:w="520" w:type="dxa"/>
        <w:tblCellMar>
          <w:top w:w="0" w:type="dxa"/>
          <w:left w:w="0" w:type="dxa"/>
          <w:bottom w:w="0" w:type="dxa"/>
          <w:right w:w="0" w:type="dxa"/>
        </w:tblCellMar>
      </w:tblPr>
      <w:tr>
        <w:trPr>
          <w:trHeight w:val="199"/>
        </w:trPr>
        <w:tc>
          <w:tcPr>
            <w:tcW w:w="980" w:type="dxa"/>
            <w:vAlign w:val="bottom"/>
          </w:tcPr>
          <w:p>
            <w:pPr>
              <w:spacing w:after="0" w:line="199" w:lineRule="exact"/>
              <w:rPr>
                <w:sz w:val="20"/>
                <w:szCs w:val="20"/>
                <w:color w:val="auto"/>
              </w:rPr>
            </w:pPr>
            <w:r>
              <w:rPr>
                <w:rFonts w:ascii="Arial" w:cs="Arial" w:eastAsia="Arial" w:hAnsi="Arial"/>
                <w:sz w:val="19"/>
                <w:szCs w:val="19"/>
                <w:color w:val="auto"/>
              </w:rPr>
              <w:t>l'attuazione</w:t>
            </w:r>
          </w:p>
        </w:tc>
        <w:tc>
          <w:tcPr>
            <w:tcW w:w="660" w:type="dxa"/>
            <w:vAlign w:val="bottom"/>
          </w:tcPr>
          <w:p>
            <w:pPr>
              <w:ind w:left="300"/>
              <w:spacing w:after="0" w:line="199" w:lineRule="exact"/>
              <w:rPr>
                <w:sz w:val="20"/>
                <w:szCs w:val="20"/>
                <w:color w:val="auto"/>
              </w:rPr>
            </w:pPr>
            <w:r>
              <w:rPr>
                <w:rFonts w:ascii="Arial" w:cs="Arial" w:eastAsia="Arial" w:hAnsi="Arial"/>
                <w:sz w:val="19"/>
                <w:szCs w:val="19"/>
                <w:color w:val="auto"/>
              </w:rPr>
              <w:t>del</w:t>
            </w:r>
          </w:p>
        </w:tc>
        <w:tc>
          <w:tcPr>
            <w:tcW w:w="180" w:type="dxa"/>
            <w:vAlign w:val="bottom"/>
          </w:tcPr>
          <w:p>
            <w:pPr>
              <w:spacing w:after="0"/>
              <w:rPr>
                <w:sz w:val="17"/>
                <w:szCs w:val="17"/>
                <w:color w:val="auto"/>
              </w:rPr>
            </w:pPr>
          </w:p>
        </w:tc>
        <w:tc>
          <w:tcPr>
            <w:tcW w:w="760" w:type="dxa"/>
            <w:vAlign w:val="bottom"/>
          </w:tcPr>
          <w:p>
            <w:pPr>
              <w:ind w:left="20"/>
              <w:spacing w:after="0" w:line="199" w:lineRule="exact"/>
              <w:rPr>
                <w:sz w:val="20"/>
                <w:szCs w:val="20"/>
                <w:color w:val="auto"/>
              </w:rPr>
            </w:pPr>
            <w:r>
              <w:rPr>
                <w:rFonts w:ascii="Arial" w:cs="Arial" w:eastAsia="Arial" w:hAnsi="Arial"/>
                <w:sz w:val="19"/>
                <w:szCs w:val="19"/>
                <w:color w:val="auto"/>
              </w:rPr>
              <w:t>piano</w:t>
            </w:r>
          </w:p>
        </w:tc>
        <w:tc>
          <w:tcPr>
            <w:tcW w:w="960" w:type="dxa"/>
            <w:vAlign w:val="bottom"/>
            <w:gridSpan w:val="2"/>
          </w:tcPr>
          <w:p>
            <w:pPr>
              <w:ind w:left="40"/>
              <w:spacing w:after="0" w:line="199" w:lineRule="exact"/>
              <w:rPr>
                <w:sz w:val="20"/>
                <w:szCs w:val="20"/>
                <w:color w:val="auto"/>
              </w:rPr>
            </w:pPr>
            <w:r>
              <w:rPr>
                <w:rFonts w:ascii="Arial" w:cs="Arial" w:eastAsia="Arial" w:hAnsi="Arial"/>
                <w:sz w:val="19"/>
                <w:szCs w:val="19"/>
                <w:color w:val="auto"/>
              </w:rPr>
              <w:t>strategico</w:t>
            </w:r>
          </w:p>
        </w:tc>
        <w:tc>
          <w:tcPr>
            <w:tcW w:w="420" w:type="dxa"/>
            <w:vAlign w:val="bottom"/>
          </w:tcPr>
          <w:p>
            <w:pPr>
              <w:jc w:val="right"/>
              <w:ind w:right="6"/>
              <w:spacing w:after="0" w:line="199" w:lineRule="exact"/>
              <w:rPr>
                <w:sz w:val="20"/>
                <w:szCs w:val="20"/>
                <w:color w:val="auto"/>
              </w:rPr>
            </w:pPr>
            <w:r>
              <w:rPr>
                <w:rFonts w:ascii="Arial" w:cs="Arial" w:eastAsia="Arial" w:hAnsi="Arial"/>
                <w:sz w:val="19"/>
                <w:szCs w:val="19"/>
                <w:color w:val="auto"/>
              </w:rPr>
              <w:t>e</w:t>
            </w:r>
          </w:p>
        </w:tc>
        <w:tc>
          <w:tcPr>
            <w:tcW w:w="3960" w:type="dxa"/>
            <w:vAlign w:val="bottom"/>
            <w:gridSpan w:val="2"/>
          </w:tcPr>
          <w:p>
            <w:pPr>
              <w:ind w:left="100"/>
              <w:spacing w:after="0" w:line="199" w:lineRule="exact"/>
              <w:rPr>
                <w:sz w:val="20"/>
                <w:szCs w:val="20"/>
                <w:color w:val="auto"/>
              </w:rPr>
            </w:pPr>
            <w:r>
              <w:rPr>
                <w:rFonts w:ascii="Arial" w:cs="Arial" w:eastAsia="Arial" w:hAnsi="Arial"/>
                <w:sz w:val="19"/>
                <w:szCs w:val="19"/>
                <w:color w:val="auto"/>
              </w:rPr>
              <w:t>Serve as the ultimate driver of the business.</w:t>
            </w:r>
          </w:p>
        </w:tc>
        <w:tc>
          <w:tcPr>
            <w:tcW w:w="0" w:type="dxa"/>
            <w:vAlign w:val="bottom"/>
          </w:tcPr>
          <w:p>
            <w:pPr>
              <w:spacing w:after="0"/>
              <w:rPr>
                <w:sz w:val="1"/>
                <w:szCs w:val="1"/>
                <w:color w:val="auto"/>
              </w:rPr>
            </w:pPr>
          </w:p>
        </w:tc>
      </w:tr>
      <w:tr>
        <w:trPr>
          <w:trHeight w:val="324"/>
        </w:trPr>
        <w:tc>
          <w:tcPr>
            <w:tcW w:w="3960" w:type="dxa"/>
            <w:vAlign w:val="bottom"/>
            <w:gridSpan w:val="7"/>
          </w:tcPr>
          <w:p>
            <w:pPr>
              <w:spacing w:after="0"/>
              <w:rPr>
                <w:sz w:val="20"/>
                <w:szCs w:val="20"/>
                <w:color w:val="auto"/>
              </w:rPr>
            </w:pPr>
            <w:r>
              <w:rPr>
                <w:rFonts w:ascii="Arial" w:cs="Arial" w:eastAsia="Arial" w:hAnsi="Arial"/>
                <w:sz w:val="19"/>
                <w:szCs w:val="19"/>
                <w:color w:val="auto"/>
              </w:rPr>
              <w:t>l'innovazione continua. Servire come driver</w:t>
            </w:r>
          </w:p>
        </w:tc>
        <w:tc>
          <w:tcPr>
            <w:tcW w:w="3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3660" w:type="dxa"/>
            <w:vAlign w:val="bottom"/>
          </w:tcPr>
          <w:p>
            <w:pPr>
              <w:ind w:left="140"/>
              <w:spacing w:after="0"/>
              <w:rPr>
                <w:sz w:val="20"/>
                <w:szCs w:val="20"/>
                <w:color w:val="auto"/>
              </w:rPr>
            </w:pPr>
            <w:r>
              <w:rPr>
                <w:rFonts w:ascii="Arial" w:cs="Arial" w:eastAsia="Arial" w:hAnsi="Arial"/>
                <w:sz w:val="19"/>
                <w:szCs w:val="19"/>
                <w:color w:val="auto"/>
              </w:rPr>
              <w:t>Continually  communicate  and  reinforce</w:t>
            </w:r>
          </w:p>
        </w:tc>
        <w:tc>
          <w:tcPr>
            <w:tcW w:w="0" w:type="dxa"/>
            <w:vAlign w:val="bottom"/>
          </w:tcPr>
          <w:p>
            <w:pPr>
              <w:spacing w:after="0"/>
              <w:rPr>
                <w:sz w:val="1"/>
                <w:szCs w:val="1"/>
                <w:color w:val="auto"/>
              </w:rPr>
            </w:pPr>
          </w:p>
        </w:tc>
      </w:tr>
      <w:tr>
        <w:trPr>
          <w:trHeight w:val="230"/>
        </w:trPr>
        <w:tc>
          <w:tcPr>
            <w:tcW w:w="2580" w:type="dxa"/>
            <w:vAlign w:val="bottom"/>
            <w:gridSpan w:val="4"/>
          </w:tcPr>
          <w:p>
            <w:pPr>
              <w:spacing w:after="0"/>
              <w:rPr>
                <w:sz w:val="20"/>
                <w:szCs w:val="20"/>
                <w:color w:val="auto"/>
              </w:rPr>
            </w:pPr>
            <w:r>
              <w:rPr>
                <w:rFonts w:ascii="Arial" w:cs="Arial" w:eastAsia="Arial" w:hAnsi="Arial"/>
                <w:sz w:val="19"/>
                <w:szCs w:val="19"/>
                <w:color w:val="auto"/>
              </w:rPr>
              <w:t>principale del business.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960" w:type="dxa"/>
            <w:vAlign w:val="bottom"/>
            <w:gridSpan w:val="2"/>
            <w:vMerge w:val="restart"/>
          </w:tcPr>
          <w:p>
            <w:pPr>
              <w:ind w:left="100"/>
              <w:spacing w:after="0"/>
              <w:rPr>
                <w:sz w:val="20"/>
                <w:szCs w:val="20"/>
                <w:color w:val="auto"/>
              </w:rPr>
            </w:pPr>
            <w:r>
              <w:rPr>
                <w:rFonts w:ascii="Arial" w:cs="Arial" w:eastAsia="Arial" w:hAnsi="Arial"/>
                <w:sz w:val="19"/>
                <w:szCs w:val="19"/>
                <w:color w:val="auto"/>
              </w:rPr>
              <w:t>the  business  line  strategy  to  align  the</w:t>
            </w:r>
          </w:p>
        </w:tc>
        <w:tc>
          <w:tcPr>
            <w:tcW w:w="0" w:type="dxa"/>
            <w:vAlign w:val="bottom"/>
          </w:tcPr>
          <w:p>
            <w:pPr>
              <w:spacing w:after="0"/>
              <w:rPr>
                <w:sz w:val="1"/>
                <w:szCs w:val="1"/>
                <w:color w:val="auto"/>
              </w:rPr>
            </w:pPr>
          </w:p>
        </w:tc>
      </w:tr>
      <w:tr>
        <w:trPr>
          <w:trHeight w:val="27"/>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Comunicare</w:t>
            </w:r>
          </w:p>
        </w:tc>
        <w:tc>
          <w:tcPr>
            <w:tcW w:w="180" w:type="dxa"/>
            <w:vAlign w:val="bottom"/>
            <w:vMerge w:val="restart"/>
          </w:tcPr>
          <w:p>
            <w:pPr>
              <w:ind w:left="40"/>
              <w:spacing w:after="0"/>
              <w:rPr>
                <w:sz w:val="20"/>
                <w:szCs w:val="20"/>
                <w:color w:val="auto"/>
              </w:rPr>
            </w:pPr>
            <w:r>
              <w:rPr>
                <w:rFonts w:ascii="Arial" w:cs="Arial" w:eastAsia="Arial" w:hAnsi="Arial"/>
                <w:sz w:val="19"/>
                <w:szCs w:val="19"/>
                <w:color w:val="auto"/>
              </w:rPr>
              <w:t>e</w:t>
            </w:r>
          </w:p>
        </w:tc>
        <w:tc>
          <w:tcPr>
            <w:tcW w:w="1440" w:type="dxa"/>
            <w:vAlign w:val="bottom"/>
            <w:gridSpan w:val="2"/>
            <w:vMerge w:val="restart"/>
          </w:tcPr>
          <w:p>
            <w:pPr>
              <w:ind w:left="280"/>
              <w:spacing w:after="0"/>
              <w:rPr>
                <w:sz w:val="20"/>
                <w:szCs w:val="20"/>
                <w:color w:val="auto"/>
              </w:rPr>
            </w:pPr>
            <w:r>
              <w:rPr>
                <w:rFonts w:ascii="Arial" w:cs="Arial" w:eastAsia="Arial" w:hAnsi="Arial"/>
                <w:sz w:val="19"/>
                <w:szCs w:val="19"/>
                <w:color w:val="auto"/>
              </w:rPr>
              <w:t>rafforzare</w:t>
            </w: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gridSpan w:val="2"/>
          </w:tcPr>
          <w:p>
            <w:pPr>
              <w:ind w:left="100"/>
              <w:spacing w:after="0" w:line="216" w:lineRule="exact"/>
              <w:rPr>
                <w:sz w:val="20"/>
                <w:szCs w:val="20"/>
                <w:color w:val="auto"/>
              </w:rPr>
            </w:pPr>
            <w:r>
              <w:rPr>
                <w:rFonts w:ascii="Arial" w:cs="Arial" w:eastAsia="Arial" w:hAnsi="Arial"/>
                <w:sz w:val="19"/>
                <w:szCs w:val="19"/>
                <w:color w:val="auto"/>
              </w:rPr>
              <w:t>organization’s efforts in planning, deploying</w:t>
            </w:r>
          </w:p>
        </w:tc>
        <w:tc>
          <w:tcPr>
            <w:tcW w:w="0" w:type="dxa"/>
            <w:vAlign w:val="bottom"/>
          </w:tcPr>
          <w:p>
            <w:pPr>
              <w:spacing w:after="0"/>
              <w:rPr>
                <w:sz w:val="1"/>
                <w:szCs w:val="1"/>
                <w:color w:val="auto"/>
              </w:rPr>
            </w:pPr>
          </w:p>
        </w:tc>
      </w:tr>
      <w:tr>
        <w:trPr>
          <w:trHeight w:val="216"/>
        </w:trPr>
        <w:tc>
          <w:tcPr>
            <w:tcW w:w="3960" w:type="dxa"/>
            <w:vAlign w:val="bottom"/>
            <w:gridSpan w:val="7"/>
          </w:tcPr>
          <w:p>
            <w:pPr>
              <w:spacing w:after="0" w:line="216" w:lineRule="exact"/>
              <w:rPr>
                <w:sz w:val="20"/>
                <w:szCs w:val="20"/>
                <w:color w:val="auto"/>
              </w:rPr>
            </w:pPr>
            <w:r>
              <w:rPr>
                <w:rFonts w:ascii="Arial" w:cs="Arial" w:eastAsia="Arial" w:hAnsi="Arial"/>
                <w:sz w:val="19"/>
                <w:szCs w:val="19"/>
                <w:color w:val="auto"/>
              </w:rPr>
              <w:t>continuamente  la  strategia  della  linea  di</w:t>
            </w:r>
          </w:p>
        </w:tc>
        <w:tc>
          <w:tcPr>
            <w:tcW w:w="3960" w:type="dxa"/>
            <w:vAlign w:val="bottom"/>
            <w:gridSpan w:val="2"/>
          </w:tcPr>
          <w:p>
            <w:pPr>
              <w:ind w:left="100"/>
              <w:spacing w:after="0" w:line="216" w:lineRule="exact"/>
              <w:rPr>
                <w:sz w:val="20"/>
                <w:szCs w:val="20"/>
                <w:color w:val="auto"/>
              </w:rPr>
            </w:pPr>
            <w:r>
              <w:rPr>
                <w:rFonts w:ascii="Arial" w:cs="Arial" w:eastAsia="Arial" w:hAnsi="Arial"/>
                <w:sz w:val="19"/>
                <w:szCs w:val="19"/>
                <w:color w:val="auto"/>
                <w:w w:val="99"/>
              </w:rPr>
              <w:t>capital, hiring, marketing, branding, managing</w:t>
            </w:r>
          </w:p>
        </w:tc>
        <w:tc>
          <w:tcPr>
            <w:tcW w:w="0" w:type="dxa"/>
            <w:vAlign w:val="bottom"/>
          </w:tcPr>
          <w:p>
            <w:pPr>
              <w:spacing w:after="0"/>
              <w:rPr>
                <w:sz w:val="1"/>
                <w:szCs w:val="1"/>
                <w:color w:val="auto"/>
              </w:rPr>
            </w:pPr>
          </w:p>
        </w:tc>
      </w:tr>
      <w:tr>
        <w:trPr>
          <w:trHeight w:val="216"/>
        </w:trPr>
        <w:tc>
          <w:tcPr>
            <w:tcW w:w="980" w:type="dxa"/>
            <w:vAlign w:val="bottom"/>
          </w:tcPr>
          <w:p>
            <w:pPr>
              <w:spacing w:after="0" w:line="216" w:lineRule="exact"/>
              <w:rPr>
                <w:sz w:val="20"/>
                <w:szCs w:val="20"/>
                <w:color w:val="auto"/>
              </w:rPr>
            </w:pPr>
            <w:r>
              <w:rPr>
                <w:rFonts w:ascii="Arial" w:cs="Arial" w:eastAsia="Arial" w:hAnsi="Arial"/>
                <w:sz w:val="19"/>
                <w:szCs w:val="19"/>
                <w:color w:val="auto"/>
              </w:rPr>
              <w:t>business</w:t>
            </w:r>
          </w:p>
        </w:tc>
        <w:tc>
          <w:tcPr>
            <w:tcW w:w="660" w:type="dxa"/>
            <w:vAlign w:val="bottom"/>
          </w:tcPr>
          <w:p>
            <w:pPr>
              <w:ind w:left="140"/>
              <w:spacing w:after="0" w:line="216" w:lineRule="exact"/>
              <w:rPr>
                <w:sz w:val="20"/>
                <w:szCs w:val="20"/>
                <w:color w:val="auto"/>
              </w:rPr>
            </w:pPr>
            <w:r>
              <w:rPr>
                <w:rFonts w:ascii="Arial" w:cs="Arial" w:eastAsia="Arial" w:hAnsi="Arial"/>
                <w:sz w:val="19"/>
                <w:szCs w:val="19"/>
                <w:color w:val="auto"/>
              </w:rPr>
              <w:t>per</w:t>
            </w:r>
          </w:p>
        </w:tc>
        <w:tc>
          <w:tcPr>
            <w:tcW w:w="940" w:type="dxa"/>
            <w:vAlign w:val="bottom"/>
            <w:gridSpan w:val="2"/>
          </w:tcPr>
          <w:p>
            <w:pPr>
              <w:jc w:val="center"/>
              <w:spacing w:after="0" w:line="216" w:lineRule="exact"/>
              <w:rPr>
                <w:sz w:val="20"/>
                <w:szCs w:val="20"/>
                <w:color w:val="auto"/>
              </w:rPr>
            </w:pPr>
            <w:r>
              <w:rPr>
                <w:rFonts w:ascii="Arial" w:cs="Arial" w:eastAsia="Arial" w:hAnsi="Arial"/>
                <w:sz w:val="19"/>
                <w:szCs w:val="19"/>
                <w:color w:val="auto"/>
              </w:rPr>
              <w:t>allineare</w:t>
            </w:r>
          </w:p>
        </w:tc>
        <w:tc>
          <w:tcPr>
            <w:tcW w:w="680" w:type="dxa"/>
            <w:vAlign w:val="bottom"/>
          </w:tcPr>
          <w:p>
            <w:pPr>
              <w:ind w:left="280"/>
              <w:spacing w:after="0" w:line="216" w:lineRule="exact"/>
              <w:rPr>
                <w:sz w:val="20"/>
                <w:szCs w:val="20"/>
                <w:color w:val="auto"/>
              </w:rPr>
            </w:pPr>
            <w:r>
              <w:rPr>
                <w:rFonts w:ascii="Arial" w:cs="Arial" w:eastAsia="Arial" w:hAnsi="Arial"/>
                <w:sz w:val="19"/>
                <w:szCs w:val="19"/>
                <w:color w:val="auto"/>
              </w:rPr>
              <w:t>gli</w:t>
            </w:r>
          </w:p>
        </w:tc>
        <w:tc>
          <w:tcPr>
            <w:tcW w:w="700" w:type="dxa"/>
            <w:vAlign w:val="bottom"/>
            <w:gridSpan w:val="2"/>
          </w:tcPr>
          <w:p>
            <w:pPr>
              <w:jc w:val="right"/>
              <w:ind w:right="6"/>
              <w:spacing w:after="0" w:line="216" w:lineRule="exact"/>
              <w:rPr>
                <w:sz w:val="20"/>
                <w:szCs w:val="20"/>
                <w:color w:val="auto"/>
              </w:rPr>
            </w:pPr>
            <w:r>
              <w:rPr>
                <w:rFonts w:ascii="Arial" w:cs="Arial" w:eastAsia="Arial" w:hAnsi="Arial"/>
                <w:sz w:val="19"/>
                <w:szCs w:val="19"/>
                <w:color w:val="auto"/>
              </w:rPr>
              <w:t>sforzi</w:t>
            </w:r>
          </w:p>
        </w:tc>
        <w:tc>
          <w:tcPr>
            <w:tcW w:w="3960" w:type="dxa"/>
            <w:vAlign w:val="bottom"/>
            <w:gridSpan w:val="2"/>
          </w:tcPr>
          <w:p>
            <w:pPr>
              <w:ind w:left="100"/>
              <w:spacing w:after="0" w:line="216" w:lineRule="exact"/>
              <w:rPr>
                <w:sz w:val="20"/>
                <w:szCs w:val="20"/>
                <w:color w:val="auto"/>
              </w:rPr>
            </w:pPr>
            <w:r>
              <w:rPr>
                <w:rFonts w:ascii="Arial" w:cs="Arial" w:eastAsia="Arial" w:hAnsi="Arial"/>
                <w:sz w:val="19"/>
                <w:szCs w:val="19"/>
                <w:color w:val="auto"/>
              </w:rPr>
              <w:t>risk, developing talent, etc.</w:t>
            </w: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line="216" w:lineRule="exact"/>
              <w:rPr>
                <w:sz w:val="20"/>
                <w:szCs w:val="20"/>
                <w:color w:val="auto"/>
              </w:rPr>
            </w:pPr>
            <w:r>
              <w:rPr>
                <w:rFonts w:ascii="Arial" w:cs="Arial" w:eastAsia="Arial" w:hAnsi="Arial"/>
                <w:sz w:val="19"/>
                <w:szCs w:val="19"/>
                <w:color w:val="auto"/>
              </w:rPr>
              <w:t>dell'organizzazione</w:t>
            </w:r>
          </w:p>
        </w:tc>
        <w:tc>
          <w:tcPr>
            <w:tcW w:w="180" w:type="dxa"/>
            <w:vAlign w:val="bottom"/>
          </w:tcPr>
          <w:p>
            <w:pPr>
              <w:spacing w:after="0"/>
              <w:rPr>
                <w:sz w:val="18"/>
                <w:szCs w:val="18"/>
                <w:color w:val="auto"/>
              </w:rPr>
            </w:pPr>
          </w:p>
        </w:tc>
        <w:tc>
          <w:tcPr>
            <w:tcW w:w="760" w:type="dxa"/>
            <w:vAlign w:val="bottom"/>
          </w:tcPr>
          <w:p>
            <w:pPr>
              <w:jc w:val="center"/>
              <w:ind w:right="26"/>
              <w:spacing w:after="0" w:line="216" w:lineRule="exact"/>
              <w:rPr>
                <w:sz w:val="20"/>
                <w:szCs w:val="20"/>
                <w:color w:val="auto"/>
              </w:rPr>
            </w:pPr>
            <w:r>
              <w:rPr>
                <w:rFonts w:ascii="Arial" w:cs="Arial" w:eastAsia="Arial" w:hAnsi="Arial"/>
                <w:sz w:val="19"/>
                <w:szCs w:val="19"/>
                <w:color w:val="auto"/>
                <w:w w:val="99"/>
              </w:rPr>
              <w:t>nella</w:t>
            </w:r>
          </w:p>
        </w:tc>
        <w:tc>
          <w:tcPr>
            <w:tcW w:w="1380" w:type="dxa"/>
            <w:vAlign w:val="bottom"/>
            <w:gridSpan w:val="3"/>
          </w:tcPr>
          <w:p>
            <w:pPr>
              <w:jc w:val="right"/>
              <w:ind w:right="6"/>
              <w:spacing w:after="0" w:line="216" w:lineRule="exact"/>
              <w:rPr>
                <w:sz w:val="20"/>
                <w:szCs w:val="20"/>
                <w:color w:val="auto"/>
              </w:rPr>
            </w:pPr>
            <w:r>
              <w:rPr>
                <w:rFonts w:ascii="Arial" w:cs="Arial" w:eastAsia="Arial" w:hAnsi="Arial"/>
                <w:sz w:val="19"/>
                <w:szCs w:val="19"/>
                <w:color w:val="auto"/>
              </w:rPr>
              <w:t>pianificazione,</w:t>
            </w:r>
          </w:p>
        </w:tc>
        <w:tc>
          <w:tcPr>
            <w:tcW w:w="3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7"/>
          </w:tcPr>
          <w:p>
            <w:pPr>
              <w:spacing w:after="0" w:line="216" w:lineRule="exact"/>
              <w:rPr>
                <w:sz w:val="20"/>
                <w:szCs w:val="20"/>
                <w:color w:val="auto"/>
              </w:rPr>
            </w:pPr>
            <w:r>
              <w:rPr>
                <w:rFonts w:ascii="Arial" w:cs="Arial" w:eastAsia="Arial" w:hAnsi="Arial"/>
                <w:sz w:val="19"/>
                <w:szCs w:val="19"/>
                <w:color w:val="auto"/>
              </w:rPr>
              <w:t>nell'impiego del capitale, nelle assunzioni, nel</w:t>
            </w:r>
          </w:p>
        </w:tc>
        <w:tc>
          <w:tcPr>
            <w:tcW w:w="3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line="216" w:lineRule="exact"/>
              <w:rPr>
                <w:sz w:val="20"/>
                <w:szCs w:val="20"/>
                <w:color w:val="auto"/>
              </w:rPr>
            </w:pPr>
            <w:r>
              <w:rPr>
                <w:rFonts w:ascii="Arial" w:cs="Arial" w:eastAsia="Arial" w:hAnsi="Arial"/>
                <w:sz w:val="19"/>
                <w:szCs w:val="19"/>
                <w:color w:val="auto"/>
              </w:rPr>
              <w:t>marketing,</w:t>
            </w:r>
          </w:p>
        </w:tc>
        <w:tc>
          <w:tcPr>
            <w:tcW w:w="2560" w:type="dxa"/>
            <w:vAlign w:val="bottom"/>
            <w:gridSpan w:val="5"/>
          </w:tcPr>
          <w:p>
            <w:pPr>
              <w:ind w:left="20"/>
              <w:spacing w:after="0" w:line="216" w:lineRule="exact"/>
              <w:rPr>
                <w:sz w:val="20"/>
                <w:szCs w:val="20"/>
                <w:color w:val="auto"/>
              </w:rPr>
            </w:pPr>
            <w:r>
              <w:rPr>
                <w:rFonts w:ascii="Arial" w:cs="Arial" w:eastAsia="Arial" w:hAnsi="Arial"/>
                <w:sz w:val="19"/>
                <w:szCs w:val="19"/>
                <w:color w:val="auto"/>
              </w:rPr>
              <w:t>nel branding, nella gestione</w:t>
            </w:r>
          </w:p>
        </w:tc>
        <w:tc>
          <w:tcPr>
            <w:tcW w:w="420" w:type="dxa"/>
            <w:vAlign w:val="bottom"/>
          </w:tcPr>
          <w:p>
            <w:pPr>
              <w:jc w:val="right"/>
              <w:ind w:right="6"/>
              <w:spacing w:after="0" w:line="216" w:lineRule="exact"/>
              <w:rPr>
                <w:sz w:val="20"/>
                <w:szCs w:val="20"/>
                <w:color w:val="auto"/>
              </w:rPr>
            </w:pPr>
            <w:r>
              <w:rPr>
                <w:rFonts w:ascii="Arial" w:cs="Arial" w:eastAsia="Arial" w:hAnsi="Arial"/>
                <w:sz w:val="19"/>
                <w:szCs w:val="19"/>
                <w:color w:val="auto"/>
              </w:rPr>
              <w:t>del</w:t>
            </w:r>
          </w:p>
        </w:tc>
        <w:tc>
          <w:tcPr>
            <w:tcW w:w="3960" w:type="dxa"/>
            <w:vAlign w:val="bottom"/>
            <w:gridSpan w:val="2"/>
            <w:vMerge w:val="restart"/>
          </w:tcPr>
          <w:p>
            <w:pPr>
              <w:ind w:left="100"/>
              <w:spacing w:after="0"/>
              <w:rPr>
                <w:sz w:val="20"/>
                <w:szCs w:val="20"/>
                <w:color w:val="auto"/>
              </w:rPr>
            </w:pPr>
            <w:r>
              <w:rPr>
                <w:rFonts w:ascii="Arial" w:cs="Arial" w:eastAsia="Arial" w:hAnsi="Arial"/>
                <w:sz w:val="19"/>
                <w:szCs w:val="19"/>
                <w:color w:val="auto"/>
              </w:rPr>
              <w:t>Drive Operational Excellence</w:t>
            </w:r>
          </w:p>
        </w:tc>
        <w:tc>
          <w:tcPr>
            <w:tcW w:w="0" w:type="dxa"/>
            <w:vAlign w:val="bottom"/>
          </w:tcPr>
          <w:p>
            <w:pPr>
              <w:spacing w:after="0"/>
              <w:rPr>
                <w:sz w:val="1"/>
                <w:szCs w:val="1"/>
                <w:color w:val="auto"/>
              </w:rPr>
            </w:pPr>
          </w:p>
        </w:tc>
      </w:tr>
      <w:tr>
        <w:trPr>
          <w:trHeight w:val="182"/>
        </w:trPr>
        <w:tc>
          <w:tcPr>
            <w:tcW w:w="3260" w:type="dxa"/>
            <w:vAlign w:val="bottom"/>
            <w:gridSpan w:val="5"/>
            <w:vMerge w:val="restart"/>
          </w:tcPr>
          <w:p>
            <w:pPr>
              <w:spacing w:after="0"/>
              <w:rPr>
                <w:sz w:val="20"/>
                <w:szCs w:val="20"/>
                <w:color w:val="auto"/>
              </w:rPr>
            </w:pPr>
            <w:r>
              <w:rPr>
                <w:rFonts w:ascii="Arial" w:cs="Arial" w:eastAsia="Arial" w:hAnsi="Arial"/>
                <w:sz w:val="19"/>
                <w:szCs w:val="19"/>
                <w:color w:val="auto"/>
              </w:rPr>
              <w:t>rischio, nello sviluppo dei talenti, ecc.</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26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580" w:type="dxa"/>
            <w:vAlign w:val="bottom"/>
            <w:gridSpan w:val="4"/>
          </w:tcPr>
          <w:p>
            <w:pPr>
              <w:ind w:left="20"/>
              <w:spacing w:after="0"/>
              <w:rPr>
                <w:sz w:val="20"/>
                <w:szCs w:val="20"/>
                <w:color w:val="auto"/>
              </w:rPr>
            </w:pPr>
            <w:r>
              <w:rPr>
                <w:rFonts w:ascii="Arial" w:cs="Arial" w:eastAsia="Arial" w:hAnsi="Arial"/>
                <w:sz w:val="19"/>
                <w:szCs w:val="19"/>
                <w:color w:val="auto"/>
              </w:rPr>
              <w:t>Guidare l'eccellenza operativa</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3660" w:type="dxa"/>
            <w:vAlign w:val="bottom"/>
          </w:tcPr>
          <w:p>
            <w:pPr>
              <w:ind w:left="140"/>
              <w:spacing w:after="0"/>
              <w:rPr>
                <w:sz w:val="20"/>
                <w:szCs w:val="20"/>
                <w:color w:val="auto"/>
              </w:rPr>
            </w:pPr>
            <w:r>
              <w:rPr>
                <w:rFonts w:ascii="Arial" w:cs="Arial" w:eastAsia="Arial" w:hAnsi="Arial"/>
                <w:sz w:val="19"/>
                <w:szCs w:val="19"/>
                <w:color w:val="auto"/>
              </w:rPr>
              <w:t>Attend  to  the  core  business  while</w:t>
            </w: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960" w:type="dxa"/>
            <w:vAlign w:val="bottom"/>
            <w:gridSpan w:val="2"/>
          </w:tcPr>
          <w:p>
            <w:pPr>
              <w:ind w:left="100"/>
              <w:spacing w:after="0"/>
              <w:rPr>
                <w:sz w:val="20"/>
                <w:szCs w:val="20"/>
                <w:color w:val="auto"/>
              </w:rPr>
            </w:pPr>
            <w:r>
              <w:rPr>
                <w:rFonts w:ascii="Arial" w:cs="Arial" w:eastAsia="Arial" w:hAnsi="Arial"/>
                <w:sz w:val="19"/>
                <w:szCs w:val="19"/>
                <w:color w:val="auto"/>
              </w:rPr>
              <w:t>implementing needed changes to the brand</w:t>
            </w:r>
          </w:p>
        </w:tc>
        <w:tc>
          <w:tcPr>
            <w:tcW w:w="0" w:type="dxa"/>
            <w:vAlign w:val="bottom"/>
          </w:tcPr>
          <w:p>
            <w:pPr>
              <w:spacing w:after="0"/>
              <w:rPr>
                <w:sz w:val="1"/>
                <w:szCs w:val="1"/>
                <w:color w:val="auto"/>
              </w:rPr>
            </w:pPr>
          </w:p>
        </w:tc>
      </w:tr>
    </w:tbl>
    <w:p>
      <w:pPr>
        <w:ind w:left="860" w:hanging="331"/>
        <w:spacing w:after="0"/>
        <w:tabs>
          <w:tab w:leader="none" w:pos="860" w:val="left"/>
        </w:tabs>
        <w:numPr>
          <w:ilvl w:val="0"/>
          <w:numId w:val="75"/>
        </w:numPr>
        <w:rPr>
          <w:rFonts w:ascii="Times New Roman" w:cs="Times New Roman" w:eastAsia="Times New Roman" w:hAnsi="Times New Roman"/>
          <w:sz w:val="19"/>
          <w:szCs w:val="19"/>
          <w:color w:val="auto"/>
        </w:rPr>
      </w:pPr>
      <w:r>
        <w:rPr>
          <w:rFonts w:ascii="Arial" w:cs="Arial" w:eastAsia="Arial" w:hAnsi="Arial"/>
          <w:sz w:val="19"/>
          <w:szCs w:val="19"/>
          <w:color w:val="auto"/>
        </w:rPr>
        <w:t>Occuparsi del core business mentre si  and business model in line with changing</w:t>
      </w:r>
    </w:p>
    <w:tbl>
      <w:tblPr>
        <w:tblLayout w:type="fixed"/>
        <w:tblInd w:w="520" w:type="dxa"/>
        <w:tblCellMar>
          <w:top w:w="0" w:type="dxa"/>
          <w:left w:w="0" w:type="dxa"/>
          <w:bottom w:w="0" w:type="dxa"/>
          <w:right w:w="0" w:type="dxa"/>
        </w:tblCellMar>
      </w:tblPr>
      <w:tr>
        <w:trPr>
          <w:trHeight w:val="208"/>
        </w:trPr>
        <w:tc>
          <w:tcPr>
            <w:tcW w:w="3960" w:type="dxa"/>
            <w:vAlign w:val="bottom"/>
          </w:tcPr>
          <w:p>
            <w:pPr>
              <w:spacing w:after="0" w:line="208" w:lineRule="exact"/>
              <w:rPr>
                <w:sz w:val="20"/>
                <w:szCs w:val="20"/>
                <w:color w:val="auto"/>
              </w:rPr>
            </w:pPr>
            <w:r>
              <w:rPr>
                <w:rFonts w:ascii="Arial" w:cs="Arial" w:eastAsia="Arial" w:hAnsi="Arial"/>
                <w:sz w:val="19"/>
                <w:szCs w:val="19"/>
                <w:color w:val="auto"/>
              </w:rPr>
              <w:t>implementano  i  cambiamenti  necessari  al</w:t>
            </w:r>
          </w:p>
        </w:tc>
        <w:tc>
          <w:tcPr>
            <w:tcW w:w="3960" w:type="dxa"/>
            <w:vAlign w:val="bottom"/>
          </w:tcPr>
          <w:p>
            <w:pPr>
              <w:ind w:left="100"/>
              <w:spacing w:after="0" w:line="208" w:lineRule="exact"/>
              <w:rPr>
                <w:sz w:val="20"/>
                <w:szCs w:val="20"/>
                <w:color w:val="auto"/>
              </w:rPr>
            </w:pPr>
            <w:r>
              <w:rPr>
                <w:rFonts w:ascii="Arial" w:cs="Arial" w:eastAsia="Arial" w:hAnsi="Arial"/>
                <w:sz w:val="19"/>
                <w:szCs w:val="19"/>
                <w:color w:val="auto"/>
                <w:w w:val="99"/>
              </w:rPr>
              <w:t>customer preferences, technology trends, and</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marchio e al modello di business in linea con</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competitive threats.</w:t>
            </w:r>
          </w:p>
        </w:tc>
        <w:tc>
          <w:tcPr>
            <w:tcW w:w="0" w:type="dxa"/>
            <w:vAlign w:val="bottom"/>
          </w:tcPr>
          <w:p>
            <w:pPr>
              <w:spacing w:after="0"/>
              <w:rPr>
                <w:sz w:val="1"/>
                <w:szCs w:val="1"/>
                <w:color w:val="auto"/>
              </w:rPr>
            </w:pPr>
          </w:p>
        </w:tc>
      </w:tr>
      <w:tr>
        <w:trPr>
          <w:trHeight w:val="338"/>
        </w:trPr>
        <w:tc>
          <w:tcPr>
            <w:tcW w:w="3960" w:type="dxa"/>
            <w:vAlign w:val="bottom"/>
          </w:tcPr>
          <w:p>
            <w:pPr>
              <w:spacing w:after="0"/>
              <w:rPr>
                <w:sz w:val="20"/>
                <w:szCs w:val="20"/>
                <w:color w:val="auto"/>
              </w:rPr>
            </w:pPr>
            <w:r>
              <w:rPr>
                <w:rFonts w:ascii="Arial" w:cs="Arial" w:eastAsia="Arial" w:hAnsi="Arial"/>
                <w:sz w:val="19"/>
                <w:szCs w:val="19"/>
                <w:color w:val="auto"/>
              </w:rPr>
              <w:t>le mutevoli preferenze dei clienti, le tendenze</w:t>
            </w:r>
          </w:p>
        </w:tc>
        <w:tc>
          <w:tcPr>
            <w:tcW w:w="3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Build capabilities to support sustainable</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9"/>
                <w:szCs w:val="19"/>
                <w:color w:val="auto"/>
              </w:rPr>
              <w:t>tecnologiche e le sfide della concorrenza.</w:t>
            </w:r>
          </w:p>
        </w:tc>
        <w:tc>
          <w:tcPr>
            <w:tcW w:w="3960" w:type="dxa"/>
            <w:vAlign w:val="bottom"/>
            <w:vMerge w:val="restart"/>
          </w:tcPr>
          <w:p>
            <w:pPr>
              <w:ind w:left="100"/>
              <w:spacing w:after="0"/>
              <w:rPr>
                <w:sz w:val="20"/>
                <w:szCs w:val="20"/>
                <w:color w:val="auto"/>
              </w:rPr>
            </w:pPr>
            <w:r>
              <w:rPr>
                <w:rFonts w:ascii="Arial" w:cs="Arial" w:eastAsia="Arial" w:hAnsi="Arial"/>
                <w:sz w:val="19"/>
                <w:szCs w:val="19"/>
                <w:color w:val="auto"/>
                <w:w w:val="99"/>
              </w:rPr>
              <w:t>growth, operational efficiency, and continuous</w:t>
            </w:r>
          </w:p>
        </w:tc>
        <w:tc>
          <w:tcPr>
            <w:tcW w:w="0" w:type="dxa"/>
            <w:vAlign w:val="bottom"/>
          </w:tcPr>
          <w:p>
            <w:pPr>
              <w:spacing w:after="0"/>
              <w:rPr>
                <w:sz w:val="1"/>
                <w:szCs w:val="1"/>
                <w:color w:val="auto"/>
              </w:rPr>
            </w:pPr>
          </w:p>
        </w:tc>
      </w:tr>
      <w:tr>
        <w:trPr>
          <w:trHeight w:val="31"/>
        </w:trPr>
        <w:tc>
          <w:tcPr>
            <w:tcW w:w="3960" w:type="dxa"/>
            <w:vAlign w:val="bottom"/>
          </w:tcPr>
          <w:p>
            <w:pPr>
              <w:spacing w:after="0"/>
              <w:rPr>
                <w:sz w:val="2"/>
                <w:szCs w:val="2"/>
                <w:color w:val="auto"/>
              </w:rPr>
            </w:pPr>
          </w:p>
        </w:tc>
        <w:tc>
          <w:tcPr>
            <w:tcW w:w="3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60" w:hanging="331"/>
        <w:spacing w:after="0"/>
        <w:tabs>
          <w:tab w:leader="none" w:pos="860" w:val="left"/>
        </w:tabs>
        <w:numPr>
          <w:ilvl w:val="0"/>
          <w:numId w:val="76"/>
        </w:numPr>
        <w:rPr>
          <w:rFonts w:ascii="Times New Roman" w:cs="Times New Roman" w:eastAsia="Times New Roman" w:hAnsi="Times New Roman"/>
          <w:sz w:val="19"/>
          <w:szCs w:val="19"/>
          <w:color w:val="auto"/>
        </w:rPr>
      </w:pPr>
      <w:r>
        <w:rPr>
          <w:rFonts w:ascii="Arial" w:cs="Arial" w:eastAsia="Arial" w:hAnsi="Arial"/>
          <w:sz w:val="19"/>
          <w:szCs w:val="19"/>
          <w:color w:val="auto"/>
        </w:rPr>
        <w:t>Costruire  capacità  per  supportare  la  performance improvement.</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320"/>
        </w:trPr>
        <w:tc>
          <w:tcPr>
            <w:tcW w:w="3960" w:type="dxa"/>
            <w:vAlign w:val="bottom"/>
          </w:tcPr>
          <w:p>
            <w:pPr>
              <w:spacing w:after="0"/>
              <w:rPr>
                <w:sz w:val="20"/>
                <w:szCs w:val="20"/>
                <w:color w:val="auto"/>
              </w:rPr>
            </w:pPr>
            <w:r>
              <w:rPr>
                <w:rFonts w:ascii="Arial" w:cs="Arial" w:eastAsia="Arial" w:hAnsi="Arial"/>
                <w:sz w:val="19"/>
                <w:szCs w:val="19"/>
                <w:color w:val="auto"/>
              </w:rPr>
              <w:t>crescita sostenibile, l'efficienza operativa e il</w:t>
            </w:r>
          </w:p>
        </w:tc>
        <w:tc>
          <w:tcPr>
            <w:tcW w:w="3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Utilize  metrics  to  establish,  track,  and</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9"/>
                <w:szCs w:val="19"/>
                <w:color w:val="auto"/>
              </w:rPr>
              <w:t>miglioramento continuo delle prestazioni.</w:t>
            </w:r>
          </w:p>
        </w:tc>
        <w:tc>
          <w:tcPr>
            <w:tcW w:w="3960" w:type="dxa"/>
            <w:vAlign w:val="bottom"/>
            <w:vMerge w:val="restart"/>
          </w:tcPr>
          <w:p>
            <w:pPr>
              <w:ind w:left="100"/>
              <w:spacing w:after="0"/>
              <w:rPr>
                <w:sz w:val="20"/>
                <w:szCs w:val="20"/>
                <w:color w:val="auto"/>
              </w:rPr>
            </w:pPr>
            <w:r>
              <w:rPr>
                <w:rFonts w:ascii="Arial" w:cs="Arial" w:eastAsia="Arial" w:hAnsi="Arial"/>
                <w:sz w:val="19"/>
                <w:szCs w:val="19"/>
                <w:color w:val="auto"/>
                <w:w w:val="98"/>
              </w:rPr>
              <w:t>measure clear quarterly and annual objectives</w:t>
            </w:r>
          </w:p>
        </w:tc>
        <w:tc>
          <w:tcPr>
            <w:tcW w:w="0" w:type="dxa"/>
            <w:vAlign w:val="bottom"/>
          </w:tcPr>
          <w:p>
            <w:pPr>
              <w:spacing w:after="0"/>
              <w:rPr>
                <w:sz w:val="1"/>
                <w:szCs w:val="1"/>
                <w:color w:val="auto"/>
              </w:rPr>
            </w:pPr>
          </w:p>
        </w:tc>
      </w:tr>
      <w:tr>
        <w:trPr>
          <w:trHeight w:val="31"/>
        </w:trPr>
        <w:tc>
          <w:tcPr>
            <w:tcW w:w="3960" w:type="dxa"/>
            <w:vAlign w:val="bottom"/>
          </w:tcPr>
          <w:p>
            <w:pPr>
              <w:spacing w:after="0"/>
              <w:rPr>
                <w:sz w:val="2"/>
                <w:szCs w:val="2"/>
                <w:color w:val="auto"/>
              </w:rPr>
            </w:pPr>
          </w:p>
        </w:tc>
        <w:tc>
          <w:tcPr>
            <w:tcW w:w="3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60" w:hanging="331"/>
        <w:spacing w:after="0"/>
        <w:tabs>
          <w:tab w:leader="none" w:pos="860" w:val="left"/>
        </w:tabs>
        <w:numPr>
          <w:ilvl w:val="0"/>
          <w:numId w:val="77"/>
        </w:numPr>
        <w:rPr>
          <w:rFonts w:ascii="Times New Roman" w:cs="Times New Roman" w:eastAsia="Times New Roman" w:hAnsi="Times New Roman"/>
          <w:sz w:val="19"/>
          <w:szCs w:val="19"/>
          <w:color w:val="auto"/>
        </w:rPr>
      </w:pPr>
      <w:r>
        <w:rPr>
          <w:rFonts w:ascii="Arial" w:cs="Arial" w:eastAsia="Arial" w:hAnsi="Arial"/>
          <w:sz w:val="19"/>
          <w:szCs w:val="19"/>
          <w:color w:val="auto"/>
        </w:rPr>
        <w:t>Utilizzare  le  metriche  per  stabilire,  for  the  team  and  align  with  the  broader</w:t>
      </w:r>
    </w:p>
    <w:tbl>
      <w:tblPr>
        <w:tblLayout w:type="fixed"/>
        <w:tblInd w:w="520" w:type="dxa"/>
        <w:tblCellMar>
          <w:top w:w="0" w:type="dxa"/>
          <w:left w:w="0" w:type="dxa"/>
          <w:bottom w:w="0" w:type="dxa"/>
          <w:right w:w="0" w:type="dxa"/>
        </w:tblCellMar>
      </w:tblPr>
      <w:tr>
        <w:trPr>
          <w:trHeight w:val="208"/>
        </w:trPr>
        <w:tc>
          <w:tcPr>
            <w:tcW w:w="3960" w:type="dxa"/>
            <w:vAlign w:val="bottom"/>
          </w:tcPr>
          <w:p>
            <w:pPr>
              <w:spacing w:after="0" w:line="208" w:lineRule="exact"/>
              <w:rPr>
                <w:sz w:val="20"/>
                <w:szCs w:val="20"/>
                <w:color w:val="auto"/>
              </w:rPr>
            </w:pPr>
            <w:r>
              <w:rPr>
                <w:rFonts w:ascii="Arial" w:cs="Arial" w:eastAsia="Arial" w:hAnsi="Arial"/>
                <w:sz w:val="19"/>
                <w:szCs w:val="19"/>
                <w:color w:val="auto"/>
              </w:rPr>
              <w:t>tracciare e misurare chiari obiettivi trimestrali</w:t>
            </w:r>
          </w:p>
        </w:tc>
        <w:tc>
          <w:tcPr>
            <w:tcW w:w="3960" w:type="dxa"/>
            <w:vAlign w:val="bottom"/>
          </w:tcPr>
          <w:p>
            <w:pPr>
              <w:ind w:left="100"/>
              <w:spacing w:after="0" w:line="208" w:lineRule="exact"/>
              <w:rPr>
                <w:sz w:val="20"/>
                <w:szCs w:val="20"/>
                <w:color w:val="auto"/>
              </w:rPr>
            </w:pPr>
            <w:r>
              <w:rPr>
                <w:rFonts w:ascii="Arial" w:cs="Arial" w:eastAsia="Arial" w:hAnsi="Arial"/>
                <w:sz w:val="19"/>
                <w:szCs w:val="19"/>
                <w:color w:val="auto"/>
              </w:rPr>
              <w:t>organizational goals.</w:t>
            </w:r>
          </w:p>
        </w:tc>
      </w:tr>
      <w:tr>
        <w:trPr>
          <w:trHeight w:val="324"/>
        </w:trPr>
        <w:tc>
          <w:tcPr>
            <w:tcW w:w="3960" w:type="dxa"/>
            <w:vAlign w:val="bottom"/>
          </w:tcPr>
          <w:p>
            <w:pPr>
              <w:spacing w:after="0"/>
              <w:rPr>
                <w:sz w:val="20"/>
                <w:szCs w:val="20"/>
                <w:color w:val="auto"/>
              </w:rPr>
            </w:pPr>
            <w:r>
              <w:rPr>
                <w:rFonts w:ascii="Arial" w:cs="Arial" w:eastAsia="Arial" w:hAnsi="Arial"/>
                <w:sz w:val="19"/>
                <w:szCs w:val="19"/>
                <w:color w:val="auto"/>
              </w:rPr>
              <w:t>e annuali per il team e allinearsi con i più</w:t>
            </w:r>
          </w:p>
        </w:tc>
        <w:tc>
          <w:tcPr>
            <w:tcW w:w="3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Rigorously  hold  oneself  and  others</w:t>
            </w:r>
          </w:p>
        </w:tc>
      </w:tr>
      <w:tr>
        <w:trPr>
          <w:trHeight w:val="234"/>
        </w:trPr>
        <w:tc>
          <w:tcPr>
            <w:tcW w:w="3960" w:type="dxa"/>
            <w:vAlign w:val="bottom"/>
          </w:tcPr>
          <w:p>
            <w:pPr>
              <w:spacing w:after="0"/>
              <w:rPr>
                <w:sz w:val="20"/>
                <w:szCs w:val="20"/>
                <w:color w:val="auto"/>
              </w:rPr>
            </w:pPr>
            <w:r>
              <w:rPr>
                <w:rFonts w:ascii="Arial" w:cs="Arial" w:eastAsia="Arial" w:hAnsi="Arial"/>
                <w:sz w:val="19"/>
                <w:szCs w:val="19"/>
                <w:color w:val="auto"/>
              </w:rPr>
              <w:t>ampi obiettivi organizzativi.</w:t>
            </w:r>
          </w:p>
        </w:tc>
        <w:tc>
          <w:tcPr>
            <w:tcW w:w="3960" w:type="dxa"/>
            <w:vAlign w:val="bottom"/>
          </w:tcPr>
          <w:p>
            <w:pPr>
              <w:ind w:left="100"/>
              <w:spacing w:after="0"/>
              <w:rPr>
                <w:sz w:val="20"/>
                <w:szCs w:val="20"/>
                <w:color w:val="auto"/>
              </w:rPr>
            </w:pPr>
            <w:r>
              <w:rPr>
                <w:rFonts w:ascii="Arial" w:cs="Arial" w:eastAsia="Arial" w:hAnsi="Arial"/>
                <w:sz w:val="19"/>
                <w:szCs w:val="19"/>
                <w:color w:val="auto"/>
              </w:rPr>
              <w:t>accountable for achieving high levels of</w:t>
            </w:r>
          </w:p>
        </w:tc>
      </w:tr>
    </w:tbl>
    <w:p>
      <w:pPr>
        <w:ind w:left="520" w:right="4639" w:firstLine="9"/>
        <w:spacing w:after="0" w:line="264" w:lineRule="auto"/>
        <w:tabs>
          <w:tab w:leader="none" w:pos="860" w:val="left"/>
        </w:tabs>
        <w:numPr>
          <w:ilvl w:val="0"/>
          <w:numId w:val="78"/>
        </w:numPr>
        <w:rPr>
          <w:rFonts w:ascii="Times New Roman" w:cs="Times New Roman" w:eastAsia="Times New Roman" w:hAnsi="Times New Roman"/>
          <w:sz w:val="19"/>
          <w:szCs w:val="19"/>
          <w:color w:val="auto"/>
        </w:rPr>
      </w:pPr>
      <w:r>
        <w:rPr>
          <w:rFonts w:ascii="Arial" w:cs="Arial" w:eastAsia="Arial" w:hAnsi="Arial"/>
          <w:sz w:val="19"/>
          <w:szCs w:val="19"/>
          <w:color w:val="auto"/>
        </w:rPr>
        <w:t>Ritenere rigorosamente se stesso e gli altri responsabili del raggiungimento di alti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1873250</wp:posOffset>
            </wp:positionV>
            <wp:extent cx="684911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014" w:right="1440" w:bottom="1440" w:gutter="0" w:footer="0" w:header="0"/>
        </w:sectPr>
      </w:pPr>
    </w:p>
    <w:bookmarkStart w:id="98" w:name="page99"/>
    <w:bookmarkEnd w:id="98"/>
    <w:p>
      <w:pPr>
        <w:ind w:left="420"/>
        <w:spacing w:after="0"/>
        <w:rPr>
          <w:sz w:val="20"/>
          <w:szCs w:val="20"/>
          <w:color w:val="auto"/>
        </w:rPr>
      </w:pPr>
      <w:r>
        <w:rPr>
          <w:rFonts w:ascii="Georgia" w:cs="Georgia" w:eastAsia="Georgia" w:hAnsi="Georgia"/>
          <w:sz w:val="20"/>
          <w:szCs w:val="20"/>
          <w:color w:val="auto"/>
        </w:rPr>
        <w:t>2</w:t>
      </w:r>
    </w:p>
    <w:p>
      <w:pPr>
        <w:spacing w:after="0" w:line="232" w:lineRule="exact"/>
        <w:rPr>
          <w:sz w:val="20"/>
          <w:szCs w:val="20"/>
          <w:color w:val="auto"/>
        </w:rPr>
      </w:pPr>
    </w:p>
    <w:p>
      <w:pPr>
        <w:jc w:val="center"/>
        <w:ind w:right="119"/>
        <w:spacing w:after="0"/>
        <w:rPr>
          <w:sz w:val="20"/>
          <w:szCs w:val="20"/>
          <w:color w:val="auto"/>
        </w:rPr>
      </w:pPr>
      <w:r>
        <w:rPr>
          <w:rFonts w:ascii="Georgia" w:cs="Georgia" w:eastAsia="Georgia" w:hAnsi="Georgia"/>
          <w:sz w:val="20"/>
          <w:szCs w:val="20"/>
          <w:color w:val="auto"/>
        </w:rPr>
        <w:t>- -</w:t>
      </w:r>
    </w:p>
    <w:p>
      <w:pPr>
        <w:sectPr>
          <w:pgSz w:w="11900" w:h="16838" w:orient="portrait"/>
          <w:cols w:equalWidth="0" w:num="1">
            <w:col w:w="9019"/>
          </w:cols>
          <w:pgMar w:left="14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right="100"/>
        <w:spacing w:after="0" w:line="270" w:lineRule="auto"/>
        <w:rPr>
          <w:sz w:val="20"/>
          <w:szCs w:val="20"/>
          <w:color w:val="auto"/>
        </w:rPr>
      </w:pPr>
      <w:r>
        <w:rPr>
          <w:rFonts w:ascii="Arial" w:cs="Arial" w:eastAsia="Arial" w:hAnsi="Arial"/>
          <w:sz w:val="19"/>
          <w:szCs w:val="19"/>
          <w:color w:val="auto"/>
        </w:rPr>
        <w:t>livelli di performance individuali, di squadra e organizzativi.</w:t>
      </w:r>
    </w:p>
    <w:p>
      <w:pPr>
        <w:spacing w:after="0" w:line="143" w:lineRule="exact"/>
        <w:rPr>
          <w:sz w:val="20"/>
          <w:szCs w:val="20"/>
          <w:color w:val="auto"/>
        </w:rPr>
      </w:pPr>
    </w:p>
    <w:p>
      <w:pPr>
        <w:ind w:left="520" w:firstLine="9"/>
        <w:spacing w:after="0" w:line="284" w:lineRule="auto"/>
        <w:tabs>
          <w:tab w:leader="none" w:pos="860" w:val="left"/>
        </w:tabs>
        <w:numPr>
          <w:ilvl w:val="0"/>
          <w:numId w:val="79"/>
        </w:numPr>
        <w:rPr>
          <w:rFonts w:ascii="Times New Roman" w:cs="Times New Roman" w:eastAsia="Times New Roman" w:hAnsi="Times New Roman"/>
          <w:sz w:val="19"/>
          <w:szCs w:val="19"/>
          <w:color w:val="auto"/>
        </w:rPr>
      </w:pPr>
      <w:r>
        <w:rPr>
          <w:rFonts w:ascii="Arial" w:cs="Arial" w:eastAsia="Arial" w:hAnsi="Arial"/>
          <w:sz w:val="19"/>
          <w:szCs w:val="19"/>
          <w:color w:val="auto"/>
        </w:rPr>
        <w:t>Raggiunge l'equilibrio appropriato tra spese/investimenti e gestione delle spese.</w:t>
      </w:r>
    </w:p>
    <w:p>
      <w:pPr>
        <w:spacing w:after="0" w:line="62" w:lineRule="exact"/>
        <w:rPr>
          <w:rFonts w:ascii="Times New Roman" w:cs="Times New Roman" w:eastAsia="Times New Roman" w:hAnsi="Times New Roman"/>
          <w:sz w:val="19"/>
          <w:szCs w:val="19"/>
          <w:color w:val="auto"/>
        </w:rPr>
      </w:pPr>
    </w:p>
    <w:p>
      <w:pPr>
        <w:jc w:val="both"/>
        <w:ind w:left="520" w:firstLine="9"/>
        <w:spacing w:after="0" w:line="284" w:lineRule="auto"/>
        <w:tabs>
          <w:tab w:leader="none" w:pos="860" w:val="left"/>
        </w:tabs>
        <w:numPr>
          <w:ilvl w:val="0"/>
          <w:numId w:val="79"/>
        </w:numPr>
        <w:rPr>
          <w:rFonts w:ascii="Times New Roman" w:cs="Times New Roman" w:eastAsia="Times New Roman" w:hAnsi="Times New Roman"/>
          <w:sz w:val="19"/>
          <w:szCs w:val="19"/>
          <w:color w:val="auto"/>
        </w:rPr>
      </w:pPr>
      <w:r>
        <w:rPr>
          <w:rFonts w:ascii="Arial" w:cs="Arial" w:eastAsia="Arial" w:hAnsi="Arial"/>
          <w:sz w:val="19"/>
          <w:szCs w:val="19"/>
          <w:color w:val="auto"/>
        </w:rPr>
        <w:t>Servire nel Consiglio di Amministrazione di TheFork e svolgere tutti i compiti pertinenti.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right="260"/>
        <w:spacing w:after="0" w:line="270" w:lineRule="auto"/>
        <w:rPr>
          <w:sz w:val="20"/>
          <w:szCs w:val="20"/>
          <w:color w:val="auto"/>
        </w:rPr>
      </w:pPr>
      <w:r>
        <w:rPr>
          <w:rFonts w:ascii="Arial" w:cs="Arial" w:eastAsia="Arial" w:hAnsi="Arial"/>
          <w:sz w:val="19"/>
          <w:szCs w:val="19"/>
          <w:color w:val="auto"/>
        </w:rPr>
        <w:t>Condurre le persone e costituire squadre e culture forti</w:t>
      </w:r>
    </w:p>
    <w:p>
      <w:pPr>
        <w:spacing w:after="0" w:line="156" w:lineRule="exact"/>
        <w:rPr>
          <w:sz w:val="20"/>
          <w:szCs w:val="20"/>
          <w:color w:val="auto"/>
        </w:rPr>
      </w:pPr>
    </w:p>
    <w:p>
      <w:pPr>
        <w:jc w:val="both"/>
        <w:ind w:left="520" w:firstLine="9"/>
        <w:spacing w:after="0" w:line="253" w:lineRule="auto"/>
        <w:tabs>
          <w:tab w:leader="none" w:pos="86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Ispirare il team e l'organizzazione a livello più ampio attraverso una combinazione di visione, comunicazione, carisma, influenza, visibilità e autenticità.</w:t>
      </w:r>
    </w:p>
    <w:p>
      <w:pPr>
        <w:spacing w:after="0" w:line="225" w:lineRule="exact"/>
        <w:rPr>
          <w:rFonts w:ascii="Times New Roman" w:cs="Times New Roman" w:eastAsia="Times New Roman" w:hAnsi="Times New Roman"/>
          <w:sz w:val="19"/>
          <w:szCs w:val="19"/>
          <w:color w:val="auto"/>
        </w:rPr>
      </w:pPr>
    </w:p>
    <w:p>
      <w:pPr>
        <w:jc w:val="both"/>
        <w:ind w:left="520" w:firstLine="9"/>
        <w:spacing w:after="0" w:line="260" w:lineRule="auto"/>
        <w:tabs>
          <w:tab w:leader="none" w:pos="86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Fornire una forte leadership per garantire l'attenzione mentre si guida il riallineamento e il cambiamento organizzativo.</w:t>
      </w:r>
    </w:p>
    <w:p>
      <w:pPr>
        <w:spacing w:after="0" w:line="166" w:lineRule="exact"/>
        <w:rPr>
          <w:rFonts w:ascii="Times New Roman" w:cs="Times New Roman" w:eastAsia="Times New Roman" w:hAnsi="Times New Roman"/>
          <w:sz w:val="19"/>
          <w:szCs w:val="19"/>
          <w:color w:val="auto"/>
        </w:rPr>
      </w:pPr>
    </w:p>
    <w:p>
      <w:pPr>
        <w:jc w:val="both"/>
        <w:ind w:left="520" w:firstLine="9"/>
        <w:spacing w:after="0" w:line="241" w:lineRule="auto"/>
        <w:tabs>
          <w:tab w:leader="none" w:pos="86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Attrarre, reclutare, motivare e trattenere i players "A", compresi i migliori prodotti, marketing, ingegneria e talento generale della leadership. Impostare un livello molto alto di talento richiesto, avendo una conoscenza del pool di talenti esterni, guardando in modo oggettivo alle persone e ai team, essendo decisivi a livello di personale e sviluppando attivamente leader promettenti</w:t>
      </w:r>
    </w:p>
    <w:p>
      <w:pPr>
        <w:ind w:left="540"/>
        <w:spacing w:after="0"/>
        <w:rPr>
          <w:rFonts w:ascii="Times New Roman" w:cs="Times New Roman" w:eastAsia="Times New Roman" w:hAnsi="Times New Roman"/>
          <w:sz w:val="19"/>
          <w:szCs w:val="19"/>
          <w:color w:val="auto"/>
        </w:rPr>
      </w:pPr>
      <w:r>
        <w:rPr>
          <w:rFonts w:ascii="Arial" w:cs="Arial" w:eastAsia="Arial" w:hAnsi="Arial"/>
          <w:sz w:val="19"/>
          <w:szCs w:val="19"/>
          <w:color w:val="auto"/>
        </w:rPr>
        <w:t>per il futuro.</w:t>
      </w:r>
    </w:p>
    <w:p>
      <w:pPr>
        <w:spacing w:after="0" w:line="200" w:lineRule="exact"/>
        <w:rPr>
          <w:rFonts w:ascii="Times New Roman" w:cs="Times New Roman" w:eastAsia="Times New Roman" w:hAnsi="Times New Roman"/>
          <w:sz w:val="19"/>
          <w:szCs w:val="19"/>
          <w:color w:val="auto"/>
        </w:rPr>
      </w:pPr>
    </w:p>
    <w:p>
      <w:pPr>
        <w:spacing w:after="0" w:line="252" w:lineRule="exact"/>
        <w:rPr>
          <w:rFonts w:ascii="Times New Roman" w:cs="Times New Roman" w:eastAsia="Times New Roman" w:hAnsi="Times New Roman"/>
          <w:sz w:val="19"/>
          <w:szCs w:val="19"/>
          <w:color w:val="auto"/>
        </w:rPr>
      </w:pPr>
    </w:p>
    <w:p>
      <w:pPr>
        <w:jc w:val="both"/>
        <w:ind w:left="520" w:firstLine="9"/>
        <w:spacing w:after="0" w:line="249" w:lineRule="auto"/>
        <w:tabs>
          <w:tab w:leader="none" w:pos="86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Costruire dei team con un mix appropriato e complementare di competenze, esperienze e capacità; sapere quando cambiare o adattare la struttura per aiutare a raggiungere risultati di business migliori.</w:t>
      </w:r>
    </w:p>
    <w:p>
      <w:pPr>
        <w:spacing w:after="0" w:line="107" w:lineRule="exact"/>
        <w:rPr>
          <w:rFonts w:ascii="Times New Roman" w:cs="Times New Roman" w:eastAsia="Times New Roman" w:hAnsi="Times New Roman"/>
          <w:sz w:val="19"/>
          <w:szCs w:val="19"/>
          <w:color w:val="auto"/>
        </w:rPr>
      </w:pPr>
    </w:p>
    <w:p>
      <w:pPr>
        <w:jc w:val="both"/>
        <w:ind w:left="520" w:firstLine="9"/>
        <w:spacing w:after="0" w:line="253" w:lineRule="auto"/>
        <w:tabs>
          <w:tab w:leader="none" w:pos="86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Delegare la responsabilità per i rapporti diretti; stabilire misure e metriche chiare per le prestazioni; e ritenere i membri del team responsabili della consegna dei risultati.</w:t>
      </w:r>
    </w:p>
    <w:p>
      <w:pPr>
        <w:spacing w:after="0" w:line="103" w:lineRule="exact"/>
        <w:rPr>
          <w:rFonts w:ascii="Times New Roman" w:cs="Times New Roman" w:eastAsia="Times New Roman" w:hAnsi="Times New Roman"/>
          <w:sz w:val="19"/>
          <w:szCs w:val="19"/>
          <w:color w:val="auto"/>
        </w:rPr>
      </w:pPr>
    </w:p>
    <w:p>
      <w:pPr>
        <w:jc w:val="both"/>
        <w:ind w:left="520" w:firstLine="9"/>
        <w:spacing w:after="0" w:line="260" w:lineRule="auto"/>
        <w:tabs>
          <w:tab w:leader="none" w:pos="86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Rimanere connesso alla cultura e al morale dell'organizzazione; assicurarsi che il team stia modellando i giusti valori e stia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tabs>
          <w:tab w:leader="none" w:pos="1240" w:val="left"/>
          <w:tab w:leader="none" w:pos="2080" w:val="left"/>
        </w:tabs>
        <w:rPr>
          <w:sz w:val="20"/>
          <w:szCs w:val="20"/>
          <w:color w:val="auto"/>
        </w:rPr>
      </w:pPr>
      <w:r>
        <w:rPr>
          <w:rFonts w:ascii="Arial" w:cs="Arial" w:eastAsia="Arial" w:hAnsi="Arial"/>
          <w:sz w:val="19"/>
          <w:szCs w:val="19"/>
          <w:color w:val="auto"/>
        </w:rPr>
        <w:t>individual,</w:t>
      </w:r>
      <w:r>
        <w:rPr>
          <w:sz w:val="20"/>
          <w:szCs w:val="20"/>
          <w:color w:val="auto"/>
        </w:rPr>
        <w:tab/>
      </w:r>
      <w:r>
        <w:rPr>
          <w:rFonts w:ascii="Arial" w:cs="Arial" w:eastAsia="Arial" w:hAnsi="Arial"/>
          <w:sz w:val="19"/>
          <w:szCs w:val="19"/>
          <w:color w:val="auto"/>
        </w:rPr>
        <w:t>team,</w:t>
      </w:r>
      <w:r>
        <w:rPr>
          <w:sz w:val="20"/>
          <w:szCs w:val="20"/>
          <w:color w:val="auto"/>
        </w:rPr>
        <w:tab/>
      </w:r>
      <w:r>
        <w:rPr>
          <w:rFonts w:ascii="Arial" w:cs="Arial" w:eastAsia="Arial" w:hAnsi="Arial"/>
          <w:sz w:val="19"/>
          <w:szCs w:val="19"/>
          <w:color w:val="auto"/>
        </w:rPr>
        <w:t>and organizational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-137795</wp:posOffset>
            </wp:positionV>
            <wp:extent cx="5160645" cy="72866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5160645" cy="7286625"/>
                    </a:xfrm>
                    <a:prstGeom prst="rect">
                      <a:avLst/>
                    </a:prstGeom>
                    <a:noFill/>
                  </pic:spPr>
                </pic:pic>
              </a:graphicData>
            </a:graphic>
          </wp:anchor>
        </w:drawing>
      </w:r>
    </w:p>
    <w:p>
      <w:pPr>
        <w:ind w:left="1"/>
        <w:spacing w:after="0"/>
        <w:rPr>
          <w:sz w:val="20"/>
          <w:szCs w:val="20"/>
          <w:color w:val="auto"/>
        </w:rPr>
      </w:pPr>
      <w:r>
        <w:rPr>
          <w:rFonts w:ascii="Arial" w:cs="Arial" w:eastAsia="Arial" w:hAnsi="Arial"/>
          <w:sz w:val="19"/>
          <w:szCs w:val="19"/>
          <w:color w:val="auto"/>
        </w:rPr>
        <w:t>performance.</w:t>
      </w:r>
    </w:p>
    <w:p>
      <w:pPr>
        <w:spacing w:after="0" w:line="182" w:lineRule="exact"/>
        <w:rPr>
          <w:sz w:val="20"/>
          <w:szCs w:val="20"/>
          <w:color w:val="auto"/>
        </w:rPr>
      </w:pPr>
    </w:p>
    <w:p>
      <w:pPr>
        <w:jc w:val="both"/>
        <w:ind w:left="1" w:right="579" w:hanging="1"/>
        <w:spacing w:after="0" w:line="284" w:lineRule="auto"/>
        <w:tabs>
          <w:tab w:leader="none" w:pos="342" w:val="left"/>
        </w:tabs>
        <w:numPr>
          <w:ilvl w:val="0"/>
          <w:numId w:val="81"/>
        </w:numPr>
        <w:rPr>
          <w:rFonts w:ascii="Times New Roman" w:cs="Times New Roman" w:eastAsia="Times New Roman" w:hAnsi="Times New Roman"/>
          <w:sz w:val="19"/>
          <w:szCs w:val="19"/>
          <w:color w:val="auto"/>
        </w:rPr>
      </w:pPr>
      <w:r>
        <w:rPr>
          <w:rFonts w:ascii="Arial" w:cs="Arial" w:eastAsia="Arial" w:hAnsi="Arial"/>
          <w:sz w:val="19"/>
          <w:szCs w:val="19"/>
          <w:color w:val="auto"/>
        </w:rPr>
        <w:t>Strikes the appropriate balance between investment/spend and expense management.</w:t>
      </w:r>
    </w:p>
    <w:p>
      <w:pPr>
        <w:spacing w:after="0" w:line="75" w:lineRule="exact"/>
        <w:rPr>
          <w:rFonts w:ascii="Times New Roman" w:cs="Times New Roman" w:eastAsia="Times New Roman" w:hAnsi="Times New Roman"/>
          <w:sz w:val="19"/>
          <w:szCs w:val="19"/>
          <w:color w:val="auto"/>
        </w:rPr>
      </w:pPr>
    </w:p>
    <w:p>
      <w:pPr>
        <w:ind w:left="1" w:right="579" w:hanging="1"/>
        <w:spacing w:after="0" w:line="284" w:lineRule="auto"/>
        <w:tabs>
          <w:tab w:leader="none" w:pos="342" w:val="left"/>
        </w:tabs>
        <w:numPr>
          <w:ilvl w:val="0"/>
          <w:numId w:val="81"/>
        </w:numPr>
        <w:rPr>
          <w:rFonts w:ascii="Times New Roman" w:cs="Times New Roman" w:eastAsia="Times New Roman" w:hAnsi="Times New Roman"/>
          <w:sz w:val="19"/>
          <w:szCs w:val="19"/>
          <w:color w:val="auto"/>
        </w:rPr>
      </w:pPr>
      <w:r>
        <w:rPr>
          <w:rFonts w:ascii="Arial" w:cs="Arial" w:eastAsia="Arial" w:hAnsi="Arial"/>
          <w:sz w:val="19"/>
          <w:szCs w:val="19"/>
          <w:color w:val="auto"/>
        </w:rPr>
        <w:t>Serve on Board of Directors for TheFork and perform all relevant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 w:right="779"/>
        <w:spacing w:after="0" w:line="270" w:lineRule="auto"/>
        <w:rPr>
          <w:sz w:val="20"/>
          <w:szCs w:val="20"/>
          <w:color w:val="auto"/>
        </w:rPr>
      </w:pPr>
      <w:r>
        <w:rPr>
          <w:rFonts w:ascii="Arial" w:cs="Arial" w:eastAsia="Arial" w:hAnsi="Arial"/>
          <w:sz w:val="19"/>
          <w:szCs w:val="19"/>
          <w:color w:val="auto"/>
        </w:rPr>
        <w:t>Lead People and Establish Strong Teams &amp; Culture</w:t>
      </w:r>
    </w:p>
    <w:p>
      <w:pPr>
        <w:spacing w:after="0" w:line="156" w:lineRule="exact"/>
        <w:rPr>
          <w:sz w:val="20"/>
          <w:szCs w:val="20"/>
          <w:color w:val="auto"/>
        </w:rPr>
      </w:pPr>
    </w:p>
    <w:p>
      <w:pPr>
        <w:jc w:val="both"/>
        <w:ind w:left="1" w:right="579" w:hanging="1"/>
        <w:spacing w:after="0" w:line="253" w:lineRule="auto"/>
        <w:tabs>
          <w:tab w:leader="none" w:pos="342" w:val="left"/>
        </w:tabs>
        <w:numPr>
          <w:ilvl w:val="0"/>
          <w:numId w:val="82"/>
        </w:numPr>
        <w:rPr>
          <w:rFonts w:ascii="Times New Roman" w:cs="Times New Roman" w:eastAsia="Times New Roman" w:hAnsi="Times New Roman"/>
          <w:sz w:val="19"/>
          <w:szCs w:val="19"/>
          <w:color w:val="auto"/>
        </w:rPr>
      </w:pPr>
      <w:r>
        <w:rPr>
          <w:rFonts w:ascii="Arial" w:cs="Arial" w:eastAsia="Arial" w:hAnsi="Arial"/>
          <w:sz w:val="19"/>
          <w:szCs w:val="19"/>
          <w:color w:val="auto"/>
        </w:rPr>
        <w:t>Inspire the team and broader organization through a combination of vision, communication, charisma, influence, visibility, and authenticity.</w:t>
      </w:r>
    </w:p>
    <w:p>
      <w:pPr>
        <w:spacing w:after="0" w:line="225" w:lineRule="exact"/>
        <w:rPr>
          <w:rFonts w:ascii="Times New Roman" w:cs="Times New Roman" w:eastAsia="Times New Roman" w:hAnsi="Times New Roman"/>
          <w:sz w:val="19"/>
          <w:szCs w:val="19"/>
          <w:color w:val="auto"/>
        </w:rPr>
      </w:pPr>
    </w:p>
    <w:p>
      <w:pPr>
        <w:jc w:val="both"/>
        <w:ind w:left="1" w:right="579" w:hanging="1"/>
        <w:spacing w:after="0" w:line="260" w:lineRule="auto"/>
        <w:tabs>
          <w:tab w:leader="none" w:pos="342" w:val="left"/>
        </w:tabs>
        <w:numPr>
          <w:ilvl w:val="0"/>
          <w:numId w:val="82"/>
        </w:numPr>
        <w:rPr>
          <w:rFonts w:ascii="Times New Roman" w:cs="Times New Roman" w:eastAsia="Times New Roman" w:hAnsi="Times New Roman"/>
          <w:sz w:val="19"/>
          <w:szCs w:val="19"/>
          <w:color w:val="auto"/>
        </w:rPr>
      </w:pPr>
      <w:r>
        <w:rPr>
          <w:rFonts w:ascii="Arial" w:cs="Arial" w:eastAsia="Arial" w:hAnsi="Arial"/>
          <w:sz w:val="19"/>
          <w:szCs w:val="19"/>
          <w:color w:val="auto"/>
        </w:rPr>
        <w:t>Provide strong leadership to ensure focus while driving organizational realignment and change.</w:t>
      </w:r>
    </w:p>
    <w:p>
      <w:pPr>
        <w:spacing w:after="0" w:line="166" w:lineRule="exact"/>
        <w:rPr>
          <w:rFonts w:ascii="Times New Roman" w:cs="Times New Roman" w:eastAsia="Times New Roman" w:hAnsi="Times New Roman"/>
          <w:sz w:val="19"/>
          <w:szCs w:val="19"/>
          <w:color w:val="auto"/>
        </w:rPr>
      </w:pPr>
    </w:p>
    <w:p>
      <w:pPr>
        <w:jc w:val="both"/>
        <w:ind w:left="1" w:right="579" w:hanging="1"/>
        <w:spacing w:after="0" w:line="244" w:lineRule="auto"/>
        <w:tabs>
          <w:tab w:leader="none" w:pos="342" w:val="left"/>
        </w:tabs>
        <w:numPr>
          <w:ilvl w:val="0"/>
          <w:numId w:val="82"/>
        </w:numPr>
        <w:rPr>
          <w:rFonts w:ascii="Times New Roman" w:cs="Times New Roman" w:eastAsia="Times New Roman" w:hAnsi="Times New Roman"/>
          <w:sz w:val="19"/>
          <w:szCs w:val="19"/>
          <w:color w:val="auto"/>
        </w:rPr>
      </w:pPr>
      <w:r>
        <w:rPr>
          <w:rFonts w:ascii="Arial" w:cs="Arial" w:eastAsia="Arial" w:hAnsi="Arial"/>
          <w:sz w:val="19"/>
          <w:szCs w:val="19"/>
          <w:color w:val="auto"/>
        </w:rPr>
        <w:t>Attract, recruit, motivate, and retain “A” players, including top product, marketing, engineering and overall leadership talent. Set a very high bar for talent, by having knowledge of external talent pools, looking objectively at people and teams, being decisive about personnel, and actively developing promising leaders for the future.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73" w:lineRule="exact"/>
        <w:rPr>
          <w:rFonts w:ascii="Times New Roman" w:cs="Times New Roman" w:eastAsia="Times New Roman" w:hAnsi="Times New Roman"/>
          <w:sz w:val="19"/>
          <w:szCs w:val="19"/>
          <w:color w:val="auto"/>
        </w:rPr>
      </w:pPr>
    </w:p>
    <w:p>
      <w:pPr>
        <w:jc w:val="both"/>
        <w:ind w:left="1" w:right="579" w:hanging="1"/>
        <w:spacing w:after="0" w:line="253" w:lineRule="auto"/>
        <w:tabs>
          <w:tab w:leader="none" w:pos="342" w:val="left"/>
        </w:tabs>
        <w:numPr>
          <w:ilvl w:val="0"/>
          <w:numId w:val="82"/>
        </w:numPr>
        <w:rPr>
          <w:rFonts w:ascii="Times New Roman" w:cs="Times New Roman" w:eastAsia="Times New Roman" w:hAnsi="Times New Roman"/>
          <w:sz w:val="19"/>
          <w:szCs w:val="19"/>
          <w:color w:val="auto"/>
        </w:rPr>
      </w:pPr>
      <w:r>
        <w:rPr>
          <w:rFonts w:ascii="Arial" w:cs="Arial" w:eastAsia="Arial" w:hAnsi="Arial"/>
          <w:sz w:val="19"/>
          <w:szCs w:val="19"/>
          <w:color w:val="auto"/>
        </w:rPr>
        <w:t>Build teams with an appropriate and complementary mix of skills, experiences and capabilities; knows when to change or adapt structure to help drive better business results.</w:t>
      </w:r>
    </w:p>
    <w:p>
      <w:pPr>
        <w:spacing w:after="0" w:line="90" w:lineRule="exact"/>
        <w:rPr>
          <w:rFonts w:ascii="Times New Roman" w:cs="Times New Roman" w:eastAsia="Times New Roman" w:hAnsi="Times New Roman"/>
          <w:sz w:val="19"/>
          <w:szCs w:val="19"/>
          <w:color w:val="auto"/>
        </w:rPr>
      </w:pPr>
    </w:p>
    <w:p>
      <w:pPr>
        <w:jc w:val="both"/>
        <w:ind w:left="1" w:right="579" w:hanging="1"/>
        <w:spacing w:after="0" w:line="253" w:lineRule="auto"/>
        <w:tabs>
          <w:tab w:leader="none" w:pos="342" w:val="left"/>
        </w:tabs>
        <w:numPr>
          <w:ilvl w:val="0"/>
          <w:numId w:val="82"/>
        </w:numPr>
        <w:rPr>
          <w:rFonts w:ascii="Times New Roman" w:cs="Times New Roman" w:eastAsia="Times New Roman" w:hAnsi="Times New Roman"/>
          <w:sz w:val="19"/>
          <w:szCs w:val="19"/>
          <w:color w:val="auto"/>
        </w:rPr>
      </w:pPr>
      <w:r>
        <w:rPr>
          <w:rFonts w:ascii="Arial" w:cs="Arial" w:eastAsia="Arial" w:hAnsi="Arial"/>
          <w:sz w:val="19"/>
          <w:szCs w:val="19"/>
          <w:color w:val="auto"/>
        </w:rPr>
        <w:t>Delegate responsibility to direct reports; establishes clear measures and metrics for performance; and holds team members accountable for delivering results.</w:t>
      </w:r>
    </w:p>
    <w:p>
      <w:pPr>
        <w:spacing w:after="0" w:line="103" w:lineRule="exact"/>
        <w:rPr>
          <w:rFonts w:ascii="Times New Roman" w:cs="Times New Roman" w:eastAsia="Times New Roman" w:hAnsi="Times New Roman"/>
          <w:sz w:val="19"/>
          <w:szCs w:val="19"/>
          <w:color w:val="auto"/>
        </w:rPr>
      </w:pPr>
    </w:p>
    <w:p>
      <w:pPr>
        <w:jc w:val="both"/>
        <w:ind w:left="1" w:right="579" w:hanging="1"/>
        <w:spacing w:after="0" w:line="249" w:lineRule="auto"/>
        <w:tabs>
          <w:tab w:leader="none" w:pos="342" w:val="left"/>
        </w:tabs>
        <w:numPr>
          <w:ilvl w:val="0"/>
          <w:numId w:val="82"/>
        </w:numPr>
        <w:rPr>
          <w:rFonts w:ascii="Times New Roman" w:cs="Times New Roman" w:eastAsia="Times New Roman" w:hAnsi="Times New Roman"/>
          <w:sz w:val="19"/>
          <w:szCs w:val="19"/>
          <w:color w:val="auto"/>
        </w:rPr>
      </w:pPr>
      <w:r>
        <w:rPr>
          <w:rFonts w:ascii="Arial" w:cs="Arial" w:eastAsia="Arial" w:hAnsi="Arial"/>
          <w:sz w:val="19"/>
          <w:szCs w:val="19"/>
          <w:color w:val="auto"/>
        </w:rPr>
        <w:t>Stay connected to the organization’s culture and morale; ensure the team is modeling the right values and is working in alignment to continually shape and refine the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1633220</wp:posOffset>
            </wp:positionV>
            <wp:extent cx="684911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2">
            <w:col w:w="4380" w:space="199"/>
            <w:col w:w="4440"/>
          </w:cols>
          <w:pgMar w:left="1440" w:top="305" w:right="1440" w:bottom="1440" w:gutter="0" w:footer="0" w:header="0"/>
          <w:type w:val="continuous"/>
        </w:sectPr>
      </w:pPr>
    </w:p>
    <w:bookmarkStart w:id="99" w:name="page100"/>
    <w:bookmarkEnd w:id="99"/>
    <w:p>
      <w:pPr>
        <w:ind w:left="420"/>
        <w:spacing w:after="0"/>
        <w:rPr>
          <w:sz w:val="20"/>
          <w:szCs w:val="20"/>
          <w:color w:val="auto"/>
        </w:rPr>
      </w:pPr>
      <w:r>
        <w:rPr>
          <w:rFonts w:ascii="Georgia" w:cs="Georgia" w:eastAsia="Georgia" w:hAnsi="Georgia"/>
          <w:sz w:val="20"/>
          <w:szCs w:val="20"/>
          <w:color w:val="auto"/>
        </w:rPr>
        <w:t>3</w:t>
      </w:r>
    </w:p>
    <w:p>
      <w:pPr>
        <w:spacing w:after="0" w:line="232" w:lineRule="exact"/>
        <w:rPr>
          <w:sz w:val="20"/>
          <w:szCs w:val="20"/>
          <w:color w:val="auto"/>
        </w:rPr>
      </w:pPr>
    </w:p>
    <w:p>
      <w:pPr>
        <w:jc w:val="center"/>
        <w:ind w:right="119"/>
        <w:spacing w:after="0"/>
        <w:rPr>
          <w:sz w:val="20"/>
          <w:szCs w:val="20"/>
          <w:color w:val="auto"/>
        </w:rPr>
      </w:pPr>
      <w:r>
        <w:rPr>
          <w:rFonts w:ascii="Georgia" w:cs="Georgia" w:eastAsia="Georgia" w:hAnsi="Georgia"/>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30" w:type="dxa"/>
        <w:tblCellMar>
          <w:top w:w="0" w:type="dxa"/>
          <w:left w:w="0" w:type="dxa"/>
          <w:bottom w:w="0" w:type="dxa"/>
          <w:right w:w="0" w:type="dxa"/>
        </w:tblCellMar>
      </w:tblPr>
      <w:tr>
        <w:trPr>
          <w:trHeight w:val="216"/>
        </w:trPr>
        <w:tc>
          <w:tcPr>
            <w:tcW w:w="4080" w:type="dxa"/>
            <w:vAlign w:val="bottom"/>
            <w:tcBorders>
              <w:top w:val="single" w:sz="8" w:color="auto"/>
              <w:left w:val="single" w:sz="8" w:color="auto"/>
              <w:right w:val="single" w:sz="8" w:color="auto"/>
            </w:tcBorders>
            <w:gridSpan w:val="9"/>
          </w:tcPr>
          <w:p>
            <w:pPr>
              <w:ind w:left="120"/>
              <w:spacing w:after="0" w:line="216" w:lineRule="exact"/>
              <w:rPr>
                <w:sz w:val="20"/>
                <w:szCs w:val="20"/>
                <w:color w:val="auto"/>
              </w:rPr>
            </w:pPr>
            <w:r>
              <w:rPr>
                <w:rFonts w:ascii="Arial" w:cs="Arial" w:eastAsia="Arial" w:hAnsi="Arial"/>
                <w:sz w:val="19"/>
                <w:szCs w:val="19"/>
                <w:color w:val="auto"/>
              </w:rPr>
              <w:t>lavorando in modo coordinato per modellare</w:t>
            </w:r>
          </w:p>
        </w:tc>
        <w:tc>
          <w:tcPr>
            <w:tcW w:w="4060" w:type="dxa"/>
            <w:vAlign w:val="bottom"/>
            <w:tcBorders>
              <w:top w:val="single" w:sz="8" w:color="auto"/>
              <w:right w:val="single" w:sz="8" w:color="auto"/>
            </w:tcBorders>
            <w:gridSpan w:val="9"/>
          </w:tcPr>
          <w:p>
            <w:pPr>
              <w:ind w:left="80"/>
              <w:spacing w:after="0" w:line="216" w:lineRule="exact"/>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Evaluate oneself objectively; employ an</w:t>
            </w:r>
          </w:p>
        </w:tc>
        <w:tc>
          <w:tcPr>
            <w:tcW w:w="0" w:type="dxa"/>
            <w:vAlign w:val="bottom"/>
          </w:tcPr>
          <w:p>
            <w:pPr>
              <w:spacing w:after="0"/>
              <w:rPr>
                <w:sz w:val="1"/>
                <w:szCs w:val="1"/>
                <w:color w:val="auto"/>
              </w:rPr>
            </w:pPr>
          </w:p>
        </w:tc>
      </w:tr>
      <w:tr>
        <w:trPr>
          <w:trHeight w:val="229"/>
        </w:trPr>
        <w:tc>
          <w:tcPr>
            <w:tcW w:w="3580" w:type="dxa"/>
            <w:vAlign w:val="bottom"/>
            <w:tcBorders>
              <w:left w:val="single" w:sz="8" w:color="auto"/>
            </w:tcBorders>
            <w:gridSpan w:val="8"/>
          </w:tcPr>
          <w:p>
            <w:pPr>
              <w:ind w:left="120"/>
              <w:spacing w:after="0"/>
              <w:rPr>
                <w:sz w:val="20"/>
                <w:szCs w:val="20"/>
                <w:color w:val="auto"/>
              </w:rPr>
            </w:pPr>
            <w:r>
              <w:rPr>
                <w:rFonts w:ascii="Arial" w:cs="Arial" w:eastAsia="Arial" w:hAnsi="Arial"/>
                <w:sz w:val="19"/>
                <w:szCs w:val="19"/>
                <w:color w:val="auto"/>
              </w:rPr>
              <w:t>e perfezionare continuamente la cultura.</w:t>
            </w:r>
          </w:p>
        </w:tc>
        <w:tc>
          <w:tcPr>
            <w:tcW w:w="500" w:type="dxa"/>
            <w:vAlign w:val="bottom"/>
            <w:tcBorders>
              <w:right w:val="single" w:sz="8" w:color="auto"/>
            </w:tcBorders>
          </w:tcPr>
          <w:p>
            <w:pPr>
              <w:spacing w:after="0"/>
              <w:rPr>
                <w:sz w:val="19"/>
                <w:szCs w:val="19"/>
                <w:color w:val="auto"/>
              </w:rPr>
            </w:pPr>
          </w:p>
        </w:tc>
        <w:tc>
          <w:tcPr>
            <w:tcW w:w="4060" w:type="dxa"/>
            <w:vAlign w:val="bottom"/>
            <w:tcBorders>
              <w:right w:val="single" w:sz="8" w:color="auto"/>
            </w:tcBorders>
            <w:gridSpan w:val="9"/>
          </w:tcPr>
          <w:p>
            <w:pPr>
              <w:ind w:left="80"/>
              <w:spacing w:after="0"/>
              <w:rPr>
                <w:sz w:val="20"/>
                <w:szCs w:val="20"/>
                <w:color w:val="auto"/>
              </w:rPr>
            </w:pPr>
            <w:r>
              <w:rPr>
                <w:rFonts w:ascii="Arial" w:cs="Arial" w:eastAsia="Arial" w:hAnsi="Arial"/>
                <w:sz w:val="19"/>
                <w:szCs w:val="19"/>
                <w:color w:val="auto"/>
              </w:rPr>
              <w:t>informed perspective on one’s strengths and</w:t>
            </w: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vMerge w:val="restart"/>
          </w:tcPr>
          <w:p>
            <w:pPr>
              <w:ind w:left="180"/>
              <w:spacing w:after="0"/>
              <w:rPr>
                <w:sz w:val="20"/>
                <w:szCs w:val="20"/>
                <w:color w:val="auto"/>
              </w:rPr>
            </w:pPr>
            <w:r>
              <w:rPr>
                <w:rFonts w:ascii="Arial" w:cs="Arial" w:eastAsia="Arial" w:hAnsi="Arial"/>
                <w:sz w:val="19"/>
                <w:szCs w:val="19"/>
                <w:color w:val="auto"/>
              </w:rPr>
              <w:t>Valutare</w:t>
            </w:r>
          </w:p>
        </w:tc>
        <w:tc>
          <w:tcPr>
            <w:tcW w:w="1000" w:type="dxa"/>
            <w:vAlign w:val="bottom"/>
            <w:gridSpan w:val="3"/>
            <w:vMerge w:val="restart"/>
          </w:tcPr>
          <w:p>
            <w:pPr>
              <w:ind w:left="120"/>
              <w:spacing w:after="0"/>
              <w:rPr>
                <w:sz w:val="20"/>
                <w:szCs w:val="20"/>
                <w:color w:val="auto"/>
              </w:rPr>
            </w:pPr>
            <w:r>
              <w:rPr>
                <w:rFonts w:ascii="Arial" w:cs="Arial" w:eastAsia="Arial" w:hAnsi="Arial"/>
                <w:sz w:val="19"/>
                <w:szCs w:val="19"/>
                <w:color w:val="auto"/>
              </w:rPr>
              <w:t>se  stessi</w:t>
            </w:r>
          </w:p>
        </w:tc>
        <w:tc>
          <w:tcPr>
            <w:tcW w:w="1900" w:type="dxa"/>
            <w:vAlign w:val="bottom"/>
            <w:tcBorders>
              <w:right w:val="single" w:sz="8" w:color="auto"/>
            </w:tcBorders>
            <w:gridSpan w:val="4"/>
            <w:vMerge w:val="restart"/>
          </w:tcPr>
          <w:p>
            <w:pPr>
              <w:jc w:val="right"/>
              <w:ind w:right="26"/>
              <w:spacing w:after="0"/>
              <w:rPr>
                <w:sz w:val="20"/>
                <w:szCs w:val="20"/>
                <w:color w:val="auto"/>
              </w:rPr>
            </w:pPr>
            <w:r>
              <w:rPr>
                <w:rFonts w:ascii="Arial" w:cs="Arial" w:eastAsia="Arial" w:hAnsi="Arial"/>
                <w:sz w:val="19"/>
                <w:szCs w:val="19"/>
                <w:color w:val="auto"/>
              </w:rPr>
              <w:t>in  modo  obiettivo;</w:t>
            </w:r>
          </w:p>
        </w:tc>
        <w:tc>
          <w:tcPr>
            <w:tcW w:w="4060" w:type="dxa"/>
            <w:vAlign w:val="bottom"/>
            <w:tcBorders>
              <w:right w:val="single" w:sz="8" w:color="auto"/>
            </w:tcBorders>
            <w:gridSpan w:val="9"/>
          </w:tcPr>
          <w:p>
            <w:pPr>
              <w:ind w:left="80"/>
              <w:spacing w:after="0" w:line="216" w:lineRule="exact"/>
              <w:rPr>
                <w:sz w:val="20"/>
                <w:szCs w:val="20"/>
                <w:color w:val="auto"/>
              </w:rPr>
            </w:pPr>
            <w:r>
              <w:rPr>
                <w:rFonts w:ascii="Arial" w:cs="Arial" w:eastAsia="Arial" w:hAnsi="Arial"/>
                <w:sz w:val="19"/>
                <w:szCs w:val="19"/>
                <w:color w:val="auto"/>
              </w:rPr>
              <w:t>weaknesses  and  monitor  one’s  impact  on</w:t>
            </w:r>
          </w:p>
        </w:tc>
        <w:tc>
          <w:tcPr>
            <w:tcW w:w="0" w:type="dxa"/>
            <w:vAlign w:val="bottom"/>
          </w:tcPr>
          <w:p>
            <w:pPr>
              <w:spacing w:after="0"/>
              <w:rPr>
                <w:sz w:val="1"/>
                <w:szCs w:val="1"/>
                <w:color w:val="auto"/>
              </w:rPr>
            </w:pPr>
          </w:p>
        </w:tc>
      </w:tr>
      <w:tr>
        <w:trPr>
          <w:trHeight w:val="189"/>
        </w:trPr>
        <w:tc>
          <w:tcPr>
            <w:tcW w:w="260" w:type="dxa"/>
            <w:vAlign w:val="bottom"/>
            <w:tcBorders>
              <w:left w:val="single" w:sz="8" w:color="auto"/>
            </w:tcBorders>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900" w:type="dxa"/>
            <w:vAlign w:val="bottom"/>
            <w:tcBorders>
              <w:right w:val="single" w:sz="8" w:color="auto"/>
            </w:tcBorders>
            <w:gridSpan w:val="4"/>
            <w:vMerge w:val="continue"/>
          </w:tcPr>
          <w:p>
            <w:pPr>
              <w:spacing w:after="0"/>
              <w:rPr>
                <w:sz w:val="16"/>
                <w:szCs w:val="16"/>
                <w:color w:val="auto"/>
              </w:rPr>
            </w:pPr>
          </w:p>
        </w:tc>
        <w:tc>
          <w:tcPr>
            <w:tcW w:w="940" w:type="dxa"/>
            <w:vAlign w:val="bottom"/>
            <w:gridSpan w:val="2"/>
          </w:tcPr>
          <w:p>
            <w:pPr>
              <w:ind w:left="80"/>
              <w:spacing w:after="0" w:line="189" w:lineRule="exact"/>
              <w:rPr>
                <w:sz w:val="20"/>
                <w:szCs w:val="20"/>
                <w:color w:val="auto"/>
              </w:rPr>
            </w:pPr>
            <w:r>
              <w:rPr>
                <w:rFonts w:ascii="Arial" w:cs="Arial" w:eastAsia="Arial" w:hAnsi="Arial"/>
                <w:sz w:val="19"/>
                <w:szCs w:val="19"/>
                <w:color w:val="auto"/>
              </w:rPr>
              <w:t>people.</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80" w:type="dxa"/>
            <w:vAlign w:val="bottom"/>
            <w:tcBorders>
              <w:left w:val="single" w:sz="8" w:color="auto"/>
              <w:right w:val="single" w:sz="8" w:color="auto"/>
            </w:tcBorders>
            <w:gridSpan w:val="9"/>
          </w:tcPr>
          <w:p>
            <w:pPr>
              <w:ind w:left="100"/>
              <w:spacing w:after="0" w:line="175" w:lineRule="exact"/>
              <w:rPr>
                <w:sz w:val="20"/>
                <w:szCs w:val="20"/>
                <w:color w:val="auto"/>
              </w:rPr>
            </w:pPr>
            <w:r>
              <w:rPr>
                <w:rFonts w:ascii="Arial" w:cs="Arial" w:eastAsia="Arial" w:hAnsi="Arial"/>
                <w:sz w:val="19"/>
                <w:szCs w:val="19"/>
                <w:color w:val="auto"/>
              </w:rPr>
              <w:t>impiegare una prospettiva informata sui propri</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punti di forza e di debolezza e monitorare il</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700" w:type="dxa"/>
            <w:vAlign w:val="bottom"/>
            <w:tcBorders>
              <w:left w:val="single" w:sz="8" w:color="auto"/>
            </w:tcBorders>
            <w:gridSpan w:val="6"/>
          </w:tcPr>
          <w:p>
            <w:pPr>
              <w:ind w:left="100"/>
              <w:spacing w:after="0"/>
              <w:rPr>
                <w:sz w:val="20"/>
                <w:szCs w:val="20"/>
                <w:color w:val="auto"/>
              </w:rPr>
            </w:pPr>
            <w:r>
              <w:rPr>
                <w:rFonts w:ascii="Arial" w:cs="Arial" w:eastAsia="Arial" w:hAnsi="Arial"/>
                <w:sz w:val="19"/>
                <w:szCs w:val="19"/>
                <w:color w:val="auto"/>
              </w:rPr>
              <w:t>proprio impatto sulle persone.</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1360" w:type="dxa"/>
            <w:vAlign w:val="bottom"/>
            <w:tcBorders>
              <w:left w:val="single" w:sz="8" w:color="auto"/>
            </w:tcBorders>
            <w:gridSpan w:val="3"/>
          </w:tcPr>
          <w:p>
            <w:pPr>
              <w:ind w:left="120"/>
              <w:spacing w:after="0"/>
              <w:rPr>
                <w:sz w:val="20"/>
                <w:szCs w:val="20"/>
                <w:color w:val="auto"/>
              </w:rPr>
            </w:pPr>
            <w:r>
              <w:rPr>
                <w:rFonts w:ascii="Arial" w:cs="Arial" w:eastAsia="Arial" w:hAnsi="Arial"/>
                <w:sz w:val="19"/>
                <w:szCs w:val="19"/>
                <w:color w:val="auto"/>
                <w:w w:val="97"/>
              </w:rPr>
              <w:t>Rappresentare</w:t>
            </w:r>
          </w:p>
        </w:tc>
        <w:tc>
          <w:tcPr>
            <w:tcW w:w="42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Arial" w:cs="Arial" w:eastAsia="Arial" w:hAnsi="Arial"/>
                <w:sz w:val="19"/>
                <w:szCs w:val="19"/>
                <w:color w:val="auto"/>
              </w:rPr>
              <w:t>l'organizzazione</w:t>
            </w:r>
          </w:p>
        </w:tc>
        <w:tc>
          <w:tcPr>
            <w:tcW w:w="760" w:type="dxa"/>
            <w:vAlign w:val="bottom"/>
            <w:tcBorders>
              <w:right w:val="single" w:sz="8" w:color="auto"/>
            </w:tcBorders>
            <w:gridSpan w:val="2"/>
          </w:tcPr>
          <w:p>
            <w:pPr>
              <w:jc w:val="right"/>
              <w:ind w:right="206"/>
              <w:spacing w:after="0"/>
              <w:rPr>
                <w:sz w:val="20"/>
                <w:szCs w:val="20"/>
                <w:color w:val="auto"/>
              </w:rPr>
            </w:pPr>
            <w:r>
              <w:rPr>
                <w:rFonts w:ascii="Arial" w:cs="Arial" w:eastAsia="Arial" w:hAnsi="Arial"/>
                <w:sz w:val="19"/>
                <w:szCs w:val="19"/>
                <w:color w:val="auto"/>
              </w:rPr>
              <w:t>con</w:t>
            </w:r>
          </w:p>
        </w:tc>
        <w:tc>
          <w:tcPr>
            <w:tcW w:w="3580" w:type="dxa"/>
            <w:vAlign w:val="bottom"/>
            <w:gridSpan w:val="8"/>
            <w:vMerge w:val="restart"/>
          </w:tcPr>
          <w:p>
            <w:pPr>
              <w:ind w:left="80"/>
              <w:spacing w:after="0"/>
              <w:rPr>
                <w:sz w:val="20"/>
                <w:szCs w:val="20"/>
                <w:color w:val="auto"/>
              </w:rPr>
            </w:pPr>
            <w:r>
              <w:rPr>
                <w:rFonts w:ascii="Arial" w:cs="Arial" w:eastAsia="Arial" w:hAnsi="Arial"/>
                <w:sz w:val="19"/>
                <w:szCs w:val="19"/>
                <w:color w:val="auto"/>
              </w:rPr>
              <w:t>Represent the Organization with External</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180" w:type="dxa"/>
            <w:vAlign w:val="bottom"/>
            <w:tcBorders>
              <w:left w:val="single" w:sz="8" w:color="auto"/>
            </w:tcBorders>
            <w:gridSpan w:val="5"/>
            <w:vMerge w:val="restart"/>
          </w:tcPr>
          <w:p>
            <w:pPr>
              <w:ind w:left="120"/>
              <w:spacing w:after="0"/>
              <w:rPr>
                <w:sz w:val="20"/>
                <w:szCs w:val="20"/>
                <w:color w:val="auto"/>
              </w:rPr>
            </w:pPr>
            <w:r>
              <w:rPr>
                <w:rFonts w:ascii="Arial" w:cs="Arial" w:eastAsia="Arial" w:hAnsi="Arial"/>
                <w:sz w:val="19"/>
                <w:szCs w:val="19"/>
                <w:color w:val="auto"/>
              </w:rPr>
              <w:t>gli stakeholder esterni</w:t>
            </w: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80" w:type="dxa"/>
            <w:vAlign w:val="bottom"/>
            <w:gridSpan w:val="8"/>
            <w:vMerge w:val="continue"/>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180" w:type="dxa"/>
            <w:vAlign w:val="bottom"/>
            <w:tcBorders>
              <w:left w:val="single" w:sz="8" w:color="auto"/>
            </w:tcBorders>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9"/>
                <w:szCs w:val="19"/>
                <w:color w:val="auto"/>
              </w:rPr>
              <w:t>Stakeholders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gridSpan w:val="2"/>
          </w:tcPr>
          <w:p>
            <w:pPr>
              <w:ind w:left="180"/>
              <w:spacing w:after="0"/>
              <w:rPr>
                <w:sz w:val="20"/>
                <w:szCs w:val="20"/>
                <w:color w:val="auto"/>
              </w:rPr>
            </w:pPr>
            <w:r>
              <w:rPr>
                <w:rFonts w:ascii="Arial" w:cs="Arial" w:eastAsia="Arial" w:hAnsi="Arial"/>
                <w:sz w:val="19"/>
                <w:szCs w:val="19"/>
                <w:color w:val="auto"/>
              </w:rPr>
              <w:t>Migliorare</w:t>
            </w:r>
          </w:p>
        </w:tc>
        <w:tc>
          <w:tcPr>
            <w:tcW w:w="1340" w:type="dxa"/>
            <w:vAlign w:val="bottom"/>
            <w:gridSpan w:val="3"/>
          </w:tcPr>
          <w:p>
            <w:pPr>
              <w:ind w:left="220"/>
              <w:spacing w:after="0"/>
              <w:rPr>
                <w:sz w:val="20"/>
                <w:szCs w:val="20"/>
                <w:color w:val="auto"/>
              </w:rPr>
            </w:pPr>
            <w:r>
              <w:rPr>
                <w:rFonts w:ascii="Arial" w:cs="Arial" w:eastAsia="Arial" w:hAnsi="Arial"/>
                <w:sz w:val="19"/>
                <w:szCs w:val="19"/>
                <w:color w:val="auto"/>
              </w:rPr>
              <w:t>l'immagine</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pubblica</w:t>
            </w: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di</w:t>
            </w:r>
          </w:p>
        </w:tc>
        <w:tc>
          <w:tcPr>
            <w:tcW w:w="40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Enhance the public image of Tripadvisor</w:t>
            </w:r>
          </w:p>
        </w:tc>
        <w:tc>
          <w:tcPr>
            <w:tcW w:w="0" w:type="dxa"/>
            <w:vAlign w:val="bottom"/>
          </w:tcPr>
          <w:p>
            <w:pPr>
              <w:spacing w:after="0"/>
              <w:rPr>
                <w:sz w:val="1"/>
                <w:szCs w:val="1"/>
                <w:color w:val="auto"/>
              </w:rPr>
            </w:pPr>
          </w:p>
        </w:tc>
      </w:tr>
      <w:tr>
        <w:trPr>
          <w:trHeight w:val="189"/>
        </w:trPr>
        <w:tc>
          <w:tcPr>
            <w:tcW w:w="1360" w:type="dxa"/>
            <w:vAlign w:val="bottom"/>
            <w:tcBorders>
              <w:left w:val="single" w:sz="8" w:color="auto"/>
            </w:tcBorders>
            <w:gridSpan w:val="3"/>
          </w:tcPr>
          <w:p>
            <w:pPr>
              <w:ind w:left="100"/>
              <w:spacing w:after="0" w:line="189" w:lineRule="exact"/>
              <w:rPr>
                <w:sz w:val="20"/>
                <w:szCs w:val="20"/>
                <w:color w:val="auto"/>
              </w:rPr>
            </w:pPr>
            <w:r>
              <w:rPr>
                <w:rFonts w:ascii="Arial" w:cs="Arial" w:eastAsia="Arial" w:hAnsi="Arial"/>
                <w:sz w:val="19"/>
                <w:szCs w:val="19"/>
                <w:color w:val="auto"/>
              </w:rPr>
              <w:t>Tripadvisor e</w:t>
            </w:r>
          </w:p>
        </w:tc>
        <w:tc>
          <w:tcPr>
            <w:tcW w:w="820" w:type="dxa"/>
            <w:vAlign w:val="bottom"/>
            <w:gridSpan w:val="2"/>
          </w:tcPr>
          <w:p>
            <w:pPr>
              <w:spacing w:after="0" w:line="189" w:lineRule="exact"/>
              <w:rPr>
                <w:sz w:val="20"/>
                <w:szCs w:val="20"/>
                <w:color w:val="auto"/>
              </w:rPr>
            </w:pPr>
            <w:r>
              <w:rPr>
                <w:rFonts w:ascii="Arial" w:cs="Arial" w:eastAsia="Arial" w:hAnsi="Arial"/>
                <w:sz w:val="19"/>
                <w:szCs w:val="19"/>
                <w:color w:val="auto"/>
              </w:rPr>
              <w:t>TheFork</w:t>
            </w:r>
          </w:p>
        </w:tc>
        <w:tc>
          <w:tcPr>
            <w:tcW w:w="1400" w:type="dxa"/>
            <w:vAlign w:val="bottom"/>
            <w:gridSpan w:val="3"/>
          </w:tcPr>
          <w:p>
            <w:pPr>
              <w:jc w:val="right"/>
              <w:spacing w:after="0" w:line="189" w:lineRule="exact"/>
              <w:rPr>
                <w:sz w:val="20"/>
                <w:szCs w:val="20"/>
                <w:color w:val="auto"/>
              </w:rPr>
            </w:pPr>
            <w:r>
              <w:rPr>
                <w:rFonts w:ascii="Arial" w:cs="Arial" w:eastAsia="Arial" w:hAnsi="Arial"/>
                <w:sz w:val="19"/>
                <w:szCs w:val="19"/>
                <w:color w:val="auto"/>
              </w:rPr>
              <w:t>servendo come</w:t>
            </w:r>
          </w:p>
        </w:tc>
        <w:tc>
          <w:tcPr>
            <w:tcW w:w="500" w:type="dxa"/>
            <w:vAlign w:val="bottom"/>
            <w:tcBorders>
              <w:right w:val="single" w:sz="8" w:color="auto"/>
            </w:tcBorders>
          </w:tcPr>
          <w:p>
            <w:pPr>
              <w:jc w:val="right"/>
              <w:ind w:right="26"/>
              <w:spacing w:after="0" w:line="189" w:lineRule="exact"/>
              <w:rPr>
                <w:sz w:val="20"/>
                <w:szCs w:val="20"/>
                <w:color w:val="auto"/>
              </w:rPr>
            </w:pPr>
            <w:r>
              <w:rPr>
                <w:rFonts w:ascii="Arial" w:cs="Arial" w:eastAsia="Arial" w:hAnsi="Arial"/>
                <w:sz w:val="19"/>
                <w:szCs w:val="19"/>
                <w:color w:val="auto"/>
              </w:rPr>
              <w:t>uno</w:t>
            </w:r>
          </w:p>
        </w:tc>
        <w:tc>
          <w:tcPr>
            <w:tcW w:w="4060" w:type="dxa"/>
            <w:vAlign w:val="bottom"/>
            <w:tcBorders>
              <w:right w:val="single" w:sz="8" w:color="auto"/>
            </w:tcBorders>
            <w:gridSpan w:val="9"/>
            <w:vMerge w:val="restart"/>
          </w:tcPr>
          <w:p>
            <w:pPr>
              <w:ind w:left="80"/>
              <w:spacing w:after="0"/>
              <w:rPr>
                <w:sz w:val="20"/>
                <w:szCs w:val="20"/>
                <w:color w:val="auto"/>
              </w:rPr>
            </w:pPr>
            <w:r>
              <w:rPr>
                <w:rFonts w:ascii="Arial" w:cs="Arial" w:eastAsia="Arial" w:hAnsi="Arial"/>
                <w:sz w:val="19"/>
                <w:szCs w:val="19"/>
                <w:color w:val="auto"/>
              </w:rPr>
              <w:t>and TheFork by serving as one of its primary</w:t>
            </w:r>
          </w:p>
        </w:tc>
        <w:tc>
          <w:tcPr>
            <w:tcW w:w="0" w:type="dxa"/>
            <w:vAlign w:val="bottom"/>
          </w:tcPr>
          <w:p>
            <w:pPr>
              <w:spacing w:after="0"/>
              <w:rPr>
                <w:sz w:val="1"/>
                <w:szCs w:val="1"/>
                <w:color w:val="auto"/>
              </w:rPr>
            </w:pPr>
          </w:p>
        </w:tc>
      </w:tr>
      <w:tr>
        <w:trPr>
          <w:trHeight w:val="68"/>
        </w:trPr>
        <w:tc>
          <w:tcPr>
            <w:tcW w:w="4080" w:type="dxa"/>
            <w:vAlign w:val="bottom"/>
            <w:tcBorders>
              <w:left w:val="single" w:sz="8" w:color="auto"/>
              <w:right w:val="single" w:sz="8" w:color="auto"/>
            </w:tcBorders>
            <w:gridSpan w:val="9"/>
            <w:vMerge w:val="restart"/>
          </w:tcPr>
          <w:p>
            <w:pPr>
              <w:ind w:left="100"/>
              <w:spacing w:after="0"/>
              <w:rPr>
                <w:sz w:val="20"/>
                <w:szCs w:val="20"/>
                <w:color w:val="auto"/>
              </w:rPr>
            </w:pPr>
            <w:r>
              <w:rPr>
                <w:rFonts w:ascii="Arial" w:cs="Arial" w:eastAsia="Arial" w:hAnsi="Arial"/>
                <w:sz w:val="19"/>
                <w:szCs w:val="19"/>
                <w:color w:val="auto"/>
              </w:rPr>
              <w:t>dei principali rappresentanti verso i clienti,</w:t>
            </w:r>
          </w:p>
        </w:tc>
        <w:tc>
          <w:tcPr>
            <w:tcW w:w="4060" w:type="dxa"/>
            <w:vAlign w:val="bottom"/>
            <w:tcBorders>
              <w:right w:val="single" w:sz="8" w:color="auto"/>
            </w:tcBorders>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80" w:type="dxa"/>
            <w:vAlign w:val="bottom"/>
            <w:tcBorders>
              <w:left w:val="single" w:sz="8" w:color="auto"/>
              <w:right w:val="single" w:sz="8" w:color="auto"/>
            </w:tcBorders>
            <w:gridSpan w:val="9"/>
            <w:vMerge w:val="continue"/>
          </w:tcPr>
          <w:p>
            <w:pPr>
              <w:spacing w:after="0"/>
              <w:rPr>
                <w:sz w:val="16"/>
                <w:szCs w:val="16"/>
                <w:color w:val="auto"/>
              </w:rPr>
            </w:pPr>
          </w:p>
        </w:tc>
        <w:tc>
          <w:tcPr>
            <w:tcW w:w="1440" w:type="dxa"/>
            <w:vAlign w:val="bottom"/>
            <w:gridSpan w:val="3"/>
          </w:tcPr>
          <w:p>
            <w:pPr>
              <w:ind w:left="80"/>
              <w:spacing w:after="0" w:line="189" w:lineRule="exact"/>
              <w:rPr>
                <w:sz w:val="20"/>
                <w:szCs w:val="20"/>
                <w:color w:val="auto"/>
              </w:rPr>
            </w:pPr>
            <w:r>
              <w:rPr>
                <w:rFonts w:ascii="Arial" w:cs="Arial" w:eastAsia="Arial" w:hAnsi="Arial"/>
                <w:sz w:val="19"/>
                <w:szCs w:val="19"/>
                <w:color w:val="auto"/>
              </w:rPr>
              <w:t>representative</w:t>
            </w:r>
          </w:p>
        </w:tc>
        <w:tc>
          <w:tcPr>
            <w:tcW w:w="360" w:type="dxa"/>
            <w:vAlign w:val="bottom"/>
          </w:tcPr>
          <w:p>
            <w:pPr>
              <w:ind w:left="120"/>
              <w:spacing w:after="0" w:line="189" w:lineRule="exact"/>
              <w:rPr>
                <w:sz w:val="20"/>
                <w:szCs w:val="20"/>
                <w:color w:val="auto"/>
              </w:rPr>
            </w:pPr>
            <w:r>
              <w:rPr>
                <w:rFonts w:ascii="Arial" w:cs="Arial" w:eastAsia="Arial" w:hAnsi="Arial"/>
                <w:sz w:val="19"/>
                <w:szCs w:val="19"/>
                <w:color w:val="auto"/>
              </w:rPr>
              <w:t>to</w:t>
            </w:r>
          </w:p>
        </w:tc>
        <w:tc>
          <w:tcPr>
            <w:tcW w:w="1140" w:type="dxa"/>
            <w:vAlign w:val="bottom"/>
            <w:gridSpan w:val="3"/>
          </w:tcPr>
          <w:p>
            <w:pPr>
              <w:ind w:left="180"/>
              <w:spacing w:after="0" w:line="189" w:lineRule="exact"/>
              <w:rPr>
                <w:sz w:val="20"/>
                <w:szCs w:val="20"/>
                <w:color w:val="auto"/>
              </w:rPr>
            </w:pPr>
            <w:r>
              <w:rPr>
                <w:rFonts w:ascii="Arial" w:cs="Arial" w:eastAsia="Arial" w:hAnsi="Arial"/>
                <w:sz w:val="19"/>
                <w:szCs w:val="19"/>
                <w:color w:val="auto"/>
              </w:rPr>
              <w:t>customers,</w:t>
            </w:r>
          </w:p>
        </w:tc>
        <w:tc>
          <w:tcPr>
            <w:tcW w:w="1120" w:type="dxa"/>
            <w:vAlign w:val="bottom"/>
            <w:tcBorders>
              <w:right w:val="single" w:sz="8" w:color="auto"/>
            </w:tcBorders>
            <w:gridSpan w:val="2"/>
          </w:tcPr>
          <w:p>
            <w:pPr>
              <w:jc w:val="right"/>
              <w:ind w:right="26"/>
              <w:spacing w:after="0" w:line="189" w:lineRule="exact"/>
              <w:rPr>
                <w:sz w:val="20"/>
                <w:szCs w:val="20"/>
                <w:color w:val="auto"/>
              </w:rPr>
            </w:pPr>
            <w:r>
              <w:rPr>
                <w:rFonts w:ascii="Arial" w:cs="Arial" w:eastAsia="Arial" w:hAnsi="Arial"/>
                <w:sz w:val="19"/>
                <w:szCs w:val="19"/>
                <w:color w:val="auto"/>
              </w:rPr>
              <w:t>business</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partner commerciali, concorrenti, gruppi della</w:t>
            </w:r>
          </w:p>
        </w:tc>
        <w:tc>
          <w:tcPr>
            <w:tcW w:w="4060" w:type="dxa"/>
            <w:vAlign w:val="bottom"/>
            <w:tcBorders>
              <w:right w:val="single" w:sz="8" w:color="auto"/>
            </w:tcBorders>
            <w:gridSpan w:val="9"/>
          </w:tcPr>
          <w:p>
            <w:pPr>
              <w:ind w:left="80"/>
              <w:spacing w:after="0" w:line="216" w:lineRule="exact"/>
              <w:rPr>
                <w:sz w:val="20"/>
                <w:szCs w:val="20"/>
                <w:color w:val="auto"/>
              </w:rPr>
            </w:pPr>
            <w:r>
              <w:rPr>
                <w:rFonts w:ascii="Arial" w:cs="Arial" w:eastAsia="Arial" w:hAnsi="Arial"/>
                <w:sz w:val="19"/>
                <w:szCs w:val="19"/>
                <w:color w:val="auto"/>
              </w:rPr>
              <w:t>partners, competitors, community groups and</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tcBorders>
            <w:gridSpan w:val="2"/>
          </w:tcPr>
          <w:p>
            <w:pPr>
              <w:ind w:left="100"/>
              <w:spacing w:after="0" w:line="216" w:lineRule="exact"/>
              <w:rPr>
                <w:sz w:val="20"/>
                <w:szCs w:val="20"/>
                <w:color w:val="auto"/>
              </w:rPr>
            </w:pPr>
            <w:r>
              <w:rPr>
                <w:rFonts w:ascii="Arial" w:cs="Arial" w:eastAsia="Arial" w:hAnsi="Arial"/>
                <w:sz w:val="19"/>
                <w:szCs w:val="19"/>
                <w:color w:val="auto"/>
              </w:rPr>
              <w:t>comunità</w:t>
            </w:r>
          </w:p>
        </w:tc>
        <w:tc>
          <w:tcPr>
            <w:tcW w:w="180" w:type="dxa"/>
            <w:vAlign w:val="bottom"/>
          </w:tcPr>
          <w:p>
            <w:pPr>
              <w:spacing w:after="0" w:line="216" w:lineRule="exact"/>
              <w:rPr>
                <w:sz w:val="20"/>
                <w:szCs w:val="20"/>
                <w:color w:val="auto"/>
              </w:rPr>
            </w:pPr>
            <w:r>
              <w:rPr>
                <w:rFonts w:ascii="Arial" w:cs="Arial" w:eastAsia="Arial" w:hAnsi="Arial"/>
                <w:sz w:val="19"/>
                <w:szCs w:val="19"/>
                <w:color w:val="auto"/>
              </w:rPr>
              <w:t>e</w:t>
            </w:r>
          </w:p>
        </w:tc>
        <w:tc>
          <w:tcPr>
            <w:tcW w:w="820" w:type="dxa"/>
            <w:vAlign w:val="bottom"/>
            <w:gridSpan w:val="2"/>
          </w:tcPr>
          <w:p>
            <w:pPr>
              <w:ind w:left="240"/>
              <w:spacing w:after="0" w:line="216" w:lineRule="exact"/>
              <w:rPr>
                <w:sz w:val="20"/>
                <w:szCs w:val="20"/>
                <w:color w:val="auto"/>
              </w:rPr>
            </w:pPr>
            <w:r>
              <w:rPr>
                <w:rFonts w:ascii="Arial" w:cs="Arial" w:eastAsia="Arial" w:hAnsi="Arial"/>
                <w:sz w:val="19"/>
                <w:szCs w:val="19"/>
                <w:color w:val="auto"/>
              </w:rPr>
              <w:t>verso</w:t>
            </w:r>
          </w:p>
        </w:tc>
        <w:tc>
          <w:tcPr>
            <w:tcW w:w="520" w:type="dxa"/>
            <w:vAlign w:val="bottom"/>
          </w:tcPr>
          <w:p>
            <w:pPr>
              <w:ind w:left="200"/>
              <w:spacing w:after="0" w:line="216" w:lineRule="exact"/>
              <w:rPr>
                <w:sz w:val="20"/>
                <w:szCs w:val="20"/>
                <w:color w:val="auto"/>
              </w:rPr>
            </w:pPr>
            <w:r>
              <w:rPr>
                <w:rFonts w:ascii="Arial" w:cs="Arial" w:eastAsia="Arial" w:hAnsi="Arial"/>
                <w:sz w:val="19"/>
                <w:szCs w:val="19"/>
                <w:color w:val="auto"/>
              </w:rPr>
              <w:t>il</w:t>
            </w:r>
          </w:p>
        </w:tc>
        <w:tc>
          <w:tcPr>
            <w:tcW w:w="88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consiglio</w:t>
            </w:r>
          </w:p>
        </w:tc>
        <w:tc>
          <w:tcPr>
            <w:tcW w:w="500" w:type="dxa"/>
            <w:vAlign w:val="bottom"/>
            <w:tcBorders>
              <w:right w:val="single" w:sz="8" w:color="auto"/>
            </w:tcBorders>
          </w:tcPr>
          <w:p>
            <w:pPr>
              <w:jc w:val="right"/>
              <w:ind w:right="26"/>
              <w:spacing w:after="0" w:line="216" w:lineRule="exact"/>
              <w:rPr>
                <w:sz w:val="20"/>
                <w:szCs w:val="20"/>
                <w:color w:val="auto"/>
              </w:rPr>
            </w:pPr>
            <w:r>
              <w:rPr>
                <w:rFonts w:ascii="Arial" w:cs="Arial" w:eastAsia="Arial" w:hAnsi="Arial"/>
                <w:sz w:val="19"/>
                <w:szCs w:val="19"/>
                <w:color w:val="auto"/>
              </w:rPr>
              <w:t>di</w:t>
            </w:r>
          </w:p>
        </w:tc>
        <w:tc>
          <w:tcPr>
            <w:tcW w:w="4060" w:type="dxa"/>
            <w:vAlign w:val="bottom"/>
            <w:tcBorders>
              <w:right w:val="single" w:sz="8" w:color="auto"/>
            </w:tcBorders>
            <w:gridSpan w:val="9"/>
          </w:tcPr>
          <w:p>
            <w:pPr>
              <w:ind w:left="80"/>
              <w:spacing w:after="0" w:line="216" w:lineRule="exact"/>
              <w:rPr>
                <w:sz w:val="20"/>
                <w:szCs w:val="20"/>
                <w:color w:val="auto"/>
              </w:rPr>
            </w:pPr>
            <w:r>
              <w:rPr>
                <w:rFonts w:ascii="Arial" w:cs="Arial" w:eastAsia="Arial" w:hAnsi="Arial"/>
                <w:sz w:val="19"/>
                <w:szCs w:val="19"/>
                <w:color w:val="auto"/>
              </w:rPr>
              <w:t>to the Board of Directors, shareholders and</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amministrazione,  gli  azionisti  e  gli  analisti</w:t>
            </w:r>
          </w:p>
        </w:tc>
        <w:tc>
          <w:tcPr>
            <w:tcW w:w="1800" w:type="dxa"/>
            <w:vAlign w:val="bottom"/>
            <w:gridSpan w:val="4"/>
          </w:tcPr>
          <w:p>
            <w:pPr>
              <w:ind w:left="80"/>
              <w:spacing w:after="0" w:line="216" w:lineRule="exact"/>
              <w:rPr>
                <w:sz w:val="20"/>
                <w:szCs w:val="20"/>
                <w:color w:val="auto"/>
              </w:rPr>
            </w:pPr>
            <w:r>
              <w:rPr>
                <w:rFonts w:ascii="Arial" w:cs="Arial" w:eastAsia="Arial" w:hAnsi="Arial"/>
                <w:sz w:val="19"/>
                <w:szCs w:val="19"/>
                <w:color w:val="auto"/>
              </w:rPr>
              <w:t>analysts as needed.</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80" w:type="dxa"/>
            <w:vAlign w:val="bottom"/>
            <w:tcBorders>
              <w:left w:val="single" w:sz="8" w:color="auto"/>
            </w:tcBorders>
            <w:gridSpan w:val="4"/>
          </w:tcPr>
          <w:p>
            <w:pPr>
              <w:ind w:left="100"/>
              <w:spacing w:after="0"/>
              <w:rPr>
                <w:sz w:val="20"/>
                <w:szCs w:val="20"/>
                <w:color w:val="auto"/>
              </w:rPr>
            </w:pPr>
            <w:r>
              <w:rPr>
                <w:rFonts w:ascii="Arial" w:cs="Arial" w:eastAsia="Arial" w:hAnsi="Arial"/>
                <w:sz w:val="19"/>
                <w:szCs w:val="19"/>
                <w:color w:val="auto"/>
              </w:rPr>
              <w:t>secondo necessità.</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4080" w:type="dxa"/>
            <w:vAlign w:val="bottom"/>
            <w:tcBorders>
              <w:left w:val="single" w:sz="8" w:color="auto"/>
              <w:right w:val="single" w:sz="8" w:color="auto"/>
            </w:tcBorders>
            <w:gridSpan w:val="9"/>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Fare  network  in  maniera  attiva  con  i</w:t>
            </w:r>
          </w:p>
        </w:tc>
        <w:tc>
          <w:tcPr>
            <w:tcW w:w="40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Network actively with peers and industry</w:t>
            </w:r>
          </w:p>
        </w:tc>
        <w:tc>
          <w:tcPr>
            <w:tcW w:w="0" w:type="dxa"/>
            <w:vAlign w:val="bottom"/>
          </w:tcPr>
          <w:p>
            <w:pPr>
              <w:spacing w:after="0"/>
              <w:rPr>
                <w:sz w:val="1"/>
                <w:szCs w:val="1"/>
                <w:color w:val="auto"/>
              </w:rPr>
            </w:pPr>
          </w:p>
        </w:tc>
      </w:tr>
      <w:tr>
        <w:trPr>
          <w:trHeight w:val="229"/>
        </w:trPr>
        <w:tc>
          <w:tcPr>
            <w:tcW w:w="4080" w:type="dxa"/>
            <w:vAlign w:val="bottom"/>
            <w:tcBorders>
              <w:left w:val="single" w:sz="8" w:color="auto"/>
              <w:right w:val="single" w:sz="8" w:color="auto"/>
            </w:tcBorders>
            <w:gridSpan w:val="9"/>
          </w:tcPr>
          <w:p>
            <w:pPr>
              <w:ind w:left="100"/>
              <w:spacing w:after="0"/>
              <w:rPr>
                <w:sz w:val="20"/>
                <w:szCs w:val="20"/>
                <w:color w:val="auto"/>
              </w:rPr>
            </w:pPr>
            <w:r>
              <w:rPr>
                <w:rFonts w:ascii="Arial" w:cs="Arial" w:eastAsia="Arial" w:hAnsi="Arial"/>
                <w:sz w:val="19"/>
                <w:szCs w:val="19"/>
                <w:color w:val="auto"/>
              </w:rPr>
              <w:t>colleghi e i gruppi del settore per condividere</w:t>
            </w:r>
          </w:p>
        </w:tc>
        <w:tc>
          <w:tcPr>
            <w:tcW w:w="4060" w:type="dxa"/>
            <w:vAlign w:val="bottom"/>
            <w:tcBorders>
              <w:right w:val="single" w:sz="8" w:color="auto"/>
            </w:tcBorders>
            <w:gridSpan w:val="9"/>
          </w:tcPr>
          <w:p>
            <w:pPr>
              <w:ind w:left="80"/>
              <w:spacing w:after="0"/>
              <w:rPr>
                <w:sz w:val="20"/>
                <w:szCs w:val="20"/>
                <w:color w:val="auto"/>
              </w:rPr>
            </w:pPr>
            <w:r>
              <w:rPr>
                <w:rFonts w:ascii="Arial" w:cs="Arial" w:eastAsia="Arial" w:hAnsi="Arial"/>
                <w:sz w:val="19"/>
                <w:szCs w:val="19"/>
                <w:color w:val="auto"/>
              </w:rPr>
              <w:t>groups to share learnings, broaden his/her</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le  conoscenze  acquisite,  ampliare  la  sua</w:t>
            </w:r>
          </w:p>
        </w:tc>
        <w:tc>
          <w:tcPr>
            <w:tcW w:w="4060" w:type="dxa"/>
            <w:vAlign w:val="bottom"/>
            <w:tcBorders>
              <w:right w:val="single" w:sz="8" w:color="auto"/>
            </w:tcBorders>
            <w:gridSpan w:val="9"/>
          </w:tcPr>
          <w:p>
            <w:pPr>
              <w:ind w:left="80"/>
              <w:spacing w:after="0" w:line="216" w:lineRule="exact"/>
              <w:rPr>
                <w:sz w:val="20"/>
                <w:szCs w:val="20"/>
                <w:color w:val="auto"/>
              </w:rPr>
            </w:pPr>
            <w:r>
              <w:rPr>
                <w:rFonts w:ascii="Arial" w:cs="Arial" w:eastAsia="Arial" w:hAnsi="Arial"/>
                <w:sz w:val="19"/>
                <w:szCs w:val="19"/>
                <w:color w:val="auto"/>
              </w:rPr>
              <w:t>external perspective, and wield influence at</w:t>
            </w:r>
          </w:p>
        </w:tc>
        <w:tc>
          <w:tcPr>
            <w:tcW w:w="0" w:type="dxa"/>
            <w:vAlign w:val="bottom"/>
          </w:tcPr>
          <w:p>
            <w:pPr>
              <w:spacing w:after="0"/>
              <w:rPr>
                <w:sz w:val="1"/>
                <w:szCs w:val="1"/>
                <w:color w:val="auto"/>
              </w:rPr>
            </w:pPr>
          </w:p>
        </w:tc>
      </w:tr>
      <w:tr>
        <w:trPr>
          <w:trHeight w:val="243"/>
        </w:trPr>
        <w:tc>
          <w:tcPr>
            <w:tcW w:w="4080" w:type="dxa"/>
            <w:vAlign w:val="bottom"/>
            <w:tcBorders>
              <w:left w:val="single" w:sz="8" w:color="auto"/>
              <w:right w:val="single" w:sz="8" w:color="auto"/>
            </w:tcBorders>
            <w:gridSpan w:val="9"/>
          </w:tcPr>
          <w:p>
            <w:pPr>
              <w:ind w:left="100"/>
              <w:spacing w:after="0"/>
              <w:rPr>
                <w:sz w:val="20"/>
                <w:szCs w:val="20"/>
                <w:color w:val="auto"/>
              </w:rPr>
            </w:pPr>
            <w:r>
              <w:rPr>
                <w:rFonts w:ascii="Arial" w:cs="Arial" w:eastAsia="Arial" w:hAnsi="Arial"/>
                <w:sz w:val="19"/>
                <w:szCs w:val="19"/>
                <w:color w:val="auto"/>
              </w:rPr>
              <w:t>prospettiva  esterna  ed  esercitare  la  sua</w:t>
            </w:r>
          </w:p>
        </w:tc>
        <w:tc>
          <w:tcPr>
            <w:tcW w:w="1440" w:type="dxa"/>
            <w:vAlign w:val="bottom"/>
            <w:gridSpan w:val="3"/>
          </w:tcPr>
          <w:p>
            <w:pPr>
              <w:ind w:left="80"/>
              <w:spacing w:after="0"/>
              <w:rPr>
                <w:sz w:val="20"/>
                <w:szCs w:val="20"/>
                <w:color w:val="auto"/>
              </w:rPr>
            </w:pPr>
            <w:r>
              <w:rPr>
                <w:rFonts w:ascii="Arial" w:cs="Arial" w:eastAsia="Arial" w:hAnsi="Arial"/>
                <w:sz w:val="19"/>
                <w:szCs w:val="19"/>
                <w:color w:val="auto"/>
              </w:rPr>
              <w:t>the right levels.</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180" w:type="dxa"/>
            <w:vAlign w:val="bottom"/>
            <w:tcBorders>
              <w:left w:val="single" w:sz="8" w:color="auto"/>
            </w:tcBorders>
            <w:gridSpan w:val="5"/>
          </w:tcPr>
          <w:p>
            <w:pPr>
              <w:ind w:left="100"/>
              <w:spacing w:after="0"/>
              <w:rPr>
                <w:sz w:val="20"/>
                <w:szCs w:val="20"/>
                <w:color w:val="auto"/>
              </w:rPr>
            </w:pPr>
            <w:r>
              <w:rPr>
                <w:rFonts w:ascii="Arial" w:cs="Arial" w:eastAsia="Arial" w:hAnsi="Arial"/>
                <w:sz w:val="19"/>
                <w:szCs w:val="19"/>
                <w:color w:val="auto"/>
              </w:rPr>
              <w:t>influenza ai giusti livelli.</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gridSpan w:val="2"/>
          </w:tcPr>
          <w:p>
            <w:pPr>
              <w:ind w:left="100"/>
              <w:spacing w:after="0"/>
              <w:rPr>
                <w:sz w:val="20"/>
                <w:szCs w:val="20"/>
                <w:color w:val="auto"/>
              </w:rPr>
            </w:pPr>
            <w:r>
              <w:rPr>
                <w:rFonts w:ascii="Arial" w:cs="Arial" w:eastAsia="Arial" w:hAnsi="Arial"/>
                <w:sz w:val="19"/>
                <w:szCs w:val="19"/>
                <w:color w:val="auto"/>
              </w:rPr>
              <w:t>Develop  a</w:t>
            </w:r>
          </w:p>
        </w:tc>
        <w:tc>
          <w:tcPr>
            <w:tcW w:w="660" w:type="dxa"/>
            <w:vAlign w:val="bottom"/>
            <w:gridSpan w:val="2"/>
          </w:tcPr>
          <w:p>
            <w:pPr>
              <w:ind w:left="60"/>
              <w:spacing w:after="0"/>
              <w:rPr>
                <w:sz w:val="20"/>
                <w:szCs w:val="20"/>
                <w:color w:val="auto"/>
              </w:rPr>
            </w:pPr>
            <w:r>
              <w:rPr>
                <w:rFonts w:ascii="Arial" w:cs="Arial" w:eastAsia="Arial" w:hAnsi="Arial"/>
                <w:sz w:val="19"/>
                <w:szCs w:val="19"/>
                <w:color w:val="auto"/>
              </w:rPr>
              <w:t>strong</w:t>
            </w:r>
          </w:p>
        </w:tc>
        <w:tc>
          <w:tcPr>
            <w:tcW w:w="840" w:type="dxa"/>
            <w:vAlign w:val="bottom"/>
            <w:gridSpan w:val="2"/>
          </w:tcPr>
          <w:p>
            <w:pPr>
              <w:ind w:left="80"/>
              <w:spacing w:after="0"/>
              <w:rPr>
                <w:sz w:val="20"/>
                <w:szCs w:val="20"/>
                <w:color w:val="auto"/>
              </w:rPr>
            </w:pPr>
            <w:r>
              <w:rPr>
                <w:rFonts w:ascii="Arial" w:cs="Arial" w:eastAsia="Arial" w:hAnsi="Arial"/>
                <w:sz w:val="19"/>
                <w:szCs w:val="19"/>
                <w:color w:val="auto"/>
              </w:rPr>
              <w:t>working</w:t>
            </w:r>
          </w:p>
        </w:tc>
        <w:tc>
          <w:tcPr>
            <w:tcW w:w="112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9"/>
                <w:szCs w:val="19"/>
                <w:color w:val="auto"/>
              </w:rPr>
              <w:t>relationship</w:t>
            </w:r>
          </w:p>
        </w:tc>
        <w:tc>
          <w:tcPr>
            <w:tcW w:w="0" w:type="dxa"/>
            <w:vAlign w:val="bottom"/>
          </w:tcPr>
          <w:p>
            <w:pPr>
              <w:spacing w:after="0"/>
              <w:rPr>
                <w:sz w:val="1"/>
                <w:szCs w:val="1"/>
                <w:color w:val="auto"/>
              </w:rPr>
            </w:pPr>
          </w:p>
        </w:tc>
      </w:tr>
      <w:tr>
        <w:trPr>
          <w:trHeight w:val="243"/>
        </w:trPr>
        <w:tc>
          <w:tcPr>
            <w:tcW w:w="4080" w:type="dxa"/>
            <w:vAlign w:val="bottom"/>
            <w:tcBorders>
              <w:left w:val="single" w:sz="8" w:color="auto"/>
              <w:right w:val="single" w:sz="8" w:color="auto"/>
            </w:tcBorders>
            <w:gridSpan w:val="9"/>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Sviluppare un rapporto di lavoro forte con</w:t>
            </w:r>
          </w:p>
        </w:tc>
        <w:tc>
          <w:tcPr>
            <w:tcW w:w="4060" w:type="dxa"/>
            <w:vAlign w:val="bottom"/>
            <w:tcBorders>
              <w:right w:val="single" w:sz="8" w:color="auto"/>
            </w:tcBorders>
            <w:gridSpan w:val="9"/>
          </w:tcPr>
          <w:p>
            <w:pPr>
              <w:ind w:left="80"/>
              <w:spacing w:after="0"/>
              <w:rPr>
                <w:sz w:val="20"/>
                <w:szCs w:val="20"/>
                <w:color w:val="auto"/>
              </w:rPr>
            </w:pPr>
            <w:r>
              <w:rPr>
                <w:rFonts w:ascii="Arial" w:cs="Arial" w:eastAsia="Arial" w:hAnsi="Arial"/>
                <w:sz w:val="19"/>
                <w:szCs w:val="19"/>
                <w:color w:val="auto"/>
              </w:rPr>
              <w:t>with Tripadvisor’s CEO and executive team by</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tcPr>
          <w:p>
            <w:pPr>
              <w:ind w:left="100"/>
              <w:spacing w:after="0"/>
              <w:rPr>
                <w:sz w:val="20"/>
                <w:szCs w:val="20"/>
                <w:color w:val="auto"/>
              </w:rPr>
            </w:pPr>
            <w:r>
              <w:rPr>
                <w:rFonts w:ascii="Arial" w:cs="Arial" w:eastAsia="Arial" w:hAnsi="Arial"/>
                <w:sz w:val="19"/>
                <w:szCs w:val="19"/>
                <w:color w:val="auto"/>
              </w:rPr>
              <w:t>il</w:t>
            </w:r>
          </w:p>
        </w:tc>
        <w:tc>
          <w:tcPr>
            <w:tcW w:w="920" w:type="dxa"/>
            <w:vAlign w:val="bottom"/>
          </w:tcPr>
          <w:p>
            <w:pPr>
              <w:ind w:left="60"/>
              <w:spacing w:after="0"/>
              <w:rPr>
                <w:sz w:val="20"/>
                <w:szCs w:val="20"/>
                <w:color w:val="auto"/>
              </w:rPr>
            </w:pPr>
            <w:r>
              <w:rPr>
                <w:rFonts w:ascii="Arial" w:cs="Arial" w:eastAsia="Arial" w:hAnsi="Arial"/>
                <w:sz w:val="19"/>
                <w:szCs w:val="19"/>
                <w:color w:val="auto"/>
              </w:rPr>
              <w:t>CEO e il</w:t>
            </w:r>
          </w:p>
        </w:tc>
        <w:tc>
          <w:tcPr>
            <w:tcW w:w="600" w:type="dxa"/>
            <w:vAlign w:val="bottom"/>
            <w:gridSpan w:val="2"/>
          </w:tcPr>
          <w:p>
            <w:pPr>
              <w:ind w:left="100"/>
              <w:spacing w:after="0"/>
              <w:rPr>
                <w:sz w:val="20"/>
                <w:szCs w:val="20"/>
                <w:color w:val="auto"/>
              </w:rPr>
            </w:pPr>
            <w:r>
              <w:rPr>
                <w:rFonts w:ascii="Arial" w:cs="Arial" w:eastAsia="Arial" w:hAnsi="Arial"/>
                <w:sz w:val="19"/>
                <w:szCs w:val="19"/>
                <w:color w:val="auto"/>
              </w:rPr>
              <w:t>team</w:t>
            </w:r>
          </w:p>
        </w:tc>
        <w:tc>
          <w:tcPr>
            <w:tcW w:w="920" w:type="dxa"/>
            <w:vAlign w:val="bottom"/>
            <w:gridSpan w:val="2"/>
          </w:tcPr>
          <w:p>
            <w:pPr>
              <w:ind w:left="60"/>
              <w:spacing w:after="0"/>
              <w:rPr>
                <w:sz w:val="20"/>
                <w:szCs w:val="20"/>
                <w:color w:val="auto"/>
              </w:rPr>
            </w:pPr>
            <w:r>
              <w:rPr>
                <w:rFonts w:ascii="Arial" w:cs="Arial" w:eastAsia="Arial" w:hAnsi="Arial"/>
                <w:sz w:val="19"/>
                <w:szCs w:val="19"/>
                <w:color w:val="auto"/>
              </w:rPr>
              <w:t>esecutivo</w:t>
            </w:r>
          </w:p>
        </w:tc>
        <w:tc>
          <w:tcPr>
            <w:tcW w:w="1380" w:type="dxa"/>
            <w:vAlign w:val="bottom"/>
            <w:tcBorders>
              <w:right w:val="single" w:sz="8" w:color="auto"/>
            </w:tcBorders>
            <w:gridSpan w:val="3"/>
          </w:tcPr>
          <w:p>
            <w:pPr>
              <w:jc w:val="right"/>
              <w:ind w:right="26"/>
              <w:spacing w:after="0"/>
              <w:rPr>
                <w:sz w:val="20"/>
                <w:szCs w:val="20"/>
                <w:color w:val="auto"/>
              </w:rPr>
            </w:pPr>
            <w:r>
              <w:rPr>
                <w:rFonts w:ascii="Arial" w:cs="Arial" w:eastAsia="Arial" w:hAnsi="Arial"/>
                <w:sz w:val="19"/>
                <w:szCs w:val="19"/>
                <w:color w:val="auto"/>
              </w:rPr>
              <w:t>di Tripadvisor</w:t>
            </w:r>
          </w:p>
        </w:tc>
        <w:tc>
          <w:tcPr>
            <w:tcW w:w="940" w:type="dxa"/>
            <w:vAlign w:val="bottom"/>
            <w:gridSpan w:val="2"/>
          </w:tcPr>
          <w:p>
            <w:pPr>
              <w:ind w:left="80"/>
              <w:spacing w:after="0"/>
              <w:rPr>
                <w:sz w:val="20"/>
                <w:szCs w:val="20"/>
                <w:color w:val="auto"/>
              </w:rPr>
            </w:pPr>
            <w:r>
              <w:rPr>
                <w:rFonts w:ascii="Arial" w:cs="Arial" w:eastAsia="Arial" w:hAnsi="Arial"/>
                <w:sz w:val="19"/>
                <w:szCs w:val="19"/>
                <w:color w:val="auto"/>
              </w:rPr>
              <w:t>recruiting</w:t>
            </w:r>
          </w:p>
        </w:tc>
        <w:tc>
          <w:tcPr>
            <w:tcW w:w="860" w:type="dxa"/>
            <w:vAlign w:val="bottom"/>
            <w:gridSpan w:val="2"/>
          </w:tcPr>
          <w:p>
            <w:pPr>
              <w:ind w:left="80"/>
              <w:spacing w:after="0"/>
              <w:rPr>
                <w:sz w:val="20"/>
                <w:szCs w:val="20"/>
                <w:color w:val="auto"/>
              </w:rPr>
            </w:pPr>
            <w:r>
              <w:rPr>
                <w:rFonts w:ascii="Arial" w:cs="Arial" w:eastAsia="Arial" w:hAnsi="Arial"/>
                <w:sz w:val="19"/>
                <w:szCs w:val="19"/>
                <w:color w:val="auto"/>
              </w:rPr>
              <w:t>capable</w:t>
            </w:r>
          </w:p>
        </w:tc>
        <w:tc>
          <w:tcPr>
            <w:tcW w:w="720" w:type="dxa"/>
            <w:vAlign w:val="bottom"/>
            <w:gridSpan w:val="2"/>
          </w:tcPr>
          <w:p>
            <w:pPr>
              <w:ind w:left="40"/>
              <w:spacing w:after="0"/>
              <w:rPr>
                <w:sz w:val="20"/>
                <w:szCs w:val="20"/>
                <w:color w:val="auto"/>
              </w:rPr>
            </w:pPr>
            <w:r>
              <w:rPr>
                <w:rFonts w:ascii="Arial" w:cs="Arial" w:eastAsia="Arial" w:hAnsi="Arial"/>
                <w:sz w:val="19"/>
                <w:szCs w:val="19"/>
                <w:color w:val="auto"/>
                <w:w w:val="97"/>
              </w:rPr>
              <w:t>leaders,</w:t>
            </w:r>
          </w:p>
        </w:tc>
        <w:tc>
          <w:tcPr>
            <w:tcW w:w="1540" w:type="dxa"/>
            <w:vAlign w:val="bottom"/>
            <w:tcBorders>
              <w:right w:val="single" w:sz="8" w:color="auto"/>
            </w:tcBorders>
            <w:gridSpan w:val="3"/>
          </w:tcPr>
          <w:p>
            <w:pPr>
              <w:jc w:val="right"/>
              <w:ind w:right="26"/>
              <w:spacing w:after="0"/>
              <w:rPr>
                <w:sz w:val="20"/>
                <w:szCs w:val="20"/>
                <w:color w:val="auto"/>
              </w:rPr>
            </w:pPr>
            <w:r>
              <w:rPr>
                <w:rFonts w:ascii="Arial" w:cs="Arial" w:eastAsia="Arial" w:hAnsi="Arial"/>
                <w:sz w:val="19"/>
                <w:szCs w:val="19"/>
                <w:color w:val="auto"/>
              </w:rPr>
              <w:t>communicating</w:t>
            </w: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9"/>
                <w:szCs w:val="19"/>
                <w:color w:val="auto"/>
              </w:rPr>
              <w:t>reclutando</w:t>
            </w:r>
          </w:p>
        </w:tc>
        <w:tc>
          <w:tcPr>
            <w:tcW w:w="600" w:type="dxa"/>
            <w:vAlign w:val="bottom"/>
            <w:gridSpan w:val="2"/>
            <w:vMerge w:val="restart"/>
          </w:tcPr>
          <w:p>
            <w:pPr>
              <w:ind w:left="40"/>
              <w:spacing w:after="0"/>
              <w:rPr>
                <w:sz w:val="20"/>
                <w:szCs w:val="20"/>
                <w:color w:val="auto"/>
              </w:rPr>
            </w:pPr>
            <w:r>
              <w:rPr>
                <w:rFonts w:ascii="Arial" w:cs="Arial" w:eastAsia="Arial" w:hAnsi="Arial"/>
                <w:sz w:val="19"/>
                <w:szCs w:val="19"/>
                <w:color w:val="auto"/>
              </w:rPr>
              <w:t>leader</w:t>
            </w:r>
          </w:p>
        </w:tc>
        <w:tc>
          <w:tcPr>
            <w:tcW w:w="920" w:type="dxa"/>
            <w:vAlign w:val="bottom"/>
            <w:gridSpan w:val="2"/>
            <w:vMerge w:val="restart"/>
          </w:tcPr>
          <w:p>
            <w:pPr>
              <w:jc w:val="center"/>
              <w:ind w:left="6"/>
              <w:spacing w:after="0"/>
              <w:rPr>
                <w:sz w:val="20"/>
                <w:szCs w:val="20"/>
                <w:color w:val="auto"/>
              </w:rPr>
            </w:pPr>
            <w:r>
              <w:rPr>
                <w:rFonts w:ascii="Arial" w:cs="Arial" w:eastAsia="Arial" w:hAnsi="Arial"/>
                <w:sz w:val="19"/>
                <w:szCs w:val="19"/>
                <w:color w:val="auto"/>
                <w:w w:val="96"/>
              </w:rPr>
              <w:t>capaci,</w:t>
            </w:r>
          </w:p>
        </w:tc>
        <w:tc>
          <w:tcPr>
            <w:tcW w:w="1380" w:type="dxa"/>
            <w:vAlign w:val="bottom"/>
            <w:tcBorders>
              <w:right w:val="single" w:sz="8" w:color="auto"/>
            </w:tcBorders>
            <w:gridSpan w:val="3"/>
            <w:vMerge w:val="restart"/>
          </w:tcPr>
          <w:p>
            <w:pPr>
              <w:jc w:val="right"/>
              <w:ind w:right="26"/>
              <w:spacing w:after="0"/>
              <w:rPr>
                <w:sz w:val="20"/>
                <w:szCs w:val="20"/>
                <w:color w:val="auto"/>
              </w:rPr>
            </w:pPr>
            <w:r>
              <w:rPr>
                <w:rFonts w:ascii="Arial" w:cs="Arial" w:eastAsia="Arial" w:hAnsi="Arial"/>
                <w:sz w:val="19"/>
                <w:szCs w:val="19"/>
                <w:color w:val="auto"/>
              </w:rPr>
              <w:t>comunicando</w:t>
            </w:r>
          </w:p>
        </w:tc>
        <w:tc>
          <w:tcPr>
            <w:tcW w:w="4060" w:type="dxa"/>
            <w:vAlign w:val="bottom"/>
            <w:tcBorders>
              <w:right w:val="single" w:sz="8" w:color="auto"/>
            </w:tcBorders>
            <w:gridSpan w:val="9"/>
          </w:tcPr>
          <w:p>
            <w:pPr>
              <w:ind w:left="80"/>
              <w:spacing w:after="0" w:line="175" w:lineRule="exact"/>
              <w:rPr>
                <w:sz w:val="20"/>
                <w:szCs w:val="20"/>
                <w:color w:val="auto"/>
              </w:rPr>
            </w:pPr>
            <w:r>
              <w:rPr>
                <w:rFonts w:ascii="Arial" w:cs="Arial" w:eastAsia="Arial" w:hAnsi="Arial"/>
                <w:sz w:val="19"/>
                <w:szCs w:val="19"/>
                <w:color w:val="auto"/>
              </w:rPr>
              <w:t>openly, sharing relevant information, soliciting</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tcBorders>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80" w:type="dxa"/>
            <w:vAlign w:val="bottom"/>
            <w:tcBorders>
              <w:right w:val="single" w:sz="8" w:color="auto"/>
            </w:tcBorders>
            <w:gridSpan w:val="3"/>
            <w:vMerge w:val="continue"/>
          </w:tcPr>
          <w:p>
            <w:pPr>
              <w:spacing w:after="0"/>
              <w:rPr>
                <w:sz w:val="5"/>
                <w:szCs w:val="5"/>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9"/>
                <w:szCs w:val="19"/>
                <w:color w:val="auto"/>
              </w:rPr>
              <w:t>input, and being responsive to requests.</w:t>
            </w: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rPr>
              <w:t>apertamente,</w:t>
            </w:r>
          </w:p>
        </w:tc>
        <w:tc>
          <w:tcPr>
            <w:tcW w:w="1340" w:type="dxa"/>
            <w:vAlign w:val="bottom"/>
            <w:gridSpan w:val="3"/>
          </w:tcPr>
          <w:p>
            <w:pPr>
              <w:ind w:left="160"/>
              <w:spacing w:after="0" w:line="216" w:lineRule="exact"/>
              <w:rPr>
                <w:sz w:val="20"/>
                <w:szCs w:val="20"/>
                <w:color w:val="auto"/>
              </w:rPr>
            </w:pPr>
            <w:r>
              <w:rPr>
                <w:rFonts w:ascii="Arial" w:cs="Arial" w:eastAsia="Arial" w:hAnsi="Arial"/>
                <w:sz w:val="19"/>
                <w:szCs w:val="19"/>
                <w:color w:val="auto"/>
              </w:rPr>
              <w:t>condividendo</w:t>
            </w:r>
          </w:p>
        </w:tc>
        <w:tc>
          <w:tcPr>
            <w:tcW w:w="1380" w:type="dxa"/>
            <w:vAlign w:val="bottom"/>
            <w:tcBorders>
              <w:right w:val="single" w:sz="8" w:color="auto"/>
            </w:tcBorders>
            <w:gridSpan w:val="3"/>
          </w:tcPr>
          <w:p>
            <w:pPr>
              <w:jc w:val="right"/>
              <w:ind w:right="26"/>
              <w:spacing w:after="0" w:line="216" w:lineRule="exact"/>
              <w:rPr>
                <w:sz w:val="20"/>
                <w:szCs w:val="20"/>
                <w:color w:val="auto"/>
              </w:rPr>
            </w:pPr>
            <w:r>
              <w:rPr>
                <w:rFonts w:ascii="Arial" w:cs="Arial" w:eastAsia="Arial" w:hAnsi="Arial"/>
                <w:sz w:val="19"/>
                <w:szCs w:val="19"/>
                <w:color w:val="auto"/>
              </w:rPr>
              <w:t>informazioni</w:t>
            </w:r>
          </w:p>
        </w:tc>
        <w:tc>
          <w:tcPr>
            <w:tcW w:w="3580" w:type="dxa"/>
            <w:vAlign w:val="bottom"/>
            <w:gridSpan w:val="8"/>
            <w:vMerge w:val="continue"/>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rilevanti, sollecitando input e rispondendo alle</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tcBorders>
              <w:left w:val="single" w:sz="8" w:color="auto"/>
            </w:tcBorders>
            <w:gridSpan w:val="2"/>
          </w:tcPr>
          <w:p>
            <w:pPr>
              <w:ind w:left="100"/>
              <w:spacing w:after="0"/>
              <w:rPr>
                <w:sz w:val="20"/>
                <w:szCs w:val="20"/>
                <w:color w:val="auto"/>
              </w:rPr>
            </w:pPr>
            <w:r>
              <w:rPr>
                <w:rFonts w:ascii="Arial" w:cs="Arial" w:eastAsia="Arial" w:hAnsi="Arial"/>
                <w:sz w:val="19"/>
                <w:szCs w:val="19"/>
                <w:color w:val="auto"/>
              </w:rPr>
              <w:t>richieste.</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320" w:type="dxa"/>
            <w:vAlign w:val="bottom"/>
            <w:tcBorders>
              <w:left w:val="single" w:sz="8" w:color="auto"/>
            </w:tcBorders>
            <w:gridSpan w:val="7"/>
          </w:tcPr>
          <w:p>
            <w:pPr>
              <w:ind w:left="120"/>
              <w:spacing w:after="0"/>
              <w:rPr>
                <w:sz w:val="20"/>
                <w:szCs w:val="20"/>
                <w:color w:val="auto"/>
              </w:rPr>
            </w:pPr>
            <w:r>
              <w:rPr>
                <w:rFonts w:ascii="Arial" w:cs="Arial" w:eastAsia="Arial" w:hAnsi="Arial"/>
                <w:sz w:val="19"/>
                <w:szCs w:val="19"/>
                <w:color w:val="auto"/>
              </w:rPr>
              <w:t>Background ed esperienza richiesti</w:t>
            </w:r>
          </w:p>
        </w:tc>
        <w:tc>
          <w:tcPr>
            <w:tcW w:w="2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3580" w:type="dxa"/>
            <w:vAlign w:val="bottom"/>
            <w:gridSpan w:val="8"/>
          </w:tcPr>
          <w:p>
            <w:pPr>
              <w:ind w:left="80"/>
              <w:spacing w:after="0"/>
              <w:rPr>
                <w:sz w:val="20"/>
                <w:szCs w:val="20"/>
                <w:color w:val="auto"/>
              </w:rPr>
            </w:pPr>
            <w:r>
              <w:rPr>
                <w:rFonts w:ascii="Arial" w:cs="Arial" w:eastAsia="Arial" w:hAnsi="Arial"/>
                <w:sz w:val="19"/>
                <w:szCs w:val="19"/>
                <w:color w:val="auto"/>
              </w:rPr>
              <w:t>Required Background &amp; Experience</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80" w:type="dxa"/>
            <w:vAlign w:val="bottom"/>
            <w:tcBorders>
              <w:left w:val="single" w:sz="8" w:color="auto"/>
              <w:right w:val="single" w:sz="8" w:color="auto"/>
            </w:tcBorders>
            <w:gridSpan w:val="9"/>
          </w:tcPr>
          <w:p>
            <w:pPr>
              <w:ind w:left="120"/>
              <w:spacing w:after="0"/>
              <w:rPr>
                <w:sz w:val="20"/>
                <w:szCs w:val="20"/>
                <w:color w:val="auto"/>
              </w:rPr>
            </w:pPr>
            <w:r>
              <w:rPr>
                <w:rFonts w:ascii="Arial" w:cs="Arial" w:eastAsia="Arial" w:hAnsi="Arial"/>
                <w:sz w:val="19"/>
                <w:szCs w:val="19"/>
                <w:color w:val="auto"/>
              </w:rPr>
              <w:t>Il candidato vincente sarà un dirigente esperto</w:t>
            </w:r>
          </w:p>
        </w:tc>
        <w:tc>
          <w:tcPr>
            <w:tcW w:w="4060" w:type="dxa"/>
            <w:vAlign w:val="bottom"/>
            <w:tcBorders>
              <w:right w:val="single" w:sz="8" w:color="auto"/>
            </w:tcBorders>
            <w:gridSpan w:val="9"/>
          </w:tcPr>
          <w:p>
            <w:pPr>
              <w:ind w:left="80"/>
              <w:spacing w:after="0"/>
              <w:rPr>
                <w:sz w:val="20"/>
                <w:szCs w:val="20"/>
                <w:color w:val="auto"/>
              </w:rPr>
            </w:pPr>
            <w:r>
              <w:rPr>
                <w:rFonts w:ascii="Arial" w:cs="Arial" w:eastAsia="Arial" w:hAnsi="Arial"/>
                <w:sz w:val="19"/>
                <w:szCs w:val="19"/>
                <w:color w:val="auto"/>
              </w:rPr>
              <w:t>The successful candidate will be a seasoned</w:t>
            </w:r>
          </w:p>
        </w:tc>
        <w:tc>
          <w:tcPr>
            <w:tcW w:w="0" w:type="dxa"/>
            <w:vAlign w:val="bottom"/>
          </w:tcPr>
          <w:p>
            <w:pPr>
              <w:spacing w:after="0"/>
              <w:rPr>
                <w:sz w:val="1"/>
                <w:szCs w:val="1"/>
                <w:color w:val="auto"/>
              </w:rPr>
            </w:pPr>
          </w:p>
        </w:tc>
      </w:tr>
      <w:tr>
        <w:trPr>
          <w:trHeight w:val="216"/>
        </w:trPr>
        <w:tc>
          <w:tcPr>
            <w:tcW w:w="3320" w:type="dxa"/>
            <w:vAlign w:val="bottom"/>
            <w:tcBorders>
              <w:left w:val="single" w:sz="8" w:color="auto"/>
            </w:tcBorders>
            <w:gridSpan w:val="7"/>
          </w:tcPr>
          <w:p>
            <w:pPr>
              <w:ind w:left="120"/>
              <w:spacing w:after="0" w:line="216" w:lineRule="exact"/>
              <w:rPr>
                <w:sz w:val="20"/>
                <w:szCs w:val="20"/>
                <w:color w:val="auto"/>
              </w:rPr>
            </w:pPr>
            <w:r>
              <w:rPr>
                <w:rFonts w:ascii="Arial" w:cs="Arial" w:eastAsia="Arial" w:hAnsi="Arial"/>
                <w:sz w:val="19"/>
                <w:szCs w:val="19"/>
                <w:color w:val="auto"/>
              </w:rPr>
              <w:t>con la seguente serie di esperienze:</w:t>
            </w:r>
          </w:p>
        </w:tc>
        <w:tc>
          <w:tcPr>
            <w:tcW w:w="2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40" w:type="dxa"/>
            <w:vAlign w:val="bottom"/>
            <w:gridSpan w:val="7"/>
          </w:tcPr>
          <w:p>
            <w:pPr>
              <w:ind w:left="80"/>
              <w:spacing w:after="0" w:line="216" w:lineRule="exact"/>
              <w:rPr>
                <w:sz w:val="20"/>
                <w:szCs w:val="20"/>
                <w:color w:val="auto"/>
              </w:rPr>
            </w:pPr>
            <w:r>
              <w:rPr>
                <w:rFonts w:ascii="Arial" w:cs="Arial" w:eastAsia="Arial" w:hAnsi="Arial"/>
                <w:sz w:val="19"/>
                <w:szCs w:val="19"/>
                <w:color w:val="auto"/>
              </w:rPr>
              <w:t>executive with the following set of</w:t>
            </w:r>
          </w:p>
        </w:tc>
        <w:tc>
          <w:tcPr>
            <w:tcW w:w="6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0" w:type="dxa"/>
            <w:vAlign w:val="bottom"/>
            <w:tcBorders>
              <w:lef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440" w:type="dxa"/>
            <w:vAlign w:val="bottom"/>
            <w:gridSpan w:val="3"/>
          </w:tcPr>
          <w:p>
            <w:pPr>
              <w:ind w:left="80"/>
              <w:spacing w:after="0"/>
              <w:rPr>
                <w:sz w:val="20"/>
                <w:szCs w:val="20"/>
                <w:color w:val="auto"/>
              </w:rPr>
            </w:pPr>
            <w:r>
              <w:rPr>
                <w:rFonts w:ascii="Arial" w:cs="Arial" w:eastAsia="Arial" w:hAnsi="Arial"/>
                <w:sz w:val="19"/>
                <w:szCs w:val="19"/>
                <w:color w:val="auto"/>
              </w:rPr>
              <w:t>experiences:</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2700" w:type="dxa"/>
            <w:vAlign w:val="bottom"/>
            <w:tcBorders>
              <w:left w:val="single" w:sz="8" w:color="auto"/>
            </w:tcBorders>
            <w:gridSpan w:val="6"/>
          </w:tcPr>
          <w:p>
            <w:pPr>
              <w:ind w:left="120"/>
              <w:spacing w:after="0"/>
              <w:rPr>
                <w:sz w:val="20"/>
                <w:szCs w:val="20"/>
                <w:color w:val="auto"/>
              </w:rPr>
            </w:pPr>
            <w:r>
              <w:rPr>
                <w:rFonts w:ascii="Arial" w:cs="Arial" w:eastAsia="Arial" w:hAnsi="Arial"/>
                <w:sz w:val="19"/>
                <w:szCs w:val="19"/>
                <w:color w:val="auto"/>
              </w:rPr>
              <w:t>Esperienza di leadership P&amp;L</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520" w:type="dxa"/>
            <w:vAlign w:val="bottom"/>
            <w:gridSpan w:val="6"/>
          </w:tcPr>
          <w:p>
            <w:pPr>
              <w:ind w:left="80"/>
              <w:spacing w:after="0"/>
              <w:rPr>
                <w:sz w:val="20"/>
                <w:szCs w:val="20"/>
                <w:color w:val="auto"/>
              </w:rPr>
            </w:pPr>
            <w:r>
              <w:rPr>
                <w:rFonts w:ascii="Arial" w:cs="Arial" w:eastAsia="Arial" w:hAnsi="Arial"/>
                <w:sz w:val="19"/>
                <w:szCs w:val="19"/>
                <w:color w:val="auto"/>
              </w:rPr>
              <w:t>P&amp;L Leadership Experience</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80" w:type="dxa"/>
            <w:vAlign w:val="bottom"/>
            <w:tcBorders>
              <w:left w:val="single" w:sz="8" w:color="auto"/>
              <w:right w:val="single" w:sz="8" w:color="auto"/>
            </w:tcBorders>
            <w:gridSpan w:val="9"/>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Comprovata esperienza di successo nel</w:t>
            </w:r>
          </w:p>
        </w:tc>
        <w:tc>
          <w:tcPr>
            <w:tcW w:w="40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Track record of success leading P&amp;L of a</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gridSpan w:val="9"/>
          </w:tcPr>
          <w:p>
            <w:pPr>
              <w:ind w:left="100"/>
              <w:spacing w:after="0"/>
              <w:rPr>
                <w:sz w:val="20"/>
                <w:szCs w:val="20"/>
                <w:color w:val="auto"/>
              </w:rPr>
            </w:pPr>
            <w:r>
              <w:rPr>
                <w:rFonts w:ascii="Arial" w:cs="Arial" w:eastAsia="Arial" w:hAnsi="Arial"/>
                <w:sz w:val="19"/>
                <w:szCs w:val="19"/>
                <w:color w:val="auto"/>
              </w:rPr>
              <w:t>condurre il P&amp;L di una società internet o</w:t>
            </w:r>
          </w:p>
        </w:tc>
        <w:tc>
          <w:tcPr>
            <w:tcW w:w="4060" w:type="dxa"/>
            <w:vAlign w:val="bottom"/>
            <w:tcBorders>
              <w:right w:val="single" w:sz="8" w:color="auto"/>
            </w:tcBorders>
            <w:gridSpan w:val="9"/>
          </w:tcPr>
          <w:p>
            <w:pPr>
              <w:ind w:left="80"/>
              <w:spacing w:after="0"/>
              <w:rPr>
                <w:sz w:val="20"/>
                <w:szCs w:val="20"/>
                <w:color w:val="auto"/>
              </w:rPr>
            </w:pPr>
            <w:r>
              <w:rPr>
                <w:rFonts w:ascii="Arial" w:cs="Arial" w:eastAsia="Arial" w:hAnsi="Arial"/>
                <w:sz w:val="19"/>
                <w:szCs w:val="19"/>
                <w:color w:val="auto"/>
              </w:rPr>
              <w:t>high  growth,  global  internet  or  technology</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tecnologica globale in forte crescita, o di uno</w:t>
            </w:r>
          </w:p>
        </w:tc>
        <w:tc>
          <w:tcPr>
            <w:tcW w:w="4060" w:type="dxa"/>
            <w:vAlign w:val="bottom"/>
            <w:tcBorders>
              <w:right w:val="single" w:sz="8" w:color="auto"/>
            </w:tcBorders>
            <w:gridSpan w:val="9"/>
          </w:tcPr>
          <w:p>
            <w:pPr>
              <w:ind w:left="80"/>
              <w:spacing w:after="0" w:line="216" w:lineRule="exact"/>
              <w:rPr>
                <w:sz w:val="20"/>
                <w:szCs w:val="20"/>
                <w:color w:val="auto"/>
              </w:rPr>
            </w:pPr>
            <w:r>
              <w:rPr>
                <w:rFonts w:ascii="Arial" w:cs="Arial" w:eastAsia="Arial" w:hAnsi="Arial"/>
                <w:sz w:val="19"/>
                <w:szCs w:val="19"/>
                <w:color w:val="auto"/>
              </w:rPr>
              <w:t>company,  or  one  of  its  core  businesses,</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dei suoi core business, compresa una chiara</w:t>
            </w:r>
          </w:p>
        </w:tc>
        <w:tc>
          <w:tcPr>
            <w:tcW w:w="940" w:type="dxa"/>
            <w:vAlign w:val="bottom"/>
            <w:gridSpan w:val="2"/>
          </w:tcPr>
          <w:p>
            <w:pPr>
              <w:ind w:left="80"/>
              <w:spacing w:after="0" w:line="216" w:lineRule="exact"/>
              <w:rPr>
                <w:sz w:val="20"/>
                <w:szCs w:val="20"/>
                <w:color w:val="auto"/>
              </w:rPr>
            </w:pPr>
            <w:r>
              <w:rPr>
                <w:rFonts w:ascii="Arial" w:cs="Arial" w:eastAsia="Arial" w:hAnsi="Arial"/>
                <w:sz w:val="19"/>
                <w:szCs w:val="19"/>
                <w:color w:val="auto"/>
              </w:rPr>
              <w:t>including</w:t>
            </w:r>
          </w:p>
        </w:tc>
        <w:tc>
          <w:tcPr>
            <w:tcW w:w="500" w:type="dxa"/>
            <w:vAlign w:val="bottom"/>
          </w:tcPr>
          <w:p>
            <w:pPr>
              <w:ind w:left="200"/>
              <w:spacing w:after="0" w:line="216" w:lineRule="exact"/>
              <w:rPr>
                <w:sz w:val="20"/>
                <w:szCs w:val="20"/>
                <w:color w:val="auto"/>
              </w:rPr>
            </w:pPr>
            <w:r>
              <w:rPr>
                <w:rFonts w:ascii="Arial" w:cs="Arial" w:eastAsia="Arial" w:hAnsi="Arial"/>
                <w:sz w:val="19"/>
                <w:szCs w:val="19"/>
                <w:color w:val="auto"/>
              </w:rPr>
              <w:t>a</w:t>
            </w:r>
          </w:p>
        </w:tc>
        <w:tc>
          <w:tcPr>
            <w:tcW w:w="660" w:type="dxa"/>
            <w:vAlign w:val="bottom"/>
            <w:gridSpan w:val="2"/>
          </w:tcPr>
          <w:p>
            <w:pPr>
              <w:ind w:left="120"/>
              <w:spacing w:after="0" w:line="216" w:lineRule="exact"/>
              <w:rPr>
                <w:sz w:val="20"/>
                <w:szCs w:val="20"/>
                <w:color w:val="auto"/>
              </w:rPr>
            </w:pPr>
            <w:r>
              <w:rPr>
                <w:rFonts w:ascii="Arial" w:cs="Arial" w:eastAsia="Arial" w:hAnsi="Arial"/>
                <w:sz w:val="19"/>
                <w:szCs w:val="19"/>
                <w:color w:val="auto"/>
              </w:rPr>
              <w:t>clear</w:t>
            </w:r>
          </w:p>
        </w:tc>
        <w:tc>
          <w:tcPr>
            <w:tcW w:w="1480" w:type="dxa"/>
            <w:vAlign w:val="bottom"/>
            <w:gridSpan w:val="3"/>
          </w:tcPr>
          <w:p>
            <w:pPr>
              <w:ind w:left="180"/>
              <w:spacing w:after="0" w:line="216" w:lineRule="exact"/>
              <w:rPr>
                <w:sz w:val="20"/>
                <w:szCs w:val="20"/>
                <w:color w:val="auto"/>
              </w:rPr>
            </w:pPr>
            <w:r>
              <w:rPr>
                <w:rFonts w:ascii="Arial" w:cs="Arial" w:eastAsia="Arial" w:hAnsi="Arial"/>
                <w:sz w:val="19"/>
                <w:szCs w:val="19"/>
                <w:color w:val="auto"/>
              </w:rPr>
              <w:t>understanding</w:t>
            </w:r>
          </w:p>
        </w:tc>
        <w:tc>
          <w:tcPr>
            <w:tcW w:w="480" w:type="dxa"/>
            <w:vAlign w:val="bottom"/>
            <w:tcBorders>
              <w:right w:val="single" w:sz="8" w:color="auto"/>
            </w:tcBorders>
          </w:tcPr>
          <w:p>
            <w:pPr>
              <w:jc w:val="right"/>
              <w:ind w:right="26"/>
              <w:spacing w:after="0" w:line="216" w:lineRule="exact"/>
              <w:rPr>
                <w:sz w:val="20"/>
                <w:szCs w:val="20"/>
                <w:color w:val="auto"/>
              </w:rPr>
            </w:pPr>
            <w:r>
              <w:rPr>
                <w:rFonts w:ascii="Arial" w:cs="Arial" w:eastAsia="Arial" w:hAnsi="Arial"/>
                <w:sz w:val="19"/>
                <w:szCs w:val="19"/>
                <w:color w:val="auto"/>
              </w:rPr>
              <w:t>of</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comprensione delle metriche di performance</w:t>
            </w:r>
          </w:p>
        </w:tc>
        <w:tc>
          <w:tcPr>
            <w:tcW w:w="4060" w:type="dxa"/>
            <w:vAlign w:val="bottom"/>
            <w:tcBorders>
              <w:right w:val="single" w:sz="8" w:color="auto"/>
            </w:tcBorders>
            <w:gridSpan w:val="9"/>
          </w:tcPr>
          <w:p>
            <w:pPr>
              <w:ind w:left="80"/>
              <w:spacing w:after="0" w:line="216" w:lineRule="exact"/>
              <w:rPr>
                <w:sz w:val="20"/>
                <w:szCs w:val="20"/>
                <w:color w:val="auto"/>
              </w:rPr>
            </w:pPr>
            <w:r>
              <w:rPr>
                <w:rFonts w:ascii="Arial" w:cs="Arial" w:eastAsia="Arial" w:hAnsi="Arial"/>
                <w:sz w:val="19"/>
                <w:szCs w:val="19"/>
                <w:color w:val="auto"/>
              </w:rPr>
              <w:t>performance  metrics  with  an  ROI  focus.</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con un focus sul ROI. Idealmente, questa</w:t>
            </w:r>
          </w:p>
        </w:tc>
        <w:tc>
          <w:tcPr>
            <w:tcW w:w="4060" w:type="dxa"/>
            <w:vAlign w:val="bottom"/>
            <w:tcBorders>
              <w:right w:val="single" w:sz="8" w:color="auto"/>
            </w:tcBorders>
            <w:gridSpan w:val="9"/>
          </w:tcPr>
          <w:p>
            <w:pPr>
              <w:ind w:left="80"/>
              <w:spacing w:after="0" w:line="216" w:lineRule="exact"/>
              <w:rPr>
                <w:sz w:val="20"/>
                <w:szCs w:val="20"/>
                <w:color w:val="auto"/>
              </w:rPr>
            </w:pPr>
            <w:r>
              <w:rPr>
                <w:rFonts w:ascii="Arial" w:cs="Arial" w:eastAsia="Arial" w:hAnsi="Arial"/>
                <w:sz w:val="19"/>
                <w:szCs w:val="19"/>
                <w:color w:val="auto"/>
              </w:rPr>
              <w:t>Ideally, that experience would include full end</w:t>
            </w: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tcBorders>
            <w:gridSpan w:val="2"/>
          </w:tcPr>
          <w:p>
            <w:pPr>
              <w:ind w:left="100"/>
              <w:spacing w:after="0" w:line="175" w:lineRule="exact"/>
              <w:rPr>
                <w:sz w:val="20"/>
                <w:szCs w:val="20"/>
                <w:color w:val="auto"/>
              </w:rPr>
            </w:pPr>
            <w:r>
              <w:rPr>
                <w:rFonts w:ascii="Arial" w:cs="Arial" w:eastAsia="Arial" w:hAnsi="Arial"/>
                <w:sz w:val="19"/>
                <w:szCs w:val="19"/>
                <w:color w:val="auto"/>
              </w:rPr>
              <w:t>esperienza</w:t>
            </w:r>
          </w:p>
        </w:tc>
        <w:tc>
          <w:tcPr>
            <w:tcW w:w="180" w:type="dxa"/>
            <w:vAlign w:val="bottom"/>
          </w:tcPr>
          <w:p>
            <w:pPr>
              <w:spacing w:after="0"/>
              <w:rPr>
                <w:sz w:val="15"/>
                <w:szCs w:val="15"/>
                <w:color w:val="auto"/>
              </w:rPr>
            </w:pPr>
          </w:p>
        </w:tc>
        <w:tc>
          <w:tcPr>
            <w:tcW w:w="820" w:type="dxa"/>
            <w:vAlign w:val="bottom"/>
            <w:gridSpan w:val="2"/>
          </w:tcPr>
          <w:p>
            <w:pPr>
              <w:ind w:left="20"/>
              <w:spacing w:after="0" w:line="175" w:lineRule="exact"/>
              <w:rPr>
                <w:sz w:val="20"/>
                <w:szCs w:val="20"/>
                <w:color w:val="auto"/>
              </w:rPr>
            </w:pPr>
            <w:r>
              <w:rPr>
                <w:rFonts w:ascii="Arial" w:cs="Arial" w:eastAsia="Arial" w:hAnsi="Arial"/>
                <w:sz w:val="19"/>
                <w:szCs w:val="19"/>
                <w:color w:val="auto"/>
                <w:w w:val="98"/>
              </w:rPr>
              <w:t>dovrebbe</w:t>
            </w:r>
          </w:p>
        </w:tc>
        <w:tc>
          <w:tcPr>
            <w:tcW w:w="1140" w:type="dxa"/>
            <w:vAlign w:val="bottom"/>
            <w:gridSpan w:val="2"/>
          </w:tcPr>
          <w:p>
            <w:pPr>
              <w:ind w:left="340"/>
              <w:spacing w:after="0" w:line="175" w:lineRule="exact"/>
              <w:rPr>
                <w:sz w:val="20"/>
                <w:szCs w:val="20"/>
                <w:color w:val="auto"/>
              </w:rPr>
            </w:pPr>
            <w:r>
              <w:rPr>
                <w:rFonts w:ascii="Arial" w:cs="Arial" w:eastAsia="Arial" w:hAnsi="Arial"/>
                <w:sz w:val="19"/>
                <w:szCs w:val="19"/>
                <w:color w:val="auto"/>
              </w:rPr>
              <w:t>includere</w:t>
            </w:r>
          </w:p>
        </w:tc>
        <w:tc>
          <w:tcPr>
            <w:tcW w:w="260" w:type="dxa"/>
            <w:vAlign w:val="bottom"/>
          </w:tcPr>
          <w:p>
            <w:pPr>
              <w:spacing w:after="0"/>
              <w:rPr>
                <w:sz w:val="15"/>
                <w:szCs w:val="15"/>
                <w:color w:val="auto"/>
              </w:rPr>
            </w:pPr>
          </w:p>
        </w:tc>
        <w:tc>
          <w:tcPr>
            <w:tcW w:w="500" w:type="dxa"/>
            <w:vAlign w:val="bottom"/>
            <w:tcBorders>
              <w:right w:val="single" w:sz="8" w:color="auto"/>
            </w:tcBorders>
          </w:tcPr>
          <w:p>
            <w:pPr>
              <w:jc w:val="right"/>
              <w:ind w:right="26"/>
              <w:spacing w:after="0" w:line="175" w:lineRule="exact"/>
              <w:rPr>
                <w:sz w:val="20"/>
                <w:szCs w:val="20"/>
                <w:color w:val="auto"/>
              </w:rPr>
            </w:pPr>
            <w:r>
              <w:rPr>
                <w:rFonts w:ascii="Arial" w:cs="Arial" w:eastAsia="Arial" w:hAnsi="Arial"/>
                <w:sz w:val="19"/>
                <w:szCs w:val="19"/>
                <w:color w:val="auto"/>
              </w:rPr>
              <w:t>una</w:t>
            </w:r>
          </w:p>
        </w:tc>
        <w:tc>
          <w:tcPr>
            <w:tcW w:w="320" w:type="dxa"/>
            <w:vAlign w:val="bottom"/>
            <w:vMerge w:val="restart"/>
          </w:tcPr>
          <w:p>
            <w:pPr>
              <w:ind w:left="80"/>
              <w:spacing w:after="0"/>
              <w:rPr>
                <w:sz w:val="20"/>
                <w:szCs w:val="20"/>
                <w:color w:val="auto"/>
              </w:rPr>
            </w:pPr>
            <w:r>
              <w:rPr>
                <w:rFonts w:ascii="Arial" w:cs="Arial" w:eastAsia="Arial" w:hAnsi="Arial"/>
                <w:sz w:val="19"/>
                <w:szCs w:val="19"/>
                <w:color w:val="auto"/>
              </w:rPr>
              <w:t>to</w:t>
            </w:r>
          </w:p>
        </w:tc>
        <w:tc>
          <w:tcPr>
            <w:tcW w:w="620" w:type="dxa"/>
            <w:vAlign w:val="bottom"/>
            <w:vMerge w:val="restart"/>
          </w:tcPr>
          <w:p>
            <w:pPr>
              <w:ind w:left="140"/>
              <w:spacing w:after="0"/>
              <w:rPr>
                <w:sz w:val="20"/>
                <w:szCs w:val="20"/>
                <w:color w:val="auto"/>
              </w:rPr>
            </w:pPr>
            <w:r>
              <w:rPr>
                <w:rFonts w:ascii="Arial" w:cs="Arial" w:eastAsia="Arial" w:hAnsi="Arial"/>
                <w:sz w:val="19"/>
                <w:szCs w:val="19"/>
                <w:color w:val="auto"/>
              </w:rPr>
              <w:t>end</w:t>
            </w:r>
          </w:p>
        </w:tc>
        <w:tc>
          <w:tcPr>
            <w:tcW w:w="860" w:type="dxa"/>
            <w:vAlign w:val="bottom"/>
            <w:gridSpan w:val="2"/>
            <w:vMerge w:val="restart"/>
          </w:tcPr>
          <w:p>
            <w:pPr>
              <w:ind w:left="80"/>
              <w:spacing w:after="0"/>
              <w:rPr>
                <w:sz w:val="20"/>
                <w:szCs w:val="20"/>
                <w:color w:val="auto"/>
              </w:rPr>
            </w:pPr>
            <w:r>
              <w:rPr>
                <w:rFonts w:ascii="Arial" w:cs="Arial" w:eastAsia="Arial" w:hAnsi="Arial"/>
                <w:sz w:val="19"/>
                <w:szCs w:val="19"/>
                <w:color w:val="auto"/>
              </w:rPr>
              <w:t>business</w:t>
            </w:r>
          </w:p>
        </w:tc>
        <w:tc>
          <w:tcPr>
            <w:tcW w:w="720" w:type="dxa"/>
            <w:vAlign w:val="bottom"/>
            <w:gridSpan w:val="2"/>
            <w:vMerge w:val="restart"/>
          </w:tcPr>
          <w:p>
            <w:pPr>
              <w:ind w:left="200"/>
              <w:spacing w:after="0"/>
              <w:rPr>
                <w:sz w:val="20"/>
                <w:szCs w:val="20"/>
                <w:color w:val="auto"/>
              </w:rPr>
            </w:pPr>
            <w:r>
              <w:rPr>
                <w:rFonts w:ascii="Arial" w:cs="Arial" w:eastAsia="Arial" w:hAnsi="Arial"/>
                <w:sz w:val="19"/>
                <w:szCs w:val="19"/>
                <w:color w:val="auto"/>
              </w:rPr>
              <w:t>unit</w:t>
            </w:r>
          </w:p>
        </w:tc>
        <w:tc>
          <w:tcPr>
            <w:tcW w:w="1060" w:type="dxa"/>
            <w:vAlign w:val="bottom"/>
            <w:gridSpan w:val="2"/>
            <w:vMerge w:val="restart"/>
          </w:tcPr>
          <w:p>
            <w:pPr>
              <w:spacing w:after="0"/>
              <w:rPr>
                <w:sz w:val="20"/>
                <w:szCs w:val="20"/>
                <w:color w:val="auto"/>
              </w:rPr>
            </w:pPr>
            <w:r>
              <w:rPr>
                <w:rFonts w:ascii="Arial" w:cs="Arial" w:eastAsia="Arial" w:hAnsi="Arial"/>
                <w:sz w:val="19"/>
                <w:szCs w:val="19"/>
                <w:color w:val="auto"/>
              </w:rPr>
              <w:t>leadership</w:t>
            </w:r>
          </w:p>
        </w:tc>
        <w:tc>
          <w:tcPr>
            <w:tcW w:w="480" w:type="dxa"/>
            <w:vAlign w:val="bottom"/>
            <w:tcBorders>
              <w:right w:val="single" w:sz="8" w:color="auto"/>
            </w:tcBorders>
            <w:vMerge w:val="restart"/>
          </w:tcPr>
          <w:p>
            <w:pPr>
              <w:jc w:val="right"/>
              <w:ind w:right="26"/>
              <w:spacing w:after="0"/>
              <w:rPr>
                <w:sz w:val="20"/>
                <w:szCs w:val="20"/>
                <w:color w:val="auto"/>
              </w:rPr>
            </w:pPr>
            <w:r>
              <w:rPr>
                <w:rFonts w:ascii="Arial" w:cs="Arial" w:eastAsia="Arial" w:hAnsi="Arial"/>
                <w:sz w:val="19"/>
                <w:szCs w:val="19"/>
                <w:color w:val="auto"/>
              </w:rPr>
              <w:t>and</w:t>
            </w:r>
          </w:p>
        </w:tc>
        <w:tc>
          <w:tcPr>
            <w:tcW w:w="0" w:type="dxa"/>
            <w:vAlign w:val="bottom"/>
          </w:tcPr>
          <w:p>
            <w:pPr>
              <w:spacing w:after="0"/>
              <w:rPr>
                <w:sz w:val="1"/>
                <w:szCs w:val="1"/>
                <w:color w:val="auto"/>
              </w:rPr>
            </w:pPr>
          </w:p>
        </w:tc>
      </w:tr>
      <w:tr>
        <w:trPr>
          <w:trHeight w:val="68"/>
        </w:trPr>
        <w:tc>
          <w:tcPr>
            <w:tcW w:w="4080" w:type="dxa"/>
            <w:vAlign w:val="bottom"/>
            <w:tcBorders>
              <w:left w:val="single" w:sz="8" w:color="auto"/>
              <w:right w:val="single" w:sz="8" w:color="auto"/>
            </w:tcBorders>
            <w:gridSpan w:val="9"/>
            <w:vMerge w:val="restart"/>
          </w:tcPr>
          <w:p>
            <w:pPr>
              <w:ind w:left="100"/>
              <w:spacing w:after="0" w:line="216" w:lineRule="exact"/>
              <w:rPr>
                <w:sz w:val="20"/>
                <w:szCs w:val="20"/>
                <w:color w:val="auto"/>
              </w:rPr>
            </w:pPr>
            <w:r>
              <w:rPr>
                <w:rFonts w:ascii="Arial" w:cs="Arial" w:eastAsia="Arial" w:hAnsi="Arial"/>
                <w:sz w:val="19"/>
                <w:szCs w:val="19"/>
                <w:color w:val="auto"/>
              </w:rPr>
              <w:t>leadership completa dell'unità di business e</w:t>
            </w:r>
          </w:p>
        </w:tc>
        <w:tc>
          <w:tcPr>
            <w:tcW w:w="3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80" w:type="dxa"/>
            <w:vAlign w:val="bottom"/>
            <w:tcBorders>
              <w:left w:val="single" w:sz="8" w:color="auto"/>
              <w:right w:val="single" w:sz="8" w:color="auto"/>
            </w:tcBorders>
            <w:gridSpan w:val="9"/>
            <w:vMerge w:val="continue"/>
          </w:tcPr>
          <w:p>
            <w:pPr>
              <w:spacing w:after="0"/>
              <w:rPr>
                <w:sz w:val="12"/>
                <w:szCs w:val="12"/>
                <w:color w:val="auto"/>
              </w:rPr>
            </w:pPr>
          </w:p>
        </w:tc>
        <w:tc>
          <w:tcPr>
            <w:tcW w:w="4060" w:type="dxa"/>
            <w:vAlign w:val="bottom"/>
            <w:tcBorders>
              <w:right w:val="single" w:sz="8" w:color="auto"/>
            </w:tcBorders>
            <w:gridSpan w:val="9"/>
            <w:vMerge w:val="restart"/>
          </w:tcPr>
          <w:p>
            <w:pPr>
              <w:ind w:left="80"/>
              <w:spacing w:after="0" w:line="216" w:lineRule="exact"/>
              <w:rPr>
                <w:sz w:val="20"/>
                <w:szCs w:val="20"/>
                <w:color w:val="auto"/>
              </w:rPr>
            </w:pPr>
            <w:r>
              <w:rPr>
                <w:rFonts w:ascii="Arial" w:cs="Arial" w:eastAsia="Arial" w:hAnsi="Arial"/>
                <w:sz w:val="19"/>
                <w:szCs w:val="19"/>
                <w:color w:val="auto"/>
              </w:rPr>
              <w:t>experience in a global organization evolving</w:t>
            </w:r>
          </w:p>
        </w:tc>
        <w:tc>
          <w:tcPr>
            <w:tcW w:w="0" w:type="dxa"/>
            <w:vAlign w:val="bottom"/>
          </w:tcPr>
          <w:p>
            <w:pPr>
              <w:spacing w:after="0"/>
              <w:rPr>
                <w:sz w:val="1"/>
                <w:szCs w:val="1"/>
                <w:color w:val="auto"/>
              </w:rPr>
            </w:pPr>
          </w:p>
        </w:tc>
      </w:tr>
      <w:tr>
        <w:trPr>
          <w:trHeight w:val="68"/>
        </w:trPr>
        <w:tc>
          <w:tcPr>
            <w:tcW w:w="1360" w:type="dxa"/>
            <w:vAlign w:val="bottom"/>
            <w:tcBorders>
              <w:left w:val="single" w:sz="8" w:color="auto"/>
            </w:tcBorders>
            <w:gridSpan w:val="3"/>
            <w:vMerge w:val="restart"/>
          </w:tcPr>
          <w:p>
            <w:pPr>
              <w:ind w:left="100"/>
              <w:spacing w:after="0"/>
              <w:rPr>
                <w:sz w:val="20"/>
                <w:szCs w:val="20"/>
                <w:color w:val="auto"/>
              </w:rPr>
            </w:pPr>
            <w:r>
              <w:rPr>
                <w:rFonts w:ascii="Arial" w:cs="Arial" w:eastAsia="Arial" w:hAnsi="Arial"/>
                <w:sz w:val="19"/>
                <w:szCs w:val="19"/>
                <w:color w:val="auto"/>
              </w:rPr>
              <w:t>un'esperienza</w:t>
            </w:r>
          </w:p>
        </w:tc>
        <w:tc>
          <w:tcPr>
            <w:tcW w:w="1960" w:type="dxa"/>
            <w:vAlign w:val="bottom"/>
            <w:gridSpan w:val="4"/>
            <w:vMerge w:val="restart"/>
          </w:tcPr>
          <w:p>
            <w:pPr>
              <w:jc w:val="center"/>
              <w:spacing w:after="0"/>
              <w:rPr>
                <w:sz w:val="20"/>
                <w:szCs w:val="20"/>
                <w:color w:val="auto"/>
              </w:rPr>
            </w:pPr>
            <w:r>
              <w:rPr>
                <w:rFonts w:ascii="Arial" w:cs="Arial" w:eastAsia="Arial" w:hAnsi="Arial"/>
                <w:sz w:val="19"/>
                <w:szCs w:val="19"/>
                <w:color w:val="auto"/>
              </w:rPr>
              <w:t>in  un'organizzazione</w:t>
            </w:r>
          </w:p>
        </w:tc>
        <w:tc>
          <w:tcPr>
            <w:tcW w:w="760" w:type="dxa"/>
            <w:vAlign w:val="bottom"/>
            <w:tcBorders>
              <w:right w:val="single" w:sz="8" w:color="auto"/>
            </w:tcBorders>
            <w:gridSpan w:val="2"/>
            <w:vMerge w:val="restart"/>
          </w:tcPr>
          <w:p>
            <w:pPr>
              <w:jc w:val="right"/>
              <w:ind w:right="26"/>
              <w:spacing w:after="0"/>
              <w:rPr>
                <w:sz w:val="20"/>
                <w:szCs w:val="20"/>
                <w:color w:val="auto"/>
              </w:rPr>
            </w:pPr>
            <w:r>
              <w:rPr>
                <w:rFonts w:ascii="Arial" w:cs="Arial" w:eastAsia="Arial" w:hAnsi="Arial"/>
                <w:sz w:val="19"/>
                <w:szCs w:val="19"/>
                <w:color w:val="auto"/>
              </w:rPr>
              <w:t>globale</w:t>
            </w:r>
          </w:p>
        </w:tc>
        <w:tc>
          <w:tcPr>
            <w:tcW w:w="4060" w:type="dxa"/>
            <w:vAlign w:val="bottom"/>
            <w:tcBorders>
              <w:right w:val="single" w:sz="8" w:color="auto"/>
            </w:tcBorders>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360" w:type="dxa"/>
            <w:vAlign w:val="bottom"/>
            <w:tcBorders>
              <w:left w:val="single" w:sz="8" w:color="auto"/>
            </w:tcBorders>
            <w:gridSpan w:val="3"/>
            <w:vMerge w:val="continue"/>
          </w:tcPr>
          <w:p>
            <w:pPr>
              <w:spacing w:after="0"/>
              <w:rPr>
                <w:sz w:val="16"/>
                <w:szCs w:val="16"/>
                <w:color w:val="auto"/>
              </w:rPr>
            </w:pPr>
          </w:p>
        </w:tc>
        <w:tc>
          <w:tcPr>
            <w:tcW w:w="1960" w:type="dxa"/>
            <w:vAlign w:val="bottom"/>
            <w:gridSpan w:val="4"/>
            <w:vMerge w:val="continue"/>
          </w:tcPr>
          <w:p>
            <w:pPr>
              <w:spacing w:after="0"/>
              <w:rPr>
                <w:sz w:val="16"/>
                <w:szCs w:val="16"/>
                <w:color w:val="auto"/>
              </w:rPr>
            </w:pPr>
          </w:p>
        </w:tc>
        <w:tc>
          <w:tcPr>
            <w:tcW w:w="760" w:type="dxa"/>
            <w:vAlign w:val="bottom"/>
            <w:tcBorders>
              <w:right w:val="single" w:sz="8" w:color="auto"/>
            </w:tcBorders>
            <w:gridSpan w:val="2"/>
            <w:vMerge w:val="continue"/>
          </w:tcPr>
          <w:p>
            <w:pPr>
              <w:spacing w:after="0"/>
              <w:rPr>
                <w:sz w:val="16"/>
                <w:szCs w:val="16"/>
                <w:color w:val="auto"/>
              </w:rPr>
            </w:pPr>
          </w:p>
        </w:tc>
        <w:tc>
          <w:tcPr>
            <w:tcW w:w="4060" w:type="dxa"/>
            <w:vAlign w:val="bottom"/>
            <w:tcBorders>
              <w:right w:val="single" w:sz="8" w:color="auto"/>
            </w:tcBorders>
            <w:gridSpan w:val="9"/>
          </w:tcPr>
          <w:p>
            <w:pPr>
              <w:ind w:left="80"/>
              <w:spacing w:after="0" w:line="189" w:lineRule="exact"/>
              <w:rPr>
                <w:sz w:val="20"/>
                <w:szCs w:val="20"/>
                <w:color w:val="auto"/>
              </w:rPr>
            </w:pPr>
            <w:r>
              <w:rPr>
                <w:rFonts w:ascii="Arial" w:cs="Arial" w:eastAsia="Arial" w:hAnsi="Arial"/>
                <w:sz w:val="19"/>
                <w:szCs w:val="19"/>
                <w:color w:val="auto"/>
              </w:rPr>
              <w:t>through  its  next  phase  of  growth  (ideally</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gridSpan w:val="9"/>
          </w:tcPr>
          <w:p>
            <w:pPr>
              <w:ind w:left="100"/>
              <w:spacing w:after="0" w:line="216" w:lineRule="exact"/>
              <w:rPr>
                <w:sz w:val="20"/>
                <w:szCs w:val="20"/>
                <w:color w:val="auto"/>
              </w:rPr>
            </w:pPr>
            <w:r>
              <w:rPr>
                <w:rFonts w:ascii="Arial" w:cs="Arial" w:eastAsia="Arial" w:hAnsi="Arial"/>
                <w:sz w:val="19"/>
                <w:szCs w:val="19"/>
                <w:color w:val="auto"/>
              </w:rPr>
              <w:t>che si evolve attraverso la sua prossima fase</w:t>
            </w:r>
          </w:p>
        </w:tc>
        <w:tc>
          <w:tcPr>
            <w:tcW w:w="2520" w:type="dxa"/>
            <w:vAlign w:val="bottom"/>
            <w:gridSpan w:val="6"/>
          </w:tcPr>
          <w:p>
            <w:pPr>
              <w:ind w:left="80"/>
              <w:spacing w:after="0" w:line="216" w:lineRule="exact"/>
              <w:rPr>
                <w:sz w:val="20"/>
                <w:szCs w:val="20"/>
                <w:color w:val="auto"/>
              </w:rPr>
            </w:pPr>
            <w:r>
              <w:rPr>
                <w:rFonts w:ascii="Arial" w:cs="Arial" w:eastAsia="Arial" w:hAnsi="Arial"/>
                <w:sz w:val="19"/>
                <w:szCs w:val="19"/>
                <w:color w:val="auto"/>
              </w:rPr>
              <w:t>public company experience).</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80" w:type="dxa"/>
            <w:vAlign w:val="bottom"/>
            <w:tcBorders>
              <w:left w:val="single" w:sz="8" w:color="auto"/>
              <w:right w:val="single" w:sz="8" w:color="auto"/>
            </w:tcBorders>
            <w:gridSpan w:val="9"/>
          </w:tcPr>
          <w:p>
            <w:pPr>
              <w:ind w:left="100"/>
              <w:spacing w:after="0" w:line="175" w:lineRule="exact"/>
              <w:rPr>
                <w:sz w:val="20"/>
                <w:szCs w:val="20"/>
                <w:color w:val="auto"/>
              </w:rPr>
            </w:pPr>
            <w:r>
              <w:rPr>
                <w:rFonts w:ascii="Arial" w:cs="Arial" w:eastAsia="Arial" w:hAnsi="Arial"/>
                <w:sz w:val="19"/>
                <w:szCs w:val="19"/>
                <w:color w:val="auto"/>
              </w:rPr>
              <w:t>di crescita (idealmente esperienza in azienda</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80" w:type="dxa"/>
            <w:vAlign w:val="bottom"/>
            <w:tcBorders>
              <w:left w:val="single" w:sz="8" w:color="auto"/>
            </w:tcBorders>
            <w:gridSpan w:val="2"/>
          </w:tcPr>
          <w:p>
            <w:pPr>
              <w:ind w:left="100"/>
              <w:spacing w:after="0"/>
              <w:rPr>
                <w:sz w:val="20"/>
                <w:szCs w:val="20"/>
                <w:color w:val="auto"/>
              </w:rPr>
            </w:pPr>
            <w:r>
              <w:rPr>
                <w:rFonts w:ascii="Arial" w:cs="Arial" w:eastAsia="Arial" w:hAnsi="Arial"/>
                <w:sz w:val="19"/>
                <w:szCs w:val="19"/>
                <w:color w:val="auto"/>
              </w:rPr>
              <w:t>pubblica).</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60" w:type="dxa"/>
            <w:vAlign w:val="bottom"/>
            <w:tcBorders>
              <w:left w:val="single" w:sz="8" w:color="auto"/>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1195705</wp:posOffset>
            </wp:positionV>
            <wp:extent cx="684911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00" w:name="page101"/>
    <w:bookmarkEnd w:id="100"/>
    <w:p>
      <w:pPr>
        <w:ind w:left="420"/>
        <w:spacing w:after="0"/>
        <w:rPr>
          <w:sz w:val="20"/>
          <w:szCs w:val="20"/>
          <w:color w:val="auto"/>
        </w:rPr>
      </w:pPr>
      <w:r>
        <w:rPr>
          <w:rFonts w:ascii="Georgia" w:cs="Georgia" w:eastAsia="Georgia" w:hAnsi="Georgia"/>
          <w:sz w:val="20"/>
          <w:szCs w:val="20"/>
          <w:color w:val="auto"/>
        </w:rPr>
        <w:t>4</w:t>
      </w:r>
    </w:p>
    <w:p>
      <w:pPr>
        <w:spacing w:after="0" w:line="232" w:lineRule="exact"/>
        <w:rPr>
          <w:sz w:val="20"/>
          <w:szCs w:val="20"/>
          <w:color w:val="auto"/>
        </w:rPr>
      </w:pPr>
    </w:p>
    <w:p>
      <w:pPr>
        <w:jc w:val="center"/>
        <w:ind w:right="119"/>
        <w:spacing w:after="0"/>
        <w:rPr>
          <w:sz w:val="20"/>
          <w:szCs w:val="20"/>
          <w:color w:val="auto"/>
        </w:rPr>
      </w:pPr>
      <w:r>
        <w:rPr>
          <w:rFonts w:ascii="Georgia" w:cs="Georgia" w:eastAsia="Georgia" w:hAnsi="Georgia"/>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right="579" w:firstLine="9"/>
        <w:spacing w:after="0" w:line="247" w:lineRule="auto"/>
        <w:tabs>
          <w:tab w:leader="none" w:pos="860" w:val="left"/>
        </w:tabs>
        <w:numPr>
          <w:ilvl w:val="0"/>
          <w:numId w:val="83"/>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Evidenza di saper prendere valide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Demonstrated history of making sound decisioni di investimento, comprese quelle investment decisions, including those related relative al prodotto digitale e al marketing, to digital product and marketing, by sviluppando strategie e piani di crescita developing winning growth strategies and vincenti e sfruttando le opportunità di plans, and exploiting market opportunities. mercato.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-713740</wp:posOffset>
            </wp:positionV>
            <wp:extent cx="5160645" cy="74148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5160645" cy="7414895"/>
                    </a:xfrm>
                    <a:prstGeom prst="rect">
                      <a:avLst/>
                    </a:prstGeom>
                    <a:noFill/>
                  </pic:spPr>
                </pic:pic>
              </a:graphicData>
            </a:graphic>
          </wp:anchor>
        </w:drawing>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257"/>
        </w:trPr>
        <w:tc>
          <w:tcPr>
            <w:tcW w:w="39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Esperienza di lavoro come parte del team</w:t>
            </w:r>
          </w:p>
        </w:tc>
        <w:tc>
          <w:tcPr>
            <w:tcW w:w="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3520" w:type="dxa"/>
            <w:vAlign w:val="bottom"/>
          </w:tcPr>
          <w:p>
            <w:pPr>
              <w:jc w:val="center"/>
              <w:spacing w:after="0"/>
              <w:rPr>
                <w:sz w:val="20"/>
                <w:szCs w:val="20"/>
                <w:color w:val="auto"/>
              </w:rPr>
            </w:pPr>
            <w:r>
              <w:rPr>
                <w:rFonts w:ascii="Arial" w:cs="Arial" w:eastAsia="Arial" w:hAnsi="Arial"/>
                <w:sz w:val="19"/>
                <w:szCs w:val="19"/>
                <w:color w:val="auto"/>
                <w:w w:val="99"/>
              </w:rPr>
              <w:t>Experience working as a part of the</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9"/>
                <w:szCs w:val="19"/>
                <w:color w:val="auto"/>
              </w:rPr>
              <w:t>esecutivo   e   direttamente   con   partner</w:t>
            </w:r>
          </w:p>
        </w:tc>
        <w:tc>
          <w:tcPr>
            <w:tcW w:w="3960" w:type="dxa"/>
            <w:vAlign w:val="bottom"/>
            <w:gridSpan w:val="2"/>
          </w:tcPr>
          <w:p>
            <w:pPr>
              <w:ind w:left="100"/>
              <w:spacing w:after="0"/>
              <w:rPr>
                <w:sz w:val="20"/>
                <w:szCs w:val="20"/>
                <w:color w:val="auto"/>
              </w:rPr>
            </w:pPr>
            <w:r>
              <w:rPr>
                <w:rFonts w:ascii="Arial" w:cs="Arial" w:eastAsia="Arial" w:hAnsi="Arial"/>
                <w:sz w:val="19"/>
                <w:szCs w:val="19"/>
                <w:color w:val="auto"/>
              </w:rPr>
              <w:t>executive team and directly with business</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line="216" w:lineRule="exact"/>
              <w:rPr>
                <w:sz w:val="20"/>
                <w:szCs w:val="20"/>
                <w:color w:val="auto"/>
              </w:rPr>
            </w:pPr>
            <w:r>
              <w:rPr>
                <w:rFonts w:ascii="Arial" w:cs="Arial" w:eastAsia="Arial" w:hAnsi="Arial"/>
                <w:sz w:val="19"/>
                <w:szCs w:val="19"/>
                <w:color w:val="auto"/>
              </w:rPr>
              <w:t>commerciali e clienti.</w:t>
            </w: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gridSpan w:val="2"/>
            <w:vMerge w:val="restart"/>
          </w:tcPr>
          <w:p>
            <w:pPr>
              <w:ind w:left="100"/>
              <w:spacing w:after="0"/>
              <w:rPr>
                <w:sz w:val="20"/>
                <w:szCs w:val="20"/>
                <w:color w:val="auto"/>
              </w:rPr>
            </w:pPr>
            <w:r>
              <w:rPr>
                <w:rFonts w:ascii="Arial" w:cs="Arial" w:eastAsia="Arial" w:hAnsi="Arial"/>
                <w:sz w:val="19"/>
                <w:szCs w:val="19"/>
                <w:color w:val="auto"/>
              </w:rPr>
              <w:t>partners and customers.</w:t>
            </w:r>
          </w:p>
        </w:tc>
        <w:tc>
          <w:tcPr>
            <w:tcW w:w="0" w:type="dxa"/>
            <w:vAlign w:val="bottom"/>
          </w:tcPr>
          <w:p>
            <w:pPr>
              <w:spacing w:after="0"/>
              <w:rPr>
                <w:sz w:val="1"/>
                <w:szCs w:val="1"/>
                <w:color w:val="auto"/>
              </w:rPr>
            </w:pPr>
          </w:p>
        </w:tc>
      </w:tr>
      <w:tr>
        <w:trPr>
          <w:trHeight w:val="60"/>
        </w:trPr>
        <w:tc>
          <w:tcPr>
            <w:tcW w:w="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Non</w:t>
            </w:r>
          </w:p>
        </w:tc>
        <w:tc>
          <w:tcPr>
            <w:tcW w:w="1120" w:type="dxa"/>
            <w:vAlign w:val="bottom"/>
          </w:tcPr>
          <w:p>
            <w:pPr>
              <w:ind w:left="20"/>
              <w:spacing w:after="0"/>
              <w:rPr>
                <w:sz w:val="20"/>
                <w:szCs w:val="20"/>
                <w:color w:val="auto"/>
              </w:rPr>
            </w:pPr>
            <w:r>
              <w:rPr>
                <w:rFonts w:ascii="Arial" w:cs="Arial" w:eastAsia="Arial" w:hAnsi="Arial"/>
                <w:sz w:val="19"/>
                <w:szCs w:val="19"/>
                <w:color w:val="auto"/>
              </w:rPr>
              <w:t>è   richiesta</w:t>
            </w:r>
          </w:p>
        </w:tc>
        <w:tc>
          <w:tcPr>
            <w:tcW w:w="1500" w:type="dxa"/>
            <w:vAlign w:val="bottom"/>
          </w:tcPr>
          <w:p>
            <w:pPr>
              <w:ind w:left="180"/>
              <w:spacing w:after="0"/>
              <w:rPr>
                <w:sz w:val="20"/>
                <w:szCs w:val="20"/>
                <w:color w:val="auto"/>
              </w:rPr>
            </w:pPr>
            <w:r>
              <w:rPr>
                <w:rFonts w:ascii="Arial" w:cs="Arial" w:eastAsia="Arial" w:hAnsi="Arial"/>
                <w:sz w:val="19"/>
                <w:szCs w:val="19"/>
                <w:color w:val="auto"/>
              </w:rPr>
              <w:t>la   leadership</w:t>
            </w:r>
          </w:p>
        </w:tc>
        <w:tc>
          <w:tcPr>
            <w:tcW w:w="420" w:type="dxa"/>
            <w:vAlign w:val="bottom"/>
          </w:tcPr>
          <w:p>
            <w:pPr>
              <w:ind w:left="160"/>
              <w:spacing w:after="0"/>
              <w:rPr>
                <w:sz w:val="20"/>
                <w:szCs w:val="20"/>
                <w:color w:val="auto"/>
              </w:rPr>
            </w:pPr>
            <w:r>
              <w:rPr>
                <w:rFonts w:ascii="Arial" w:cs="Arial" w:eastAsia="Arial" w:hAnsi="Arial"/>
                <w:sz w:val="19"/>
                <w:szCs w:val="19"/>
                <w:color w:val="auto"/>
              </w:rPr>
              <w:t>di</w:t>
            </w:r>
          </w:p>
        </w:tc>
        <w:tc>
          <w:tcPr>
            <w:tcW w:w="3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Leadership of a travel-related company is</w:t>
            </w:r>
          </w:p>
        </w:tc>
        <w:tc>
          <w:tcPr>
            <w:tcW w:w="0" w:type="dxa"/>
            <w:vAlign w:val="bottom"/>
          </w:tcPr>
          <w:p>
            <w:pPr>
              <w:spacing w:after="0"/>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Arial" w:cs="Arial" w:eastAsia="Arial" w:hAnsi="Arial"/>
                <w:sz w:val="19"/>
                <w:szCs w:val="19"/>
                <w:color w:val="auto"/>
                <w:w w:val="98"/>
              </w:rPr>
              <w:t>un'azienda</w:t>
            </w:r>
          </w:p>
        </w:tc>
        <w:tc>
          <w:tcPr>
            <w:tcW w:w="1120" w:type="dxa"/>
            <w:vAlign w:val="bottom"/>
          </w:tcPr>
          <w:p>
            <w:pPr>
              <w:ind w:left="180"/>
              <w:spacing w:after="0" w:line="189" w:lineRule="exact"/>
              <w:rPr>
                <w:sz w:val="20"/>
                <w:szCs w:val="20"/>
                <w:color w:val="auto"/>
              </w:rPr>
            </w:pPr>
            <w:r>
              <w:rPr>
                <w:rFonts w:ascii="Arial" w:cs="Arial" w:eastAsia="Arial" w:hAnsi="Arial"/>
                <w:sz w:val="19"/>
                <w:szCs w:val="19"/>
                <w:color w:val="auto"/>
              </w:rPr>
              <w:t>legata  al</w:t>
            </w:r>
          </w:p>
        </w:tc>
        <w:tc>
          <w:tcPr>
            <w:tcW w:w="1500" w:type="dxa"/>
            <w:vAlign w:val="bottom"/>
          </w:tcPr>
          <w:p>
            <w:pPr>
              <w:ind w:left="80"/>
              <w:spacing w:after="0" w:line="189" w:lineRule="exact"/>
              <w:rPr>
                <w:sz w:val="20"/>
                <w:szCs w:val="20"/>
                <w:color w:val="auto"/>
              </w:rPr>
            </w:pPr>
            <w:r>
              <w:rPr>
                <w:rFonts w:ascii="Arial" w:cs="Arial" w:eastAsia="Arial" w:hAnsi="Arial"/>
                <w:sz w:val="19"/>
                <w:szCs w:val="19"/>
                <w:color w:val="auto"/>
              </w:rPr>
              <w:t>settore  viaggi,</w:t>
            </w:r>
          </w:p>
        </w:tc>
        <w:tc>
          <w:tcPr>
            <w:tcW w:w="420" w:type="dxa"/>
            <w:vAlign w:val="bottom"/>
          </w:tcPr>
          <w:p>
            <w:pPr>
              <w:ind w:left="60"/>
              <w:spacing w:after="0" w:line="189" w:lineRule="exact"/>
              <w:rPr>
                <w:sz w:val="20"/>
                <w:szCs w:val="20"/>
                <w:color w:val="auto"/>
              </w:rPr>
            </w:pPr>
            <w:r>
              <w:rPr>
                <w:rFonts w:ascii="Arial" w:cs="Arial" w:eastAsia="Arial" w:hAnsi="Arial"/>
                <w:sz w:val="19"/>
                <w:szCs w:val="19"/>
                <w:color w:val="auto"/>
              </w:rPr>
              <w:t>ma</w:t>
            </w:r>
          </w:p>
        </w:tc>
        <w:tc>
          <w:tcPr>
            <w:tcW w:w="3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960" w:type="dxa"/>
            <w:vAlign w:val="bottom"/>
            <w:gridSpan w:val="4"/>
            <w:vMerge w:val="restart"/>
          </w:tcPr>
          <w:p>
            <w:pPr>
              <w:spacing w:after="0"/>
              <w:rPr>
                <w:sz w:val="20"/>
                <w:szCs w:val="20"/>
                <w:color w:val="auto"/>
              </w:rPr>
            </w:pPr>
            <w:r>
              <w:rPr>
                <w:rFonts w:ascii="Arial" w:cs="Arial" w:eastAsia="Arial" w:hAnsi="Arial"/>
                <w:sz w:val="19"/>
                <w:szCs w:val="19"/>
                <w:color w:val="auto"/>
              </w:rPr>
              <w:t>l'individuo deve essere appassionato di viaggi</w:t>
            </w:r>
          </w:p>
        </w:tc>
        <w:tc>
          <w:tcPr>
            <w:tcW w:w="440" w:type="dxa"/>
            <w:vAlign w:val="bottom"/>
          </w:tcPr>
          <w:p>
            <w:pPr>
              <w:ind w:left="100"/>
              <w:spacing w:after="0" w:line="149" w:lineRule="exact"/>
              <w:rPr>
                <w:sz w:val="20"/>
                <w:szCs w:val="20"/>
                <w:color w:val="auto"/>
              </w:rPr>
            </w:pPr>
            <w:r>
              <w:rPr>
                <w:rFonts w:ascii="Arial" w:cs="Arial" w:eastAsia="Arial" w:hAnsi="Arial"/>
                <w:sz w:val="17"/>
                <w:szCs w:val="17"/>
                <w:color w:val="auto"/>
              </w:rPr>
              <w:t>not</w:t>
            </w:r>
          </w:p>
        </w:tc>
        <w:tc>
          <w:tcPr>
            <w:tcW w:w="3520" w:type="dxa"/>
            <w:vAlign w:val="bottom"/>
          </w:tcPr>
          <w:p>
            <w:pPr>
              <w:jc w:val="center"/>
              <w:spacing w:after="0" w:line="149" w:lineRule="exact"/>
              <w:rPr>
                <w:sz w:val="20"/>
                <w:szCs w:val="20"/>
                <w:color w:val="auto"/>
              </w:rPr>
            </w:pPr>
            <w:r>
              <w:rPr>
                <w:rFonts w:ascii="Arial" w:cs="Arial" w:eastAsia="Arial" w:hAnsi="Arial"/>
                <w:sz w:val="17"/>
                <w:szCs w:val="17"/>
                <w:color w:val="auto"/>
              </w:rPr>
              <w:t>required,  but  the  individual  must  be</w:t>
            </w:r>
          </w:p>
        </w:tc>
        <w:tc>
          <w:tcPr>
            <w:tcW w:w="0" w:type="dxa"/>
            <w:vAlign w:val="bottom"/>
          </w:tcPr>
          <w:p>
            <w:pPr>
              <w:spacing w:after="0"/>
              <w:rPr>
                <w:sz w:val="1"/>
                <w:szCs w:val="1"/>
                <w:color w:val="auto"/>
              </w:rPr>
            </w:pPr>
          </w:p>
        </w:tc>
      </w:tr>
      <w:tr>
        <w:trPr>
          <w:trHeight w:val="95"/>
        </w:trPr>
        <w:tc>
          <w:tcPr>
            <w:tcW w:w="3960" w:type="dxa"/>
            <w:vAlign w:val="bottom"/>
            <w:gridSpan w:val="4"/>
            <w:vMerge w:val="continue"/>
          </w:tcPr>
          <w:p>
            <w:pPr>
              <w:spacing w:after="0"/>
              <w:rPr>
                <w:sz w:val="8"/>
                <w:szCs w:val="8"/>
                <w:color w:val="auto"/>
              </w:rPr>
            </w:pPr>
          </w:p>
        </w:tc>
        <w:tc>
          <w:tcPr>
            <w:tcW w:w="3960" w:type="dxa"/>
            <w:vAlign w:val="bottom"/>
            <w:gridSpan w:val="2"/>
            <w:vMerge w:val="restart"/>
          </w:tcPr>
          <w:p>
            <w:pPr>
              <w:ind w:left="100"/>
              <w:spacing w:after="0"/>
              <w:rPr>
                <w:sz w:val="20"/>
                <w:szCs w:val="20"/>
                <w:color w:val="auto"/>
              </w:rPr>
            </w:pPr>
            <w:r>
              <w:rPr>
                <w:rFonts w:ascii="Arial" w:cs="Arial" w:eastAsia="Arial" w:hAnsi="Arial"/>
                <w:sz w:val="19"/>
                <w:szCs w:val="19"/>
                <w:color w:val="auto"/>
              </w:rPr>
              <w:t>passionate about personal travel and/or the</w:t>
            </w:r>
          </w:p>
        </w:tc>
        <w:tc>
          <w:tcPr>
            <w:tcW w:w="0" w:type="dxa"/>
            <w:vAlign w:val="bottom"/>
          </w:tcPr>
          <w:p>
            <w:pPr>
              <w:spacing w:after="0"/>
              <w:rPr>
                <w:sz w:val="1"/>
                <w:szCs w:val="1"/>
                <w:color w:val="auto"/>
              </w:rPr>
            </w:pPr>
          </w:p>
        </w:tc>
      </w:tr>
      <w:tr>
        <w:trPr>
          <w:trHeight w:val="189"/>
        </w:trPr>
        <w:tc>
          <w:tcPr>
            <w:tcW w:w="3960" w:type="dxa"/>
            <w:vAlign w:val="bottom"/>
            <w:gridSpan w:val="4"/>
          </w:tcPr>
          <w:p>
            <w:pPr>
              <w:spacing w:after="0" w:line="189" w:lineRule="exact"/>
              <w:rPr>
                <w:sz w:val="20"/>
                <w:szCs w:val="20"/>
                <w:color w:val="auto"/>
              </w:rPr>
            </w:pPr>
            <w:r>
              <w:rPr>
                <w:rFonts w:ascii="Arial" w:cs="Arial" w:eastAsia="Arial" w:hAnsi="Arial"/>
                <w:sz w:val="19"/>
                <w:szCs w:val="19"/>
                <w:color w:val="auto"/>
              </w:rPr>
              <w:t>personali  e/o  del  più  ampio  business  dei</w:t>
            </w:r>
          </w:p>
        </w:tc>
        <w:tc>
          <w:tcPr>
            <w:tcW w:w="3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viaggi. Tuttavia, è essenziale un'esperienza</w:t>
            </w:r>
          </w:p>
        </w:tc>
        <w:tc>
          <w:tcPr>
            <w:tcW w:w="3960" w:type="dxa"/>
            <w:vAlign w:val="bottom"/>
            <w:gridSpan w:val="2"/>
          </w:tcPr>
          <w:p>
            <w:pPr>
              <w:ind w:left="100"/>
              <w:spacing w:after="0" w:line="216" w:lineRule="exact"/>
              <w:rPr>
                <w:sz w:val="20"/>
                <w:szCs w:val="20"/>
                <w:color w:val="auto"/>
              </w:rPr>
            </w:pPr>
            <w:r>
              <w:rPr>
                <w:rFonts w:ascii="Arial" w:cs="Arial" w:eastAsia="Arial" w:hAnsi="Arial"/>
                <w:sz w:val="19"/>
                <w:szCs w:val="19"/>
                <w:color w:val="auto"/>
              </w:rPr>
              <w:t>broader travel business. However, relevant</w:t>
            </w:r>
          </w:p>
        </w:tc>
        <w:tc>
          <w:tcPr>
            <w:tcW w:w="0" w:type="dxa"/>
            <w:vAlign w:val="bottom"/>
          </w:tcPr>
          <w:p>
            <w:pPr>
              <w:spacing w:after="0"/>
              <w:rPr>
                <w:sz w:val="1"/>
                <w:szCs w:val="1"/>
                <w:color w:val="auto"/>
              </w:rPr>
            </w:pP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rilevante in un segmento simile incentrato sul</w:t>
            </w:r>
          </w:p>
        </w:tc>
        <w:tc>
          <w:tcPr>
            <w:tcW w:w="3960" w:type="dxa"/>
            <w:vAlign w:val="bottom"/>
            <w:gridSpan w:val="2"/>
          </w:tcPr>
          <w:p>
            <w:pPr>
              <w:ind w:left="100"/>
              <w:spacing w:after="0" w:line="216" w:lineRule="exact"/>
              <w:rPr>
                <w:sz w:val="20"/>
                <w:szCs w:val="20"/>
                <w:color w:val="auto"/>
              </w:rPr>
            </w:pPr>
            <w:r>
              <w:rPr>
                <w:rFonts w:ascii="Arial" w:cs="Arial" w:eastAsia="Arial" w:hAnsi="Arial"/>
                <w:sz w:val="19"/>
                <w:szCs w:val="19"/>
                <w:color w:val="auto"/>
              </w:rPr>
              <w:t>experience  in  a  similar  customer-focused</w:t>
            </w:r>
          </w:p>
        </w:tc>
        <w:tc>
          <w:tcPr>
            <w:tcW w:w="0" w:type="dxa"/>
            <w:vAlign w:val="bottom"/>
          </w:tcPr>
          <w:p>
            <w:pPr>
              <w:spacing w:after="0"/>
              <w:rPr>
                <w:sz w:val="1"/>
                <w:szCs w:val="1"/>
                <w:color w:val="auto"/>
              </w:rPr>
            </w:pPr>
          </w:p>
        </w:tc>
      </w:tr>
      <w:tr>
        <w:trPr>
          <w:trHeight w:val="148"/>
        </w:trPr>
        <w:tc>
          <w:tcPr>
            <w:tcW w:w="3960" w:type="dxa"/>
            <w:vAlign w:val="bottom"/>
            <w:gridSpan w:val="4"/>
            <w:vMerge w:val="restart"/>
          </w:tcPr>
          <w:p>
            <w:pPr>
              <w:spacing w:after="0"/>
              <w:rPr>
                <w:sz w:val="20"/>
                <w:szCs w:val="20"/>
                <w:color w:val="auto"/>
              </w:rPr>
            </w:pPr>
            <w:r>
              <w:rPr>
                <w:rFonts w:ascii="Arial" w:cs="Arial" w:eastAsia="Arial" w:hAnsi="Arial"/>
                <w:sz w:val="19"/>
                <w:szCs w:val="19"/>
                <w:color w:val="auto"/>
              </w:rPr>
              <w:t>cliente (ad esempio, media digitali, basati su</w:t>
            </w:r>
          </w:p>
        </w:tc>
        <w:tc>
          <w:tcPr>
            <w:tcW w:w="396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segment  (e.g.,  digital  media,  subscription-</w:t>
            </w:r>
          </w:p>
        </w:tc>
        <w:tc>
          <w:tcPr>
            <w:tcW w:w="0" w:type="dxa"/>
            <w:vAlign w:val="bottom"/>
          </w:tcPr>
          <w:p>
            <w:pPr>
              <w:spacing w:after="0"/>
              <w:rPr>
                <w:sz w:val="1"/>
                <w:szCs w:val="1"/>
                <w:color w:val="auto"/>
              </w:rPr>
            </w:pPr>
          </w:p>
        </w:tc>
      </w:tr>
      <w:tr>
        <w:trPr>
          <w:trHeight w:val="94"/>
        </w:trPr>
        <w:tc>
          <w:tcPr>
            <w:tcW w:w="3960" w:type="dxa"/>
            <w:vAlign w:val="bottom"/>
            <w:gridSpan w:val="4"/>
            <w:vMerge w:val="continue"/>
          </w:tcPr>
          <w:p>
            <w:pPr>
              <w:spacing w:after="0"/>
              <w:rPr>
                <w:sz w:val="8"/>
                <w:szCs w:val="8"/>
                <w:color w:val="auto"/>
              </w:rPr>
            </w:pPr>
          </w:p>
        </w:tc>
        <w:tc>
          <w:tcPr>
            <w:tcW w:w="3960" w:type="dxa"/>
            <w:vAlign w:val="bottom"/>
            <w:gridSpan w:val="2"/>
            <w:vMerge w:val="restart"/>
          </w:tcPr>
          <w:p>
            <w:pPr>
              <w:ind w:left="100"/>
              <w:spacing w:after="0"/>
              <w:rPr>
                <w:sz w:val="20"/>
                <w:szCs w:val="20"/>
                <w:color w:val="auto"/>
              </w:rPr>
            </w:pPr>
            <w:r>
              <w:rPr>
                <w:rFonts w:ascii="Arial" w:cs="Arial" w:eastAsia="Arial" w:hAnsi="Arial"/>
                <w:sz w:val="19"/>
                <w:szCs w:val="19"/>
                <w:color w:val="auto"/>
              </w:rPr>
              <w:t>based, or broader ecommerce) is essential.</w:t>
            </w:r>
          </w:p>
        </w:tc>
        <w:tc>
          <w:tcPr>
            <w:tcW w:w="0" w:type="dxa"/>
            <w:vAlign w:val="bottom"/>
          </w:tcPr>
          <w:p>
            <w:pPr>
              <w:spacing w:after="0"/>
              <w:rPr>
                <w:sz w:val="1"/>
                <w:szCs w:val="1"/>
                <w:color w:val="auto"/>
              </w:rPr>
            </w:pPr>
          </w:p>
        </w:tc>
      </w:tr>
      <w:tr>
        <w:trPr>
          <w:trHeight w:val="155"/>
        </w:trPr>
        <w:tc>
          <w:tcPr>
            <w:tcW w:w="3960" w:type="dxa"/>
            <w:vAlign w:val="bottom"/>
            <w:gridSpan w:val="4"/>
            <w:vMerge w:val="restart"/>
          </w:tcPr>
          <w:p>
            <w:pPr>
              <w:spacing w:after="0"/>
              <w:rPr>
                <w:sz w:val="20"/>
                <w:szCs w:val="20"/>
                <w:color w:val="auto"/>
              </w:rPr>
            </w:pPr>
            <w:r>
              <w:rPr>
                <w:rFonts w:ascii="Arial" w:cs="Arial" w:eastAsia="Arial" w:hAnsi="Arial"/>
                <w:sz w:val="19"/>
                <w:szCs w:val="19"/>
                <w:color w:val="auto"/>
              </w:rPr>
              <w:t>abbonamento o un ecommerce più ampio).</w:t>
            </w:r>
          </w:p>
        </w:tc>
        <w:tc>
          <w:tcPr>
            <w:tcW w:w="3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960" w:type="dxa"/>
            <w:vAlign w:val="bottom"/>
            <w:gridSpan w:val="4"/>
            <w:vMerge w:val="continue"/>
          </w:tcPr>
          <w:p>
            <w:pPr>
              <w:spacing w:after="0"/>
              <w:rPr>
                <w:sz w:val="8"/>
                <w:szCs w:val="8"/>
                <w:color w:val="auto"/>
              </w:rPr>
            </w:pPr>
          </w:p>
        </w:tc>
        <w:tc>
          <w:tcPr>
            <w:tcW w:w="4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4"/>
        </w:trPr>
        <w:tc>
          <w:tcPr>
            <w:tcW w:w="3540" w:type="dxa"/>
            <w:vAlign w:val="bottom"/>
            <w:gridSpan w:val="3"/>
          </w:tcPr>
          <w:p>
            <w:pPr>
              <w:ind w:left="20"/>
              <w:spacing w:after="0"/>
              <w:rPr>
                <w:sz w:val="20"/>
                <w:szCs w:val="20"/>
                <w:color w:val="auto"/>
              </w:rPr>
            </w:pPr>
            <w:r>
              <w:rPr>
                <w:rFonts w:ascii="Arial" w:cs="Arial" w:eastAsia="Arial" w:hAnsi="Arial"/>
                <w:sz w:val="19"/>
                <w:szCs w:val="19"/>
                <w:color w:val="auto"/>
              </w:rPr>
              <w:t>Esperienza e impatto digitale</w:t>
            </w:r>
          </w:p>
        </w:tc>
        <w:tc>
          <w:tcPr>
            <w:tcW w:w="4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Arial" w:cs="Arial" w:eastAsia="Arial" w:hAnsi="Arial"/>
                <w:sz w:val="19"/>
                <w:szCs w:val="19"/>
                <w:color w:val="auto"/>
              </w:rPr>
              <w:t>Digital Experience &amp; Impact</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left="520" w:right="579" w:firstLine="9"/>
        <w:spacing w:after="0" w:line="254" w:lineRule="auto"/>
        <w:tabs>
          <w:tab w:leader="none" w:pos="860" w:val="left"/>
        </w:tabs>
        <w:numPr>
          <w:ilvl w:val="0"/>
          <w:numId w:val="84"/>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Esperienza nello scalare un business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Experience scaling an online and/or online e/o mobile attraverso un pensiero mobile business through innovative thinking</w:t>
      </w:r>
    </w:p>
    <w:tbl>
      <w:tblPr>
        <w:tblLayout w:type="fixed"/>
        <w:tblInd w:w="520" w:type="dxa"/>
        <w:tblCellMar>
          <w:top w:w="0" w:type="dxa"/>
          <w:left w:w="0" w:type="dxa"/>
          <w:bottom w:w="0" w:type="dxa"/>
          <w:right w:w="0" w:type="dxa"/>
        </w:tblCellMar>
      </w:tblPr>
      <w:tr>
        <w:trPr>
          <w:trHeight w:val="198"/>
        </w:trPr>
        <w:tc>
          <w:tcPr>
            <w:tcW w:w="3960" w:type="dxa"/>
            <w:vAlign w:val="bottom"/>
            <w:gridSpan w:val="7"/>
          </w:tcPr>
          <w:p>
            <w:pPr>
              <w:spacing w:after="0" w:line="198" w:lineRule="exact"/>
              <w:rPr>
                <w:sz w:val="20"/>
                <w:szCs w:val="20"/>
                <w:color w:val="auto"/>
              </w:rPr>
            </w:pPr>
            <w:r>
              <w:rPr>
                <w:rFonts w:ascii="Arial" w:cs="Arial" w:eastAsia="Arial" w:hAnsi="Arial"/>
                <w:sz w:val="19"/>
                <w:szCs w:val="19"/>
                <w:color w:val="auto"/>
              </w:rPr>
              <w:t>innovativo e un approccio "prova e impara" al</w:t>
            </w:r>
          </w:p>
        </w:tc>
        <w:tc>
          <w:tcPr>
            <w:tcW w:w="3960" w:type="dxa"/>
            <w:vAlign w:val="bottom"/>
            <w:gridSpan w:val="4"/>
          </w:tcPr>
          <w:p>
            <w:pPr>
              <w:ind w:left="100"/>
              <w:spacing w:after="0" w:line="198" w:lineRule="exact"/>
              <w:rPr>
                <w:sz w:val="20"/>
                <w:szCs w:val="20"/>
                <w:color w:val="auto"/>
              </w:rPr>
            </w:pPr>
            <w:r>
              <w:rPr>
                <w:rFonts w:ascii="Arial" w:cs="Arial" w:eastAsia="Arial" w:hAnsi="Arial"/>
                <w:sz w:val="19"/>
                <w:szCs w:val="19"/>
                <w:color w:val="auto"/>
              </w:rPr>
              <w:t>and a “test and learn” approach to digital</w:t>
            </w:r>
          </w:p>
        </w:tc>
        <w:tc>
          <w:tcPr>
            <w:tcW w:w="0" w:type="dxa"/>
            <w:vAlign w:val="bottom"/>
          </w:tcPr>
          <w:p>
            <w:pPr>
              <w:spacing w:after="0"/>
              <w:rPr>
                <w:sz w:val="1"/>
                <w:szCs w:val="1"/>
                <w:color w:val="auto"/>
              </w:rPr>
            </w:pPr>
          </w:p>
        </w:tc>
      </w:tr>
      <w:tr>
        <w:trPr>
          <w:trHeight w:val="216"/>
        </w:trPr>
        <w:tc>
          <w:tcPr>
            <w:tcW w:w="3960" w:type="dxa"/>
            <w:vAlign w:val="bottom"/>
            <w:gridSpan w:val="7"/>
          </w:tcPr>
          <w:p>
            <w:pPr>
              <w:spacing w:after="0" w:line="216" w:lineRule="exact"/>
              <w:rPr>
                <w:sz w:val="20"/>
                <w:szCs w:val="20"/>
                <w:color w:val="auto"/>
              </w:rPr>
            </w:pPr>
            <w:r>
              <w:rPr>
                <w:rFonts w:ascii="Arial" w:cs="Arial" w:eastAsia="Arial" w:hAnsi="Arial"/>
                <w:sz w:val="19"/>
                <w:szCs w:val="19"/>
                <w:color w:val="auto"/>
              </w:rPr>
              <w:t>commercio digitale, media e marketing, il tutto</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commerce,   media   and   marketing,   all</w:t>
            </w:r>
          </w:p>
        </w:tc>
        <w:tc>
          <w:tcPr>
            <w:tcW w:w="0" w:type="dxa"/>
            <w:vAlign w:val="bottom"/>
          </w:tcPr>
          <w:p>
            <w:pPr>
              <w:spacing w:after="0"/>
              <w:rPr>
                <w:sz w:val="1"/>
                <w:szCs w:val="1"/>
                <w:color w:val="auto"/>
              </w:rPr>
            </w:pPr>
          </w:p>
        </w:tc>
      </w:tr>
      <w:tr>
        <w:trPr>
          <w:trHeight w:val="243"/>
        </w:trPr>
        <w:tc>
          <w:tcPr>
            <w:tcW w:w="3220" w:type="dxa"/>
            <w:vAlign w:val="bottom"/>
            <w:gridSpan w:val="6"/>
          </w:tcPr>
          <w:p>
            <w:pPr>
              <w:spacing w:after="0"/>
              <w:rPr>
                <w:sz w:val="20"/>
                <w:szCs w:val="20"/>
                <w:color w:val="auto"/>
              </w:rPr>
            </w:pPr>
            <w:r>
              <w:rPr>
                <w:rFonts w:ascii="Arial" w:cs="Arial" w:eastAsia="Arial" w:hAnsi="Arial"/>
                <w:sz w:val="19"/>
                <w:szCs w:val="19"/>
                <w:color w:val="auto"/>
              </w:rPr>
              <w:t>supportato da una solida tecnologia.</w:t>
            </w:r>
          </w:p>
        </w:tc>
        <w:tc>
          <w:tcPr>
            <w:tcW w:w="74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9"/>
                <w:szCs w:val="19"/>
                <w:color w:val="auto"/>
              </w:rPr>
              <w:t>supported</w:t>
            </w: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380" w:type="dxa"/>
            <w:vAlign w:val="bottom"/>
            <w:gridSpan w:val="2"/>
          </w:tcPr>
          <w:p>
            <w:pPr>
              <w:ind w:left="100"/>
              <w:spacing w:after="0"/>
              <w:rPr>
                <w:sz w:val="20"/>
                <w:szCs w:val="20"/>
                <w:color w:val="auto"/>
              </w:rPr>
            </w:pPr>
            <w:r>
              <w:rPr>
                <w:rFonts w:ascii="Arial" w:cs="Arial" w:eastAsia="Arial" w:hAnsi="Arial"/>
                <w:sz w:val="19"/>
                <w:szCs w:val="19"/>
                <w:color w:val="auto"/>
              </w:rPr>
              <w:t>by robust technology.</w:t>
            </w: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2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gridSpan w:val="2"/>
          </w:tcPr>
          <w:p>
            <w:pPr>
              <w:ind w:left="20"/>
              <w:spacing w:after="0"/>
              <w:rPr>
                <w:sz w:val="20"/>
                <w:szCs w:val="20"/>
                <w:color w:val="auto"/>
              </w:rPr>
            </w:pPr>
            <w:r>
              <w:rPr>
                <w:rFonts w:ascii="Arial" w:cs="Arial" w:eastAsia="Arial" w:hAnsi="Arial"/>
                <w:sz w:val="19"/>
                <w:szCs w:val="19"/>
                <w:color w:val="auto"/>
              </w:rPr>
              <w:t>Evidenza  di</w:t>
            </w:r>
          </w:p>
        </w:tc>
        <w:tc>
          <w:tcPr>
            <w:tcW w:w="2480" w:type="dxa"/>
            <w:vAlign w:val="bottom"/>
            <w:gridSpan w:val="4"/>
          </w:tcPr>
          <w:p>
            <w:pPr>
              <w:jc w:val="right"/>
              <w:ind w:right="9"/>
              <w:spacing w:after="0"/>
              <w:rPr>
                <w:sz w:val="20"/>
                <w:szCs w:val="20"/>
                <w:color w:val="auto"/>
              </w:rPr>
            </w:pPr>
            <w:r>
              <w:rPr>
                <w:rFonts w:ascii="Arial" w:cs="Arial" w:eastAsia="Arial" w:hAnsi="Arial"/>
                <w:sz w:val="19"/>
                <w:szCs w:val="19"/>
                <w:color w:val="auto"/>
              </w:rPr>
              <w:t>un'eccezionale  attenzione</w:t>
            </w:r>
          </w:p>
        </w:tc>
        <w:tc>
          <w:tcPr>
            <w:tcW w:w="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Has</w:t>
            </w:r>
          </w:p>
        </w:tc>
        <w:tc>
          <w:tcPr>
            <w:tcW w:w="1980" w:type="dxa"/>
            <w:vAlign w:val="bottom"/>
            <w:gridSpan w:val="2"/>
          </w:tcPr>
          <w:p>
            <w:pPr>
              <w:ind w:left="60"/>
              <w:spacing w:after="0"/>
              <w:rPr>
                <w:sz w:val="20"/>
                <w:szCs w:val="20"/>
                <w:color w:val="auto"/>
              </w:rPr>
            </w:pPr>
            <w:r>
              <w:rPr>
                <w:rFonts w:ascii="Arial" w:cs="Arial" w:eastAsia="Arial" w:hAnsi="Arial"/>
                <w:sz w:val="19"/>
                <w:szCs w:val="19"/>
                <w:color w:val="auto"/>
              </w:rPr>
              <w:t>shown   exceptional</w:t>
            </w:r>
          </w:p>
        </w:tc>
        <w:tc>
          <w:tcPr>
            <w:tcW w:w="1000" w:type="dxa"/>
            <w:vAlign w:val="bottom"/>
          </w:tcPr>
          <w:p>
            <w:pPr>
              <w:jc w:val="right"/>
              <w:spacing w:after="0"/>
              <w:rPr>
                <w:sz w:val="20"/>
                <w:szCs w:val="20"/>
                <w:color w:val="auto"/>
              </w:rPr>
            </w:pPr>
            <w:r>
              <w:rPr>
                <w:rFonts w:ascii="Arial" w:cs="Arial" w:eastAsia="Arial" w:hAnsi="Arial"/>
                <w:sz w:val="19"/>
                <w:szCs w:val="19"/>
                <w:color w:val="auto"/>
              </w:rPr>
              <w:t>focus   on</w:t>
            </w:r>
          </w:p>
        </w:tc>
        <w:tc>
          <w:tcPr>
            <w:tcW w:w="0" w:type="dxa"/>
            <w:vAlign w:val="bottom"/>
          </w:tcPr>
          <w:p>
            <w:pPr>
              <w:spacing w:after="0"/>
              <w:rPr>
                <w:sz w:val="1"/>
                <w:szCs w:val="1"/>
                <w:color w:val="auto"/>
              </w:rPr>
            </w:pPr>
          </w:p>
        </w:tc>
      </w:tr>
      <w:tr>
        <w:trPr>
          <w:trHeight w:val="230"/>
        </w:trPr>
        <w:tc>
          <w:tcPr>
            <w:tcW w:w="3960" w:type="dxa"/>
            <w:vAlign w:val="bottom"/>
            <w:gridSpan w:val="7"/>
          </w:tcPr>
          <w:p>
            <w:pPr>
              <w:spacing w:after="0"/>
              <w:rPr>
                <w:sz w:val="20"/>
                <w:szCs w:val="20"/>
                <w:color w:val="auto"/>
              </w:rPr>
            </w:pPr>
            <w:r>
              <w:rPr>
                <w:rFonts w:ascii="Arial" w:cs="Arial" w:eastAsia="Arial" w:hAnsi="Arial"/>
                <w:sz w:val="19"/>
                <w:szCs w:val="19"/>
                <w:color w:val="auto"/>
              </w:rPr>
              <w:t>alle esigenze dei clienti e dei partner, insieme</w:t>
            </w:r>
          </w:p>
        </w:tc>
        <w:tc>
          <w:tcPr>
            <w:tcW w:w="3960" w:type="dxa"/>
            <w:vAlign w:val="bottom"/>
            <w:gridSpan w:val="4"/>
          </w:tcPr>
          <w:p>
            <w:pPr>
              <w:ind w:left="100"/>
              <w:spacing w:after="0"/>
              <w:rPr>
                <w:sz w:val="20"/>
                <w:szCs w:val="20"/>
                <w:color w:val="auto"/>
              </w:rPr>
            </w:pPr>
            <w:r>
              <w:rPr>
                <w:rFonts w:ascii="Arial" w:cs="Arial" w:eastAsia="Arial" w:hAnsi="Arial"/>
                <w:sz w:val="19"/>
                <w:szCs w:val="19"/>
                <w:color w:val="auto"/>
              </w:rPr>
              <w:t>customer and partner needs, along with the</w:t>
            </w:r>
          </w:p>
        </w:tc>
        <w:tc>
          <w:tcPr>
            <w:tcW w:w="0" w:type="dxa"/>
            <w:vAlign w:val="bottom"/>
          </w:tcPr>
          <w:p>
            <w:pPr>
              <w:spacing w:after="0"/>
              <w:rPr>
                <w:sz w:val="1"/>
                <w:szCs w:val="1"/>
                <w:color w:val="auto"/>
              </w:rPr>
            </w:pPr>
          </w:p>
        </w:tc>
      </w:tr>
      <w:tr>
        <w:trPr>
          <w:trHeight w:val="148"/>
        </w:trPr>
        <w:tc>
          <w:tcPr>
            <w:tcW w:w="320" w:type="dxa"/>
            <w:vAlign w:val="bottom"/>
          </w:tcPr>
          <w:p>
            <w:pPr>
              <w:spacing w:after="0" w:line="149" w:lineRule="exact"/>
              <w:rPr>
                <w:sz w:val="20"/>
                <w:szCs w:val="20"/>
                <w:color w:val="auto"/>
              </w:rPr>
            </w:pPr>
            <w:r>
              <w:rPr>
                <w:rFonts w:ascii="Arial" w:cs="Arial" w:eastAsia="Arial" w:hAnsi="Arial"/>
                <w:sz w:val="17"/>
                <w:szCs w:val="17"/>
                <w:color w:val="auto"/>
              </w:rPr>
              <w:t>alla</w:t>
            </w:r>
          </w:p>
        </w:tc>
        <w:tc>
          <w:tcPr>
            <w:tcW w:w="1160" w:type="dxa"/>
            <w:vAlign w:val="bottom"/>
            <w:gridSpan w:val="2"/>
          </w:tcPr>
          <w:p>
            <w:pPr>
              <w:ind w:left="260"/>
              <w:spacing w:after="0" w:line="149" w:lineRule="exact"/>
              <w:rPr>
                <w:sz w:val="20"/>
                <w:szCs w:val="20"/>
                <w:color w:val="auto"/>
              </w:rPr>
            </w:pPr>
            <w:r>
              <w:rPr>
                <w:rFonts w:ascii="Arial" w:cs="Arial" w:eastAsia="Arial" w:hAnsi="Arial"/>
                <w:sz w:val="17"/>
                <w:szCs w:val="17"/>
                <w:color w:val="auto"/>
              </w:rPr>
              <w:t>capacità</w:t>
            </w:r>
          </w:p>
        </w:tc>
        <w:tc>
          <w:tcPr>
            <w:tcW w:w="460" w:type="dxa"/>
            <w:vAlign w:val="bottom"/>
          </w:tcPr>
          <w:p>
            <w:pPr>
              <w:ind w:left="60"/>
              <w:spacing w:after="0" w:line="149" w:lineRule="exact"/>
              <w:rPr>
                <w:sz w:val="20"/>
                <w:szCs w:val="20"/>
                <w:color w:val="auto"/>
              </w:rPr>
            </w:pPr>
            <w:r>
              <w:rPr>
                <w:rFonts w:ascii="Arial" w:cs="Arial" w:eastAsia="Arial" w:hAnsi="Arial"/>
                <w:sz w:val="17"/>
                <w:szCs w:val="17"/>
                <w:color w:val="auto"/>
              </w:rPr>
              <w:t>di</w:t>
            </w:r>
          </w:p>
        </w:tc>
        <w:tc>
          <w:tcPr>
            <w:tcW w:w="760" w:type="dxa"/>
            <w:vAlign w:val="bottom"/>
          </w:tcPr>
          <w:p>
            <w:pPr>
              <w:ind w:left="20"/>
              <w:spacing w:after="0" w:line="149" w:lineRule="exact"/>
              <w:rPr>
                <w:sz w:val="20"/>
                <w:szCs w:val="20"/>
                <w:color w:val="auto"/>
              </w:rPr>
            </w:pPr>
            <w:r>
              <w:rPr>
                <w:rFonts w:ascii="Arial" w:cs="Arial" w:eastAsia="Arial" w:hAnsi="Arial"/>
                <w:sz w:val="17"/>
                <w:szCs w:val="17"/>
                <w:color w:val="auto"/>
              </w:rPr>
              <w:t>sfruttare</w:t>
            </w:r>
          </w:p>
        </w:tc>
        <w:tc>
          <w:tcPr>
            <w:tcW w:w="520" w:type="dxa"/>
            <w:vAlign w:val="bottom"/>
          </w:tcPr>
          <w:p>
            <w:pPr>
              <w:ind w:left="220"/>
              <w:spacing w:after="0" w:line="149" w:lineRule="exact"/>
              <w:rPr>
                <w:sz w:val="20"/>
                <w:szCs w:val="20"/>
                <w:color w:val="auto"/>
              </w:rPr>
            </w:pPr>
            <w:r>
              <w:rPr>
                <w:rFonts w:ascii="Arial" w:cs="Arial" w:eastAsia="Arial" w:hAnsi="Arial"/>
                <w:sz w:val="17"/>
                <w:szCs w:val="17"/>
                <w:color w:val="auto"/>
              </w:rPr>
              <w:t>le</w:t>
            </w:r>
          </w:p>
        </w:tc>
        <w:tc>
          <w:tcPr>
            <w:tcW w:w="740" w:type="dxa"/>
            <w:vAlign w:val="bottom"/>
          </w:tcPr>
          <w:p>
            <w:pPr>
              <w:jc w:val="right"/>
              <w:ind w:right="9"/>
              <w:spacing w:after="0" w:line="149" w:lineRule="exact"/>
              <w:rPr>
                <w:sz w:val="20"/>
                <w:szCs w:val="20"/>
                <w:color w:val="auto"/>
              </w:rPr>
            </w:pPr>
            <w:r>
              <w:rPr>
                <w:rFonts w:ascii="Arial" w:cs="Arial" w:eastAsia="Arial" w:hAnsi="Arial"/>
                <w:sz w:val="17"/>
                <w:szCs w:val="17"/>
                <w:color w:val="auto"/>
              </w:rPr>
              <w:t>nuove</w:t>
            </w:r>
          </w:p>
        </w:tc>
        <w:tc>
          <w:tcPr>
            <w:tcW w:w="3960" w:type="dxa"/>
            <w:vAlign w:val="bottom"/>
            <w:gridSpan w:val="4"/>
            <w:vMerge w:val="restart"/>
          </w:tcPr>
          <w:p>
            <w:pPr>
              <w:ind w:left="100"/>
              <w:spacing w:after="0"/>
              <w:rPr>
                <w:sz w:val="20"/>
                <w:szCs w:val="20"/>
                <w:color w:val="auto"/>
              </w:rPr>
            </w:pPr>
            <w:r>
              <w:rPr>
                <w:rFonts w:ascii="Arial" w:cs="Arial" w:eastAsia="Arial" w:hAnsi="Arial"/>
                <w:sz w:val="19"/>
                <w:szCs w:val="19"/>
                <w:color w:val="auto"/>
              </w:rPr>
              <w:t>ability to leverage new technologies/trends</w:t>
            </w:r>
          </w:p>
        </w:tc>
        <w:tc>
          <w:tcPr>
            <w:tcW w:w="0" w:type="dxa"/>
            <w:vAlign w:val="bottom"/>
          </w:tcPr>
          <w:p>
            <w:pPr>
              <w:spacing w:after="0"/>
              <w:rPr>
                <w:sz w:val="1"/>
                <w:szCs w:val="1"/>
                <w:color w:val="auto"/>
              </w:rPr>
            </w:pPr>
          </w:p>
        </w:tc>
      </w:tr>
      <w:tr>
        <w:trPr>
          <w:trHeight w:val="94"/>
        </w:trPr>
        <w:tc>
          <w:tcPr>
            <w:tcW w:w="3960" w:type="dxa"/>
            <w:vAlign w:val="bottom"/>
            <w:gridSpan w:val="7"/>
            <w:vMerge w:val="restart"/>
          </w:tcPr>
          <w:p>
            <w:pPr>
              <w:spacing w:after="0"/>
              <w:rPr>
                <w:sz w:val="20"/>
                <w:szCs w:val="20"/>
                <w:color w:val="auto"/>
              </w:rPr>
            </w:pPr>
            <w:r>
              <w:rPr>
                <w:rFonts w:ascii="Arial" w:cs="Arial" w:eastAsia="Arial" w:hAnsi="Arial"/>
                <w:sz w:val="19"/>
                <w:szCs w:val="19"/>
                <w:color w:val="auto"/>
              </w:rPr>
              <w:t>tecnologie/tendenze e tradurre i "desideri e le</w:t>
            </w:r>
          </w:p>
        </w:tc>
        <w:tc>
          <w:tcPr>
            <w:tcW w:w="3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960" w:type="dxa"/>
            <w:vAlign w:val="bottom"/>
            <w:gridSpan w:val="7"/>
            <w:vMerge w:val="continue"/>
          </w:tcPr>
          <w:p>
            <w:pPr>
              <w:spacing w:after="0"/>
              <w:rPr>
                <w:sz w:val="16"/>
                <w:szCs w:val="16"/>
                <w:color w:val="auto"/>
              </w:rPr>
            </w:pPr>
          </w:p>
        </w:tc>
        <w:tc>
          <w:tcPr>
            <w:tcW w:w="3960" w:type="dxa"/>
            <w:vAlign w:val="bottom"/>
            <w:gridSpan w:val="4"/>
          </w:tcPr>
          <w:p>
            <w:pPr>
              <w:ind w:left="100"/>
              <w:spacing w:after="0" w:line="189" w:lineRule="exact"/>
              <w:rPr>
                <w:sz w:val="20"/>
                <w:szCs w:val="20"/>
                <w:color w:val="auto"/>
              </w:rPr>
            </w:pPr>
            <w:r>
              <w:rPr>
                <w:rFonts w:ascii="Arial" w:cs="Arial" w:eastAsia="Arial" w:hAnsi="Arial"/>
                <w:sz w:val="19"/>
                <w:szCs w:val="19"/>
                <w:color w:val="auto"/>
              </w:rPr>
              <w:t>and translate the “wants and needs” of the</w:t>
            </w:r>
          </w:p>
        </w:tc>
        <w:tc>
          <w:tcPr>
            <w:tcW w:w="0" w:type="dxa"/>
            <w:vAlign w:val="bottom"/>
          </w:tcPr>
          <w:p>
            <w:pPr>
              <w:spacing w:after="0"/>
              <w:rPr>
                <w:sz w:val="1"/>
                <w:szCs w:val="1"/>
                <w:color w:val="auto"/>
              </w:rPr>
            </w:pPr>
          </w:p>
        </w:tc>
      </w:tr>
      <w:tr>
        <w:trPr>
          <w:trHeight w:val="216"/>
        </w:trPr>
        <w:tc>
          <w:tcPr>
            <w:tcW w:w="3960" w:type="dxa"/>
            <w:vAlign w:val="bottom"/>
            <w:gridSpan w:val="7"/>
          </w:tcPr>
          <w:p>
            <w:pPr>
              <w:spacing w:after="0" w:line="216" w:lineRule="exact"/>
              <w:rPr>
                <w:sz w:val="20"/>
                <w:szCs w:val="20"/>
                <w:color w:val="auto"/>
              </w:rPr>
            </w:pPr>
            <w:r>
              <w:rPr>
                <w:rFonts w:ascii="Arial" w:cs="Arial" w:eastAsia="Arial" w:hAnsi="Arial"/>
                <w:sz w:val="19"/>
                <w:szCs w:val="19"/>
                <w:color w:val="auto"/>
              </w:rPr>
              <w:t>esigenze"  del  cliente  in  opportunità  di</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customer into product opportunities.</w:t>
            </w:r>
          </w:p>
        </w:tc>
        <w:tc>
          <w:tcPr>
            <w:tcW w:w="0" w:type="dxa"/>
            <w:vAlign w:val="bottom"/>
          </w:tcPr>
          <w:p>
            <w:pPr>
              <w:spacing w:after="0"/>
              <w:rPr>
                <w:sz w:val="1"/>
                <w:szCs w:val="1"/>
                <w:color w:val="auto"/>
              </w:rPr>
            </w:pPr>
          </w:p>
        </w:tc>
      </w:tr>
      <w:tr>
        <w:trPr>
          <w:trHeight w:val="162"/>
        </w:trPr>
        <w:tc>
          <w:tcPr>
            <w:tcW w:w="900" w:type="dxa"/>
            <w:vAlign w:val="bottom"/>
            <w:gridSpan w:val="2"/>
          </w:tcPr>
          <w:p>
            <w:pPr>
              <w:spacing w:after="0" w:line="162" w:lineRule="exact"/>
              <w:rPr>
                <w:sz w:val="20"/>
                <w:szCs w:val="20"/>
                <w:color w:val="auto"/>
              </w:rPr>
            </w:pPr>
            <w:r>
              <w:rPr>
                <w:rFonts w:ascii="Arial" w:cs="Arial" w:eastAsia="Arial" w:hAnsi="Arial"/>
                <w:sz w:val="18"/>
                <w:szCs w:val="18"/>
                <w:color w:val="auto"/>
              </w:rPr>
              <w:t>prodotto.</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ind w:left="20"/>
              <w:spacing w:after="0"/>
              <w:rPr>
                <w:sz w:val="20"/>
                <w:szCs w:val="20"/>
                <w:color w:val="auto"/>
              </w:rPr>
            </w:pPr>
            <w:r>
              <w:rPr>
                <w:rFonts w:ascii="Arial" w:cs="Arial" w:eastAsia="Arial" w:hAnsi="Arial"/>
                <w:sz w:val="19"/>
                <w:szCs w:val="19"/>
                <w:color w:val="auto"/>
              </w:rPr>
              <w:t>Ha</w:t>
            </w:r>
          </w:p>
        </w:tc>
        <w:tc>
          <w:tcPr>
            <w:tcW w:w="1040" w:type="dxa"/>
            <w:vAlign w:val="bottom"/>
            <w:gridSpan w:val="2"/>
          </w:tcPr>
          <w:p>
            <w:pPr>
              <w:ind w:left="160"/>
              <w:spacing w:after="0"/>
              <w:rPr>
                <w:sz w:val="20"/>
                <w:szCs w:val="20"/>
                <w:color w:val="auto"/>
              </w:rPr>
            </w:pPr>
            <w:r>
              <w:rPr>
                <w:rFonts w:ascii="Arial" w:cs="Arial" w:eastAsia="Arial" w:hAnsi="Arial"/>
                <w:sz w:val="19"/>
                <w:szCs w:val="19"/>
                <w:color w:val="auto"/>
              </w:rPr>
              <w:t>sviluppato</w:t>
            </w:r>
          </w:p>
        </w:tc>
        <w:tc>
          <w:tcPr>
            <w:tcW w:w="1280" w:type="dxa"/>
            <w:vAlign w:val="bottom"/>
            <w:gridSpan w:val="2"/>
          </w:tcPr>
          <w:p>
            <w:pPr>
              <w:ind w:left="420"/>
              <w:spacing w:after="0"/>
              <w:rPr>
                <w:sz w:val="20"/>
                <w:szCs w:val="20"/>
                <w:color w:val="auto"/>
              </w:rPr>
            </w:pPr>
            <w:r>
              <w:rPr>
                <w:rFonts w:ascii="Arial" w:cs="Arial" w:eastAsia="Arial" w:hAnsi="Arial"/>
                <w:sz w:val="19"/>
                <w:szCs w:val="19"/>
                <w:color w:val="auto"/>
              </w:rPr>
              <w:t>strategie</w:t>
            </w:r>
          </w:p>
        </w:tc>
        <w:tc>
          <w:tcPr>
            <w:tcW w:w="740" w:type="dxa"/>
            <w:vAlign w:val="bottom"/>
          </w:tcPr>
          <w:p>
            <w:pPr>
              <w:jc w:val="right"/>
              <w:ind w:right="9"/>
              <w:spacing w:after="0"/>
              <w:rPr>
                <w:sz w:val="20"/>
                <w:szCs w:val="20"/>
                <w:color w:val="auto"/>
              </w:rPr>
            </w:pPr>
            <w:r>
              <w:rPr>
                <w:rFonts w:ascii="Arial" w:cs="Arial" w:eastAsia="Arial" w:hAnsi="Arial"/>
                <w:sz w:val="19"/>
                <w:szCs w:val="19"/>
                <w:color w:val="auto"/>
              </w:rPr>
              <w:t>che</w:t>
            </w:r>
          </w:p>
        </w:tc>
        <w:tc>
          <w:tcPr>
            <w:tcW w:w="39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Has developed strategies that maximize</w:t>
            </w:r>
          </w:p>
        </w:tc>
        <w:tc>
          <w:tcPr>
            <w:tcW w:w="0" w:type="dxa"/>
            <w:vAlign w:val="bottom"/>
          </w:tcPr>
          <w:p>
            <w:pPr>
              <w:spacing w:after="0"/>
              <w:rPr>
                <w:sz w:val="1"/>
                <w:szCs w:val="1"/>
                <w:color w:val="auto"/>
              </w:rPr>
            </w:pPr>
          </w:p>
        </w:tc>
      </w:tr>
      <w:tr>
        <w:trPr>
          <w:trHeight w:val="189"/>
        </w:trPr>
        <w:tc>
          <w:tcPr>
            <w:tcW w:w="1480" w:type="dxa"/>
            <w:vAlign w:val="bottom"/>
            <w:gridSpan w:val="3"/>
          </w:tcPr>
          <w:p>
            <w:pPr>
              <w:spacing w:after="0" w:line="189" w:lineRule="exact"/>
              <w:rPr>
                <w:sz w:val="20"/>
                <w:szCs w:val="20"/>
                <w:color w:val="auto"/>
              </w:rPr>
            </w:pPr>
            <w:r>
              <w:rPr>
                <w:rFonts w:ascii="Arial" w:cs="Arial" w:eastAsia="Arial" w:hAnsi="Arial"/>
                <w:sz w:val="19"/>
                <w:szCs w:val="19"/>
                <w:color w:val="auto"/>
              </w:rPr>
              <w:t>massimizzano</w:t>
            </w:r>
          </w:p>
        </w:tc>
        <w:tc>
          <w:tcPr>
            <w:tcW w:w="1220" w:type="dxa"/>
            <w:vAlign w:val="bottom"/>
            <w:gridSpan w:val="2"/>
          </w:tcPr>
          <w:p>
            <w:pPr>
              <w:ind w:left="100"/>
              <w:spacing w:after="0" w:line="189" w:lineRule="exact"/>
              <w:rPr>
                <w:sz w:val="20"/>
                <w:szCs w:val="20"/>
                <w:color w:val="auto"/>
              </w:rPr>
            </w:pPr>
            <w:r>
              <w:rPr>
                <w:rFonts w:ascii="Arial" w:cs="Arial" w:eastAsia="Arial" w:hAnsi="Arial"/>
                <w:sz w:val="19"/>
                <w:szCs w:val="19"/>
                <w:color w:val="auto"/>
              </w:rPr>
              <w:t>l'impegno</w:t>
            </w:r>
          </w:p>
        </w:tc>
        <w:tc>
          <w:tcPr>
            <w:tcW w:w="520" w:type="dxa"/>
            <w:vAlign w:val="bottom"/>
          </w:tcPr>
          <w:p>
            <w:pPr>
              <w:ind w:left="60"/>
              <w:spacing w:after="0" w:line="189" w:lineRule="exact"/>
              <w:rPr>
                <w:sz w:val="20"/>
                <w:szCs w:val="20"/>
                <w:color w:val="auto"/>
              </w:rPr>
            </w:pPr>
            <w:r>
              <w:rPr>
                <w:rFonts w:ascii="Arial" w:cs="Arial" w:eastAsia="Arial" w:hAnsi="Arial"/>
                <w:sz w:val="19"/>
                <w:szCs w:val="19"/>
                <w:color w:val="auto"/>
              </w:rPr>
              <w:t>dei</w:t>
            </w:r>
          </w:p>
        </w:tc>
        <w:tc>
          <w:tcPr>
            <w:tcW w:w="740" w:type="dxa"/>
            <w:vAlign w:val="bottom"/>
          </w:tcPr>
          <w:p>
            <w:pPr>
              <w:jc w:val="right"/>
              <w:ind w:right="9"/>
              <w:spacing w:after="0" w:line="189" w:lineRule="exact"/>
              <w:rPr>
                <w:sz w:val="20"/>
                <w:szCs w:val="20"/>
                <w:color w:val="auto"/>
              </w:rPr>
            </w:pPr>
            <w:r>
              <w:rPr>
                <w:rFonts w:ascii="Arial" w:cs="Arial" w:eastAsia="Arial" w:hAnsi="Arial"/>
                <w:sz w:val="19"/>
                <w:szCs w:val="19"/>
                <w:color w:val="auto"/>
              </w:rPr>
              <w:t>clienti</w:t>
            </w:r>
          </w:p>
        </w:tc>
        <w:tc>
          <w:tcPr>
            <w:tcW w:w="3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7"/>
          </w:tcPr>
          <w:p>
            <w:pPr>
              <w:spacing w:after="0" w:line="216" w:lineRule="exact"/>
              <w:rPr>
                <w:sz w:val="20"/>
                <w:szCs w:val="20"/>
                <w:color w:val="auto"/>
              </w:rPr>
            </w:pPr>
            <w:r>
              <w:rPr>
                <w:rFonts w:ascii="Arial" w:cs="Arial" w:eastAsia="Arial" w:hAnsi="Arial"/>
                <w:sz w:val="19"/>
                <w:szCs w:val="19"/>
                <w:color w:val="auto"/>
              </w:rPr>
              <w:t>(consumatori e partner) e creano valore, oltre</w:t>
            </w:r>
          </w:p>
        </w:tc>
        <w:tc>
          <w:tcPr>
            <w:tcW w:w="980" w:type="dxa"/>
            <w:vAlign w:val="bottom"/>
          </w:tcPr>
          <w:p>
            <w:pPr>
              <w:ind w:left="100"/>
              <w:spacing w:after="0" w:line="216" w:lineRule="exact"/>
              <w:rPr>
                <w:sz w:val="20"/>
                <w:szCs w:val="20"/>
                <w:color w:val="auto"/>
              </w:rPr>
            </w:pPr>
            <w:r>
              <w:rPr>
                <w:rFonts w:ascii="Arial" w:cs="Arial" w:eastAsia="Arial" w:hAnsi="Arial"/>
                <w:sz w:val="19"/>
                <w:szCs w:val="19"/>
                <w:color w:val="auto"/>
              </w:rPr>
              <w:t>customer</w:t>
            </w:r>
          </w:p>
        </w:tc>
        <w:tc>
          <w:tcPr>
            <w:tcW w:w="1400" w:type="dxa"/>
            <w:vAlign w:val="bottom"/>
          </w:tcPr>
          <w:p>
            <w:pPr>
              <w:ind w:left="240"/>
              <w:spacing w:after="0" w:line="216" w:lineRule="exact"/>
              <w:rPr>
                <w:sz w:val="20"/>
                <w:szCs w:val="20"/>
                <w:color w:val="auto"/>
              </w:rPr>
            </w:pPr>
            <w:r>
              <w:rPr>
                <w:rFonts w:ascii="Arial" w:cs="Arial" w:eastAsia="Arial" w:hAnsi="Arial"/>
                <w:sz w:val="19"/>
                <w:szCs w:val="19"/>
                <w:color w:val="auto"/>
              </w:rPr>
              <w:t>(consumers</w:t>
            </w:r>
          </w:p>
        </w:tc>
        <w:tc>
          <w:tcPr>
            <w:tcW w:w="580" w:type="dxa"/>
            <w:vAlign w:val="bottom"/>
          </w:tcPr>
          <w:p>
            <w:pPr>
              <w:ind w:left="160"/>
              <w:spacing w:after="0" w:line="216" w:lineRule="exact"/>
              <w:rPr>
                <w:sz w:val="20"/>
                <w:szCs w:val="20"/>
                <w:color w:val="auto"/>
              </w:rPr>
            </w:pPr>
            <w:r>
              <w:rPr>
                <w:rFonts w:ascii="Arial" w:cs="Arial" w:eastAsia="Arial" w:hAnsi="Arial"/>
                <w:sz w:val="19"/>
                <w:szCs w:val="19"/>
                <w:color w:val="auto"/>
              </w:rPr>
              <w:t>and</w:t>
            </w: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partners)</w:t>
            </w:r>
          </w:p>
        </w:tc>
        <w:tc>
          <w:tcPr>
            <w:tcW w:w="0" w:type="dxa"/>
            <w:vAlign w:val="bottom"/>
          </w:tcPr>
          <w:p>
            <w:pPr>
              <w:spacing w:after="0"/>
              <w:rPr>
                <w:sz w:val="1"/>
                <w:szCs w:val="1"/>
                <w:color w:val="auto"/>
              </w:rPr>
            </w:pPr>
          </w:p>
        </w:tc>
      </w:tr>
      <w:tr>
        <w:trPr>
          <w:trHeight w:val="216"/>
        </w:trPr>
        <w:tc>
          <w:tcPr>
            <w:tcW w:w="3960" w:type="dxa"/>
            <w:vAlign w:val="bottom"/>
            <w:gridSpan w:val="7"/>
          </w:tcPr>
          <w:p>
            <w:pPr>
              <w:spacing w:after="0" w:line="216" w:lineRule="exact"/>
              <w:rPr>
                <w:sz w:val="20"/>
                <w:szCs w:val="20"/>
                <w:color w:val="auto"/>
              </w:rPr>
            </w:pPr>
            <w:r>
              <w:rPr>
                <w:rFonts w:ascii="Arial" w:cs="Arial" w:eastAsia="Arial" w:hAnsi="Arial"/>
                <w:sz w:val="19"/>
                <w:szCs w:val="19"/>
                <w:color w:val="auto"/>
              </w:rPr>
              <w:t>a  far  crescere  notevolmente  le  vendite</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engagement and create value, as well as</w:t>
            </w:r>
          </w:p>
        </w:tc>
        <w:tc>
          <w:tcPr>
            <w:tcW w:w="0" w:type="dxa"/>
            <w:vAlign w:val="bottom"/>
          </w:tcPr>
          <w:p>
            <w:pPr>
              <w:spacing w:after="0"/>
              <w:rPr>
                <w:sz w:val="1"/>
                <w:szCs w:val="1"/>
                <w:color w:val="auto"/>
              </w:rPr>
            </w:pPr>
          </w:p>
        </w:tc>
      </w:tr>
      <w:tr>
        <w:trPr>
          <w:trHeight w:val="216"/>
        </w:trPr>
        <w:tc>
          <w:tcPr>
            <w:tcW w:w="2700" w:type="dxa"/>
            <w:vAlign w:val="bottom"/>
            <w:gridSpan w:val="5"/>
          </w:tcPr>
          <w:p>
            <w:pPr>
              <w:spacing w:after="0" w:line="216" w:lineRule="exact"/>
              <w:rPr>
                <w:sz w:val="20"/>
                <w:szCs w:val="20"/>
                <w:color w:val="auto"/>
              </w:rPr>
            </w:pPr>
            <w:r>
              <w:rPr>
                <w:rFonts w:ascii="Arial" w:cs="Arial" w:eastAsia="Arial" w:hAnsi="Arial"/>
                <w:sz w:val="19"/>
                <w:szCs w:val="19"/>
                <w:color w:val="auto"/>
              </w:rPr>
              <w:t>attraverso il commercio digitale.</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dramatically  grow  sales  through  digital</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gridSpan w:val="2"/>
          </w:tcPr>
          <w:p>
            <w:pPr>
              <w:ind w:left="100"/>
              <w:spacing w:after="0" w:line="180" w:lineRule="exact"/>
              <w:rPr>
                <w:sz w:val="20"/>
                <w:szCs w:val="20"/>
                <w:color w:val="auto"/>
              </w:rPr>
            </w:pPr>
            <w:r>
              <w:rPr>
                <w:rFonts w:ascii="Arial" w:cs="Arial" w:eastAsia="Arial" w:hAnsi="Arial"/>
                <w:sz w:val="19"/>
                <w:szCs w:val="19"/>
                <w:color w:val="auto"/>
              </w:rPr>
              <w:t>commerce.</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60" w:hanging="331"/>
        <w:spacing w:after="0" w:line="206" w:lineRule="auto"/>
        <w:tabs>
          <w:tab w:leader="none" w:pos="860" w:val="left"/>
        </w:tabs>
        <w:numPr>
          <w:ilvl w:val="0"/>
          <w:numId w:val="85"/>
        </w:numPr>
        <w:rPr>
          <w:rFonts w:ascii="Times New Roman" w:cs="Times New Roman" w:eastAsia="Times New Roman" w:hAnsi="Times New Roman"/>
          <w:sz w:val="19"/>
          <w:szCs w:val="19"/>
          <w:color w:val="auto"/>
        </w:rPr>
      </w:pPr>
      <w:r>
        <w:rPr>
          <w:rFonts w:ascii="Arial" w:cs="Arial" w:eastAsia="Arial" w:hAnsi="Arial"/>
          <w:sz w:val="19"/>
          <w:szCs w:val="19"/>
          <w:color w:val="auto"/>
        </w:rPr>
        <w:t>Ha assicurato che i migliori media digitali</w:t>
      </w:r>
    </w:p>
    <w:tbl>
      <w:tblPr>
        <w:tblLayout w:type="fixed"/>
        <w:tblInd w:w="520" w:type="dxa"/>
        <w:tblCellMar>
          <w:top w:w="0" w:type="dxa"/>
          <w:left w:w="0" w:type="dxa"/>
          <w:bottom w:w="0" w:type="dxa"/>
          <w:right w:w="0" w:type="dxa"/>
        </w:tblCellMar>
      </w:tblPr>
      <w:tr>
        <w:trPr>
          <w:trHeight w:val="212"/>
        </w:trPr>
        <w:tc>
          <w:tcPr>
            <w:tcW w:w="3960" w:type="dxa"/>
            <w:vAlign w:val="bottom"/>
            <w:gridSpan w:val="4"/>
          </w:tcPr>
          <w:p>
            <w:pPr>
              <w:spacing w:after="0" w:line="213" w:lineRule="exact"/>
              <w:rPr>
                <w:sz w:val="20"/>
                <w:szCs w:val="20"/>
                <w:color w:val="auto"/>
              </w:rPr>
            </w:pPr>
            <w:r>
              <w:rPr>
                <w:rFonts w:ascii="Arial" w:cs="Arial" w:eastAsia="Arial" w:hAnsi="Arial"/>
                <w:sz w:val="19"/>
                <w:szCs w:val="19"/>
                <w:color w:val="auto"/>
              </w:rPr>
              <w:t>e  le  strategie  commerciali,  compreso  il</w:t>
            </w:r>
          </w:p>
        </w:tc>
        <w:tc>
          <w:tcPr>
            <w:tcW w:w="396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Ensured that best-in-class digital media</w:t>
            </w:r>
          </w:p>
        </w:tc>
      </w:tr>
      <w:tr>
        <w:trPr>
          <w:trHeight w:val="216"/>
        </w:trPr>
        <w:tc>
          <w:tcPr>
            <w:tcW w:w="780" w:type="dxa"/>
            <w:vAlign w:val="bottom"/>
          </w:tcPr>
          <w:p>
            <w:pPr>
              <w:spacing w:after="0" w:line="216" w:lineRule="exact"/>
              <w:rPr>
                <w:sz w:val="20"/>
                <w:szCs w:val="20"/>
                <w:color w:val="auto"/>
              </w:rPr>
            </w:pPr>
            <w:r>
              <w:rPr>
                <w:rFonts w:ascii="Arial" w:cs="Arial" w:eastAsia="Arial" w:hAnsi="Arial"/>
                <w:sz w:val="19"/>
                <w:szCs w:val="19"/>
                <w:color w:val="auto"/>
              </w:rPr>
              <w:t>mobile,</w:t>
            </w:r>
          </w:p>
        </w:tc>
        <w:tc>
          <w:tcPr>
            <w:tcW w:w="840" w:type="dxa"/>
            <w:vAlign w:val="bottom"/>
          </w:tcPr>
          <w:p>
            <w:pPr>
              <w:ind w:left="160"/>
              <w:spacing w:after="0" w:line="216" w:lineRule="exact"/>
              <w:rPr>
                <w:sz w:val="20"/>
                <w:szCs w:val="20"/>
                <w:color w:val="auto"/>
              </w:rPr>
            </w:pPr>
            <w:r>
              <w:rPr>
                <w:rFonts w:ascii="Arial" w:cs="Arial" w:eastAsia="Arial" w:hAnsi="Arial"/>
                <w:sz w:val="19"/>
                <w:szCs w:val="19"/>
                <w:color w:val="auto"/>
              </w:rPr>
              <w:t>fossero</w:t>
            </w:r>
          </w:p>
        </w:tc>
        <w:tc>
          <w:tcPr>
            <w:tcW w:w="1280" w:type="dxa"/>
            <w:vAlign w:val="bottom"/>
          </w:tcPr>
          <w:p>
            <w:pPr>
              <w:ind w:left="260"/>
              <w:spacing w:after="0" w:line="216" w:lineRule="exact"/>
              <w:rPr>
                <w:sz w:val="20"/>
                <w:szCs w:val="20"/>
                <w:color w:val="auto"/>
              </w:rPr>
            </w:pPr>
            <w:r>
              <w:rPr>
                <w:rFonts w:ascii="Arial" w:cs="Arial" w:eastAsia="Arial" w:hAnsi="Arial"/>
                <w:sz w:val="19"/>
                <w:szCs w:val="19"/>
                <w:color w:val="auto"/>
              </w:rPr>
              <w:t>pienamente</w:t>
            </w:r>
          </w:p>
        </w:tc>
        <w:tc>
          <w:tcPr>
            <w:tcW w:w="1060" w:type="dxa"/>
            <w:vAlign w:val="bottom"/>
          </w:tcPr>
          <w:p>
            <w:pPr>
              <w:ind w:left="280"/>
              <w:spacing w:after="0" w:line="216" w:lineRule="exact"/>
              <w:rPr>
                <w:sz w:val="20"/>
                <w:szCs w:val="20"/>
                <w:color w:val="auto"/>
              </w:rPr>
            </w:pPr>
            <w:r>
              <w:rPr>
                <w:rFonts w:ascii="Arial" w:cs="Arial" w:eastAsia="Arial" w:hAnsi="Arial"/>
                <w:sz w:val="19"/>
                <w:szCs w:val="19"/>
                <w:color w:val="auto"/>
              </w:rPr>
              <w:t>sfruttati,</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and commerce strategies, including mobile,</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continuando   a   sviluppare   una   cultura</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were  fully  leveraged,  while  continuing  to</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innovativa  e  centrata  sul  cliente  (sia</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develop an innovative and customer-centric</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consumatori  che  commercianti)  che  è</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culture (both consumers and merchants) that</w:t>
            </w:r>
          </w:p>
        </w:tc>
      </w:tr>
      <w:tr>
        <w:trPr>
          <w:trHeight w:val="243"/>
        </w:trPr>
        <w:tc>
          <w:tcPr>
            <w:tcW w:w="1620" w:type="dxa"/>
            <w:vAlign w:val="bottom"/>
            <w:gridSpan w:val="2"/>
          </w:tcPr>
          <w:p>
            <w:pPr>
              <w:spacing w:after="0"/>
              <w:rPr>
                <w:sz w:val="20"/>
                <w:szCs w:val="20"/>
                <w:color w:val="auto"/>
              </w:rPr>
            </w:pPr>
            <w:r>
              <w:rPr>
                <w:rFonts w:ascii="Arial" w:cs="Arial" w:eastAsia="Arial" w:hAnsi="Arial"/>
                <w:sz w:val="19"/>
                <w:szCs w:val="19"/>
                <w:color w:val="auto"/>
              </w:rPr>
              <w:t>incessantemente</w:t>
            </w:r>
          </w:p>
        </w:tc>
        <w:tc>
          <w:tcPr>
            <w:tcW w:w="1280" w:type="dxa"/>
            <w:vAlign w:val="bottom"/>
          </w:tcPr>
          <w:p>
            <w:pPr>
              <w:ind w:left="60"/>
              <w:spacing w:after="0"/>
              <w:rPr>
                <w:sz w:val="20"/>
                <w:szCs w:val="20"/>
                <w:color w:val="auto"/>
              </w:rPr>
            </w:pPr>
            <w:r>
              <w:rPr>
                <w:rFonts w:ascii="Arial" w:cs="Arial" w:eastAsia="Arial" w:hAnsi="Arial"/>
                <w:sz w:val="19"/>
                <w:szCs w:val="19"/>
                <w:color w:val="auto"/>
              </w:rPr>
              <w:t>concentrata</w:t>
            </w:r>
          </w:p>
        </w:tc>
        <w:tc>
          <w:tcPr>
            <w:tcW w:w="1060" w:type="dxa"/>
            <w:vAlign w:val="bottom"/>
          </w:tcPr>
          <w:p>
            <w:pPr>
              <w:ind w:left="40"/>
              <w:spacing w:after="0"/>
              <w:rPr>
                <w:sz w:val="20"/>
                <w:szCs w:val="20"/>
                <w:color w:val="auto"/>
              </w:rPr>
            </w:pPr>
            <w:r>
              <w:rPr>
                <w:rFonts w:ascii="Arial" w:cs="Arial" w:eastAsia="Arial" w:hAnsi="Arial"/>
                <w:sz w:val="19"/>
                <w:szCs w:val="19"/>
                <w:color w:val="auto"/>
              </w:rPr>
              <w:t>sul</w:t>
            </w:r>
          </w:p>
        </w:tc>
        <w:tc>
          <w:tcPr>
            <w:tcW w:w="3960" w:type="dxa"/>
            <w:vAlign w:val="bottom"/>
          </w:tcPr>
          <w:p>
            <w:pPr>
              <w:ind w:left="100"/>
              <w:spacing w:after="0"/>
              <w:rPr>
                <w:sz w:val="20"/>
                <w:szCs w:val="20"/>
                <w:color w:val="auto"/>
              </w:rPr>
            </w:pPr>
            <w:r>
              <w:rPr>
                <w:rFonts w:ascii="Arial" w:cs="Arial" w:eastAsia="Arial" w:hAnsi="Arial"/>
                <w:sz w:val="19"/>
                <w:szCs w:val="19"/>
                <w:color w:val="auto"/>
              </w:rPr>
              <w:t>is relentlessly focused on driving results.</w:t>
            </w:r>
          </w:p>
        </w:tc>
      </w:tr>
      <w:tr>
        <w:trPr>
          <w:trHeight w:val="249"/>
        </w:trPr>
        <w:tc>
          <w:tcPr>
            <w:tcW w:w="2900" w:type="dxa"/>
            <w:vAlign w:val="bottom"/>
            <w:gridSpan w:val="3"/>
          </w:tcPr>
          <w:p>
            <w:pPr>
              <w:spacing w:after="0"/>
              <w:rPr>
                <w:sz w:val="20"/>
                <w:szCs w:val="20"/>
                <w:color w:val="auto"/>
              </w:rPr>
            </w:pPr>
            <w:r>
              <w:rPr>
                <w:rFonts w:ascii="Arial" w:cs="Arial" w:eastAsia="Arial" w:hAnsi="Arial"/>
                <w:sz w:val="19"/>
                <w:szCs w:val="19"/>
                <w:color w:val="auto"/>
              </w:rPr>
              <w:t>raggiungimento dei risultati.</w:t>
            </w:r>
          </w:p>
        </w:tc>
        <w:tc>
          <w:tcPr>
            <w:tcW w:w="106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580"/>
        </w:trPr>
        <w:tc>
          <w:tcPr>
            <w:tcW w:w="3960" w:type="dxa"/>
            <w:vAlign w:val="bottom"/>
            <w:gridSpan w:val="4"/>
          </w:tcPr>
          <w:p>
            <w:pPr>
              <w:ind w:left="20"/>
              <w:spacing w:after="0"/>
              <w:rPr>
                <w:sz w:val="20"/>
                <w:szCs w:val="20"/>
                <w:color w:val="auto"/>
              </w:rPr>
            </w:pPr>
            <w:r>
              <w:rPr>
                <w:rFonts w:ascii="Arial" w:cs="Arial" w:eastAsia="Arial" w:hAnsi="Arial"/>
                <w:sz w:val="19"/>
                <w:szCs w:val="19"/>
                <w:color w:val="auto"/>
              </w:rPr>
              <w:t>Esperienza di innovazione e cambiamento</w:t>
            </w:r>
          </w:p>
        </w:tc>
        <w:tc>
          <w:tcPr>
            <w:tcW w:w="3960" w:type="dxa"/>
            <w:vAlign w:val="bottom"/>
          </w:tcPr>
          <w:p>
            <w:pPr>
              <w:spacing w:after="0"/>
              <w:rPr>
                <w:sz w:val="24"/>
                <w:szCs w:val="24"/>
                <w:color w:val="auto"/>
              </w:rPr>
            </w:pPr>
          </w:p>
        </w:tc>
      </w:tr>
      <w:tr>
        <w:trPr>
          <w:trHeight w:val="270"/>
        </w:trPr>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960" w:type="dxa"/>
            <w:vAlign w:val="bottom"/>
          </w:tcPr>
          <w:p>
            <w:pPr>
              <w:ind w:left="100"/>
              <w:spacing w:after="0"/>
              <w:rPr>
                <w:sz w:val="20"/>
                <w:szCs w:val="20"/>
                <w:color w:val="auto"/>
              </w:rPr>
            </w:pPr>
            <w:r>
              <w:rPr>
                <w:rFonts w:ascii="Arial" w:cs="Arial" w:eastAsia="Arial" w:hAnsi="Arial"/>
                <w:sz w:val="19"/>
                <w:szCs w:val="19"/>
                <w:color w:val="auto"/>
              </w:rPr>
              <w:t>Innovation and Change 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1277620</wp:posOffset>
            </wp:positionV>
            <wp:extent cx="684911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01" w:name="page102"/>
    <w:bookmarkEnd w:id="101"/>
    <w:p>
      <w:pPr>
        <w:ind w:left="420"/>
        <w:spacing w:after="0"/>
        <w:rPr>
          <w:sz w:val="20"/>
          <w:szCs w:val="20"/>
          <w:color w:val="auto"/>
        </w:rPr>
      </w:pPr>
      <w:r>
        <w:rPr>
          <w:rFonts w:ascii="Georgia" w:cs="Georgia" w:eastAsia="Georgia" w:hAnsi="Georgia"/>
          <w:sz w:val="20"/>
          <w:szCs w:val="20"/>
          <w:color w:val="auto"/>
        </w:rPr>
        <w:t>5</w:t>
      </w:r>
    </w:p>
    <w:p>
      <w:pPr>
        <w:spacing w:after="0" w:line="232" w:lineRule="exact"/>
        <w:rPr>
          <w:sz w:val="20"/>
          <w:szCs w:val="20"/>
          <w:color w:val="auto"/>
        </w:rPr>
      </w:pPr>
    </w:p>
    <w:p>
      <w:pPr>
        <w:jc w:val="center"/>
        <w:ind w:right="119"/>
        <w:spacing w:after="0"/>
        <w:rPr>
          <w:sz w:val="20"/>
          <w:szCs w:val="20"/>
          <w:color w:val="auto"/>
        </w:rPr>
      </w:pPr>
      <w:r>
        <w:rPr>
          <w:rFonts w:ascii="Georgia" w:cs="Georgia" w:eastAsia="Georgia" w:hAnsi="Georgia"/>
          <w:sz w:val="20"/>
          <w:szCs w:val="20"/>
          <w:color w:val="auto"/>
        </w:rPr>
        <w:t>- -</w:t>
      </w:r>
    </w:p>
    <w:p>
      <w:pPr>
        <w:sectPr>
          <w:pgSz w:w="11900" w:h="16838" w:orient="portrait"/>
          <w:cols w:equalWidth="0" w:num="1">
            <w:col w:w="9019"/>
          </w:cols>
          <w:pgMar w:left="14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20" w:firstLine="9"/>
        <w:spacing w:after="0" w:line="253" w:lineRule="auto"/>
        <w:tabs>
          <w:tab w:leader="none" w:pos="860" w:val="left"/>
        </w:tabs>
        <w:numPr>
          <w:ilvl w:val="0"/>
          <w:numId w:val="86"/>
        </w:numPr>
        <w:rPr>
          <w:rFonts w:ascii="Times New Roman" w:cs="Times New Roman" w:eastAsia="Times New Roman" w:hAnsi="Times New Roman"/>
          <w:sz w:val="19"/>
          <w:szCs w:val="19"/>
          <w:color w:val="auto"/>
        </w:rPr>
      </w:pPr>
      <w:r>
        <w:rPr>
          <w:rFonts w:ascii="Arial" w:cs="Arial" w:eastAsia="Arial" w:hAnsi="Arial"/>
          <w:sz w:val="19"/>
          <w:szCs w:val="19"/>
          <w:color w:val="auto"/>
        </w:rPr>
        <w:t>Esperienza di lavoro in un ambiente in rapida crescita, con dimostrata capacità di scalare un business attraverso fasi di rapida crescita fino a una maggiore maturità.</w:t>
      </w:r>
    </w:p>
    <w:p>
      <w:pPr>
        <w:spacing w:after="0" w:line="144" w:lineRule="exact"/>
        <w:rPr>
          <w:rFonts w:ascii="Times New Roman" w:cs="Times New Roman" w:eastAsia="Times New Roman" w:hAnsi="Times New Roman"/>
          <w:sz w:val="19"/>
          <w:szCs w:val="19"/>
          <w:color w:val="auto"/>
        </w:rPr>
      </w:pPr>
    </w:p>
    <w:p>
      <w:pPr>
        <w:jc w:val="both"/>
        <w:ind w:left="520" w:firstLine="9"/>
        <w:spacing w:after="0" w:line="245" w:lineRule="auto"/>
        <w:tabs>
          <w:tab w:leader="none" w:pos="860" w:val="left"/>
        </w:tabs>
        <w:numPr>
          <w:ilvl w:val="0"/>
          <w:numId w:val="86"/>
        </w:numPr>
        <w:rPr>
          <w:rFonts w:ascii="Times New Roman" w:cs="Times New Roman" w:eastAsia="Times New Roman" w:hAnsi="Times New Roman"/>
          <w:sz w:val="19"/>
          <w:szCs w:val="19"/>
          <w:color w:val="auto"/>
        </w:rPr>
      </w:pPr>
      <w:r>
        <w:rPr>
          <w:rFonts w:ascii="Arial" w:cs="Arial" w:eastAsia="Arial" w:hAnsi="Arial"/>
          <w:sz w:val="19"/>
          <w:szCs w:val="19"/>
          <w:color w:val="auto"/>
        </w:rPr>
        <w:t>Ha guidato un'unità di business globale o un'azienda che naviga attraverso significativi cambiamenti guidati dal mercato che hanno portato a risultati positivi tangibili attraverso modifiche significative alla strategia dell'organizzazione, al modello di business e al branding.</w:t>
      </w:r>
    </w:p>
    <w:p>
      <w:pPr>
        <w:spacing w:after="0" w:line="233" w:lineRule="exact"/>
        <w:rPr>
          <w:rFonts w:ascii="Times New Roman" w:cs="Times New Roman" w:eastAsia="Times New Roman" w:hAnsi="Times New Roman"/>
          <w:sz w:val="19"/>
          <w:szCs w:val="19"/>
          <w:color w:val="auto"/>
        </w:rPr>
      </w:pPr>
    </w:p>
    <w:p>
      <w:pPr>
        <w:jc w:val="both"/>
        <w:ind w:left="520" w:firstLine="9"/>
        <w:spacing w:after="0" w:line="248" w:lineRule="auto"/>
        <w:tabs>
          <w:tab w:leader="none" w:pos="860" w:val="left"/>
        </w:tabs>
        <w:numPr>
          <w:ilvl w:val="0"/>
          <w:numId w:val="86"/>
        </w:numPr>
        <w:rPr>
          <w:rFonts w:ascii="Times New Roman" w:cs="Times New Roman" w:eastAsia="Times New Roman" w:hAnsi="Times New Roman"/>
          <w:sz w:val="19"/>
          <w:szCs w:val="19"/>
          <w:color w:val="auto"/>
        </w:rPr>
      </w:pPr>
      <w:r>
        <w:rPr>
          <w:rFonts w:ascii="Arial" w:cs="Arial" w:eastAsia="Arial" w:hAnsi="Arial"/>
          <w:sz w:val="19"/>
          <w:szCs w:val="19"/>
          <w:color w:val="auto"/>
        </w:rPr>
        <w:t>Ha gestito lo sviluppo e il lancio di nuovi prodotti e piattaforme leader di mercato; ha guidato l'innovazione per costruire</w:t>
      </w:r>
    </w:p>
    <w:p>
      <w:pPr>
        <w:spacing w:after="0" w:line="1" w:lineRule="exact"/>
        <w:rPr>
          <w:rFonts w:ascii="Times New Roman" w:cs="Times New Roman" w:eastAsia="Times New Roman" w:hAnsi="Times New Roman"/>
          <w:sz w:val="19"/>
          <w:szCs w:val="19"/>
          <w:color w:val="auto"/>
        </w:rPr>
      </w:pPr>
    </w:p>
    <w:p>
      <w:pPr>
        <w:ind w:left="520"/>
        <w:spacing w:after="0" w:line="251" w:lineRule="auto"/>
        <w:rPr>
          <w:rFonts w:ascii="Times New Roman" w:cs="Times New Roman" w:eastAsia="Times New Roman" w:hAnsi="Times New Roman"/>
          <w:sz w:val="19"/>
          <w:szCs w:val="19"/>
          <w:color w:val="auto"/>
        </w:rPr>
      </w:pPr>
      <w:r>
        <w:rPr>
          <w:rFonts w:ascii="Arial" w:cs="Arial" w:eastAsia="Arial" w:hAnsi="Arial"/>
          <w:sz w:val="19"/>
          <w:szCs w:val="19"/>
          <w:color w:val="auto"/>
        </w:rPr>
        <w:t>continuamente sul posizionamento competitivo.</w:t>
      </w:r>
    </w:p>
    <w:p>
      <w:pPr>
        <w:spacing w:after="0" w:line="105" w:lineRule="exact"/>
        <w:rPr>
          <w:rFonts w:ascii="Times New Roman" w:cs="Times New Roman" w:eastAsia="Times New Roman" w:hAnsi="Times New Roman"/>
          <w:sz w:val="19"/>
          <w:szCs w:val="19"/>
          <w:color w:val="auto"/>
        </w:rPr>
      </w:pPr>
    </w:p>
    <w:p>
      <w:pPr>
        <w:jc w:val="both"/>
        <w:ind w:left="520" w:firstLine="9"/>
        <w:spacing w:after="0" w:line="260" w:lineRule="auto"/>
        <w:tabs>
          <w:tab w:leader="none" w:pos="860" w:val="left"/>
        </w:tabs>
        <w:numPr>
          <w:ilvl w:val="0"/>
          <w:numId w:val="86"/>
        </w:numPr>
        <w:rPr>
          <w:rFonts w:ascii="Times New Roman" w:cs="Times New Roman" w:eastAsia="Times New Roman" w:hAnsi="Times New Roman"/>
          <w:sz w:val="19"/>
          <w:szCs w:val="19"/>
          <w:color w:val="auto"/>
        </w:rPr>
      </w:pPr>
      <w:r>
        <w:rPr>
          <w:rFonts w:ascii="Arial" w:cs="Arial" w:eastAsia="Arial" w:hAnsi="Arial"/>
          <w:sz w:val="19"/>
          <w:szCs w:val="19"/>
          <w:color w:val="auto"/>
        </w:rPr>
        <w:t>Ha assicurato un'immagine forte e differenziata del marchio con un'espressione coerente in tutti i canali di comunicazione.</w:t>
      </w:r>
    </w:p>
    <w:p>
      <w:pPr>
        <w:spacing w:after="0" w:line="288" w:lineRule="exact"/>
        <w:rPr>
          <w:sz w:val="20"/>
          <w:szCs w:val="20"/>
          <w:color w:val="auto"/>
        </w:rPr>
      </w:pPr>
    </w:p>
    <w:p>
      <w:pPr>
        <w:ind w:left="540" w:right="300"/>
        <w:spacing w:after="0" w:line="270" w:lineRule="auto"/>
        <w:rPr>
          <w:sz w:val="20"/>
          <w:szCs w:val="20"/>
          <w:color w:val="auto"/>
        </w:rPr>
      </w:pPr>
      <w:r>
        <w:rPr>
          <w:rFonts w:ascii="Arial" w:cs="Arial" w:eastAsia="Arial" w:hAnsi="Arial"/>
          <w:sz w:val="19"/>
          <w:szCs w:val="19"/>
          <w:color w:val="auto"/>
        </w:rPr>
        <w:t>Leadership critica e competenze comportamentali</w:t>
      </w:r>
    </w:p>
    <w:p>
      <w:pPr>
        <w:spacing w:after="0" w:line="200" w:lineRule="exact"/>
        <w:rPr>
          <w:sz w:val="20"/>
          <w:szCs w:val="20"/>
          <w:color w:val="auto"/>
        </w:rPr>
      </w:pPr>
    </w:p>
    <w:p>
      <w:pPr>
        <w:spacing w:after="0" w:line="294" w:lineRule="exact"/>
        <w:rPr>
          <w:sz w:val="20"/>
          <w:szCs w:val="20"/>
          <w:color w:val="auto"/>
        </w:rPr>
      </w:pPr>
    </w:p>
    <w:p>
      <w:pPr>
        <w:ind w:left="540" w:right="660"/>
        <w:spacing w:after="0" w:line="274" w:lineRule="auto"/>
        <w:rPr>
          <w:sz w:val="20"/>
          <w:szCs w:val="20"/>
          <w:color w:val="auto"/>
        </w:rPr>
      </w:pPr>
      <w:r>
        <w:rPr>
          <w:rFonts w:ascii="Arial" w:cs="Arial" w:eastAsia="Arial" w:hAnsi="Arial"/>
          <w:sz w:val="18"/>
          <w:szCs w:val="18"/>
          <w:color w:val="auto"/>
        </w:rPr>
        <w:t>In termini di prestazioni e competenze personali richieste per la posizione, vorremmo evidenziare quanto segue:</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Strategia e innovazione</w:t>
      </w:r>
    </w:p>
    <w:p>
      <w:pPr>
        <w:spacing w:after="0" w:line="200" w:lineRule="exact"/>
        <w:rPr>
          <w:sz w:val="20"/>
          <w:szCs w:val="20"/>
          <w:color w:val="auto"/>
        </w:rPr>
      </w:pPr>
    </w:p>
    <w:p>
      <w:pPr>
        <w:jc w:val="both"/>
        <w:ind w:left="520" w:firstLine="9"/>
        <w:spacing w:after="0" w:line="249" w:lineRule="auto"/>
        <w:tabs>
          <w:tab w:leader="none" w:pos="860" w:val="left"/>
        </w:tabs>
        <w:numPr>
          <w:ilvl w:val="0"/>
          <w:numId w:val="87"/>
        </w:numPr>
        <w:rPr>
          <w:rFonts w:ascii="Times New Roman" w:cs="Times New Roman" w:eastAsia="Times New Roman" w:hAnsi="Times New Roman"/>
          <w:sz w:val="19"/>
          <w:szCs w:val="19"/>
          <w:color w:val="auto"/>
        </w:rPr>
      </w:pPr>
      <w:r>
        <w:rPr>
          <w:rFonts w:ascii="Arial" w:cs="Arial" w:eastAsia="Arial" w:hAnsi="Arial"/>
          <w:sz w:val="19"/>
          <w:szCs w:val="19"/>
          <w:color w:val="auto"/>
        </w:rPr>
        <w:t>Un pensatore innovativo e strategico con la capacità di concettualizzare e articolare strategie innovative, di ampio respiro. Abile nell'integrare le intuizioni degli altri per aiutare a modellare la visione e la strategia.</w:t>
      </w:r>
    </w:p>
    <w:p>
      <w:pPr>
        <w:spacing w:after="0" w:line="107" w:lineRule="exact"/>
        <w:rPr>
          <w:rFonts w:ascii="Times New Roman" w:cs="Times New Roman" w:eastAsia="Times New Roman" w:hAnsi="Times New Roman"/>
          <w:sz w:val="19"/>
          <w:szCs w:val="19"/>
          <w:color w:val="auto"/>
        </w:rPr>
      </w:pPr>
    </w:p>
    <w:p>
      <w:pPr>
        <w:jc w:val="both"/>
        <w:ind w:left="520" w:firstLine="9"/>
        <w:spacing w:after="0" w:line="253" w:lineRule="auto"/>
        <w:tabs>
          <w:tab w:leader="none" w:pos="860" w:val="left"/>
        </w:tabs>
        <w:numPr>
          <w:ilvl w:val="0"/>
          <w:numId w:val="87"/>
        </w:numPr>
        <w:rPr>
          <w:rFonts w:ascii="Times New Roman" w:cs="Times New Roman" w:eastAsia="Times New Roman" w:hAnsi="Times New Roman"/>
          <w:sz w:val="19"/>
          <w:szCs w:val="19"/>
          <w:color w:val="auto"/>
        </w:rPr>
      </w:pPr>
      <w:r>
        <w:rPr>
          <w:rFonts w:ascii="Arial" w:cs="Arial" w:eastAsia="Arial" w:hAnsi="Arial"/>
          <w:sz w:val="19"/>
          <w:szCs w:val="19"/>
          <w:color w:val="auto"/>
        </w:rPr>
        <w:t>Individuo altamente intelligente capace di esaminare problemi complessi con la capacità di assorbire e sintetizzare rapidamente nuove informazioni.</w:t>
      </w:r>
    </w:p>
    <w:p>
      <w:pPr>
        <w:spacing w:after="0" w:line="225" w:lineRule="exact"/>
        <w:rPr>
          <w:rFonts w:ascii="Times New Roman" w:cs="Times New Roman" w:eastAsia="Times New Roman" w:hAnsi="Times New Roman"/>
          <w:sz w:val="19"/>
          <w:szCs w:val="19"/>
          <w:color w:val="auto"/>
        </w:rPr>
      </w:pPr>
    </w:p>
    <w:p>
      <w:pPr>
        <w:jc w:val="both"/>
        <w:ind w:left="520" w:firstLine="9"/>
        <w:spacing w:after="0" w:line="245" w:lineRule="auto"/>
        <w:tabs>
          <w:tab w:leader="none" w:pos="860" w:val="left"/>
        </w:tabs>
        <w:numPr>
          <w:ilvl w:val="0"/>
          <w:numId w:val="87"/>
        </w:numPr>
        <w:rPr>
          <w:rFonts w:ascii="Times New Roman" w:cs="Times New Roman" w:eastAsia="Times New Roman" w:hAnsi="Times New Roman"/>
          <w:sz w:val="19"/>
          <w:szCs w:val="19"/>
          <w:color w:val="auto"/>
        </w:rPr>
      </w:pPr>
      <w:r>
        <w:rPr>
          <w:rFonts w:ascii="Arial" w:cs="Arial" w:eastAsia="Arial" w:hAnsi="Arial"/>
          <w:sz w:val="19"/>
          <w:szCs w:val="19"/>
          <w:color w:val="auto"/>
        </w:rPr>
        <w:t>Anticipa gli scenari futuri e le conseguenze derivanti dalle tecnologie in evoluzione, dalle preferenze dei clienti e dalle tendenze della concorrenza; immagina il mercato a lungo termine e le opportunità di business e le posizioni di TripAdvisor per capitalizzarle.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 w:right="579" w:hanging="1"/>
        <w:spacing w:after="0" w:line="253" w:lineRule="auto"/>
        <w:tabs>
          <w:tab w:leader="none" w:pos="342" w:val="left"/>
        </w:tabs>
        <w:numPr>
          <w:ilvl w:val="0"/>
          <w:numId w:val="88"/>
        </w:numPr>
        <w:rPr>
          <w:rFonts w:ascii="Times New Roman" w:cs="Times New Roman" w:eastAsia="Times New Roman" w:hAnsi="Times New Roman"/>
          <w:sz w:val="19"/>
          <w:szCs w:val="19"/>
          <w:color w:val="auto"/>
        </w:rPr>
      </w:pPr>
      <w:r>
        <w:rPr>
          <w:rFonts w:ascii="Arial" w:cs="Arial" w:eastAsia="Arial" w:hAnsi="Arial"/>
          <w:sz w:val="19"/>
          <w:szCs w:val="19"/>
          <w:color w:val="auto"/>
        </w:rPr>
        <w:t>Experience working in a fast-paced, high growth environment with demonstrated capability scaling a business through phases of fast growth to greater maturity.</w:t>
      </w:r>
    </w:p>
    <w:p>
      <w:pPr>
        <w:spacing w:after="0" w:line="211" w:lineRule="exact"/>
        <w:rPr>
          <w:rFonts w:ascii="Times New Roman" w:cs="Times New Roman" w:eastAsia="Times New Roman" w:hAnsi="Times New Roman"/>
          <w:sz w:val="19"/>
          <w:szCs w:val="19"/>
          <w:color w:val="auto"/>
        </w:rPr>
      </w:pPr>
    </w:p>
    <w:p>
      <w:pPr>
        <w:jc w:val="both"/>
        <w:ind w:left="1" w:right="579" w:hanging="1"/>
        <w:spacing w:after="0" w:line="246" w:lineRule="auto"/>
        <w:tabs>
          <w:tab w:leader="none" w:pos="342" w:val="left"/>
        </w:tabs>
        <w:numPr>
          <w:ilvl w:val="0"/>
          <w:numId w:val="88"/>
        </w:numPr>
        <w:rPr>
          <w:rFonts w:ascii="Times New Roman" w:cs="Times New Roman" w:eastAsia="Times New Roman" w:hAnsi="Times New Roman"/>
          <w:sz w:val="19"/>
          <w:szCs w:val="19"/>
          <w:color w:val="auto"/>
        </w:rPr>
      </w:pPr>
      <w:r>
        <w:rPr>
          <w:rFonts w:ascii="Arial" w:cs="Arial" w:eastAsia="Arial" w:hAnsi="Arial"/>
          <w:sz w:val="19"/>
          <w:szCs w:val="19"/>
          <w:color w:val="auto"/>
        </w:rPr>
        <w:t>Has led a global business unit or company navigating through significant market-driven changes that have resulted in tangible positive results through significant modifications to the organization’s strategy, business model, and branding.</w:t>
      </w:r>
    </w:p>
    <w:p>
      <w:pPr>
        <w:spacing w:after="0" w:line="302" w:lineRule="exact"/>
        <w:rPr>
          <w:rFonts w:ascii="Times New Roman" w:cs="Times New Roman" w:eastAsia="Times New Roman" w:hAnsi="Times New Roman"/>
          <w:sz w:val="19"/>
          <w:szCs w:val="19"/>
          <w:color w:val="auto"/>
        </w:rPr>
      </w:pPr>
    </w:p>
    <w:p>
      <w:pPr>
        <w:jc w:val="both"/>
        <w:ind w:left="1" w:right="579" w:hanging="1"/>
        <w:spacing w:after="0" w:line="253" w:lineRule="auto"/>
        <w:tabs>
          <w:tab w:leader="none" w:pos="342" w:val="left"/>
        </w:tabs>
        <w:numPr>
          <w:ilvl w:val="0"/>
          <w:numId w:val="88"/>
        </w:numPr>
        <w:rPr>
          <w:rFonts w:ascii="Times New Roman" w:cs="Times New Roman" w:eastAsia="Times New Roman" w:hAnsi="Times New Roman"/>
          <w:sz w:val="19"/>
          <w:szCs w:val="19"/>
          <w:color w:val="auto"/>
        </w:rPr>
      </w:pPr>
      <w:r>
        <w:rPr>
          <w:rFonts w:ascii="Arial" w:cs="Arial" w:eastAsia="Arial" w:hAnsi="Arial"/>
          <w:sz w:val="19"/>
          <w:szCs w:val="19"/>
          <w:color w:val="auto"/>
        </w:rPr>
        <w:t>Managed the development and roll out of new market-leading products and platforms; has driven innovation to continually build upon the competitive positioning.</w:t>
      </w:r>
    </w:p>
    <w:p>
      <w:pPr>
        <w:spacing w:after="0" w:line="103" w:lineRule="exact"/>
        <w:rPr>
          <w:rFonts w:ascii="Times New Roman" w:cs="Times New Roman" w:eastAsia="Times New Roman" w:hAnsi="Times New Roman"/>
          <w:sz w:val="19"/>
          <w:szCs w:val="19"/>
          <w:color w:val="auto"/>
        </w:rPr>
      </w:pPr>
    </w:p>
    <w:p>
      <w:pPr>
        <w:jc w:val="both"/>
        <w:ind w:left="1" w:right="579" w:hanging="1"/>
        <w:spacing w:after="0" w:line="260" w:lineRule="auto"/>
        <w:tabs>
          <w:tab w:leader="none" w:pos="342" w:val="left"/>
        </w:tabs>
        <w:numPr>
          <w:ilvl w:val="0"/>
          <w:numId w:val="88"/>
        </w:numPr>
        <w:rPr>
          <w:rFonts w:ascii="Times New Roman" w:cs="Times New Roman" w:eastAsia="Times New Roman" w:hAnsi="Times New Roman"/>
          <w:sz w:val="19"/>
          <w:szCs w:val="19"/>
          <w:color w:val="auto"/>
        </w:rPr>
      </w:pPr>
      <w:r>
        <w:rPr>
          <w:rFonts w:ascii="Arial" w:cs="Arial" w:eastAsia="Arial" w:hAnsi="Arial"/>
          <w:sz w:val="19"/>
          <w:szCs w:val="19"/>
          <w:color w:val="auto"/>
        </w:rPr>
        <w:t>Ensured a strong, differentiated brand image with consistent expression across all communication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-2868295</wp:posOffset>
            </wp:positionV>
            <wp:extent cx="5160645" cy="72948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516064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 w:right="1019"/>
        <w:spacing w:after="0" w:line="270" w:lineRule="auto"/>
        <w:rPr>
          <w:sz w:val="20"/>
          <w:szCs w:val="20"/>
          <w:color w:val="auto"/>
        </w:rPr>
      </w:pPr>
      <w:r>
        <w:rPr>
          <w:rFonts w:ascii="Arial" w:cs="Arial" w:eastAsia="Arial" w:hAnsi="Arial"/>
          <w:sz w:val="19"/>
          <w:szCs w:val="19"/>
          <w:color w:val="auto"/>
        </w:rPr>
        <w:t>Critical Leadership and Behavioral Competencies</w:t>
      </w:r>
    </w:p>
    <w:p>
      <w:pPr>
        <w:spacing w:after="0" w:line="200" w:lineRule="exact"/>
        <w:rPr>
          <w:sz w:val="20"/>
          <w:szCs w:val="20"/>
          <w:color w:val="auto"/>
        </w:rPr>
      </w:pPr>
    </w:p>
    <w:p>
      <w:pPr>
        <w:spacing w:after="0" w:line="348" w:lineRule="exact"/>
        <w:rPr>
          <w:sz w:val="20"/>
          <w:szCs w:val="20"/>
          <w:color w:val="auto"/>
        </w:rPr>
      </w:pPr>
    </w:p>
    <w:p>
      <w:pPr>
        <w:jc w:val="both"/>
        <w:ind w:left="1" w:right="879"/>
        <w:spacing w:after="0" w:line="254" w:lineRule="auto"/>
        <w:rPr>
          <w:sz w:val="20"/>
          <w:szCs w:val="20"/>
          <w:color w:val="auto"/>
        </w:rPr>
      </w:pPr>
      <w:r>
        <w:rPr>
          <w:rFonts w:ascii="Arial" w:cs="Arial" w:eastAsia="Arial" w:hAnsi="Arial"/>
          <w:sz w:val="19"/>
          <w:szCs w:val="19"/>
          <w:color w:val="auto"/>
        </w:rPr>
        <w:t>In terms of the performance and personal competencies required for the position, we would highlight the following: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9"/>
          <w:szCs w:val="19"/>
          <w:color w:val="auto"/>
        </w:rPr>
        <w:t>Strategy and Innovation</w:t>
      </w:r>
    </w:p>
    <w:p>
      <w:pPr>
        <w:spacing w:after="0" w:line="173" w:lineRule="exact"/>
        <w:rPr>
          <w:sz w:val="20"/>
          <w:szCs w:val="20"/>
          <w:color w:val="auto"/>
        </w:rPr>
      </w:pPr>
    </w:p>
    <w:p>
      <w:pPr>
        <w:jc w:val="both"/>
        <w:ind w:left="1" w:right="579" w:hanging="1"/>
        <w:spacing w:after="0" w:line="249" w:lineRule="auto"/>
        <w:tabs>
          <w:tab w:leader="none" w:pos="342" w:val="left"/>
        </w:tabs>
        <w:numPr>
          <w:ilvl w:val="0"/>
          <w:numId w:val="89"/>
        </w:numPr>
        <w:rPr>
          <w:rFonts w:ascii="Times New Roman" w:cs="Times New Roman" w:eastAsia="Times New Roman" w:hAnsi="Times New Roman"/>
          <w:sz w:val="19"/>
          <w:szCs w:val="19"/>
          <w:color w:val="auto"/>
        </w:rPr>
      </w:pPr>
      <w:r>
        <w:rPr>
          <w:rFonts w:ascii="Arial" w:cs="Arial" w:eastAsia="Arial" w:hAnsi="Arial"/>
          <w:sz w:val="19"/>
          <w:szCs w:val="19"/>
          <w:color w:val="auto"/>
        </w:rPr>
        <w:t>An innovative, strategic thinker with the ability to conceptualize and articulate innovative, big picture strategies. Adept at integrating the insights of others to help shape vision and strategy.</w:t>
      </w:r>
    </w:p>
    <w:p>
      <w:pPr>
        <w:spacing w:after="0" w:line="80" w:lineRule="exact"/>
        <w:rPr>
          <w:rFonts w:ascii="Times New Roman" w:cs="Times New Roman" w:eastAsia="Times New Roman" w:hAnsi="Times New Roman"/>
          <w:sz w:val="19"/>
          <w:szCs w:val="19"/>
          <w:color w:val="auto"/>
        </w:rPr>
      </w:pPr>
    </w:p>
    <w:p>
      <w:pPr>
        <w:jc w:val="both"/>
        <w:ind w:left="1" w:right="579" w:hanging="1"/>
        <w:spacing w:after="0" w:line="260" w:lineRule="auto"/>
        <w:tabs>
          <w:tab w:leader="none" w:pos="342" w:val="left"/>
        </w:tabs>
        <w:numPr>
          <w:ilvl w:val="0"/>
          <w:numId w:val="89"/>
        </w:numPr>
        <w:rPr>
          <w:rFonts w:ascii="Times New Roman" w:cs="Times New Roman" w:eastAsia="Times New Roman" w:hAnsi="Times New Roman"/>
          <w:sz w:val="19"/>
          <w:szCs w:val="19"/>
          <w:color w:val="auto"/>
        </w:rPr>
      </w:pPr>
      <w:r>
        <w:rPr>
          <w:rFonts w:ascii="Arial" w:cs="Arial" w:eastAsia="Arial" w:hAnsi="Arial"/>
          <w:sz w:val="19"/>
          <w:szCs w:val="19"/>
          <w:color w:val="auto"/>
        </w:rPr>
        <w:t>Highly intelligent individual drawn to complex problems with the capacity to rapidly absorb and synthesize new information.</w:t>
      </w:r>
    </w:p>
    <w:p>
      <w:pPr>
        <w:spacing w:after="0" w:line="355" w:lineRule="exact"/>
        <w:rPr>
          <w:rFonts w:ascii="Times New Roman" w:cs="Times New Roman" w:eastAsia="Times New Roman" w:hAnsi="Times New Roman"/>
          <w:sz w:val="19"/>
          <w:szCs w:val="19"/>
          <w:color w:val="auto"/>
        </w:rPr>
      </w:pPr>
    </w:p>
    <w:p>
      <w:pPr>
        <w:jc w:val="both"/>
        <w:ind w:left="1" w:right="579" w:hanging="1"/>
        <w:spacing w:after="0" w:line="246" w:lineRule="auto"/>
        <w:tabs>
          <w:tab w:leader="none" w:pos="342" w:val="left"/>
        </w:tabs>
        <w:numPr>
          <w:ilvl w:val="0"/>
          <w:numId w:val="89"/>
        </w:numPr>
        <w:rPr>
          <w:rFonts w:ascii="Times New Roman" w:cs="Times New Roman" w:eastAsia="Times New Roman" w:hAnsi="Times New Roman"/>
          <w:sz w:val="19"/>
          <w:szCs w:val="19"/>
          <w:color w:val="auto"/>
        </w:rPr>
      </w:pPr>
      <w:r>
        <w:rPr>
          <w:rFonts w:ascii="Arial" w:cs="Arial" w:eastAsia="Arial" w:hAnsi="Arial"/>
          <w:sz w:val="19"/>
          <w:szCs w:val="19"/>
          <w:color w:val="auto"/>
        </w:rPr>
        <w:t>Anticipates future scenarios and consequences resulting from evolving technologies, customer preferences and competitive trends; envisions long-term market and business opportunity and positions TripAdvisor to capitalize on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1499235</wp:posOffset>
            </wp:positionV>
            <wp:extent cx="684911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2">
            <w:col w:w="4380" w:space="199"/>
            <w:col w:w="4440"/>
          </w:cols>
          <w:pgMar w:left="1440" w:top="305" w:right="1440" w:bottom="1440" w:gutter="0" w:footer="0" w:header="0"/>
          <w:type w:val="continuous"/>
        </w:sectPr>
      </w:pPr>
    </w:p>
    <w:bookmarkStart w:id="102" w:name="page103"/>
    <w:bookmarkEnd w:id="102"/>
    <w:p>
      <w:pPr>
        <w:ind w:left="420"/>
        <w:spacing w:after="0"/>
        <w:rPr>
          <w:sz w:val="20"/>
          <w:szCs w:val="20"/>
          <w:color w:val="auto"/>
        </w:rPr>
      </w:pPr>
      <w:r>
        <w:rPr>
          <w:rFonts w:ascii="Georgia" w:cs="Georgia" w:eastAsia="Georgia" w:hAnsi="Georgia"/>
          <w:sz w:val="20"/>
          <w:szCs w:val="20"/>
          <w:color w:val="auto"/>
        </w:rPr>
        <w:t>6</w:t>
      </w:r>
    </w:p>
    <w:p>
      <w:pPr>
        <w:spacing w:after="0" w:line="232" w:lineRule="exact"/>
        <w:rPr>
          <w:sz w:val="20"/>
          <w:szCs w:val="20"/>
          <w:color w:val="auto"/>
        </w:rPr>
      </w:pPr>
    </w:p>
    <w:p>
      <w:pPr>
        <w:jc w:val="center"/>
        <w:ind w:right="119"/>
        <w:spacing w:after="0"/>
        <w:rPr>
          <w:sz w:val="20"/>
          <w:szCs w:val="20"/>
          <w:color w:val="auto"/>
        </w:rPr>
      </w:pPr>
      <w:r>
        <w:rPr>
          <w:rFonts w:ascii="Georgia" w:cs="Georgia" w:eastAsia="Georgia" w:hAnsi="Georgia"/>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554355</wp:posOffset>
            </wp:positionV>
            <wp:extent cx="5162550" cy="73507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5162550" cy="735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Prende decisioni con rapidità, coniugando</w:t>
            </w:r>
          </w:p>
        </w:tc>
        <w:tc>
          <w:tcPr>
            <w:tcW w:w="396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Makes decisions with a bias for speed</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il pensiero analitico e critico con l'intuizione e</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while blending analytic and critical thinking</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le lezioni dell'esperienza. Possiede una solida</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with intuition, and the lessons of experience.</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capacità di giudizio nel soppesare il rischio</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Possesses sound judgement in weighing risk</w:t>
            </w:r>
          </w:p>
        </w:tc>
        <w:tc>
          <w:tcPr>
            <w:tcW w:w="0" w:type="dxa"/>
            <w:vAlign w:val="bottom"/>
          </w:tcPr>
          <w:p>
            <w:pPr>
              <w:spacing w:after="0"/>
              <w:rPr>
                <w:sz w:val="1"/>
                <w:szCs w:val="1"/>
                <w:color w:val="auto"/>
              </w:rPr>
            </w:pPr>
          </w:p>
        </w:tc>
      </w:tr>
      <w:tr>
        <w:trPr>
          <w:trHeight w:val="249"/>
        </w:trPr>
        <w:tc>
          <w:tcPr>
            <w:tcW w:w="3960" w:type="dxa"/>
            <w:vAlign w:val="bottom"/>
          </w:tcPr>
          <w:p>
            <w:pPr>
              <w:spacing w:after="0"/>
              <w:rPr>
                <w:sz w:val="20"/>
                <w:szCs w:val="20"/>
                <w:color w:val="auto"/>
              </w:rPr>
            </w:pPr>
            <w:r>
              <w:rPr>
                <w:rFonts w:ascii="Arial" w:cs="Arial" w:eastAsia="Arial" w:hAnsi="Arial"/>
                <w:sz w:val="19"/>
                <w:szCs w:val="19"/>
                <w:color w:val="auto"/>
              </w:rPr>
              <w:t>con la ricompensa.</w:t>
            </w:r>
          </w:p>
        </w:tc>
        <w:tc>
          <w:tcPr>
            <w:tcW w:w="1120" w:type="dxa"/>
            <w:vAlign w:val="bottom"/>
          </w:tcPr>
          <w:p>
            <w:pPr>
              <w:ind w:left="100"/>
              <w:spacing w:after="0"/>
              <w:rPr>
                <w:sz w:val="20"/>
                <w:szCs w:val="20"/>
                <w:color w:val="auto"/>
              </w:rPr>
            </w:pPr>
            <w:r>
              <w:rPr>
                <w:rFonts w:ascii="Arial" w:cs="Arial" w:eastAsia="Arial" w:hAnsi="Arial"/>
                <w:sz w:val="19"/>
                <w:szCs w:val="19"/>
                <w:color w:val="auto"/>
                <w:w w:val="97"/>
              </w:rPr>
              <w:t>with reward.</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Pensa fuori dagli schemi e sfida il team</w:t>
            </w:r>
          </w:p>
        </w:tc>
        <w:tc>
          <w:tcPr>
            <w:tcW w:w="396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Thinks outside the box and challenges</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con idee nuove, punti di vista alternativi e una</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the  team  with  novel  ideas,  alternative</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prospettiva  creativa.  In  definitiva,  bilancia</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viewpoints,  and  a  creative  perspective.</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l'innovazione e il pragmatismo.</w:t>
            </w:r>
          </w:p>
        </w:tc>
        <w:tc>
          <w:tcPr>
            <w:tcW w:w="1120" w:type="dxa"/>
            <w:vAlign w:val="bottom"/>
          </w:tcPr>
          <w:p>
            <w:pPr>
              <w:ind w:left="100"/>
              <w:spacing w:after="0" w:line="216" w:lineRule="exact"/>
              <w:rPr>
                <w:sz w:val="20"/>
                <w:szCs w:val="20"/>
                <w:color w:val="auto"/>
              </w:rPr>
            </w:pPr>
            <w:r>
              <w:rPr>
                <w:rFonts w:ascii="Arial" w:cs="Arial" w:eastAsia="Arial" w:hAnsi="Arial"/>
                <w:sz w:val="19"/>
                <w:szCs w:val="19"/>
                <w:color w:val="auto"/>
              </w:rPr>
              <w:t>Ultimately,</w:t>
            </w:r>
          </w:p>
        </w:tc>
        <w:tc>
          <w:tcPr>
            <w:tcW w:w="1080" w:type="dxa"/>
            <w:vAlign w:val="bottom"/>
          </w:tcPr>
          <w:p>
            <w:pPr>
              <w:ind w:left="220"/>
              <w:spacing w:after="0" w:line="216" w:lineRule="exact"/>
              <w:rPr>
                <w:sz w:val="20"/>
                <w:szCs w:val="20"/>
                <w:color w:val="auto"/>
              </w:rPr>
            </w:pPr>
            <w:r>
              <w:rPr>
                <w:rFonts w:ascii="Arial" w:cs="Arial" w:eastAsia="Arial" w:hAnsi="Arial"/>
                <w:sz w:val="19"/>
                <w:szCs w:val="19"/>
                <w:color w:val="auto"/>
              </w:rPr>
              <w:t>balances</w:t>
            </w:r>
          </w:p>
        </w:tc>
        <w:tc>
          <w:tcPr>
            <w:tcW w:w="1280" w:type="dxa"/>
            <w:vAlign w:val="bottom"/>
          </w:tcPr>
          <w:p>
            <w:pPr>
              <w:ind w:left="240"/>
              <w:spacing w:after="0" w:line="216" w:lineRule="exact"/>
              <w:rPr>
                <w:sz w:val="20"/>
                <w:szCs w:val="20"/>
                <w:color w:val="auto"/>
              </w:rPr>
            </w:pPr>
            <w:r>
              <w:rPr>
                <w:rFonts w:ascii="Arial" w:cs="Arial" w:eastAsia="Arial" w:hAnsi="Arial"/>
                <w:sz w:val="19"/>
                <w:szCs w:val="19"/>
                <w:color w:val="auto"/>
              </w:rPr>
              <w:t>innovation</w:t>
            </w:r>
          </w:p>
        </w:tc>
        <w:tc>
          <w:tcPr>
            <w:tcW w:w="480" w:type="dxa"/>
            <w:vAlign w:val="bottom"/>
          </w:tcPr>
          <w:p>
            <w:pPr>
              <w:jc w:val="right"/>
              <w:spacing w:after="0" w:line="216" w:lineRule="exact"/>
              <w:rPr>
                <w:sz w:val="20"/>
                <w:szCs w:val="20"/>
                <w:color w:val="auto"/>
              </w:rPr>
            </w:pPr>
            <w:r>
              <w:rPr>
                <w:rFonts w:ascii="Arial" w:cs="Arial" w:eastAsia="Arial" w:hAnsi="Arial"/>
                <w:sz w:val="19"/>
                <w:szCs w:val="19"/>
                <w:color w:val="auto"/>
              </w:rPr>
              <w:t>and</w:t>
            </w:r>
          </w:p>
        </w:tc>
        <w:tc>
          <w:tcPr>
            <w:tcW w:w="0" w:type="dxa"/>
            <w:vAlign w:val="bottom"/>
          </w:tcPr>
          <w:p>
            <w:pPr>
              <w:spacing w:after="0"/>
              <w:rPr>
                <w:sz w:val="1"/>
                <w:szCs w:val="1"/>
                <w:color w:val="auto"/>
              </w:rPr>
            </w:pPr>
          </w:p>
        </w:tc>
      </w:tr>
      <w:tr>
        <w:trPr>
          <w:trHeight w:val="249"/>
        </w:trPr>
        <w:tc>
          <w:tcPr>
            <w:tcW w:w="3960" w:type="dxa"/>
            <w:vAlign w:val="bottom"/>
          </w:tcPr>
          <w:p>
            <w:pPr>
              <w:spacing w:after="0"/>
              <w:rPr>
                <w:sz w:val="21"/>
                <w:szCs w:val="21"/>
                <w:color w:val="auto"/>
              </w:rPr>
            </w:pPr>
          </w:p>
        </w:tc>
        <w:tc>
          <w:tcPr>
            <w:tcW w:w="2200" w:type="dxa"/>
            <w:vAlign w:val="bottom"/>
            <w:gridSpan w:val="2"/>
          </w:tcPr>
          <w:p>
            <w:pPr>
              <w:ind w:left="100"/>
              <w:spacing w:after="0"/>
              <w:rPr>
                <w:sz w:val="20"/>
                <w:szCs w:val="20"/>
                <w:color w:val="auto"/>
              </w:rPr>
            </w:pPr>
            <w:r>
              <w:rPr>
                <w:rFonts w:ascii="Arial" w:cs="Arial" w:eastAsia="Arial" w:hAnsi="Arial"/>
                <w:sz w:val="19"/>
                <w:szCs w:val="19"/>
                <w:color w:val="auto"/>
              </w:rPr>
              <w:t>pragmatism.</w:t>
            </w: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3960" w:type="dxa"/>
            <w:vAlign w:val="bottom"/>
          </w:tcPr>
          <w:p>
            <w:pPr>
              <w:ind w:left="20"/>
              <w:spacing w:after="0"/>
              <w:rPr>
                <w:sz w:val="20"/>
                <w:szCs w:val="20"/>
                <w:color w:val="auto"/>
              </w:rPr>
            </w:pPr>
            <w:r>
              <w:rPr>
                <w:rFonts w:ascii="Arial" w:cs="Arial" w:eastAsia="Arial" w:hAnsi="Arial"/>
                <w:sz w:val="19"/>
                <w:szCs w:val="19"/>
                <w:color w:val="auto"/>
              </w:rPr>
              <w:t>Esecuzione e orientamento dei risultati</w:t>
            </w:r>
          </w:p>
        </w:tc>
        <w:tc>
          <w:tcPr>
            <w:tcW w:w="3480" w:type="dxa"/>
            <w:vAlign w:val="bottom"/>
            <w:gridSpan w:val="3"/>
            <w:vMerge w:val="restart"/>
          </w:tcPr>
          <w:p>
            <w:pPr>
              <w:ind w:left="100"/>
              <w:spacing w:after="0"/>
              <w:rPr>
                <w:sz w:val="20"/>
                <w:szCs w:val="20"/>
                <w:color w:val="auto"/>
              </w:rPr>
            </w:pPr>
            <w:r>
              <w:rPr>
                <w:rFonts w:ascii="Arial" w:cs="Arial" w:eastAsia="Arial" w:hAnsi="Arial"/>
                <w:sz w:val="19"/>
                <w:szCs w:val="19"/>
                <w:color w:val="auto"/>
              </w:rPr>
              <w:t>Execution and Results-Orientation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Mostra   un'attenzione   ostinata   alle</w:t>
            </w:r>
          </w:p>
        </w:tc>
        <w:tc>
          <w:tcPr>
            <w:tcW w:w="348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prestazioni  e  ai  risultati  fissando  obiettivi</w:t>
            </w:r>
          </w:p>
        </w:tc>
        <w:tc>
          <w:tcPr>
            <w:tcW w:w="3960" w:type="dxa"/>
            <w:vAlign w:val="bottom"/>
            <w:gridSpan w:val="4"/>
          </w:tcPr>
          <w:p>
            <w:pPr>
              <w:ind w:left="100"/>
              <w:spacing w:after="0" w:line="216" w:lineRule="exact"/>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Shows   an   unapologetic   focus   on</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chiari,  stabilendo  metriche,  monitorando  i</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performance  and  results  by  setting  clear</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progressi, misurando i risultati e ritenendo le</w:t>
            </w:r>
          </w:p>
        </w:tc>
        <w:tc>
          <w:tcPr>
            <w:tcW w:w="1120" w:type="dxa"/>
            <w:vAlign w:val="bottom"/>
          </w:tcPr>
          <w:p>
            <w:pPr>
              <w:ind w:left="100"/>
              <w:spacing w:after="0" w:line="216" w:lineRule="exact"/>
              <w:rPr>
                <w:sz w:val="20"/>
                <w:szCs w:val="20"/>
                <w:color w:val="auto"/>
              </w:rPr>
            </w:pPr>
            <w:r>
              <w:rPr>
                <w:rFonts w:ascii="Arial" w:cs="Arial" w:eastAsia="Arial" w:hAnsi="Arial"/>
                <w:sz w:val="19"/>
                <w:szCs w:val="19"/>
                <w:color w:val="auto"/>
              </w:rPr>
              <w:t>objectives,</w:t>
            </w:r>
          </w:p>
        </w:tc>
        <w:tc>
          <w:tcPr>
            <w:tcW w:w="1080" w:type="dxa"/>
            <w:vAlign w:val="bottom"/>
          </w:tcPr>
          <w:p>
            <w:pPr>
              <w:ind w:left="20"/>
              <w:spacing w:after="0" w:line="216" w:lineRule="exact"/>
              <w:rPr>
                <w:sz w:val="20"/>
                <w:szCs w:val="20"/>
                <w:color w:val="auto"/>
              </w:rPr>
            </w:pPr>
            <w:r>
              <w:rPr>
                <w:rFonts w:ascii="Arial" w:cs="Arial" w:eastAsia="Arial" w:hAnsi="Arial"/>
                <w:sz w:val="19"/>
                <w:szCs w:val="19"/>
                <w:color w:val="auto"/>
              </w:rPr>
              <w:t>establishing</w:t>
            </w:r>
          </w:p>
        </w:tc>
        <w:tc>
          <w:tcPr>
            <w:tcW w:w="17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metrics,  monitoring</w:t>
            </w:r>
          </w:p>
        </w:tc>
        <w:tc>
          <w:tcPr>
            <w:tcW w:w="0" w:type="dxa"/>
            <w:vAlign w:val="bottom"/>
          </w:tcPr>
          <w:p>
            <w:pPr>
              <w:spacing w:after="0"/>
              <w:rPr>
                <w:sz w:val="1"/>
                <w:szCs w:val="1"/>
                <w:color w:val="auto"/>
              </w:rPr>
            </w:pPr>
          </w:p>
        </w:tc>
      </w:tr>
      <w:tr>
        <w:trPr>
          <w:trHeight w:val="261"/>
        </w:trPr>
        <w:tc>
          <w:tcPr>
            <w:tcW w:w="3960" w:type="dxa"/>
            <w:vAlign w:val="bottom"/>
          </w:tcPr>
          <w:p>
            <w:pPr>
              <w:spacing w:after="0"/>
              <w:rPr>
                <w:sz w:val="20"/>
                <w:szCs w:val="20"/>
                <w:color w:val="auto"/>
              </w:rPr>
            </w:pPr>
            <w:r>
              <w:rPr>
                <w:rFonts w:ascii="Arial" w:cs="Arial" w:eastAsia="Arial" w:hAnsi="Arial"/>
                <w:sz w:val="19"/>
                <w:szCs w:val="19"/>
                <w:color w:val="auto"/>
              </w:rPr>
              <w:t>persone responsabili.</w:t>
            </w:r>
          </w:p>
        </w:tc>
        <w:tc>
          <w:tcPr>
            <w:tcW w:w="3960" w:type="dxa"/>
            <w:vAlign w:val="bottom"/>
            <w:gridSpan w:val="4"/>
          </w:tcPr>
          <w:p>
            <w:pPr>
              <w:ind w:left="100"/>
              <w:spacing w:after="0"/>
              <w:rPr>
                <w:sz w:val="20"/>
                <w:szCs w:val="20"/>
                <w:color w:val="auto"/>
              </w:rPr>
            </w:pPr>
            <w:r>
              <w:rPr>
                <w:rFonts w:ascii="Arial" w:cs="Arial" w:eastAsia="Arial" w:hAnsi="Arial"/>
                <w:sz w:val="19"/>
                <w:szCs w:val="19"/>
                <w:color w:val="auto"/>
              </w:rPr>
              <w:t>progress, measuring outcomes, and holding</w:t>
            </w:r>
          </w:p>
        </w:tc>
        <w:tc>
          <w:tcPr>
            <w:tcW w:w="0" w:type="dxa"/>
            <w:vAlign w:val="bottom"/>
          </w:tcPr>
          <w:p>
            <w:pPr>
              <w:spacing w:after="0"/>
              <w:rPr>
                <w:sz w:val="1"/>
                <w:szCs w:val="1"/>
                <w:color w:val="auto"/>
              </w:rPr>
            </w:pPr>
          </w:p>
        </w:tc>
      </w:tr>
    </w:tbl>
    <w:p>
      <w:pPr>
        <w:ind w:left="860" w:hanging="331"/>
        <w:spacing w:after="0" w:line="190" w:lineRule="auto"/>
        <w:tabs>
          <w:tab w:leader="none" w:pos="860" w:val="left"/>
        </w:tabs>
        <w:numPr>
          <w:ilvl w:val="0"/>
          <w:numId w:val="90"/>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Dimostra  un'energia  duratura  ed  è  </w:t>
      </w:r>
      <w:r>
        <w:rPr>
          <w:rFonts w:ascii="Arial" w:cs="Arial" w:eastAsia="Arial" w:hAnsi="Arial"/>
          <w:sz w:val="37"/>
          <w:szCs w:val="37"/>
          <w:color w:val="auto"/>
          <w:vertAlign w:val="superscript"/>
        </w:rPr>
        <w:t>people accountable.</w:t>
      </w:r>
    </w:p>
    <w:tbl>
      <w:tblPr>
        <w:tblLayout w:type="fixed"/>
        <w:tblInd w:w="520" w:type="dxa"/>
        <w:tblCellMar>
          <w:top w:w="0" w:type="dxa"/>
          <w:left w:w="0" w:type="dxa"/>
          <w:bottom w:w="0" w:type="dxa"/>
          <w:right w:w="0" w:type="dxa"/>
        </w:tblCellMar>
      </w:tblPr>
      <w:tr>
        <w:trPr>
          <w:trHeight w:val="199"/>
        </w:trPr>
        <w:tc>
          <w:tcPr>
            <w:tcW w:w="3960" w:type="dxa"/>
            <w:vAlign w:val="bottom"/>
            <w:gridSpan w:val="3"/>
          </w:tcPr>
          <w:p>
            <w:pPr>
              <w:spacing w:after="0" w:line="199" w:lineRule="exact"/>
              <w:rPr>
                <w:sz w:val="20"/>
                <w:szCs w:val="20"/>
                <w:color w:val="auto"/>
              </w:rPr>
            </w:pPr>
            <w:r>
              <w:rPr>
                <w:rFonts w:ascii="Arial" w:cs="Arial" w:eastAsia="Arial" w:hAnsi="Arial"/>
                <w:sz w:val="19"/>
                <w:szCs w:val="19"/>
                <w:color w:val="auto"/>
              </w:rPr>
              <w:t>visibilmente  appassionato  di  viaggi.  Porta</w:t>
            </w:r>
          </w:p>
        </w:tc>
        <w:tc>
          <w:tcPr>
            <w:tcW w:w="300" w:type="dxa"/>
            <w:vAlign w:val="bottom"/>
          </w:tcPr>
          <w:p>
            <w:pPr>
              <w:ind w:left="100"/>
              <w:spacing w:after="0" w:line="199" w:lineRule="exact"/>
              <w:rPr>
                <w:sz w:val="20"/>
                <w:szCs w:val="20"/>
                <w:color w:val="auto"/>
              </w:rPr>
            </w:pPr>
            <w:r>
              <w:rPr>
                <w:rFonts w:ascii="Times New Roman" w:cs="Times New Roman" w:eastAsia="Times New Roman" w:hAnsi="Times New Roman"/>
                <w:sz w:val="19"/>
                <w:szCs w:val="19"/>
                <w:color w:val="auto"/>
              </w:rPr>
              <w:t>•</w:t>
            </w:r>
          </w:p>
        </w:tc>
        <w:tc>
          <w:tcPr>
            <w:tcW w:w="2940" w:type="dxa"/>
            <w:vAlign w:val="bottom"/>
          </w:tcPr>
          <w:p>
            <w:pPr>
              <w:ind w:left="140"/>
              <w:spacing w:after="0" w:line="199" w:lineRule="exact"/>
              <w:rPr>
                <w:sz w:val="20"/>
                <w:szCs w:val="20"/>
                <w:color w:val="auto"/>
              </w:rPr>
            </w:pPr>
            <w:r>
              <w:rPr>
                <w:rFonts w:ascii="Arial" w:cs="Arial" w:eastAsia="Arial" w:hAnsi="Arial"/>
                <w:sz w:val="19"/>
                <w:szCs w:val="19"/>
                <w:color w:val="auto"/>
              </w:rPr>
              <w:t>Demonstrates  enduring  energy</w:t>
            </w:r>
          </w:p>
        </w:tc>
        <w:tc>
          <w:tcPr>
            <w:tcW w:w="720" w:type="dxa"/>
            <w:vAlign w:val="bottom"/>
          </w:tcPr>
          <w:p>
            <w:pPr>
              <w:jc w:val="right"/>
              <w:spacing w:after="0" w:line="199" w:lineRule="exact"/>
              <w:rPr>
                <w:sz w:val="20"/>
                <w:szCs w:val="20"/>
                <w:color w:val="auto"/>
              </w:rPr>
            </w:pPr>
            <w:r>
              <w:rPr>
                <w:rFonts w:ascii="Arial" w:cs="Arial" w:eastAsia="Arial" w:hAnsi="Arial"/>
                <w:sz w:val="19"/>
                <w:szCs w:val="19"/>
                <w:color w:val="auto"/>
              </w:rPr>
              <w:t>and  is</w:t>
            </w: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9"/>
                <w:szCs w:val="19"/>
                <w:color w:val="auto"/>
              </w:rPr>
              <w:t>ottimismo  e  compostezza  in  situazioni  di</w:t>
            </w:r>
          </w:p>
        </w:tc>
        <w:tc>
          <w:tcPr>
            <w:tcW w:w="3960" w:type="dxa"/>
            <w:vAlign w:val="bottom"/>
            <w:gridSpan w:val="3"/>
          </w:tcPr>
          <w:p>
            <w:pPr>
              <w:ind w:left="100"/>
              <w:spacing w:after="0"/>
              <w:rPr>
                <w:sz w:val="20"/>
                <w:szCs w:val="20"/>
                <w:color w:val="auto"/>
              </w:rPr>
            </w:pPr>
            <w:r>
              <w:rPr>
                <w:rFonts w:ascii="Arial" w:cs="Arial" w:eastAsia="Arial" w:hAnsi="Arial"/>
                <w:sz w:val="19"/>
                <w:szCs w:val="19"/>
                <w:color w:val="auto"/>
              </w:rPr>
              <w:t>visibly  passionate  about  travel.  Brings</w:t>
            </w:r>
          </w:p>
        </w:tc>
        <w:tc>
          <w:tcPr>
            <w:tcW w:w="0" w:type="dxa"/>
            <w:vAlign w:val="bottom"/>
          </w:tcPr>
          <w:p>
            <w:pPr>
              <w:spacing w:after="0"/>
              <w:rPr>
                <w:sz w:val="1"/>
                <w:szCs w:val="1"/>
                <w:color w:val="auto"/>
              </w:rPr>
            </w:pPr>
          </w:p>
        </w:tc>
      </w:tr>
      <w:tr>
        <w:trPr>
          <w:trHeight w:val="243"/>
        </w:trPr>
        <w:tc>
          <w:tcPr>
            <w:tcW w:w="2480" w:type="dxa"/>
            <w:vAlign w:val="bottom"/>
            <w:gridSpan w:val="2"/>
          </w:tcPr>
          <w:p>
            <w:pPr>
              <w:spacing w:after="0"/>
              <w:rPr>
                <w:sz w:val="20"/>
                <w:szCs w:val="20"/>
                <w:color w:val="auto"/>
              </w:rPr>
            </w:pPr>
            <w:r>
              <w:rPr>
                <w:rFonts w:ascii="Arial" w:cs="Arial" w:eastAsia="Arial" w:hAnsi="Arial"/>
                <w:sz w:val="19"/>
                <w:szCs w:val="19"/>
                <w:color w:val="auto"/>
              </w:rPr>
              <w:t>ambiguità e cambiamento.</w:t>
            </w:r>
          </w:p>
        </w:tc>
        <w:tc>
          <w:tcPr>
            <w:tcW w:w="1480" w:type="dxa"/>
            <w:vAlign w:val="bottom"/>
          </w:tcPr>
          <w:p>
            <w:pPr>
              <w:spacing w:after="0"/>
              <w:rPr>
                <w:sz w:val="21"/>
                <w:szCs w:val="21"/>
                <w:color w:val="auto"/>
              </w:rPr>
            </w:pPr>
          </w:p>
        </w:tc>
        <w:tc>
          <w:tcPr>
            <w:tcW w:w="3960" w:type="dxa"/>
            <w:vAlign w:val="bottom"/>
            <w:gridSpan w:val="3"/>
          </w:tcPr>
          <w:p>
            <w:pPr>
              <w:ind w:left="100"/>
              <w:spacing w:after="0"/>
              <w:rPr>
                <w:sz w:val="20"/>
                <w:szCs w:val="20"/>
                <w:color w:val="auto"/>
              </w:rPr>
            </w:pPr>
            <w:r>
              <w:rPr>
                <w:rFonts w:ascii="Arial" w:cs="Arial" w:eastAsia="Arial" w:hAnsi="Arial"/>
                <w:sz w:val="19"/>
                <w:szCs w:val="19"/>
                <w:color w:val="auto"/>
              </w:rPr>
              <w:t>seasoned  optimism  and  composure  to</w:t>
            </w:r>
          </w:p>
        </w:tc>
        <w:tc>
          <w:tcPr>
            <w:tcW w:w="0" w:type="dxa"/>
            <w:vAlign w:val="bottom"/>
          </w:tcPr>
          <w:p>
            <w:pPr>
              <w:spacing w:after="0"/>
              <w:rPr>
                <w:sz w:val="1"/>
                <w:szCs w:val="1"/>
                <w:color w:val="auto"/>
              </w:rPr>
            </w:pPr>
          </w:p>
        </w:tc>
      </w:tr>
      <w:tr>
        <w:trPr>
          <w:trHeight w:val="249"/>
        </w:trPr>
        <w:tc>
          <w:tcPr>
            <w:tcW w:w="12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Risoluto</w:t>
            </w:r>
          </w:p>
        </w:tc>
        <w:tc>
          <w:tcPr>
            <w:tcW w:w="1200" w:type="dxa"/>
            <w:vAlign w:val="bottom"/>
            <w:vMerge w:val="restart"/>
          </w:tcPr>
          <w:p>
            <w:pPr>
              <w:ind w:left="20"/>
              <w:spacing w:after="0"/>
              <w:rPr>
                <w:sz w:val="20"/>
                <w:szCs w:val="20"/>
                <w:color w:val="auto"/>
              </w:rPr>
            </w:pPr>
            <w:r>
              <w:rPr>
                <w:rFonts w:ascii="Arial" w:cs="Arial" w:eastAsia="Arial" w:hAnsi="Arial"/>
                <w:sz w:val="19"/>
                <w:szCs w:val="19"/>
                <w:color w:val="auto"/>
              </w:rPr>
              <w:t>nel   definire</w:t>
            </w:r>
          </w:p>
        </w:tc>
        <w:tc>
          <w:tcPr>
            <w:tcW w:w="1480" w:type="dxa"/>
            <w:vAlign w:val="bottom"/>
            <w:vMerge w:val="restart"/>
          </w:tcPr>
          <w:p>
            <w:pPr>
              <w:jc w:val="right"/>
              <w:ind w:right="6"/>
              <w:spacing w:after="0"/>
              <w:rPr>
                <w:sz w:val="20"/>
                <w:szCs w:val="20"/>
                <w:color w:val="auto"/>
              </w:rPr>
            </w:pPr>
            <w:r>
              <w:rPr>
                <w:rFonts w:ascii="Arial" w:cs="Arial" w:eastAsia="Arial" w:hAnsi="Arial"/>
                <w:sz w:val="19"/>
                <w:szCs w:val="19"/>
                <w:color w:val="auto"/>
              </w:rPr>
              <w:t>la   direzione</w:t>
            </w:r>
          </w:p>
        </w:tc>
        <w:tc>
          <w:tcPr>
            <w:tcW w:w="3240" w:type="dxa"/>
            <w:vAlign w:val="bottom"/>
            <w:gridSpan w:val="2"/>
          </w:tcPr>
          <w:p>
            <w:pPr>
              <w:ind w:left="100"/>
              <w:spacing w:after="0"/>
              <w:rPr>
                <w:sz w:val="20"/>
                <w:szCs w:val="20"/>
                <w:color w:val="auto"/>
              </w:rPr>
            </w:pPr>
            <w:r>
              <w:rPr>
                <w:rFonts w:ascii="Arial" w:cs="Arial" w:eastAsia="Arial" w:hAnsi="Arial"/>
                <w:sz w:val="19"/>
                <w:szCs w:val="19"/>
                <w:color w:val="auto"/>
              </w:rPr>
              <w:t>situations of ambiguity and change.</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line="216" w:lineRule="exact"/>
              <w:rPr>
                <w:sz w:val="20"/>
                <w:szCs w:val="20"/>
                <w:color w:val="auto"/>
              </w:rPr>
            </w:pPr>
            <w:r>
              <w:rPr>
                <w:rFonts w:ascii="Arial" w:cs="Arial" w:eastAsia="Arial" w:hAnsi="Arial"/>
                <w:sz w:val="19"/>
                <w:szCs w:val="19"/>
                <w:color w:val="auto"/>
              </w:rPr>
              <w:t>strategica  pur</w:t>
            </w:r>
          </w:p>
        </w:tc>
        <w:tc>
          <w:tcPr>
            <w:tcW w:w="1200" w:type="dxa"/>
            <w:vAlign w:val="bottom"/>
          </w:tcPr>
          <w:p>
            <w:pPr>
              <w:ind w:left="180"/>
              <w:spacing w:after="0" w:line="216" w:lineRule="exact"/>
              <w:rPr>
                <w:sz w:val="20"/>
                <w:szCs w:val="20"/>
                <w:color w:val="auto"/>
              </w:rPr>
            </w:pPr>
            <w:r>
              <w:rPr>
                <w:rFonts w:ascii="Arial" w:cs="Arial" w:eastAsia="Arial" w:hAnsi="Arial"/>
                <w:sz w:val="19"/>
                <w:szCs w:val="19"/>
                <w:color w:val="auto"/>
              </w:rPr>
              <w:t>rimanendo</w:t>
            </w:r>
          </w:p>
        </w:tc>
        <w:tc>
          <w:tcPr>
            <w:tcW w:w="1480" w:type="dxa"/>
            <w:vAlign w:val="bottom"/>
          </w:tcPr>
          <w:p>
            <w:pPr>
              <w:jc w:val="right"/>
              <w:ind w:right="6"/>
              <w:spacing w:after="0" w:line="216" w:lineRule="exact"/>
              <w:rPr>
                <w:sz w:val="20"/>
                <w:szCs w:val="20"/>
                <w:color w:val="auto"/>
              </w:rPr>
            </w:pPr>
            <w:r>
              <w:rPr>
                <w:rFonts w:ascii="Arial" w:cs="Arial" w:eastAsia="Arial" w:hAnsi="Arial"/>
                <w:sz w:val="19"/>
                <w:szCs w:val="19"/>
                <w:color w:val="auto"/>
              </w:rPr>
              <w:t>adeguatamente</w:t>
            </w:r>
          </w:p>
        </w:tc>
        <w:tc>
          <w:tcPr>
            <w:tcW w:w="30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w:t>
            </w:r>
          </w:p>
        </w:tc>
        <w:tc>
          <w:tcPr>
            <w:tcW w:w="2940" w:type="dxa"/>
            <w:vAlign w:val="bottom"/>
          </w:tcPr>
          <w:p>
            <w:pPr>
              <w:ind w:left="140"/>
              <w:spacing w:after="0" w:line="216" w:lineRule="exact"/>
              <w:rPr>
                <w:sz w:val="20"/>
                <w:szCs w:val="20"/>
                <w:color w:val="auto"/>
              </w:rPr>
            </w:pPr>
            <w:r>
              <w:rPr>
                <w:rFonts w:ascii="Arial" w:cs="Arial" w:eastAsia="Arial" w:hAnsi="Arial"/>
                <w:sz w:val="19"/>
                <w:szCs w:val="19"/>
                <w:color w:val="auto"/>
              </w:rPr>
              <w:t>Steadfast   around   setting</w:t>
            </w:r>
          </w:p>
        </w:tc>
        <w:tc>
          <w:tcPr>
            <w:tcW w:w="720" w:type="dxa"/>
            <w:vAlign w:val="bottom"/>
          </w:tcPr>
          <w:p>
            <w:pPr>
              <w:jc w:val="right"/>
              <w:spacing w:after="0" w:line="216" w:lineRule="exact"/>
              <w:rPr>
                <w:sz w:val="20"/>
                <w:szCs w:val="20"/>
                <w:color w:val="auto"/>
              </w:rPr>
            </w:pPr>
            <w:r>
              <w:rPr>
                <w:rFonts w:ascii="Arial" w:cs="Arial" w:eastAsia="Arial" w:hAnsi="Arial"/>
                <w:sz w:val="19"/>
                <w:szCs w:val="19"/>
                <w:color w:val="auto"/>
                <w:w w:val="97"/>
              </w:rPr>
              <w:t>strategic</w:t>
            </w: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9"/>
                <w:szCs w:val="19"/>
                <w:color w:val="auto"/>
              </w:rPr>
              <w:t>aperto  ad  elementi  di  influenza  esterna;</w:t>
            </w:r>
          </w:p>
        </w:tc>
        <w:tc>
          <w:tcPr>
            <w:tcW w:w="3960" w:type="dxa"/>
            <w:vAlign w:val="bottom"/>
            <w:gridSpan w:val="3"/>
          </w:tcPr>
          <w:p>
            <w:pPr>
              <w:ind w:left="100"/>
              <w:spacing w:after="0"/>
              <w:rPr>
                <w:sz w:val="20"/>
                <w:szCs w:val="20"/>
                <w:color w:val="auto"/>
              </w:rPr>
            </w:pPr>
            <w:r>
              <w:rPr>
                <w:rFonts w:ascii="Arial" w:cs="Arial" w:eastAsia="Arial" w:hAnsi="Arial"/>
                <w:sz w:val="19"/>
                <w:szCs w:val="19"/>
                <w:color w:val="auto"/>
              </w:rPr>
              <w:t>direction while remaining appropriately open</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line="216" w:lineRule="exact"/>
              <w:rPr>
                <w:sz w:val="20"/>
                <w:szCs w:val="20"/>
                <w:color w:val="auto"/>
              </w:rPr>
            </w:pPr>
            <w:r>
              <w:rPr>
                <w:rFonts w:ascii="Arial" w:cs="Arial" w:eastAsia="Arial" w:hAnsi="Arial"/>
                <w:sz w:val="19"/>
                <w:szCs w:val="19"/>
                <w:color w:val="auto"/>
              </w:rPr>
              <w:t>riflette sulle decisioni, ammette gli errori e, se</w:t>
            </w:r>
          </w:p>
        </w:tc>
        <w:tc>
          <w:tcPr>
            <w:tcW w:w="3960" w:type="dxa"/>
            <w:vAlign w:val="bottom"/>
            <w:gridSpan w:val="3"/>
          </w:tcPr>
          <w:p>
            <w:pPr>
              <w:ind w:left="100"/>
              <w:spacing w:after="0" w:line="216" w:lineRule="exact"/>
              <w:rPr>
                <w:sz w:val="20"/>
                <w:szCs w:val="20"/>
                <w:color w:val="auto"/>
              </w:rPr>
            </w:pPr>
            <w:r>
              <w:rPr>
                <w:rFonts w:ascii="Arial" w:cs="Arial" w:eastAsia="Arial" w:hAnsi="Arial"/>
                <w:sz w:val="19"/>
                <w:szCs w:val="19"/>
                <w:color w:val="auto"/>
              </w:rPr>
              <w:t>to influence; reflects on decisions, admits to</w:t>
            </w:r>
          </w:p>
        </w:tc>
        <w:tc>
          <w:tcPr>
            <w:tcW w:w="0" w:type="dxa"/>
            <w:vAlign w:val="bottom"/>
          </w:tcPr>
          <w:p>
            <w:pPr>
              <w:spacing w:after="0"/>
              <w:rPr>
                <w:sz w:val="1"/>
                <w:szCs w:val="1"/>
                <w:color w:val="auto"/>
              </w:rPr>
            </w:pPr>
          </w:p>
        </w:tc>
      </w:tr>
      <w:tr>
        <w:trPr>
          <w:trHeight w:val="261"/>
        </w:trPr>
        <w:tc>
          <w:tcPr>
            <w:tcW w:w="3960" w:type="dxa"/>
            <w:vAlign w:val="bottom"/>
            <w:gridSpan w:val="3"/>
          </w:tcPr>
          <w:p>
            <w:pPr>
              <w:spacing w:after="0"/>
              <w:rPr>
                <w:sz w:val="20"/>
                <w:szCs w:val="20"/>
                <w:color w:val="auto"/>
              </w:rPr>
            </w:pPr>
            <w:r>
              <w:rPr>
                <w:rFonts w:ascii="Arial" w:cs="Arial" w:eastAsia="Arial" w:hAnsi="Arial"/>
                <w:sz w:val="19"/>
                <w:szCs w:val="19"/>
                <w:color w:val="auto"/>
              </w:rPr>
              <w:t>necessario, rivaluta il percorso da seguire.</w:t>
            </w:r>
          </w:p>
        </w:tc>
        <w:tc>
          <w:tcPr>
            <w:tcW w:w="3960" w:type="dxa"/>
            <w:vAlign w:val="bottom"/>
            <w:gridSpan w:val="3"/>
          </w:tcPr>
          <w:p>
            <w:pPr>
              <w:ind w:left="100"/>
              <w:spacing w:after="0"/>
              <w:rPr>
                <w:sz w:val="20"/>
                <w:szCs w:val="20"/>
                <w:color w:val="auto"/>
              </w:rPr>
            </w:pPr>
            <w:r>
              <w:rPr>
                <w:rFonts w:ascii="Arial" w:cs="Arial" w:eastAsia="Arial" w:hAnsi="Arial"/>
                <w:sz w:val="19"/>
                <w:szCs w:val="19"/>
                <w:color w:val="auto"/>
              </w:rPr>
              <w:t>mistakes, and if necessary, rethinks the path</w:t>
            </w:r>
          </w:p>
        </w:tc>
        <w:tc>
          <w:tcPr>
            <w:tcW w:w="0" w:type="dxa"/>
            <w:vAlign w:val="bottom"/>
          </w:tcPr>
          <w:p>
            <w:pPr>
              <w:spacing w:after="0"/>
              <w:rPr>
                <w:sz w:val="1"/>
                <w:szCs w:val="1"/>
                <w:color w:val="auto"/>
              </w:rPr>
            </w:pPr>
          </w:p>
        </w:tc>
      </w:tr>
    </w:tbl>
    <w:p>
      <w:pPr>
        <w:ind w:left="860" w:hanging="331"/>
        <w:spacing w:after="0" w:line="190" w:lineRule="auto"/>
        <w:tabs>
          <w:tab w:leader="none" w:pos="860" w:val="left"/>
        </w:tabs>
        <w:numPr>
          <w:ilvl w:val="0"/>
          <w:numId w:val="91"/>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Giocatore   di   squadra   con   una  </w:t>
      </w:r>
      <w:r>
        <w:rPr>
          <w:rFonts w:ascii="Arial" w:cs="Arial" w:eastAsia="Arial" w:hAnsi="Arial"/>
          <w:sz w:val="37"/>
          <w:szCs w:val="37"/>
          <w:color w:val="auto"/>
          <w:vertAlign w:val="superscript"/>
        </w:rPr>
        <w:t>forward.</w:t>
      </w:r>
    </w:p>
    <w:tbl>
      <w:tblPr>
        <w:tblLayout w:type="fixed"/>
        <w:tblInd w:w="520" w:type="dxa"/>
        <w:tblCellMar>
          <w:top w:w="0" w:type="dxa"/>
          <w:left w:w="0" w:type="dxa"/>
          <w:bottom w:w="0" w:type="dxa"/>
          <w:right w:w="0" w:type="dxa"/>
        </w:tblCellMar>
      </w:tblPr>
      <w:tr>
        <w:trPr>
          <w:trHeight w:val="199"/>
        </w:trPr>
        <w:tc>
          <w:tcPr>
            <w:tcW w:w="3960" w:type="dxa"/>
            <w:vAlign w:val="bottom"/>
            <w:gridSpan w:val="6"/>
          </w:tcPr>
          <w:p>
            <w:pPr>
              <w:spacing w:after="0" w:line="199" w:lineRule="exact"/>
              <w:rPr>
                <w:sz w:val="20"/>
                <w:szCs w:val="20"/>
                <w:color w:val="auto"/>
              </w:rPr>
            </w:pPr>
            <w:r>
              <w:rPr>
                <w:rFonts w:ascii="Arial" w:cs="Arial" w:eastAsia="Arial" w:hAnsi="Arial"/>
                <w:sz w:val="19"/>
                <w:szCs w:val="19"/>
                <w:color w:val="auto"/>
              </w:rPr>
              <w:t>predilezione per l'inclusione, la collaborazione</w:t>
            </w:r>
          </w:p>
        </w:tc>
        <w:tc>
          <w:tcPr>
            <w:tcW w:w="3960" w:type="dxa"/>
            <w:vAlign w:val="bottom"/>
          </w:tcPr>
          <w:p>
            <w:pPr>
              <w:ind w:left="100"/>
              <w:spacing w:after="0" w:line="199" w:lineRule="exact"/>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Team player with a bias for inclusion,</w:t>
            </w:r>
          </w:p>
        </w:tc>
        <w:tc>
          <w:tcPr>
            <w:tcW w:w="0" w:type="dxa"/>
            <w:vAlign w:val="bottom"/>
          </w:tcPr>
          <w:p>
            <w:pPr>
              <w:spacing w:after="0"/>
              <w:rPr>
                <w:sz w:val="1"/>
                <w:szCs w:val="1"/>
                <w:color w:val="auto"/>
              </w:rPr>
            </w:pPr>
          </w:p>
        </w:tc>
      </w:tr>
      <w:tr>
        <w:trPr>
          <w:trHeight w:val="216"/>
        </w:trPr>
        <w:tc>
          <w:tcPr>
            <w:tcW w:w="3960" w:type="dxa"/>
            <w:vAlign w:val="bottom"/>
            <w:gridSpan w:val="6"/>
          </w:tcPr>
          <w:p>
            <w:pPr>
              <w:spacing w:after="0" w:line="216" w:lineRule="exact"/>
              <w:rPr>
                <w:sz w:val="20"/>
                <w:szCs w:val="20"/>
                <w:color w:val="auto"/>
              </w:rPr>
            </w:pPr>
            <w:r>
              <w:rPr>
                <w:rFonts w:ascii="Arial" w:cs="Arial" w:eastAsia="Arial" w:hAnsi="Arial"/>
                <w:sz w:val="19"/>
                <w:szCs w:val="19"/>
                <w:color w:val="auto"/>
              </w:rPr>
              <w:t>e la frequente interazione tra diverse parti</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collaboration   and   frequent   interaction</w:t>
            </w:r>
          </w:p>
        </w:tc>
        <w:tc>
          <w:tcPr>
            <w:tcW w:w="0" w:type="dxa"/>
            <w:vAlign w:val="bottom"/>
          </w:tcPr>
          <w:p>
            <w:pPr>
              <w:spacing w:after="0"/>
              <w:rPr>
                <w:sz w:val="1"/>
                <w:szCs w:val="1"/>
                <w:color w:val="auto"/>
              </w:rPr>
            </w:pPr>
          </w:p>
        </w:tc>
      </w:tr>
      <w:tr>
        <w:trPr>
          <w:trHeight w:val="243"/>
        </w:trPr>
        <w:tc>
          <w:tcPr>
            <w:tcW w:w="3640" w:type="dxa"/>
            <w:vAlign w:val="bottom"/>
            <w:gridSpan w:val="5"/>
          </w:tcPr>
          <w:p>
            <w:pPr>
              <w:spacing w:after="0"/>
              <w:rPr>
                <w:sz w:val="20"/>
                <w:szCs w:val="20"/>
                <w:color w:val="auto"/>
              </w:rPr>
            </w:pPr>
            <w:r>
              <w:rPr>
                <w:rFonts w:ascii="Arial" w:cs="Arial" w:eastAsia="Arial" w:hAnsi="Arial"/>
                <w:sz w:val="19"/>
                <w:szCs w:val="19"/>
                <w:color w:val="auto"/>
              </w:rPr>
              <w:t>allineate intorno a obiettivi comuni.</w:t>
            </w:r>
          </w:p>
        </w:tc>
        <w:tc>
          <w:tcPr>
            <w:tcW w:w="320" w:type="dxa"/>
            <w:vAlign w:val="bottom"/>
          </w:tcPr>
          <w:p>
            <w:pPr>
              <w:spacing w:after="0"/>
              <w:rPr>
                <w:sz w:val="21"/>
                <w:szCs w:val="21"/>
                <w:color w:val="auto"/>
              </w:rPr>
            </w:pPr>
          </w:p>
        </w:tc>
        <w:tc>
          <w:tcPr>
            <w:tcW w:w="3960" w:type="dxa"/>
            <w:vAlign w:val="bottom"/>
          </w:tcPr>
          <w:p>
            <w:pPr>
              <w:ind w:left="100"/>
              <w:spacing w:after="0"/>
              <w:rPr>
                <w:sz w:val="20"/>
                <w:szCs w:val="20"/>
                <w:color w:val="auto"/>
              </w:rPr>
            </w:pPr>
            <w:r>
              <w:rPr>
                <w:rFonts w:ascii="Arial" w:cs="Arial" w:eastAsia="Arial" w:hAnsi="Arial"/>
                <w:sz w:val="19"/>
                <w:szCs w:val="19"/>
                <w:color w:val="auto"/>
              </w:rPr>
              <w:t>between  different  parties  aligned  around</w:t>
            </w:r>
          </w:p>
        </w:tc>
        <w:tc>
          <w:tcPr>
            <w:tcW w:w="0" w:type="dxa"/>
            <w:vAlign w:val="bottom"/>
          </w:tcPr>
          <w:p>
            <w:pPr>
              <w:spacing w:after="0"/>
              <w:rPr>
                <w:sz w:val="1"/>
                <w:szCs w:val="1"/>
                <w:color w:val="auto"/>
              </w:rPr>
            </w:pPr>
          </w:p>
        </w:tc>
      </w:tr>
      <w:tr>
        <w:trPr>
          <w:trHeight w:val="249"/>
        </w:trPr>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960" w:type="dxa"/>
            <w:vAlign w:val="bottom"/>
          </w:tcPr>
          <w:p>
            <w:pPr>
              <w:ind w:left="100"/>
              <w:spacing w:after="0"/>
              <w:rPr>
                <w:sz w:val="20"/>
                <w:szCs w:val="20"/>
                <w:color w:val="auto"/>
              </w:rPr>
            </w:pPr>
            <w:r>
              <w:rPr>
                <w:rFonts w:ascii="Arial" w:cs="Arial" w:eastAsia="Arial" w:hAnsi="Arial"/>
                <w:sz w:val="19"/>
                <w:szCs w:val="19"/>
                <w:color w:val="auto"/>
              </w:rPr>
              <w:t>common goals.</w:t>
            </w:r>
          </w:p>
        </w:tc>
        <w:tc>
          <w:tcPr>
            <w:tcW w:w="0" w:type="dxa"/>
            <w:vAlign w:val="bottom"/>
          </w:tcPr>
          <w:p>
            <w:pPr>
              <w:spacing w:after="0"/>
              <w:rPr>
                <w:sz w:val="1"/>
                <w:szCs w:val="1"/>
                <w:color w:val="auto"/>
              </w:rPr>
            </w:pPr>
          </w:p>
        </w:tc>
      </w:tr>
      <w:tr>
        <w:trPr>
          <w:trHeight w:val="459"/>
        </w:trPr>
        <w:tc>
          <w:tcPr>
            <w:tcW w:w="3640" w:type="dxa"/>
            <w:vAlign w:val="bottom"/>
            <w:gridSpan w:val="5"/>
          </w:tcPr>
          <w:p>
            <w:pPr>
              <w:ind w:left="20"/>
              <w:spacing w:after="0"/>
              <w:rPr>
                <w:sz w:val="20"/>
                <w:szCs w:val="20"/>
                <w:color w:val="auto"/>
              </w:rPr>
            </w:pPr>
            <w:r>
              <w:rPr>
                <w:rFonts w:ascii="Arial" w:cs="Arial" w:eastAsia="Arial" w:hAnsi="Arial"/>
                <w:sz w:val="19"/>
                <w:szCs w:val="19"/>
                <w:color w:val="auto"/>
              </w:rPr>
              <w:t>Condurre le persone e il cambiamento</w:t>
            </w: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60" w:type="dxa"/>
            <w:vAlign w:val="bottom"/>
            <w:gridSpan w:val="6"/>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Dimostra l'impatto e la presenza della</w:t>
            </w:r>
          </w:p>
        </w:tc>
        <w:tc>
          <w:tcPr>
            <w:tcW w:w="3960" w:type="dxa"/>
            <w:vAlign w:val="bottom"/>
          </w:tcPr>
          <w:p>
            <w:pPr>
              <w:ind w:left="100"/>
              <w:spacing w:after="0"/>
              <w:rPr>
                <w:sz w:val="20"/>
                <w:szCs w:val="20"/>
                <w:color w:val="auto"/>
              </w:rPr>
            </w:pPr>
            <w:r>
              <w:rPr>
                <w:rFonts w:ascii="Arial" w:cs="Arial" w:eastAsia="Arial" w:hAnsi="Arial"/>
                <w:sz w:val="19"/>
                <w:szCs w:val="19"/>
                <w:color w:val="auto"/>
              </w:rPr>
              <w:t>Leading People and Change</w:t>
            </w:r>
          </w:p>
        </w:tc>
        <w:tc>
          <w:tcPr>
            <w:tcW w:w="0" w:type="dxa"/>
            <w:vAlign w:val="bottom"/>
          </w:tcPr>
          <w:p>
            <w:pPr>
              <w:spacing w:after="0"/>
              <w:rPr>
                <w:sz w:val="1"/>
                <w:szCs w:val="1"/>
                <w:color w:val="auto"/>
              </w:rPr>
            </w:pPr>
          </w:p>
        </w:tc>
      </w:tr>
      <w:tr>
        <w:trPr>
          <w:trHeight w:val="243"/>
        </w:trPr>
        <w:tc>
          <w:tcPr>
            <w:tcW w:w="3960" w:type="dxa"/>
            <w:vAlign w:val="bottom"/>
            <w:gridSpan w:val="6"/>
          </w:tcPr>
          <w:p>
            <w:pPr>
              <w:spacing w:after="0"/>
              <w:rPr>
                <w:sz w:val="20"/>
                <w:szCs w:val="20"/>
                <w:color w:val="auto"/>
              </w:rPr>
            </w:pPr>
            <w:r>
              <w:rPr>
                <w:rFonts w:ascii="Arial" w:cs="Arial" w:eastAsia="Arial" w:hAnsi="Arial"/>
                <w:sz w:val="19"/>
                <w:szCs w:val="19"/>
                <w:color w:val="auto"/>
              </w:rPr>
              <w:t>leadership per guidare la maggioranza e la</w:t>
            </w:r>
          </w:p>
        </w:tc>
        <w:tc>
          <w:tcPr>
            <w:tcW w:w="3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Demonstrates the leadership impact and</w:t>
            </w:r>
          </w:p>
        </w:tc>
        <w:tc>
          <w:tcPr>
            <w:tcW w:w="0" w:type="dxa"/>
            <w:vAlign w:val="bottom"/>
          </w:tcPr>
          <w:p>
            <w:pPr>
              <w:spacing w:after="0"/>
              <w:rPr>
                <w:sz w:val="1"/>
                <w:szCs w:val="1"/>
                <w:color w:val="auto"/>
              </w:rPr>
            </w:pPr>
          </w:p>
        </w:tc>
      </w:tr>
      <w:tr>
        <w:trPr>
          <w:trHeight w:val="230"/>
        </w:trPr>
        <w:tc>
          <w:tcPr>
            <w:tcW w:w="3960" w:type="dxa"/>
            <w:vAlign w:val="bottom"/>
            <w:gridSpan w:val="6"/>
          </w:tcPr>
          <w:p>
            <w:pPr>
              <w:spacing w:after="0"/>
              <w:rPr>
                <w:sz w:val="20"/>
                <w:szCs w:val="20"/>
                <w:color w:val="auto"/>
              </w:rPr>
            </w:pPr>
            <w:r>
              <w:rPr>
                <w:rFonts w:ascii="Arial" w:cs="Arial" w:eastAsia="Arial" w:hAnsi="Arial"/>
                <w:sz w:val="19"/>
                <w:szCs w:val="19"/>
                <w:color w:val="auto"/>
              </w:rPr>
              <w:t>principale linea di business P&amp;L dell'azienda.</w:t>
            </w:r>
          </w:p>
        </w:tc>
        <w:tc>
          <w:tcPr>
            <w:tcW w:w="3960" w:type="dxa"/>
            <w:vAlign w:val="bottom"/>
          </w:tcPr>
          <w:p>
            <w:pPr>
              <w:ind w:left="100"/>
              <w:spacing w:after="0"/>
              <w:rPr>
                <w:sz w:val="20"/>
                <w:szCs w:val="20"/>
                <w:color w:val="auto"/>
              </w:rPr>
            </w:pPr>
            <w:r>
              <w:rPr>
                <w:rFonts w:ascii="Arial" w:cs="Arial" w:eastAsia="Arial" w:hAnsi="Arial"/>
                <w:sz w:val="19"/>
                <w:szCs w:val="19"/>
                <w:color w:val="auto"/>
              </w:rPr>
              <w:t>presence to guide the majority &amp; core P&amp;L</w:t>
            </w:r>
          </w:p>
        </w:tc>
        <w:tc>
          <w:tcPr>
            <w:tcW w:w="0" w:type="dxa"/>
            <w:vAlign w:val="bottom"/>
          </w:tcPr>
          <w:p>
            <w:pPr>
              <w:spacing w:after="0"/>
              <w:rPr>
                <w:sz w:val="1"/>
                <w:szCs w:val="1"/>
                <w:color w:val="auto"/>
              </w:rPr>
            </w:pPr>
          </w:p>
        </w:tc>
      </w:tr>
      <w:tr>
        <w:trPr>
          <w:trHeight w:val="216"/>
        </w:trPr>
        <w:tc>
          <w:tcPr>
            <w:tcW w:w="3960" w:type="dxa"/>
            <w:vAlign w:val="bottom"/>
            <w:gridSpan w:val="6"/>
          </w:tcPr>
          <w:p>
            <w:pPr>
              <w:spacing w:after="0" w:line="216" w:lineRule="exact"/>
              <w:rPr>
                <w:sz w:val="20"/>
                <w:szCs w:val="20"/>
                <w:color w:val="auto"/>
              </w:rPr>
            </w:pPr>
            <w:r>
              <w:rPr>
                <w:rFonts w:ascii="Arial" w:cs="Arial" w:eastAsia="Arial" w:hAnsi="Arial"/>
                <w:sz w:val="19"/>
                <w:szCs w:val="19"/>
                <w:color w:val="auto"/>
              </w:rPr>
              <w:t>Raggiunge il giusto equilibrio tra sicurezza di</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w w:val="99"/>
              </w:rPr>
              <w:t>business line of the company. Strikes the right</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line="216" w:lineRule="exact"/>
              <w:rPr>
                <w:sz w:val="20"/>
                <w:szCs w:val="20"/>
                <w:color w:val="auto"/>
              </w:rPr>
            </w:pPr>
            <w:r>
              <w:rPr>
                <w:rFonts w:ascii="Arial" w:cs="Arial" w:eastAsia="Arial" w:hAnsi="Arial"/>
                <w:sz w:val="19"/>
                <w:szCs w:val="19"/>
                <w:color w:val="auto"/>
              </w:rPr>
              <w:t>sé e umiltà.</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60" w:type="dxa"/>
            <w:vAlign w:val="bottom"/>
            <w:vMerge w:val="restart"/>
          </w:tcPr>
          <w:p>
            <w:pPr>
              <w:ind w:left="100"/>
              <w:spacing w:after="0"/>
              <w:rPr>
                <w:sz w:val="20"/>
                <w:szCs w:val="20"/>
                <w:color w:val="auto"/>
              </w:rPr>
            </w:pPr>
            <w:r>
              <w:rPr>
                <w:rFonts w:ascii="Arial" w:cs="Arial" w:eastAsia="Arial" w:hAnsi="Arial"/>
                <w:sz w:val="19"/>
                <w:szCs w:val="19"/>
                <w:color w:val="auto"/>
                <w:w w:val="99"/>
              </w:rPr>
              <w:t>balance between self-assurance and humility.</w:t>
            </w:r>
          </w:p>
        </w:tc>
        <w:tc>
          <w:tcPr>
            <w:tcW w:w="0" w:type="dxa"/>
            <w:vAlign w:val="bottom"/>
          </w:tcPr>
          <w:p>
            <w:pPr>
              <w:spacing w:after="0"/>
              <w:rPr>
                <w:sz w:val="1"/>
                <w:szCs w:val="1"/>
                <w:color w:val="auto"/>
              </w:rPr>
            </w:pPr>
          </w:p>
        </w:tc>
      </w:tr>
      <w:tr>
        <w:trPr>
          <w:trHeight w:val="60"/>
        </w:trPr>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ind w:left="120"/>
              <w:spacing w:after="0"/>
              <w:rPr>
                <w:sz w:val="20"/>
                <w:szCs w:val="20"/>
                <w:color w:val="auto"/>
              </w:rPr>
            </w:pPr>
            <w:r>
              <w:rPr>
                <w:rFonts w:ascii="Arial" w:cs="Arial" w:eastAsia="Arial" w:hAnsi="Arial"/>
                <w:sz w:val="19"/>
                <w:szCs w:val="19"/>
                <w:color w:val="auto"/>
              </w:rPr>
              <w:t>Un  leader</w:t>
            </w:r>
          </w:p>
        </w:tc>
        <w:tc>
          <w:tcPr>
            <w:tcW w:w="1080" w:type="dxa"/>
            <w:vAlign w:val="bottom"/>
            <w:gridSpan w:val="2"/>
          </w:tcPr>
          <w:p>
            <w:pPr>
              <w:ind w:left="180"/>
              <w:spacing w:after="0"/>
              <w:rPr>
                <w:sz w:val="20"/>
                <w:szCs w:val="20"/>
                <w:color w:val="auto"/>
              </w:rPr>
            </w:pPr>
            <w:r>
              <w:rPr>
                <w:rFonts w:ascii="Arial" w:cs="Arial" w:eastAsia="Arial" w:hAnsi="Arial"/>
                <w:sz w:val="19"/>
                <w:szCs w:val="19"/>
                <w:color w:val="auto"/>
              </w:rPr>
              <w:t>autentico,</w:t>
            </w:r>
          </w:p>
        </w:tc>
        <w:tc>
          <w:tcPr>
            <w:tcW w:w="1180" w:type="dxa"/>
            <w:vAlign w:val="bottom"/>
          </w:tcPr>
          <w:p>
            <w:pPr>
              <w:ind w:left="140"/>
              <w:spacing w:after="0"/>
              <w:rPr>
                <w:sz w:val="20"/>
                <w:szCs w:val="20"/>
                <w:color w:val="auto"/>
              </w:rPr>
            </w:pPr>
            <w:r>
              <w:rPr>
                <w:rFonts w:ascii="Arial" w:cs="Arial" w:eastAsia="Arial" w:hAnsi="Arial"/>
                <w:sz w:val="19"/>
                <w:szCs w:val="19"/>
                <w:color w:val="auto"/>
              </w:rPr>
              <w:t>accessibile</w:t>
            </w:r>
          </w:p>
        </w:tc>
        <w:tc>
          <w:tcPr>
            <w:tcW w:w="320" w:type="dxa"/>
            <w:vAlign w:val="bottom"/>
          </w:tcPr>
          <w:p>
            <w:pPr>
              <w:ind w:left="120"/>
              <w:spacing w:after="0"/>
              <w:rPr>
                <w:sz w:val="20"/>
                <w:szCs w:val="20"/>
                <w:color w:val="auto"/>
              </w:rPr>
            </w:pPr>
            <w:r>
              <w:rPr>
                <w:rFonts w:ascii="Arial" w:cs="Arial" w:eastAsia="Arial" w:hAnsi="Arial"/>
                <w:sz w:val="19"/>
                <w:szCs w:val="19"/>
                <w:color w:val="auto"/>
              </w:rPr>
              <w:t>e</w:t>
            </w:r>
          </w:p>
        </w:tc>
        <w:tc>
          <w:tcPr>
            <w:tcW w:w="3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An authentic, approachable and optimistic</w:t>
            </w:r>
          </w:p>
        </w:tc>
        <w:tc>
          <w:tcPr>
            <w:tcW w:w="0" w:type="dxa"/>
            <w:vAlign w:val="bottom"/>
          </w:tcPr>
          <w:p>
            <w:pPr>
              <w:spacing w:after="0"/>
              <w:rPr>
                <w:sz w:val="1"/>
                <w:szCs w:val="1"/>
                <w:color w:val="auto"/>
              </w:rPr>
            </w:pPr>
          </w:p>
        </w:tc>
      </w:tr>
      <w:tr>
        <w:trPr>
          <w:trHeight w:val="229"/>
        </w:trPr>
        <w:tc>
          <w:tcPr>
            <w:tcW w:w="3960" w:type="dxa"/>
            <w:vAlign w:val="bottom"/>
            <w:gridSpan w:val="6"/>
          </w:tcPr>
          <w:p>
            <w:pPr>
              <w:spacing w:after="0"/>
              <w:rPr>
                <w:sz w:val="20"/>
                <w:szCs w:val="20"/>
                <w:color w:val="auto"/>
              </w:rPr>
            </w:pPr>
            <w:r>
              <w:rPr>
                <w:rFonts w:ascii="Arial" w:cs="Arial" w:eastAsia="Arial" w:hAnsi="Arial"/>
                <w:sz w:val="19"/>
                <w:szCs w:val="19"/>
                <w:color w:val="auto"/>
              </w:rPr>
              <w:t>ottimista che sa quando mostrare un lato più</w:t>
            </w:r>
          </w:p>
        </w:tc>
        <w:tc>
          <w:tcPr>
            <w:tcW w:w="3960" w:type="dxa"/>
            <w:vAlign w:val="bottom"/>
          </w:tcPr>
          <w:p>
            <w:pPr>
              <w:ind w:left="100"/>
              <w:spacing w:after="0"/>
              <w:rPr>
                <w:sz w:val="20"/>
                <w:szCs w:val="20"/>
                <w:color w:val="auto"/>
              </w:rPr>
            </w:pPr>
            <w:r>
              <w:rPr>
                <w:rFonts w:ascii="Arial" w:cs="Arial" w:eastAsia="Arial" w:hAnsi="Arial"/>
                <w:sz w:val="19"/>
                <w:szCs w:val="19"/>
                <w:color w:val="auto"/>
              </w:rPr>
              <w:t>leader who knows when to show a sharper</w:t>
            </w:r>
          </w:p>
        </w:tc>
        <w:tc>
          <w:tcPr>
            <w:tcW w:w="0" w:type="dxa"/>
            <w:vAlign w:val="bottom"/>
          </w:tcPr>
          <w:p>
            <w:pPr>
              <w:spacing w:after="0"/>
              <w:rPr>
                <w:sz w:val="1"/>
                <w:szCs w:val="1"/>
                <w:color w:val="auto"/>
              </w:rPr>
            </w:pPr>
          </w:p>
        </w:tc>
      </w:tr>
      <w:tr>
        <w:trPr>
          <w:trHeight w:val="216"/>
        </w:trPr>
        <w:tc>
          <w:tcPr>
            <w:tcW w:w="3960" w:type="dxa"/>
            <w:vAlign w:val="bottom"/>
            <w:gridSpan w:val="6"/>
          </w:tcPr>
          <w:p>
            <w:pPr>
              <w:spacing w:after="0" w:line="216" w:lineRule="exact"/>
              <w:rPr>
                <w:sz w:val="20"/>
                <w:szCs w:val="20"/>
                <w:color w:val="auto"/>
              </w:rPr>
            </w:pPr>
            <w:r>
              <w:rPr>
                <w:rFonts w:ascii="Arial" w:cs="Arial" w:eastAsia="Arial" w:hAnsi="Arial"/>
                <w:sz w:val="19"/>
                <w:szCs w:val="19"/>
                <w:color w:val="auto"/>
              </w:rPr>
              <w:t>tagliente per impostare il giusto tono per il</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w w:val="98"/>
              </w:rPr>
              <w:t>edge to set the right tone for the business with</w:t>
            </w:r>
          </w:p>
        </w:tc>
        <w:tc>
          <w:tcPr>
            <w:tcW w:w="0" w:type="dxa"/>
            <w:vAlign w:val="bottom"/>
          </w:tcPr>
          <w:p>
            <w:pPr>
              <w:spacing w:after="0"/>
              <w:rPr>
                <w:sz w:val="1"/>
                <w:szCs w:val="1"/>
                <w:color w:val="auto"/>
              </w:rPr>
            </w:pPr>
          </w:p>
        </w:tc>
      </w:tr>
      <w:tr>
        <w:trPr>
          <w:trHeight w:val="216"/>
        </w:trPr>
        <w:tc>
          <w:tcPr>
            <w:tcW w:w="3640" w:type="dxa"/>
            <w:vAlign w:val="bottom"/>
            <w:gridSpan w:val="5"/>
          </w:tcPr>
          <w:p>
            <w:pPr>
              <w:spacing w:after="0" w:line="216" w:lineRule="exact"/>
              <w:rPr>
                <w:sz w:val="20"/>
                <w:szCs w:val="20"/>
                <w:color w:val="auto"/>
              </w:rPr>
            </w:pPr>
            <w:r>
              <w:rPr>
                <w:rFonts w:ascii="Arial" w:cs="Arial" w:eastAsia="Arial" w:hAnsi="Arial"/>
                <w:sz w:val="19"/>
                <w:szCs w:val="19"/>
                <w:color w:val="auto"/>
              </w:rPr>
              <w:t>business con sfide impegnative davanti.</w:t>
            </w:r>
          </w:p>
        </w:tc>
        <w:tc>
          <w:tcPr>
            <w:tcW w:w="320" w:type="dxa"/>
            <w:vAlign w:val="bottom"/>
          </w:tcPr>
          <w:p>
            <w:pPr>
              <w:spacing w:after="0"/>
              <w:rPr>
                <w:sz w:val="18"/>
                <w:szCs w:val="18"/>
                <w:color w:val="auto"/>
              </w:rPr>
            </w:pPr>
          </w:p>
        </w:tc>
        <w:tc>
          <w:tcPr>
            <w:tcW w:w="3960" w:type="dxa"/>
            <w:vAlign w:val="bottom"/>
            <w:vMerge w:val="restart"/>
          </w:tcPr>
          <w:p>
            <w:pPr>
              <w:ind w:left="100"/>
              <w:spacing w:after="0"/>
              <w:rPr>
                <w:sz w:val="20"/>
                <w:szCs w:val="20"/>
                <w:color w:val="auto"/>
              </w:rPr>
            </w:pPr>
            <w:r>
              <w:rPr>
                <w:rFonts w:ascii="Arial" w:cs="Arial" w:eastAsia="Arial" w:hAnsi="Arial"/>
                <w:sz w:val="19"/>
                <w:szCs w:val="19"/>
                <w:color w:val="auto"/>
              </w:rPr>
              <w:t>demanding challenges ahead.</w:t>
            </w:r>
          </w:p>
        </w:tc>
        <w:tc>
          <w:tcPr>
            <w:tcW w:w="0" w:type="dxa"/>
            <w:vAlign w:val="bottom"/>
          </w:tcPr>
          <w:p>
            <w:pPr>
              <w:spacing w:after="0"/>
              <w:rPr>
                <w:sz w:val="1"/>
                <w:szCs w:val="1"/>
                <w:color w:val="auto"/>
              </w:rPr>
            </w:pPr>
          </w:p>
        </w:tc>
      </w:tr>
      <w:tr>
        <w:trPr>
          <w:trHeight w:val="60"/>
        </w:trPr>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ind w:left="120"/>
              <w:spacing w:after="0"/>
              <w:rPr>
                <w:sz w:val="20"/>
                <w:szCs w:val="20"/>
                <w:color w:val="auto"/>
              </w:rPr>
            </w:pPr>
            <w:r>
              <w:rPr>
                <w:rFonts w:ascii="Arial" w:cs="Arial" w:eastAsia="Arial" w:hAnsi="Arial"/>
                <w:sz w:val="19"/>
                <w:szCs w:val="19"/>
                <w:color w:val="auto"/>
              </w:rPr>
              <w:t>Delega</w:t>
            </w:r>
          </w:p>
        </w:tc>
        <w:tc>
          <w:tcPr>
            <w:tcW w:w="220" w:type="dxa"/>
            <w:vAlign w:val="bottom"/>
          </w:tcPr>
          <w:p>
            <w:pPr>
              <w:ind w:left="60"/>
              <w:spacing w:after="0"/>
              <w:rPr>
                <w:sz w:val="20"/>
                <w:szCs w:val="20"/>
                <w:color w:val="auto"/>
              </w:rPr>
            </w:pPr>
            <w:r>
              <w:rPr>
                <w:rFonts w:ascii="Arial" w:cs="Arial" w:eastAsia="Arial" w:hAnsi="Arial"/>
                <w:sz w:val="19"/>
                <w:szCs w:val="19"/>
                <w:color w:val="auto"/>
                <w:w w:val="94"/>
              </w:rPr>
              <w:t>la</w:t>
            </w:r>
          </w:p>
        </w:tc>
        <w:tc>
          <w:tcPr>
            <w:tcW w:w="2040" w:type="dxa"/>
            <w:vAlign w:val="bottom"/>
            <w:gridSpan w:val="2"/>
          </w:tcPr>
          <w:p>
            <w:pPr>
              <w:ind w:left="500"/>
              <w:spacing w:after="0"/>
              <w:rPr>
                <w:sz w:val="20"/>
                <w:szCs w:val="20"/>
                <w:color w:val="auto"/>
              </w:rPr>
            </w:pPr>
            <w:r>
              <w:rPr>
                <w:rFonts w:ascii="Arial" w:cs="Arial" w:eastAsia="Arial" w:hAnsi="Arial"/>
                <w:sz w:val="19"/>
                <w:szCs w:val="19"/>
                <w:color w:val="auto"/>
              </w:rPr>
              <w:t>responsabilità</w:t>
            </w:r>
          </w:p>
        </w:tc>
        <w:tc>
          <w:tcPr>
            <w:tcW w:w="320" w:type="dxa"/>
            <w:vAlign w:val="bottom"/>
          </w:tcPr>
          <w:p>
            <w:pPr>
              <w:ind w:left="120"/>
              <w:spacing w:after="0"/>
              <w:rPr>
                <w:sz w:val="20"/>
                <w:szCs w:val="20"/>
                <w:color w:val="auto"/>
              </w:rPr>
            </w:pPr>
            <w:r>
              <w:rPr>
                <w:rFonts w:ascii="Arial" w:cs="Arial" w:eastAsia="Arial" w:hAnsi="Arial"/>
                <w:sz w:val="19"/>
                <w:szCs w:val="19"/>
                <w:color w:val="auto"/>
              </w:rPr>
              <w:t>e</w:t>
            </w:r>
          </w:p>
        </w:tc>
        <w:tc>
          <w:tcPr>
            <w:tcW w:w="3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380" w:type="dxa"/>
            <w:vAlign w:val="bottom"/>
            <w:gridSpan w:val="2"/>
          </w:tcPr>
          <w:p>
            <w:pPr>
              <w:spacing w:after="0"/>
              <w:rPr>
                <w:sz w:val="20"/>
                <w:szCs w:val="20"/>
                <w:color w:val="auto"/>
              </w:rPr>
            </w:pPr>
            <w:r>
              <w:rPr>
                <w:rFonts w:ascii="Arial" w:cs="Arial" w:eastAsia="Arial" w:hAnsi="Arial"/>
                <w:sz w:val="19"/>
                <w:szCs w:val="19"/>
                <w:color w:val="auto"/>
              </w:rPr>
              <w:t>responsabilizza</w:t>
            </w:r>
          </w:p>
        </w:tc>
        <w:tc>
          <w:tcPr>
            <w:tcW w:w="220" w:type="dxa"/>
            <w:vAlign w:val="bottom"/>
          </w:tcPr>
          <w:p>
            <w:pPr>
              <w:ind w:left="40"/>
              <w:spacing w:after="0"/>
              <w:rPr>
                <w:sz w:val="20"/>
                <w:szCs w:val="20"/>
                <w:color w:val="auto"/>
              </w:rPr>
            </w:pPr>
            <w:r>
              <w:rPr>
                <w:rFonts w:ascii="Arial" w:cs="Arial" w:eastAsia="Arial" w:hAnsi="Arial"/>
                <w:sz w:val="19"/>
                <w:szCs w:val="19"/>
                <w:color w:val="auto"/>
              </w:rPr>
              <w:t>il</w:t>
            </w:r>
          </w:p>
        </w:tc>
        <w:tc>
          <w:tcPr>
            <w:tcW w:w="860" w:type="dxa"/>
            <w:vAlign w:val="bottom"/>
          </w:tcPr>
          <w:p>
            <w:pPr>
              <w:spacing w:after="0"/>
              <w:rPr>
                <w:sz w:val="20"/>
                <w:szCs w:val="20"/>
                <w:color w:val="auto"/>
              </w:rPr>
            </w:pPr>
            <w:r>
              <w:rPr>
                <w:rFonts w:ascii="Arial" w:cs="Arial" w:eastAsia="Arial" w:hAnsi="Arial"/>
                <w:sz w:val="19"/>
                <w:szCs w:val="19"/>
                <w:color w:val="auto"/>
              </w:rPr>
              <w:t>team pur</w:t>
            </w:r>
          </w:p>
        </w:tc>
        <w:tc>
          <w:tcPr>
            <w:tcW w:w="1180" w:type="dxa"/>
            <w:vAlign w:val="bottom"/>
          </w:tcPr>
          <w:p>
            <w:pPr>
              <w:ind w:left="40"/>
              <w:spacing w:after="0"/>
              <w:rPr>
                <w:sz w:val="20"/>
                <w:szCs w:val="20"/>
                <w:color w:val="auto"/>
              </w:rPr>
            </w:pPr>
            <w:r>
              <w:rPr>
                <w:rFonts w:ascii="Arial" w:cs="Arial" w:eastAsia="Arial" w:hAnsi="Arial"/>
                <w:sz w:val="19"/>
                <w:szCs w:val="19"/>
                <w:color w:val="auto"/>
              </w:rPr>
              <w:t>essendo</w:t>
            </w:r>
          </w:p>
        </w:tc>
        <w:tc>
          <w:tcPr>
            <w:tcW w:w="3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1637665</wp:posOffset>
            </wp:positionV>
            <wp:extent cx="684911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03" w:name="page104"/>
    <w:bookmarkEnd w:id="103"/>
    <w:p>
      <w:pPr>
        <w:ind w:left="420"/>
        <w:spacing w:after="0"/>
        <w:rPr>
          <w:sz w:val="20"/>
          <w:szCs w:val="20"/>
          <w:color w:val="auto"/>
        </w:rPr>
      </w:pPr>
      <w:r>
        <w:rPr>
          <w:rFonts w:ascii="Georgia" w:cs="Georgia" w:eastAsia="Georgia" w:hAnsi="Georgia"/>
          <w:sz w:val="20"/>
          <w:szCs w:val="20"/>
          <w:color w:val="auto"/>
        </w:rPr>
        <w:t>7</w:t>
      </w:r>
    </w:p>
    <w:p>
      <w:pPr>
        <w:spacing w:after="0" w:line="232" w:lineRule="exact"/>
        <w:rPr>
          <w:sz w:val="20"/>
          <w:szCs w:val="20"/>
          <w:color w:val="auto"/>
        </w:rPr>
      </w:pPr>
    </w:p>
    <w:p>
      <w:pPr>
        <w:jc w:val="center"/>
        <w:ind w:right="119"/>
        <w:spacing w:after="0"/>
        <w:rPr>
          <w:sz w:val="20"/>
          <w:szCs w:val="20"/>
          <w:color w:val="auto"/>
        </w:rPr>
      </w:pPr>
      <w:r>
        <w:rPr>
          <w:rFonts w:ascii="Georgia" w:cs="Georgia" w:eastAsia="Georgia" w:hAnsi="Georgia"/>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554355</wp:posOffset>
            </wp:positionV>
            <wp:extent cx="5162550" cy="7247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5162550" cy="724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3960" w:type="dxa"/>
            <w:vAlign w:val="bottom"/>
            <w:gridSpan w:val="4"/>
          </w:tcPr>
          <w:p>
            <w:pPr>
              <w:ind w:left="20"/>
              <w:spacing w:after="0"/>
              <w:rPr>
                <w:sz w:val="20"/>
                <w:szCs w:val="20"/>
                <w:color w:val="auto"/>
              </w:rPr>
            </w:pPr>
            <w:r>
              <w:rPr>
                <w:rFonts w:ascii="Arial" w:cs="Arial" w:eastAsia="Arial" w:hAnsi="Arial"/>
                <w:sz w:val="19"/>
                <w:szCs w:val="19"/>
                <w:color w:val="auto"/>
              </w:rPr>
              <w:t>selettivamente presente in merito a decisioni</w:t>
            </w:r>
          </w:p>
        </w:tc>
        <w:tc>
          <w:tcPr>
            <w:tcW w:w="3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ind w:left="140"/>
              <w:spacing w:after="0"/>
              <w:rPr>
                <w:sz w:val="20"/>
                <w:szCs w:val="20"/>
                <w:color w:val="auto"/>
              </w:rPr>
            </w:pPr>
            <w:r>
              <w:rPr>
                <w:rFonts w:ascii="Arial" w:cs="Arial" w:eastAsia="Arial" w:hAnsi="Arial"/>
                <w:sz w:val="19"/>
                <w:szCs w:val="19"/>
                <w:color w:val="auto"/>
              </w:rPr>
              <w:t>Delegates</w:t>
            </w:r>
          </w:p>
        </w:tc>
        <w:tc>
          <w:tcPr>
            <w:tcW w:w="1240" w:type="dxa"/>
            <w:vAlign w:val="bottom"/>
          </w:tcPr>
          <w:p>
            <w:pPr>
              <w:ind w:left="20"/>
              <w:spacing w:after="0"/>
              <w:rPr>
                <w:sz w:val="20"/>
                <w:szCs w:val="20"/>
                <w:color w:val="auto"/>
              </w:rPr>
            </w:pPr>
            <w:r>
              <w:rPr>
                <w:rFonts w:ascii="Arial" w:cs="Arial" w:eastAsia="Arial" w:hAnsi="Arial"/>
                <w:sz w:val="19"/>
                <w:szCs w:val="19"/>
                <w:color w:val="auto"/>
              </w:rPr>
              <w:t>responsibility</w:t>
            </w:r>
          </w:p>
        </w:tc>
        <w:tc>
          <w:tcPr>
            <w:tcW w:w="1320" w:type="dxa"/>
            <w:vAlign w:val="bottom"/>
          </w:tcPr>
          <w:p>
            <w:pPr>
              <w:jc w:val="right"/>
              <w:spacing w:after="0"/>
              <w:rPr>
                <w:sz w:val="20"/>
                <w:szCs w:val="20"/>
                <w:color w:val="auto"/>
              </w:rPr>
            </w:pPr>
            <w:r>
              <w:rPr>
                <w:rFonts w:ascii="Arial" w:cs="Arial" w:eastAsia="Arial" w:hAnsi="Arial"/>
                <w:sz w:val="19"/>
                <w:szCs w:val="19"/>
                <w:color w:val="auto"/>
              </w:rPr>
              <w:t>and  empowers</w:t>
            </w:r>
          </w:p>
        </w:tc>
      </w:tr>
      <w:tr>
        <w:trPr>
          <w:trHeight w:val="216"/>
        </w:trPr>
        <w:tc>
          <w:tcPr>
            <w:tcW w:w="3960" w:type="dxa"/>
            <w:vAlign w:val="bottom"/>
            <w:gridSpan w:val="4"/>
          </w:tcPr>
          <w:p>
            <w:pPr>
              <w:ind w:left="20"/>
              <w:spacing w:after="0" w:line="216" w:lineRule="exact"/>
              <w:rPr>
                <w:sz w:val="20"/>
                <w:szCs w:val="20"/>
                <w:color w:val="auto"/>
              </w:rPr>
            </w:pPr>
            <w:r>
              <w:rPr>
                <w:rFonts w:ascii="Arial" w:cs="Arial" w:eastAsia="Arial" w:hAnsi="Arial"/>
                <w:sz w:val="19"/>
                <w:szCs w:val="19"/>
                <w:color w:val="auto"/>
              </w:rPr>
              <w:t>particolarmente strategiche, complesse o</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the team while being selectively hands-on</w:t>
            </w:r>
          </w:p>
        </w:tc>
      </w:tr>
      <w:tr>
        <w:trPr>
          <w:trHeight w:val="229"/>
        </w:trPr>
        <w:tc>
          <w:tcPr>
            <w:tcW w:w="1360" w:type="dxa"/>
            <w:vAlign w:val="bottom"/>
          </w:tcPr>
          <w:p>
            <w:pPr>
              <w:ind w:left="20"/>
              <w:spacing w:after="0"/>
              <w:rPr>
                <w:sz w:val="20"/>
                <w:szCs w:val="20"/>
                <w:color w:val="auto"/>
              </w:rPr>
            </w:pPr>
            <w:r>
              <w:rPr>
                <w:rFonts w:ascii="Arial" w:cs="Arial" w:eastAsia="Arial" w:hAnsi="Arial"/>
                <w:sz w:val="19"/>
                <w:szCs w:val="19"/>
                <w:color w:val="auto"/>
              </w:rPr>
              <w:t>critiche.</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960" w:type="dxa"/>
            <w:vAlign w:val="bottom"/>
            <w:gridSpan w:val="4"/>
          </w:tcPr>
          <w:p>
            <w:pPr>
              <w:ind w:left="100"/>
              <w:spacing w:after="0"/>
              <w:rPr>
                <w:sz w:val="20"/>
                <w:szCs w:val="20"/>
                <w:color w:val="auto"/>
              </w:rPr>
            </w:pPr>
            <w:r>
              <w:rPr>
                <w:rFonts w:ascii="Arial" w:cs="Arial" w:eastAsia="Arial" w:hAnsi="Arial"/>
                <w:sz w:val="19"/>
                <w:szCs w:val="19"/>
                <w:color w:val="auto"/>
              </w:rPr>
              <w:t>around  especially  strategic,  complex,  or</w:t>
            </w:r>
          </w:p>
        </w:tc>
      </w:tr>
      <w:tr>
        <w:trPr>
          <w:trHeight w:val="351"/>
        </w:trPr>
        <w:tc>
          <w:tcPr>
            <w:tcW w:w="39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Valuta il talento in modo oggettivo e con</w:t>
            </w:r>
          </w:p>
        </w:tc>
        <w:tc>
          <w:tcPr>
            <w:tcW w:w="2640" w:type="dxa"/>
            <w:vAlign w:val="bottom"/>
            <w:gridSpan w:val="3"/>
          </w:tcPr>
          <w:p>
            <w:pPr>
              <w:ind w:left="100"/>
              <w:spacing w:after="0"/>
              <w:rPr>
                <w:sz w:val="20"/>
                <w:szCs w:val="20"/>
                <w:color w:val="auto"/>
              </w:rPr>
            </w:pPr>
            <w:r>
              <w:rPr>
                <w:rFonts w:ascii="Arial" w:cs="Arial" w:eastAsia="Arial" w:hAnsi="Arial"/>
                <w:sz w:val="19"/>
                <w:szCs w:val="19"/>
                <w:color w:val="auto"/>
              </w:rPr>
              <w:t>critical decisions.</w:t>
            </w:r>
          </w:p>
        </w:tc>
        <w:tc>
          <w:tcPr>
            <w:tcW w:w="1320" w:type="dxa"/>
            <w:vAlign w:val="bottom"/>
          </w:tcPr>
          <w:p>
            <w:pPr>
              <w:spacing w:after="0"/>
              <w:rPr>
                <w:sz w:val="24"/>
                <w:szCs w:val="24"/>
                <w:color w:val="auto"/>
              </w:rPr>
            </w:pPr>
          </w:p>
        </w:tc>
      </w:tr>
      <w:tr>
        <w:trPr>
          <w:trHeight w:val="230"/>
        </w:trPr>
        <w:tc>
          <w:tcPr>
            <w:tcW w:w="3960" w:type="dxa"/>
            <w:vAlign w:val="bottom"/>
            <w:gridSpan w:val="4"/>
          </w:tcPr>
          <w:p>
            <w:pPr>
              <w:spacing w:after="0"/>
              <w:rPr>
                <w:sz w:val="20"/>
                <w:szCs w:val="20"/>
                <w:color w:val="auto"/>
              </w:rPr>
            </w:pPr>
            <w:r>
              <w:rPr>
                <w:rFonts w:ascii="Arial" w:cs="Arial" w:eastAsia="Arial" w:hAnsi="Arial"/>
                <w:sz w:val="19"/>
                <w:szCs w:val="19"/>
                <w:color w:val="auto"/>
              </w:rPr>
              <w:t>standard  molto  alti.  Sa  come  sono  fatti  i</w:t>
            </w:r>
          </w:p>
        </w:tc>
        <w:tc>
          <w:tcPr>
            <w:tcW w:w="396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Evaluates talent objectively and with a</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grandi talenti. Offre un feedback continuo al</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very high bar. Knows what great talent looks</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team e fornisce ricche opportunità di sviluppo</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like. Offers continuous feedback to the team</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a soggetti ad alti potenziali, compresi i futuri</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w w:val="99"/>
              </w:rPr>
              <w:t>and provides rich developmental opportunities</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leader  e  i  potenziali  successori.  Mostra</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w w:val="99"/>
              </w:rPr>
              <w:t>to high potentials, including future leaders and</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compassione ma prende proattivamente le</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potential successors. Shows compassion but</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decisioni  difficili  per  il  personale  tenendo</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proactively  makes  the  tough  personnel</w:t>
            </w:r>
          </w:p>
        </w:tc>
      </w:tr>
      <w:tr>
        <w:trPr>
          <w:trHeight w:val="249"/>
        </w:trPr>
        <w:tc>
          <w:tcPr>
            <w:tcW w:w="2280" w:type="dxa"/>
            <w:vAlign w:val="bottom"/>
            <w:gridSpan w:val="2"/>
          </w:tcPr>
          <w:p>
            <w:pPr>
              <w:spacing w:after="0"/>
              <w:rPr>
                <w:sz w:val="20"/>
                <w:szCs w:val="20"/>
                <w:color w:val="auto"/>
              </w:rPr>
            </w:pPr>
            <w:r>
              <w:rPr>
                <w:rFonts w:ascii="Arial" w:cs="Arial" w:eastAsia="Arial" w:hAnsi="Arial"/>
                <w:sz w:val="19"/>
                <w:szCs w:val="19"/>
                <w:color w:val="auto"/>
              </w:rPr>
              <w:t>conto del business.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960" w:type="dxa"/>
            <w:vAlign w:val="bottom"/>
            <w:gridSpan w:val="4"/>
          </w:tcPr>
          <w:p>
            <w:pPr>
              <w:ind w:left="100"/>
              <w:spacing w:after="0"/>
              <w:rPr>
                <w:sz w:val="20"/>
                <w:szCs w:val="20"/>
                <w:color w:val="auto"/>
              </w:rPr>
            </w:pPr>
            <w:r>
              <w:rPr>
                <w:rFonts w:ascii="Arial" w:cs="Arial" w:eastAsia="Arial" w:hAnsi="Arial"/>
                <w:sz w:val="19"/>
                <w:szCs w:val="19"/>
                <w:color w:val="auto"/>
              </w:rPr>
              <w:t>decisions with the business in mind.</w:t>
            </w:r>
          </w:p>
        </w:tc>
      </w:tr>
      <w:tr>
        <w:trPr>
          <w:trHeight w:val="345"/>
        </w:trPr>
        <w:tc>
          <w:tcPr>
            <w:tcW w:w="39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Sfida il pensiero convenzionale e crea un</w:t>
            </w:r>
          </w:p>
        </w:tc>
        <w:tc>
          <w:tcPr>
            <w:tcW w:w="3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ind w:left="140"/>
              <w:spacing w:after="0"/>
              <w:rPr>
                <w:sz w:val="20"/>
                <w:szCs w:val="20"/>
                <w:color w:val="auto"/>
              </w:rPr>
            </w:pPr>
            <w:r>
              <w:rPr>
                <w:rFonts w:ascii="Arial" w:cs="Arial" w:eastAsia="Arial" w:hAnsi="Arial"/>
                <w:sz w:val="19"/>
                <w:szCs w:val="19"/>
                <w:color w:val="auto"/>
                <w:w w:val="98"/>
              </w:rPr>
              <w:t>Challenges</w:t>
            </w:r>
          </w:p>
        </w:tc>
        <w:tc>
          <w:tcPr>
            <w:tcW w:w="1240" w:type="dxa"/>
            <w:vAlign w:val="bottom"/>
          </w:tcPr>
          <w:p>
            <w:pPr>
              <w:ind w:left="160"/>
              <w:spacing w:after="0"/>
              <w:rPr>
                <w:sz w:val="20"/>
                <w:szCs w:val="20"/>
                <w:color w:val="auto"/>
              </w:rPr>
            </w:pPr>
            <w:r>
              <w:rPr>
                <w:rFonts w:ascii="Arial" w:cs="Arial" w:eastAsia="Arial" w:hAnsi="Arial"/>
                <w:sz w:val="19"/>
                <w:szCs w:val="19"/>
                <w:color w:val="auto"/>
                <w:w w:val="99"/>
              </w:rPr>
              <w:t>conventional</w:t>
            </w:r>
          </w:p>
        </w:tc>
        <w:tc>
          <w:tcPr>
            <w:tcW w:w="1320" w:type="dxa"/>
            <w:vAlign w:val="bottom"/>
          </w:tcPr>
          <w:p>
            <w:pPr>
              <w:jc w:val="right"/>
              <w:spacing w:after="0"/>
              <w:rPr>
                <w:sz w:val="20"/>
                <w:szCs w:val="20"/>
                <w:color w:val="auto"/>
              </w:rPr>
            </w:pPr>
            <w:r>
              <w:rPr>
                <w:rFonts w:ascii="Arial" w:cs="Arial" w:eastAsia="Arial" w:hAnsi="Arial"/>
                <w:sz w:val="19"/>
                <w:szCs w:val="19"/>
                <w:color w:val="auto"/>
              </w:rPr>
              <w:t>thinking  and</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ambiente per l'innovazione, la creatività e il</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creates  an  environment  for  innovation,</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19"/>
                <w:szCs w:val="19"/>
                <w:color w:val="auto"/>
              </w:rPr>
              <w:t>cambiamento.</w:t>
            </w:r>
          </w:p>
        </w:tc>
        <w:tc>
          <w:tcPr>
            <w:tcW w:w="920" w:type="dxa"/>
            <w:vAlign w:val="bottom"/>
          </w:tcPr>
          <w:p>
            <w:pPr>
              <w:ind w:left="140"/>
              <w:spacing w:after="0" w:line="216" w:lineRule="exact"/>
              <w:rPr>
                <w:sz w:val="20"/>
                <w:szCs w:val="20"/>
                <w:color w:val="auto"/>
              </w:rPr>
            </w:pPr>
            <w:r>
              <w:rPr>
                <w:rFonts w:ascii="Arial" w:cs="Arial" w:eastAsia="Arial" w:hAnsi="Arial"/>
                <w:sz w:val="19"/>
                <w:szCs w:val="19"/>
                <w:color w:val="auto"/>
              </w:rPr>
              <w:t>Guida</w:t>
            </w:r>
          </w:p>
        </w:tc>
        <w:tc>
          <w:tcPr>
            <w:tcW w:w="280" w:type="dxa"/>
            <w:vAlign w:val="bottom"/>
          </w:tcPr>
          <w:p>
            <w:pPr>
              <w:ind w:left="40"/>
              <w:spacing w:after="0" w:line="216" w:lineRule="exact"/>
              <w:rPr>
                <w:sz w:val="20"/>
                <w:szCs w:val="20"/>
                <w:color w:val="auto"/>
              </w:rPr>
            </w:pPr>
            <w:r>
              <w:rPr>
                <w:rFonts w:ascii="Arial" w:cs="Arial" w:eastAsia="Arial" w:hAnsi="Arial"/>
                <w:sz w:val="19"/>
                <w:szCs w:val="19"/>
                <w:color w:val="auto"/>
              </w:rPr>
              <w:t>il</w:t>
            </w:r>
          </w:p>
        </w:tc>
        <w:tc>
          <w:tcPr>
            <w:tcW w:w="1400" w:type="dxa"/>
            <w:vAlign w:val="bottom"/>
          </w:tcPr>
          <w:p>
            <w:pPr>
              <w:ind w:left="160"/>
              <w:spacing w:after="0" w:line="216" w:lineRule="exact"/>
              <w:rPr>
                <w:sz w:val="20"/>
                <w:szCs w:val="20"/>
                <w:color w:val="auto"/>
              </w:rPr>
            </w:pPr>
            <w:r>
              <w:rPr>
                <w:rFonts w:ascii="Arial" w:cs="Arial" w:eastAsia="Arial" w:hAnsi="Arial"/>
                <w:sz w:val="19"/>
                <w:szCs w:val="19"/>
                <w:color w:val="auto"/>
              </w:rPr>
              <w:t>cambiamento</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creativity,  and  change.  Leads  change  by</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articolando  la  logica,  comunicando  chiare</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w w:val="99"/>
              </w:rPr>
              <w:t>articulating the rationale, communicating clear</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aspettative, fornendo un feedback continuo,</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expectations, providing continuous feedback,</w:t>
            </w:r>
          </w:p>
        </w:tc>
      </w:tr>
      <w:tr>
        <w:trPr>
          <w:trHeight w:val="216"/>
        </w:trPr>
        <w:tc>
          <w:tcPr>
            <w:tcW w:w="3960" w:type="dxa"/>
            <w:vAlign w:val="bottom"/>
            <w:gridSpan w:val="4"/>
          </w:tcPr>
          <w:p>
            <w:pPr>
              <w:spacing w:after="0" w:line="216" w:lineRule="exact"/>
              <w:rPr>
                <w:sz w:val="20"/>
                <w:szCs w:val="20"/>
                <w:color w:val="auto"/>
              </w:rPr>
            </w:pPr>
            <w:r>
              <w:rPr>
                <w:rFonts w:ascii="Arial" w:cs="Arial" w:eastAsia="Arial" w:hAnsi="Arial"/>
                <w:sz w:val="19"/>
                <w:szCs w:val="19"/>
                <w:color w:val="auto"/>
              </w:rPr>
              <w:t>vedendo  e  affrontando  la  resistenza  e</w:t>
            </w:r>
          </w:p>
        </w:tc>
        <w:tc>
          <w:tcPr>
            <w:tcW w:w="3960" w:type="dxa"/>
            <w:vAlign w:val="bottom"/>
            <w:gridSpan w:val="4"/>
          </w:tcPr>
          <w:p>
            <w:pPr>
              <w:ind w:left="100"/>
              <w:spacing w:after="0" w:line="216" w:lineRule="exact"/>
              <w:rPr>
                <w:sz w:val="20"/>
                <w:szCs w:val="20"/>
                <w:color w:val="auto"/>
              </w:rPr>
            </w:pPr>
            <w:r>
              <w:rPr>
                <w:rFonts w:ascii="Arial" w:cs="Arial" w:eastAsia="Arial" w:hAnsi="Arial"/>
                <w:sz w:val="19"/>
                <w:szCs w:val="19"/>
                <w:color w:val="auto"/>
              </w:rPr>
              <w:t>seeing  and  addressing  resistance,  and</w:t>
            </w:r>
          </w:p>
        </w:tc>
      </w:tr>
      <w:tr>
        <w:trPr>
          <w:trHeight w:val="249"/>
        </w:trPr>
        <w:tc>
          <w:tcPr>
            <w:tcW w:w="2280" w:type="dxa"/>
            <w:vAlign w:val="bottom"/>
            <w:gridSpan w:val="2"/>
          </w:tcPr>
          <w:p>
            <w:pPr>
              <w:spacing w:after="0"/>
              <w:rPr>
                <w:sz w:val="20"/>
                <w:szCs w:val="20"/>
                <w:color w:val="auto"/>
              </w:rPr>
            </w:pPr>
            <w:r>
              <w:rPr>
                <w:rFonts w:ascii="Arial" w:cs="Arial" w:eastAsia="Arial" w:hAnsi="Arial"/>
                <w:sz w:val="19"/>
                <w:szCs w:val="19"/>
                <w:color w:val="auto"/>
              </w:rPr>
              <w:t>stabilendo i giusti incentivi.</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960" w:type="dxa"/>
            <w:vAlign w:val="bottom"/>
            <w:gridSpan w:val="4"/>
          </w:tcPr>
          <w:p>
            <w:pPr>
              <w:ind w:left="100"/>
              <w:spacing w:after="0"/>
              <w:rPr>
                <w:sz w:val="20"/>
                <w:szCs w:val="20"/>
                <w:color w:val="auto"/>
              </w:rPr>
            </w:pPr>
            <w:r>
              <w:rPr>
                <w:rFonts w:ascii="Arial" w:cs="Arial" w:eastAsia="Arial" w:hAnsi="Arial"/>
                <w:sz w:val="19"/>
                <w:szCs w:val="19"/>
                <w:color w:val="auto"/>
              </w:rPr>
              <w:t>establishing the right incentives.</w:t>
            </w:r>
          </w:p>
        </w:tc>
      </w:tr>
    </w:tbl>
    <w:p>
      <w:pPr>
        <w:spacing w:after="0" w:line="102" w:lineRule="exact"/>
        <w:rPr>
          <w:sz w:val="20"/>
          <w:szCs w:val="20"/>
          <w:color w:val="auto"/>
        </w:rPr>
      </w:pPr>
    </w:p>
    <w:p>
      <w:pPr>
        <w:jc w:val="both"/>
        <w:ind w:left="520" w:right="579" w:firstLine="9"/>
        <w:spacing w:after="0" w:line="254" w:lineRule="auto"/>
        <w:tabs>
          <w:tab w:leader="none" w:pos="860" w:val="left"/>
        </w:tabs>
        <w:numPr>
          <w:ilvl w:val="0"/>
          <w:numId w:val="92"/>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Forma squadre forti con prospettive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Forges strong teams with multiple multiple e talenti complementari. Dimostra un perspectives and complementary talents.</w:t>
      </w:r>
    </w:p>
    <w:tbl>
      <w:tblPr>
        <w:tblLayout w:type="fixed"/>
        <w:tblInd w:w="520" w:type="dxa"/>
        <w:tblCellMar>
          <w:top w:w="0" w:type="dxa"/>
          <w:left w:w="0" w:type="dxa"/>
          <w:bottom w:w="0" w:type="dxa"/>
          <w:right w:w="0" w:type="dxa"/>
        </w:tblCellMar>
      </w:tblPr>
      <w:tr>
        <w:trPr>
          <w:trHeight w:val="198"/>
        </w:trPr>
        <w:tc>
          <w:tcPr>
            <w:tcW w:w="3960" w:type="dxa"/>
            <w:vAlign w:val="bottom"/>
          </w:tcPr>
          <w:p>
            <w:pPr>
              <w:spacing w:after="0" w:line="198" w:lineRule="exact"/>
              <w:rPr>
                <w:sz w:val="20"/>
                <w:szCs w:val="20"/>
                <w:color w:val="auto"/>
              </w:rPr>
            </w:pPr>
            <w:r>
              <w:rPr>
                <w:rFonts w:ascii="Arial" w:cs="Arial" w:eastAsia="Arial" w:hAnsi="Arial"/>
                <w:sz w:val="19"/>
                <w:szCs w:val="19"/>
                <w:color w:val="auto"/>
              </w:rPr>
              <w:t>impegno visibile e vocale per la diversità e</w:t>
            </w:r>
          </w:p>
        </w:tc>
        <w:tc>
          <w:tcPr>
            <w:tcW w:w="3960" w:type="dxa"/>
            <w:vAlign w:val="bottom"/>
          </w:tcPr>
          <w:p>
            <w:pPr>
              <w:ind w:left="100"/>
              <w:spacing w:after="0" w:line="198" w:lineRule="exact"/>
              <w:rPr>
                <w:sz w:val="20"/>
                <w:szCs w:val="20"/>
                <w:color w:val="auto"/>
              </w:rPr>
            </w:pPr>
            <w:r>
              <w:rPr>
                <w:rFonts w:ascii="Arial" w:cs="Arial" w:eastAsia="Arial" w:hAnsi="Arial"/>
                <w:sz w:val="19"/>
                <w:szCs w:val="19"/>
                <w:color w:val="auto"/>
                <w:w w:val="99"/>
              </w:rPr>
              <w:t>Demonstrates a visible and vocal commitment</w:t>
            </w:r>
          </w:p>
        </w:tc>
      </w:tr>
      <w:tr>
        <w:trPr>
          <w:trHeight w:val="230"/>
        </w:trPr>
        <w:tc>
          <w:tcPr>
            <w:tcW w:w="3960" w:type="dxa"/>
            <w:vAlign w:val="bottom"/>
          </w:tcPr>
          <w:p>
            <w:pPr>
              <w:spacing w:after="0"/>
              <w:rPr>
                <w:sz w:val="20"/>
                <w:szCs w:val="20"/>
                <w:color w:val="auto"/>
              </w:rPr>
            </w:pPr>
            <w:r>
              <w:rPr>
                <w:rFonts w:ascii="Arial" w:cs="Arial" w:eastAsia="Arial" w:hAnsi="Arial"/>
                <w:sz w:val="19"/>
                <w:szCs w:val="19"/>
                <w:color w:val="auto"/>
              </w:rPr>
              <w:t>articola il suo immenso valore per il business.</w:t>
            </w:r>
          </w:p>
        </w:tc>
        <w:tc>
          <w:tcPr>
            <w:tcW w:w="3960" w:type="dxa"/>
            <w:vAlign w:val="bottom"/>
          </w:tcPr>
          <w:p>
            <w:pPr>
              <w:ind w:left="100"/>
              <w:spacing w:after="0"/>
              <w:rPr>
                <w:sz w:val="20"/>
                <w:szCs w:val="20"/>
                <w:color w:val="auto"/>
              </w:rPr>
            </w:pPr>
            <w:r>
              <w:rPr>
                <w:rFonts w:ascii="Arial" w:cs="Arial" w:eastAsia="Arial" w:hAnsi="Arial"/>
                <w:sz w:val="19"/>
                <w:szCs w:val="19"/>
                <w:color w:val="auto"/>
              </w:rPr>
              <w:t>to diversity and articulates its immense value</w:t>
            </w:r>
          </w:p>
        </w:tc>
      </w:tr>
      <w:tr>
        <w:trPr>
          <w:trHeight w:val="249"/>
        </w:trPr>
        <w:tc>
          <w:tcPr>
            <w:tcW w:w="3960" w:type="dxa"/>
            <w:vAlign w:val="bottom"/>
          </w:tcPr>
          <w:p>
            <w:pPr>
              <w:spacing w:after="0"/>
              <w:rPr>
                <w:sz w:val="21"/>
                <w:szCs w:val="21"/>
                <w:color w:val="auto"/>
              </w:rPr>
            </w:pPr>
          </w:p>
        </w:tc>
        <w:tc>
          <w:tcPr>
            <w:tcW w:w="3960" w:type="dxa"/>
            <w:vAlign w:val="bottom"/>
          </w:tcPr>
          <w:p>
            <w:pPr>
              <w:ind w:left="100"/>
              <w:spacing w:after="0"/>
              <w:rPr>
                <w:sz w:val="20"/>
                <w:szCs w:val="20"/>
                <w:color w:val="auto"/>
              </w:rPr>
            </w:pPr>
            <w:r>
              <w:rPr>
                <w:rFonts w:ascii="Arial" w:cs="Arial" w:eastAsia="Arial" w:hAnsi="Arial"/>
                <w:sz w:val="19"/>
                <w:szCs w:val="19"/>
                <w:color w:val="auto"/>
              </w:rPr>
              <w:t>to the business.</w:t>
            </w:r>
          </w:p>
        </w:tc>
      </w:tr>
      <w:tr>
        <w:trPr>
          <w:trHeight w:val="453"/>
        </w:trPr>
        <w:tc>
          <w:tcPr>
            <w:tcW w:w="3960" w:type="dxa"/>
            <w:vAlign w:val="bottom"/>
          </w:tcPr>
          <w:p>
            <w:pPr>
              <w:ind w:left="20"/>
              <w:spacing w:after="0"/>
              <w:rPr>
                <w:sz w:val="20"/>
                <w:szCs w:val="20"/>
                <w:color w:val="auto"/>
              </w:rPr>
            </w:pPr>
            <w:r>
              <w:rPr>
                <w:rFonts w:ascii="Arial" w:cs="Arial" w:eastAsia="Arial" w:hAnsi="Arial"/>
                <w:sz w:val="19"/>
                <w:szCs w:val="19"/>
                <w:color w:val="auto"/>
              </w:rPr>
              <w:t>Costruzione di relazioni, influenza e</w:t>
            </w:r>
          </w:p>
        </w:tc>
        <w:tc>
          <w:tcPr>
            <w:tcW w:w="3960" w:type="dxa"/>
            <w:vAlign w:val="bottom"/>
          </w:tcPr>
          <w:p>
            <w:pPr>
              <w:spacing w:after="0"/>
              <w:rPr>
                <w:sz w:val="24"/>
                <w:szCs w:val="24"/>
                <w:color w:val="auto"/>
              </w:rPr>
            </w:pPr>
          </w:p>
        </w:tc>
      </w:tr>
      <w:tr>
        <w:trPr>
          <w:trHeight w:val="261"/>
        </w:trPr>
        <w:tc>
          <w:tcPr>
            <w:tcW w:w="3960" w:type="dxa"/>
            <w:vAlign w:val="bottom"/>
          </w:tcPr>
          <w:p>
            <w:pPr>
              <w:ind w:left="20"/>
              <w:spacing w:after="0"/>
              <w:rPr>
                <w:sz w:val="20"/>
                <w:szCs w:val="20"/>
                <w:color w:val="auto"/>
              </w:rPr>
            </w:pPr>
            <w:r>
              <w:rPr>
                <w:rFonts w:ascii="Arial" w:cs="Arial" w:eastAsia="Arial" w:hAnsi="Arial"/>
                <w:sz w:val="19"/>
                <w:szCs w:val="19"/>
                <w:color w:val="auto"/>
              </w:rPr>
              <w:t>comunicazione</w:t>
            </w:r>
          </w:p>
        </w:tc>
        <w:tc>
          <w:tcPr>
            <w:tcW w:w="3960" w:type="dxa"/>
            <w:vAlign w:val="bottom"/>
          </w:tcPr>
          <w:p>
            <w:pPr>
              <w:ind w:left="100"/>
              <w:spacing w:after="0"/>
              <w:rPr>
                <w:sz w:val="20"/>
                <w:szCs w:val="20"/>
                <w:color w:val="auto"/>
              </w:rPr>
            </w:pPr>
            <w:r>
              <w:rPr>
                <w:rFonts w:ascii="Arial" w:cs="Arial" w:eastAsia="Arial" w:hAnsi="Arial"/>
                <w:sz w:val="19"/>
                <w:szCs w:val="19"/>
                <w:color w:val="auto"/>
              </w:rPr>
              <w:t>Relationship Building, Influence and</w:t>
            </w:r>
          </w:p>
        </w:tc>
      </w:tr>
    </w:tbl>
    <w:p>
      <w:pPr>
        <w:ind w:left="860" w:hanging="331"/>
        <w:spacing w:after="0" w:line="197" w:lineRule="auto"/>
        <w:tabs>
          <w:tab w:leader="none" w:pos="860" w:val="left"/>
        </w:tabs>
        <w:numPr>
          <w:ilvl w:val="0"/>
          <w:numId w:val="93"/>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Inizia  l'interazione,  si  impegna  con  le  </w:t>
      </w:r>
      <w:r>
        <w:rPr>
          <w:rFonts w:ascii="Arial" w:cs="Arial" w:eastAsia="Arial" w:hAnsi="Arial"/>
          <w:sz w:val="37"/>
          <w:szCs w:val="37"/>
          <w:color w:val="auto"/>
          <w:vertAlign w:val="superscript"/>
        </w:rPr>
        <w:t>Communication</w:t>
      </w:r>
    </w:p>
    <w:tbl>
      <w:tblPr>
        <w:tblLayout w:type="fixed"/>
        <w:tblInd w:w="520" w:type="dxa"/>
        <w:tblCellMar>
          <w:top w:w="0" w:type="dxa"/>
          <w:left w:w="0" w:type="dxa"/>
          <w:bottom w:w="0" w:type="dxa"/>
          <w:right w:w="0" w:type="dxa"/>
        </w:tblCellMar>
      </w:tblPr>
      <w:tr>
        <w:trPr>
          <w:trHeight w:val="200"/>
        </w:trPr>
        <w:tc>
          <w:tcPr>
            <w:tcW w:w="3960" w:type="dxa"/>
            <w:vAlign w:val="bottom"/>
          </w:tcPr>
          <w:p>
            <w:pPr>
              <w:spacing w:after="0" w:line="200" w:lineRule="exact"/>
              <w:rPr>
                <w:sz w:val="20"/>
                <w:szCs w:val="20"/>
                <w:color w:val="auto"/>
              </w:rPr>
            </w:pPr>
            <w:r>
              <w:rPr>
                <w:rFonts w:ascii="Arial" w:cs="Arial" w:eastAsia="Arial" w:hAnsi="Arial"/>
                <w:sz w:val="19"/>
                <w:szCs w:val="19"/>
                <w:color w:val="auto"/>
              </w:rPr>
              <w:t>persone rapidamente, costruisce relazioni e</w:t>
            </w:r>
          </w:p>
        </w:tc>
        <w:tc>
          <w:tcPr>
            <w:tcW w:w="3960" w:type="dxa"/>
            <w:vAlign w:val="bottom"/>
          </w:tcPr>
          <w:p>
            <w:pPr>
              <w:ind w:left="100"/>
              <w:spacing w:after="0" w:line="200" w:lineRule="exact"/>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Initiates interaction, engages with people</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le mantiene nel tempo. In grado di usare il</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quickly,  builds  relationships  and  maintains</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suo impatto interpersonale e le sue capacità</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them  over  time.  Able  to  use  his/her</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di comunicazione per influenzare e allineare</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w w:val="99"/>
              </w:rPr>
              <w:t>interpersonal impact and communication skills</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le persone intorno a un'idea, una strategia o</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to help influence and align people around an</w:t>
            </w:r>
          </w:p>
        </w:tc>
      </w:tr>
      <w:tr>
        <w:trPr>
          <w:trHeight w:val="263"/>
        </w:trPr>
        <w:tc>
          <w:tcPr>
            <w:tcW w:w="3960" w:type="dxa"/>
            <w:vAlign w:val="bottom"/>
          </w:tcPr>
          <w:p>
            <w:pPr>
              <w:spacing w:after="0"/>
              <w:rPr>
                <w:sz w:val="20"/>
                <w:szCs w:val="20"/>
                <w:color w:val="auto"/>
              </w:rPr>
            </w:pPr>
            <w:r>
              <w:rPr>
                <w:rFonts w:ascii="Arial" w:cs="Arial" w:eastAsia="Arial" w:hAnsi="Arial"/>
                <w:sz w:val="19"/>
                <w:szCs w:val="19"/>
                <w:color w:val="auto"/>
              </w:rPr>
              <w:t>un'azione.</w:t>
            </w:r>
          </w:p>
        </w:tc>
        <w:tc>
          <w:tcPr>
            <w:tcW w:w="3960" w:type="dxa"/>
            <w:vAlign w:val="bottom"/>
          </w:tcPr>
          <w:p>
            <w:pPr>
              <w:ind w:left="100"/>
              <w:spacing w:after="0"/>
              <w:rPr>
                <w:sz w:val="20"/>
                <w:szCs w:val="20"/>
                <w:color w:val="auto"/>
              </w:rPr>
            </w:pPr>
            <w:r>
              <w:rPr>
                <w:rFonts w:ascii="Arial" w:cs="Arial" w:eastAsia="Arial" w:hAnsi="Arial"/>
                <w:sz w:val="19"/>
                <w:szCs w:val="19"/>
                <w:color w:val="auto"/>
              </w:rPr>
              <w:t>idea, a strategy, or an action.</w:t>
            </w:r>
          </w:p>
        </w:tc>
      </w:tr>
    </w:tbl>
    <w:p>
      <w:pPr>
        <w:spacing w:after="0" w:line="88" w:lineRule="exact"/>
        <w:rPr>
          <w:sz w:val="20"/>
          <w:szCs w:val="20"/>
          <w:color w:val="auto"/>
        </w:rPr>
      </w:pPr>
    </w:p>
    <w:p>
      <w:pPr>
        <w:ind w:left="860" w:hanging="331"/>
        <w:spacing w:after="0"/>
        <w:tabs>
          <w:tab w:leader="none" w:pos="860" w:val="left"/>
        </w:tabs>
        <w:numPr>
          <w:ilvl w:val="0"/>
          <w:numId w:val="94"/>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Networker   proattivo   che   stabilisce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Proactive   networker   who   readily</w:t>
      </w:r>
    </w:p>
    <w:p>
      <w:pPr>
        <w:spacing w:after="0" w:line="17" w:lineRule="exact"/>
        <w:rPr>
          <w:sz w:val="20"/>
          <w:szCs w:val="20"/>
          <w:color w:val="auto"/>
        </w:rPr>
      </w:pPr>
    </w:p>
    <w:p>
      <w:pPr>
        <w:jc w:val="center"/>
        <w:ind w:right="59"/>
        <w:spacing w:after="0"/>
        <w:tabs>
          <w:tab w:leader="none" w:pos="180" w:val="left"/>
        </w:tabs>
        <w:rPr>
          <w:sz w:val="20"/>
          <w:szCs w:val="20"/>
          <w:color w:val="auto"/>
        </w:rPr>
      </w:pPr>
      <w:r>
        <w:rPr>
          <w:rFonts w:ascii="Arial" w:cs="Arial" w:eastAsia="Arial" w:hAnsi="Arial"/>
          <w:sz w:val="19"/>
          <w:szCs w:val="19"/>
          <w:color w:val="auto"/>
        </w:rPr>
        <w:t>prontamente connessioni esterne e le utilizza</w:t>
        <w:tab/>
        <w:t>establishes  external  connections  and  uses</w:t>
      </w:r>
    </w:p>
    <w:p>
      <w:pPr>
        <w:ind w:left="840" w:hanging="311"/>
        <w:spacing w:after="0" w:line="237" w:lineRule="auto"/>
        <w:tabs>
          <w:tab w:leader="none" w:pos="8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beneficio  di  TripAdvisor  e  dei  suoi  them to the benefit of TripAdvisor and its</w:t>
      </w:r>
    </w:p>
    <w:p>
      <w:pPr>
        <w:ind w:left="520"/>
        <w:spacing w:after="0"/>
        <w:tabs>
          <w:tab w:leader="none" w:pos="4560" w:val="left"/>
        </w:tabs>
        <w:rPr>
          <w:sz w:val="20"/>
          <w:szCs w:val="20"/>
          <w:color w:val="auto"/>
        </w:rPr>
      </w:pPr>
      <w:r>
        <w:rPr>
          <w:rFonts w:ascii="Arial" w:cs="Arial" w:eastAsia="Arial" w:hAnsi="Arial"/>
          <w:sz w:val="19"/>
          <w:szCs w:val="19"/>
          <w:color w:val="auto"/>
        </w:rPr>
        <w:t>stakeholder.</w:t>
      </w:r>
      <w:r>
        <w:rPr>
          <w:sz w:val="20"/>
          <w:szCs w:val="20"/>
          <w:color w:val="auto"/>
        </w:rPr>
        <w:tab/>
      </w:r>
      <w:r>
        <w:rPr>
          <w:rFonts w:ascii="Arial" w:cs="Arial" w:eastAsia="Arial" w:hAnsi="Arial"/>
          <w:sz w:val="19"/>
          <w:szCs w:val="19"/>
          <w:color w:val="auto"/>
        </w:rPr>
        <w:t>stakeholders.</w:t>
      </w:r>
    </w:p>
    <w:p>
      <w:pPr>
        <w:spacing w:after="0" w:line="12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Ha l'EQ (quoziente emotivo) per capire le</w:t>
            </w:r>
          </w:p>
        </w:tc>
        <w:tc>
          <w:tcPr>
            <w:tcW w:w="3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Has  the  EQ  to  understand  individual,</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dinamiche   individuali,   di   squadra   e</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team  and  organizational  dynamics;  is  a</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organizzative; è un connettore naturale che</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natural connector who actively builds bridges</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costruisce  attivamente  ponti  tra  persone,</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between</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squadre e divisioni. Sa quando guidare/stare</w:t>
            </w:r>
          </w:p>
        </w:tc>
        <w:tc>
          <w:tcPr>
            <w:tcW w:w="3960" w:type="dxa"/>
            <w:vAlign w:val="bottom"/>
          </w:tcPr>
          <w:p>
            <w:pPr>
              <w:ind w:left="100"/>
              <w:spacing w:after="0" w:line="216" w:lineRule="exact"/>
              <w:rPr>
                <w:sz w:val="20"/>
                <w:szCs w:val="20"/>
                <w:color w:val="auto"/>
              </w:rPr>
            </w:pPr>
            <w:r>
              <w:rPr>
                <w:rFonts w:ascii="Arial" w:cs="Arial" w:eastAsia="Arial" w:hAnsi="Arial"/>
                <w:sz w:val="19"/>
                <w:szCs w:val="19"/>
                <w:color w:val="auto"/>
              </w:rPr>
              <w:t>people, teams, and divisions. Knows when to</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in prima linea e quando condividere i riflettori</w:t>
            </w:r>
          </w:p>
        </w:tc>
        <w:tc>
          <w:tcPr>
            <w:tcW w:w="3960" w:type="dxa"/>
            <w:vAlign w:val="bottom"/>
          </w:tcPr>
          <w:p>
            <w:pPr>
              <w:spacing w:after="0"/>
              <w:rPr>
                <w:sz w:val="18"/>
                <w:szCs w:val="18"/>
                <w:color w:val="auto"/>
              </w:rPr>
            </w:pPr>
          </w:p>
        </w:tc>
      </w:tr>
      <w:tr>
        <w:trPr>
          <w:trHeight w:val="249"/>
        </w:trPr>
        <w:tc>
          <w:tcPr>
            <w:tcW w:w="3960" w:type="dxa"/>
            <w:vAlign w:val="bottom"/>
          </w:tcPr>
          <w:p>
            <w:pPr>
              <w:spacing w:after="0"/>
              <w:rPr>
                <w:sz w:val="20"/>
                <w:szCs w:val="20"/>
                <w:color w:val="auto"/>
              </w:rPr>
            </w:pPr>
            <w:r>
              <w:rPr>
                <w:rFonts w:ascii="Arial" w:cs="Arial" w:eastAsia="Arial" w:hAnsi="Arial"/>
                <w:sz w:val="19"/>
                <w:szCs w:val="19"/>
                <w:color w:val="auto"/>
              </w:rPr>
              <w:t>per consentire la leadership degli altri.</w:t>
            </w:r>
          </w:p>
        </w:tc>
        <w:tc>
          <w:tcPr>
            <w:tcW w:w="39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1749425</wp:posOffset>
            </wp:positionV>
            <wp:extent cx="684911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04" w:name="page105"/>
    <w:bookmarkEnd w:id="104"/>
    <w:p>
      <w:pPr>
        <w:ind w:left="420"/>
        <w:spacing w:after="0"/>
        <w:rPr>
          <w:sz w:val="20"/>
          <w:szCs w:val="20"/>
          <w:color w:val="auto"/>
        </w:rPr>
      </w:pPr>
      <w:r>
        <w:rPr>
          <w:rFonts w:ascii="Georgia" w:cs="Georgia" w:eastAsia="Georgia" w:hAnsi="Georgia"/>
          <w:sz w:val="20"/>
          <w:szCs w:val="20"/>
          <w:color w:val="auto"/>
        </w:rPr>
        <w:t>8</w:t>
      </w:r>
    </w:p>
    <w:p>
      <w:pPr>
        <w:spacing w:after="0" w:line="232" w:lineRule="exact"/>
        <w:rPr>
          <w:sz w:val="20"/>
          <w:szCs w:val="20"/>
          <w:color w:val="auto"/>
        </w:rPr>
      </w:pPr>
    </w:p>
    <w:p>
      <w:pPr>
        <w:jc w:val="center"/>
        <w:ind w:right="119"/>
        <w:spacing w:after="0"/>
        <w:rPr>
          <w:sz w:val="20"/>
          <w:szCs w:val="20"/>
          <w:color w:val="auto"/>
        </w:rPr>
      </w:pPr>
      <w:r>
        <w:rPr>
          <w:rFonts w:ascii="Georgia" w:cs="Georgia" w:eastAsia="Georgia" w:hAnsi="Georgia"/>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554355</wp:posOffset>
            </wp:positionV>
            <wp:extent cx="5162550" cy="15386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5162550" cy="153860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20" w:firstLine="9"/>
        <w:spacing w:after="0" w:line="253" w:lineRule="auto"/>
        <w:tabs>
          <w:tab w:leader="none" w:pos="860" w:val="left"/>
        </w:tabs>
        <w:numPr>
          <w:ilvl w:val="0"/>
          <w:numId w:val="96"/>
        </w:numPr>
        <w:rPr>
          <w:rFonts w:ascii="Times New Roman" w:cs="Times New Roman" w:eastAsia="Times New Roman" w:hAnsi="Times New Roman"/>
          <w:sz w:val="19"/>
          <w:szCs w:val="19"/>
          <w:color w:val="auto"/>
        </w:rPr>
      </w:pPr>
      <w:r>
        <w:rPr>
          <w:rFonts w:ascii="Arial" w:cs="Arial" w:eastAsia="Arial" w:hAnsi="Arial"/>
          <w:sz w:val="19"/>
          <w:szCs w:val="19"/>
          <w:color w:val="auto"/>
        </w:rPr>
        <w:t>Comunicatore persuasivo e convincente, efficace con diversi tipi di pubblico. Ascolta bene e trasmette messaggi chiari con passione, trasparenza e convinzione.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right="819"/>
        <w:spacing w:after="0" w:line="299" w:lineRule="auto"/>
        <w:rPr>
          <w:sz w:val="20"/>
          <w:szCs w:val="20"/>
          <w:color w:val="auto"/>
        </w:rPr>
      </w:pPr>
      <w:r>
        <w:rPr>
          <w:rFonts w:ascii="Arial" w:cs="Arial" w:eastAsia="Arial" w:hAnsi="Arial"/>
          <w:sz w:val="18"/>
          <w:szCs w:val="18"/>
          <w:color w:val="auto"/>
        </w:rPr>
        <w:t>lead from the front and when to share the spotlight to enable the leadership of others.</w:t>
      </w:r>
    </w:p>
    <w:p>
      <w:pPr>
        <w:spacing w:after="0" w:line="65" w:lineRule="exact"/>
        <w:rPr>
          <w:sz w:val="20"/>
          <w:szCs w:val="20"/>
          <w:color w:val="auto"/>
        </w:rPr>
      </w:pPr>
    </w:p>
    <w:p>
      <w:pPr>
        <w:jc w:val="both"/>
        <w:ind w:left="1" w:right="579" w:hanging="1"/>
        <w:spacing w:after="0" w:line="253" w:lineRule="auto"/>
        <w:tabs>
          <w:tab w:leader="none" w:pos="342" w:val="left"/>
        </w:tabs>
        <w:numPr>
          <w:ilvl w:val="0"/>
          <w:numId w:val="97"/>
        </w:numPr>
        <w:rPr>
          <w:rFonts w:ascii="Times New Roman" w:cs="Times New Roman" w:eastAsia="Times New Roman" w:hAnsi="Times New Roman"/>
          <w:sz w:val="19"/>
          <w:szCs w:val="19"/>
          <w:color w:val="auto"/>
        </w:rPr>
      </w:pPr>
      <w:r>
        <w:rPr>
          <w:rFonts w:ascii="Arial" w:cs="Arial" w:eastAsia="Arial" w:hAnsi="Arial"/>
          <w:sz w:val="19"/>
          <w:szCs w:val="19"/>
          <w:color w:val="auto"/>
        </w:rPr>
        <w:t>Persuasive and compelling communicator who is effective with different audiences. Listens well and delivers crisp messages with passion, transparency and conviction.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7631430</wp:posOffset>
            </wp:positionV>
            <wp:extent cx="684911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2">
            <w:col w:w="4380" w:space="199"/>
            <w:col w:w="4440"/>
          </w:cols>
          <w:pgMar w:left="1440" w:top="305" w:right="1440" w:bottom="1440" w:gutter="0" w:footer="0" w:header="0"/>
          <w:type w:val="continuous"/>
        </w:sectPr>
      </w:pPr>
    </w:p>
    <w:bookmarkStart w:id="105" w:name="page106"/>
    <w:bookmarkEnd w:id="10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Goldberg,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Tripadvisor,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Noonan,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Tripadvisor,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March 31, 2026, as filed with the Securities and Exchange Commission on the date hereof (the “Report”), I, Matt Goldberg, Chief Executive Officer of the Company, certify, pursuant to Section 906 of the Sarbanes-Oxley Act of 2002, 18 U.S.C. Section 1350, that:</w:t>
      </w:r>
    </w:p>
    <w:p>
      <w:pPr>
        <w:spacing w:after="0" w:line="68" w:lineRule="exact"/>
        <w:rPr>
          <w:sz w:val="20"/>
          <w:szCs w:val="20"/>
          <w:color w:val="auto"/>
        </w:rPr>
      </w:pPr>
    </w:p>
    <w:p>
      <w:pPr>
        <w:ind w:left="520" w:right="20" w:hanging="512"/>
        <w:spacing w:after="0" w:line="282"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March 31, 2026, as filed with the Securities and Exchange Commission on the date hereof (the “Report”), I, Michael Noonan, Chief Financial Officer of the Company, certify, pursuant to Section 906 of the Sarbanes-Oxley Act of 2002, 18 U.S.C. Section 1350, that:</w:t>
      </w:r>
    </w:p>
    <w:p>
      <w:pPr>
        <w:spacing w:after="0" w:line="68" w:lineRule="exact"/>
        <w:rPr>
          <w:sz w:val="20"/>
          <w:szCs w:val="20"/>
          <w:color w:val="auto"/>
        </w:rPr>
      </w:pPr>
    </w:p>
    <w:p>
      <w:pPr>
        <w:ind w:left="520" w:right="20" w:hanging="512"/>
        <w:spacing w:after="0" w:line="282"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1)"/>
      <w:numFmt w:val="decimal"/>
      <w:start w:val="1"/>
    </w:lvl>
    <w:lvl w:ilvl="1">
      <w:lvlJc w:val="left"/>
      <w:lvlText w:val="%2:"/>
      <w:numFmt w:val="decimal"/>
      <w:start w:val="12"/>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decimal"/>
      <w:start w:val="1"/>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1)"/>
      <w:numFmt w:val="decimal"/>
      <w:start w:val="1"/>
    </w:lvl>
  </w:abstractNum>
  <w:abstractNum w:abstractNumId="10">
    <w:nsid w:val="275AC794"/>
    <w:multiLevelType w:val="hybridMultilevel"/>
    <w:lvl w:ilvl="0">
      <w:lvlJc w:val="left"/>
      <w:lvlText w:val="(%1)"/>
      <w:numFmt w:val="decimal"/>
      <w:start w:val="5"/>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1."/>
      <w:numFmt w:val="upperLetter"/>
      <w:start w:val="9"/>
    </w:lvl>
  </w:abstractNum>
  <w:abstractNum w:abstractNumId="20">
    <w:nsid w:val="10233C99"/>
    <w:multiLevelType w:val="hybridMultilevel"/>
    <w:lvl w:ilvl="0">
      <w:lvlJc w:val="left"/>
      <w:lvlText w:val="%1."/>
      <w:numFmt w:val="upperLetter"/>
      <w:start w:val="35"/>
    </w:lvl>
  </w:abstractNum>
  <w:abstractNum w:abstractNumId="21">
    <w:nsid w:val="3F6AB60F"/>
    <w:multiLevelType w:val="hybridMultilevel"/>
    <w:lvl w:ilvl="0">
      <w:lvlJc w:val="left"/>
      <w:lvlText w:val="%1."/>
      <w:numFmt w:val="upperLetter"/>
      <w:start w:val="61"/>
    </w:lvl>
  </w:abstractNum>
  <w:abstractNum w:abstractNumId="22">
    <w:nsid w:val="6157409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3">
    <w:nsid w:val="7E0C57B1"/>
    <w:multiLevelType w:val="hybridMultilevel"/>
    <w:lvl w:ilvl="0">
      <w:lvlJc w:val="left"/>
      <w:lvlText w:val="%1"/>
      <w:numFmt w:val="upperLetter"/>
      <w:start w:val="1"/>
    </w:lvl>
    <w:lvl w:ilvl="1">
      <w:lvlJc w:val="left"/>
      <w:lvlText w:val="%2."/>
      <w:numFmt w:val="decimal"/>
      <w:start w:val="2"/>
    </w:lvl>
  </w:abstractNum>
  <w:abstractNum w:abstractNumId="24">
    <w:nsid w:val="77AE35EB"/>
    <w:multiLevelType w:val="hybridMultilevel"/>
    <w:lvl w:ilvl="0">
      <w:lvlJc w:val="left"/>
      <w:lvlText w:val="%1."/>
      <w:numFmt w:val="upperLetter"/>
      <w:start w:val="2"/>
    </w:lvl>
    <w:lvl w:ilvl="1">
      <w:lvlJc w:val="left"/>
      <w:lvlText w:val="%2."/>
      <w:numFmt w:val="decimal"/>
      <w:start w:val="1"/>
    </w:lvl>
  </w:abstractNum>
  <w:abstractNum w:abstractNumId="25">
    <w:nsid w:val="579BE4F1"/>
    <w:multiLevelType w:val="hybridMultilevel"/>
    <w:lvl w:ilvl="0">
      <w:lvlJc w:val="left"/>
      <w:lvlText w:val="%1."/>
      <w:numFmt w:val="upperLetter"/>
      <w:start w:val="3"/>
    </w:lvl>
  </w:abstractNum>
  <w:abstractNum w:abstractNumId="26">
    <w:nsid w:val="310C50B3"/>
    <w:multiLevelType w:val="hybridMultilevel"/>
    <w:lvl w:ilvl="0">
      <w:lvlJc w:val="left"/>
      <w:lvlText w:val="%1."/>
      <w:numFmt w:val="upperLetter"/>
      <w:start w:val="4"/>
    </w:lvl>
    <w:lvl w:ilvl="1">
      <w:lvlJc w:val="left"/>
      <w:lvlText w:val="%2."/>
      <w:numFmt w:val="decimal"/>
      <w:start w:val="1"/>
    </w:lvl>
  </w:abstractNum>
  <w:abstractNum w:abstractNumId="27">
    <w:nsid w:val="5FF87E05"/>
    <w:multiLevelType w:val="hybridMultilevel"/>
    <w:lvl w:ilvl="0">
      <w:lvlJc w:val="left"/>
      <w:lvlText w:val="%1."/>
      <w:numFmt w:val="decimal"/>
      <w:start w:val="6"/>
    </w:lvl>
  </w:abstractNum>
  <w:abstractNum w:abstractNumId="28">
    <w:nsid w:val="2F305DEF"/>
    <w:multiLevelType w:val="hybridMultilevel"/>
    <w:lvl w:ilvl="0">
      <w:lvlJc w:val="left"/>
      <w:lvlText w:val="%1."/>
      <w:numFmt w:val="decimal"/>
      <w:start w:val="2"/>
    </w:lvl>
  </w:abstractNum>
  <w:abstractNum w:abstractNumId="29">
    <w:nsid w:val="25A70BF7"/>
    <w:multiLevelType w:val="hybridMultilevel"/>
    <w:lvl w:ilvl="0">
      <w:lvlJc w:val="left"/>
      <w:lvlText w:val="%1."/>
      <w:numFmt w:val="decimal"/>
      <w:start w:val="3"/>
    </w:lvl>
  </w:abstractNum>
  <w:abstractNum w:abstractNumId="30">
    <w:nsid w:val="1DBABF00"/>
    <w:multiLevelType w:val="hybridMultilevel"/>
    <w:lvl w:ilvl="0">
      <w:lvlJc w:val="left"/>
      <w:lvlText w:val="%1."/>
      <w:numFmt w:val="decimal"/>
      <w:start w:val="4"/>
    </w:lvl>
  </w:abstractNum>
  <w:abstractNum w:abstractNumId="31">
    <w:nsid w:val="4AD084E9"/>
    <w:multiLevelType w:val="hybridMultilevel"/>
    <w:lvl w:ilvl="0">
      <w:lvlJc w:val="left"/>
      <w:lvlText w:val="%1."/>
      <w:numFmt w:val="decimal"/>
      <w:start w:val="2"/>
    </w:lvl>
  </w:abstractNum>
  <w:abstractNum w:abstractNumId="32">
    <w:nsid w:val="1F48EAA1"/>
    <w:multiLevelType w:val="hybridMultilevel"/>
    <w:lvl w:ilvl="0">
      <w:lvlJc w:val="left"/>
      <w:lvlText w:val="%1."/>
      <w:numFmt w:val="decimal"/>
      <w:start w:val="3"/>
    </w:lvl>
  </w:abstractNum>
  <w:abstractNum w:abstractNumId="33">
    <w:nsid w:val="1381823A"/>
    <w:multiLevelType w:val="hybridMultilevel"/>
    <w:lvl w:ilvl="0">
      <w:lvlJc w:val="left"/>
      <w:lvlText w:val="%1."/>
      <w:numFmt w:val="decimal"/>
      <w:start w:val="4"/>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1"/>
      <w:numFmt w:val="lowerLetter"/>
      <w:start w:val="38"/>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1)"/>
      <w:numFmt w:val="lowerRoman"/>
      <w:start w:val="1"/>
    </w:lvl>
  </w:abstractNum>
  <w:abstractNum w:abstractNumId="39">
    <w:nsid w:val="98A3148"/>
    <w:multiLevelType w:val="hybridMultilevel"/>
    <w:lvl w:ilvl="0">
      <w:lvlJc w:val="left"/>
      <w:lvlText w:val="è"/>
      <w:numFmt w:val="bullet"/>
      <w:start w:val="1"/>
    </w:lvl>
  </w:abstractNum>
  <w:abstractNum w:abstractNumId="40">
    <w:nsid w:val="799D0247"/>
    <w:multiLevelType w:val="hybridMultilevel"/>
    <w:lvl w:ilvl="0">
      <w:lvlJc w:val="left"/>
      <w:lvlText w:val="%1."/>
      <w:numFmt w:val="decimal"/>
      <w:start w:val="8"/>
    </w:lvl>
  </w:abstractNum>
  <w:abstractNum w:abstractNumId="41">
    <w:nsid w:val="6B94764"/>
    <w:multiLevelType w:val="hybridMultilevel"/>
    <w:lvl w:ilvl="0">
      <w:lvlJc w:val="left"/>
      <w:lvlText w:val="(%1)"/>
      <w:numFmt w:val="lowerRoman"/>
      <w:start w:val="1"/>
    </w:lvl>
  </w:abstractNum>
  <w:abstractNum w:abstractNumId="42">
    <w:nsid w:val="42C296BD"/>
    <w:multiLevelType w:val="hybridMultilevel"/>
    <w:lvl w:ilvl="0">
      <w:lvlJc w:val="left"/>
      <w:lvlText w:val="%1."/>
      <w:numFmt w:val="decimal"/>
      <w:start w:val="9"/>
    </w:lvl>
  </w:abstractNum>
  <w:abstractNum w:abstractNumId="43">
    <w:nsid w:val="168E121F"/>
    <w:multiLevelType w:val="hybridMultilevel"/>
    <w:lvl w:ilvl="0">
      <w:lvlJc w:val="left"/>
      <w:lvlText w:val="(%1)"/>
      <w:numFmt w:val="lowerRoman"/>
      <w:start w:val="2"/>
    </w:lvl>
  </w:abstractNum>
  <w:abstractNum w:abstractNumId="44">
    <w:nsid w:val="1EBA5D23"/>
    <w:multiLevelType w:val="hybridMultilevel"/>
    <w:lvl w:ilvl="0">
      <w:lvlJc w:val="left"/>
      <w:lvlText w:val="%1."/>
      <w:numFmt w:val="decimal"/>
      <w:start w:val="9"/>
    </w:lvl>
  </w:abstractNum>
  <w:abstractNum w:abstractNumId="45">
    <w:nsid w:val="661E3F1E"/>
    <w:multiLevelType w:val="hybridMultilevel"/>
    <w:lvl w:ilvl="0">
      <w:lvlJc w:val="left"/>
      <w:lvlText w:val="%1."/>
      <w:numFmt w:val="decimal"/>
      <w:start w:val="10"/>
    </w:lvl>
  </w:abstractNum>
  <w:abstractNum w:abstractNumId="46">
    <w:nsid w:val="5DC79EA8"/>
    <w:multiLevelType w:val="hybridMultilevel"/>
    <w:lvl w:ilvl="0">
      <w:lvlJc w:val="left"/>
      <w:lvlText w:val="%1."/>
      <w:numFmt w:val="decimal"/>
      <w:start w:val="11"/>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decimal"/>
      <w:start w:val="13"/>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1"/>
      <w:numFmt w:val="decimal"/>
      <w:start w:val="1"/>
    </w:lvl>
    <w:lvl w:ilvl="1">
      <w:lvlJc w:val="left"/>
      <w:lvlText w:val="%2."/>
      <w:numFmt w:val="decimal"/>
      <w:start w:val="1"/>
    </w:lvl>
  </w:abstractNum>
  <w:abstractNum w:abstractNumId="58">
    <w:nsid w:val="68EB2F63"/>
    <w:multiLevelType w:val="hybridMultilevel"/>
    <w:lvl w:ilvl="0">
      <w:lvlJc w:val="left"/>
      <w:lvlText w:val="%1."/>
      <w:numFmt w:val="decimal"/>
      <w:start w:val="2"/>
    </w:lvl>
    <w:lvl w:ilvl="1">
      <w:lvlJc w:val="left"/>
      <w:lvlText w:val="%2."/>
      <w:numFmt w:val="decimal"/>
      <w:start w:val="3"/>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decimal"/>
      <w:start w:val="1"/>
    </w:lvl>
    <w:lvl w:ilvl="1">
      <w:lvlJc w:val="left"/>
      <w:lvlText w:val="%2."/>
      <w:numFmt w:val="decimal"/>
      <w:start w:val="1"/>
    </w:lvl>
  </w:abstractNum>
  <w:abstractNum w:abstractNumId="62">
    <w:nsid w:val="14330624"/>
    <w:multiLevelType w:val="hybridMultilevel"/>
    <w:lvl w:ilvl="0">
      <w:lvlJc w:val="left"/>
      <w:lvlText w:val="%1."/>
      <w:numFmt w:val="decimal"/>
      <w:start w:val="3"/>
    </w:lvl>
    <w:lvl w:ilvl="1">
      <w:lvlJc w:val="left"/>
      <w:lvlText w:val="%2"/>
      <w:numFmt w:val="decimal"/>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decimal"/>
      <w:start w:val="1"/>
    </w:lvl>
    <w:lvl w:ilvl="1">
      <w:lvlJc w:val="left"/>
      <w:lvlText w:val="%2."/>
      <w:numFmt w:val="decimal"/>
      <w:start w:val="1"/>
    </w:lvl>
  </w:abstractNum>
  <w:abstractNum w:abstractNumId="67">
    <w:nsid w:val="7FB7E0AA"/>
    <w:multiLevelType w:val="hybridMultilevel"/>
    <w:lvl w:ilvl="0">
      <w:lvlJc w:val="left"/>
      <w:lvlText w:val="%1."/>
      <w:numFmt w:val="decimal"/>
      <w:start w:val="3"/>
    </w:lvl>
    <w:lvl w:ilvl="1">
      <w:lvlJc w:val="left"/>
      <w:lvlText w:val="%2."/>
      <w:numFmt w:val="decimal"/>
      <w:start w:val="4"/>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o"/>
      <w:numFmt w:val="bullet"/>
      <w:start w:val="1"/>
    </w:lvl>
  </w:abstractNum>
  <w:abstractNum w:abstractNumId="70">
    <w:nsid w:val="94211F2"/>
    <w:multiLevelType w:val="hybridMultilevel"/>
    <w:lvl w:ilvl="0">
      <w:lvlJc w:val="left"/>
      <w:lvlText w:val="È"/>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e"/>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a"/>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jpe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jpe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jpe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jpe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jpe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jpe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jpe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jpe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jpe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238" Type="http://schemas.openxmlformats.org/officeDocument/2006/relationships/hyperlink" Target="https://www.sec.gov/Archives/edgar/data/1526520/000119312526118642/d9464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2026-05-07T06:17:31Z</dcterms:created>
  <dcterms:modified xsi:type="dcterms:W3CDTF">2026-05-07T06:17:31Z</dcterms:modified>
</cp:coreProperties>
</file>