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280" w:hanging="512"/>
        <w:spacing w:after="0" w:line="245"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3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3648710</wp:posOffset>
            </wp:positionH>
            <wp:positionV relativeFrom="paragraph">
              <wp:posOffset>-5080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p>
      <w:pPr>
        <w:spacing w:after="0" w:line="33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2">
            <w:col w:w="8020" w:space="720"/>
            <w:col w:w="2500"/>
          </w:cols>
          <w:pgMar w:left="320" w:top="848"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900" w:space="720"/>
            <w:col w:w="2620"/>
          </w:cols>
          <w:pgMar w:left="320" w:top="848" w:right="339"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8" w:right="339" w:bottom="1440" w:gutter="0" w:footer="0" w:header="0"/>
          <w:type w:val="continuous"/>
        </w:sectPr>
      </w:pP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690" w:type="dxa"/>
        <w:tblCellMar>
          <w:top w:w="0" w:type="dxa"/>
          <w:left w:w="0" w:type="dxa"/>
          <w:bottom w:w="0" w:type="dxa"/>
          <w:right w:w="0" w:type="dxa"/>
        </w:tblCellMar>
      </w:tblPr>
      <w:tr>
        <w:trPr>
          <w:trHeight w:val="23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25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250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TRIP</w:t>
            </w:r>
          </w:p>
        </w:tc>
        <w:tc>
          <w:tcPr>
            <w:tcW w:w="48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9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3"/>
        </w:trPr>
        <w:tc>
          <w:tcPr>
            <w:tcW w:w="79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color w:val="auto"/>
              </w:rPr>
              <w:t>Class</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Outstanding Shares at October 31, 2025</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116,908,339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6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0"/>
        </w:trPr>
        <w:tc>
          <w:tcPr>
            <w:tcW w:w="6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Pr>
          <w:p>
            <w:pPr>
              <w:spacing w:after="0"/>
              <w:rPr>
                <w:sz w:val="18"/>
                <w:szCs w:val="18"/>
                <w:color w:val="auto"/>
              </w:rPr>
            </w:pPr>
          </w:p>
        </w:tc>
      </w:tr>
      <w:tr>
        <w:trPr>
          <w:trHeight w:val="351"/>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10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September 30, 2025 and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Nine Months Ended September 30, 2025</w:t>
            </w:r>
          </w:p>
        </w:tc>
        <w:tc>
          <w:tcPr>
            <w:tcW w:w="3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9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2024</w:t>
            </w:r>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 at September 30, 2025 and December 31,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and Nine Months Ended September 30,</w:t>
            </w:r>
          </w:p>
        </w:tc>
        <w:tc>
          <w:tcPr>
            <w:tcW w:w="3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6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2025 and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70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8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234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tcBorders>
              <w:top w:val="single" w:sz="8" w:color="0000FF"/>
            </w:tcBorders>
            <w:gridSpan w:val="2"/>
          </w:tcPr>
          <w:p>
            <w:pPr>
              <w:spacing w:after="0"/>
              <w:rPr>
                <w:sz w:val="17"/>
                <w:szCs w:val="17"/>
                <w:color w:val="auto"/>
              </w:rPr>
            </w:pPr>
          </w:p>
        </w:tc>
        <w:tc>
          <w:tcPr>
            <w:tcW w:w="6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412"/>
        </w:trPr>
        <w:tc>
          <w:tcPr>
            <w:tcW w:w="1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89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98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2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9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9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234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17"/>
                <w:szCs w:val="17"/>
                <w:color w:val="auto"/>
              </w:rPr>
            </w:pPr>
          </w:p>
        </w:tc>
        <w:tc>
          <w:tcPr>
            <w:tcW w:w="80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90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0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1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72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(Note 3)</w:t>
            </w:r>
          </w:p>
        </w:tc>
        <w:tc>
          <w:tcPr>
            <w:tcW w:w="68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8"/>
                <w:szCs w:val="18"/>
                <w:color w:val="auto"/>
              </w:rPr>
            </w:pPr>
          </w:p>
        </w:tc>
      </w:tr>
      <w:tr>
        <w:trPr>
          <w:trHeight w:val="198"/>
        </w:trPr>
        <w:tc>
          <w:tcPr>
            <w:tcW w:w="65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$29, $31, $85 and $92, respectively -</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9)</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reorganization costs (benefit) (Note 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09"/>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FF0FC"/>
            </w:tcBorders>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 (Note 7)</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0.46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0.43</w:t>
            </w:r>
          </w:p>
        </w:tc>
        <w:tc>
          <w:tcPr>
            <w:tcW w:w="220" w:type="dxa"/>
            <w:vAlign w:val="bottom"/>
          </w:tcPr>
          <w:p>
            <w:pPr>
              <w:spacing w:after="0"/>
              <w:rPr>
                <w:sz w:val="18"/>
                <w:szCs w:val="18"/>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used to compute net income (loss) per share attributable to common</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(Note 11):</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-3213735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-3213735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-3213735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-2373630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-2373630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-2373630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-2091055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-2091055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-2091055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6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3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Reclassification adjustments included in net income (loss), net of tax </w:t>
            </w:r>
            <w:r>
              <w:rPr>
                <w:rFonts w:ascii="Times New Roman" w:cs="Times New Roman" w:eastAsia="Times New Roman" w:hAnsi="Times New Roman"/>
                <w:sz w:val="24"/>
                <w:szCs w:val="24"/>
                <w:color w:val="auto"/>
                <w:vertAlign w:val="superscript"/>
              </w:rPr>
              <w:t>(1)</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80" w:type="dxa"/>
            <w:vAlign w:val="bottom"/>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(1) Deferred income tax liabilities related to these amounts were not material.</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 (allowance for expected credit losses of $30 and $25, respectively) (Note 4)</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r>
      <w:tr>
        <w:trPr>
          <w:trHeight w:val="203"/>
        </w:trPr>
        <w:tc>
          <w:tcPr>
            <w:tcW w:w="7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$627 and $567, respectively</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assets, net of accumulated amortization of $201 and $189, respectively</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Non-marketable investments (Note 4)</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 (Note 1)</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r>
      <w:tr>
        <w:trPr>
          <w:trHeight w:val="203"/>
        </w:trPr>
        <w:tc>
          <w:tcPr>
            <w:tcW w:w="7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assets, net of allowance for credit losses of $10 and $10, respectively (Note 4)</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 (Note 3)</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r>
      <w:tr>
        <w:trPr>
          <w:trHeight w:val="202"/>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debt (Note 6)</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 (Note 7)</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r>
      <w:tr>
        <w:trPr>
          <w:trHeight w:val="203"/>
        </w:trPr>
        <w:tc>
          <w:tcPr>
            <w:tcW w:w="7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 (Note 5)</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7"/>
                <w:szCs w:val="17"/>
                <w:color w:val="auto"/>
              </w:rPr>
            </w:pPr>
          </w:p>
        </w:tc>
      </w:tr>
      <w:tr>
        <w:trPr>
          <w:trHeight w:val="202"/>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Long-term debt (Note 6)</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7"/>
                <w:szCs w:val="17"/>
                <w:color w:val="auto"/>
              </w:rPr>
            </w:pPr>
          </w:p>
        </w:tc>
      </w:tr>
      <w:tr>
        <w:trPr>
          <w:trHeight w:val="196"/>
        </w:trPr>
        <w:tc>
          <w:tcPr>
            <w:tcW w:w="7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(Note 10)</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0 and 0, respectively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119,611,050 and 153,655,038, respectively</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outstanding: 116,802,970 and 127,394,786, respectively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0 and 12,799,999, respectively</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FF0FC"/>
          </w:tcPr>
          <w:p>
            <w:pPr>
              <w:spacing w:after="0"/>
              <w:rPr>
                <w:sz w:val="17"/>
                <w:szCs w:val="17"/>
                <w:color w:val="auto"/>
              </w:rPr>
            </w:pPr>
          </w:p>
        </w:tc>
      </w:tr>
      <w:tr>
        <w:trPr>
          <w:trHeight w:val="202"/>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Treasury stock-common stock, at cost, 2,808,080 and 26,260,252 shares, respectively</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(847)</w:t>
            </w:r>
          </w:p>
        </w:tc>
      </w:tr>
      <w:tr>
        <w:trPr>
          <w:trHeight w:val="196"/>
        </w:trPr>
        <w:tc>
          <w:tcPr>
            <w:tcW w:w="7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7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top w:val="single" w:sz="8" w:color="CFF0FC"/>
            </w:tcBorders>
          </w:tcPr>
          <w:p>
            <w:pPr>
              <w:spacing w:after="0"/>
              <w:rPr>
                <w:sz w:val="17"/>
                <w:szCs w:val="17"/>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FF0FC"/>
          </w:tcPr>
          <w:p>
            <w:pPr>
              <w:spacing w:after="0"/>
              <w:rPr>
                <w:sz w:val="18"/>
                <w:szCs w:val="18"/>
                <w:color w:val="auto"/>
              </w:rPr>
            </w:pP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-5768340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-5768340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-4731385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-3411220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-2630805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p>
      <w:pPr>
        <w:spacing w:after="0" w:line="229" w:lineRule="auto"/>
        <w:rPr>
          <w:sz w:val="20"/>
          <w:szCs w:val="20"/>
          <w:color w:val="auto"/>
        </w:rPr>
      </w:pPr>
      <w:r>
        <w:rPr>
          <w:rFonts w:ascii="Times New Roman" w:cs="Times New Roman" w:eastAsia="Times New Roman" w:hAnsi="Times New Roman"/>
          <w:sz w:val="14"/>
          <w:szCs w:val="14"/>
          <w:color w:val="auto"/>
        </w:rPr>
        <w:t>Net income (loss)</w:t>
      </w:r>
    </w:p>
    <w:p>
      <w:pPr>
        <w:spacing w:after="0" w:line="221" w:lineRule="auto"/>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auto"/>
        </w:rPr>
        <w:t>Issuance of common stock related to exercises of options and vesting of RSUs</w:t>
      </w:r>
    </w:p>
    <w:p>
      <w:pPr>
        <w:spacing w:after="0" w:line="1"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4"/>
          <w:szCs w:val="14"/>
          <w:color w:val="auto"/>
        </w:rPr>
        <w:t>Withholding taxes on net share settlements of equity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791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mulat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6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ehensi</w:t>
            </w:r>
          </w:p>
        </w:tc>
        <w:tc>
          <w:tcPr>
            <w:tcW w:w="192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92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incom</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unt</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nt</w:t>
            </w:r>
          </w:p>
        </w:tc>
        <w:tc>
          <w:tcPr>
            <w:tcW w:w="200" w:type="dxa"/>
            <w:vAlign w:val="bottom"/>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118,858,3</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412</w:t>
            </w:r>
          </w:p>
        </w:tc>
        <w:tc>
          <w:tcPr>
            <w:tcW w:w="220" w:type="dxa"/>
            <w:vAlign w:val="bottom"/>
          </w:tcPr>
          <w:p>
            <w:pPr>
              <w:spacing w:after="0"/>
              <w:rPr>
                <w:sz w:val="10"/>
                <w:szCs w:val="10"/>
                <w:color w:val="auto"/>
              </w:rPr>
            </w:pPr>
          </w:p>
        </w:tc>
        <w:tc>
          <w:tcPr>
            <w:tcW w:w="24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(46)</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(2,808,080)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27</w:t>
            </w:r>
          </w:p>
        </w:tc>
        <w:tc>
          <w:tcPr>
            <w:tcW w:w="38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752,723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119,611,0</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440</w:t>
            </w:r>
          </w:p>
        </w:tc>
        <w:tc>
          <w:tcPr>
            <w:tcW w:w="220" w:type="dxa"/>
            <w:vAlign w:val="bottom"/>
          </w:tcPr>
          <w:p>
            <w:pPr>
              <w:spacing w:after="0"/>
              <w:rPr>
                <w:sz w:val="10"/>
                <w:szCs w:val="10"/>
                <w:color w:val="auto"/>
              </w:rPr>
            </w:pPr>
          </w:p>
        </w:tc>
        <w:tc>
          <w:tcPr>
            <w:tcW w:w="24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354</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(47)</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(2,808,080)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-1071245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-788035</wp:posOffset>
            </wp:positionV>
            <wp:extent cx="71323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-505460</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-213995</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7620</wp:posOffset>
            </wp:positionV>
            <wp:extent cx="4911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3300" w:space="260"/>
            <w:col w:w="7680"/>
          </w:cols>
          <w:pgMar w:left="320" w:top="100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Additi</w:t>
            </w:r>
          </w:p>
        </w:tc>
        <w:tc>
          <w:tcPr>
            <w:tcW w:w="80" w:type="dxa"/>
            <w:vAlign w:val="bottom"/>
          </w:tcPr>
          <w:p>
            <w:pPr>
              <w:spacing w:after="0"/>
              <w:rPr>
                <w:sz w:val="16"/>
                <w:szCs w:val="16"/>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Stockhol</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ted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4"/>
            <w:vMerge w:val="restart"/>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der note</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1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5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receivabl</w:t>
            </w:r>
          </w:p>
        </w:tc>
        <w:tc>
          <w:tcPr>
            <w:tcW w:w="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520" w:type="dxa"/>
            <w:vAlign w:val="bottom"/>
            <w:gridSpan w:val="5"/>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e -</w:t>
            </w:r>
          </w:p>
        </w:tc>
        <w:tc>
          <w:tcPr>
            <w:tcW w:w="120" w:type="dxa"/>
            <w:vAlign w:val="bottom"/>
          </w:tcPr>
          <w:p>
            <w:pPr>
              <w:spacing w:after="0"/>
              <w:rPr>
                <w:sz w:val="13"/>
                <w:szCs w:val="13"/>
                <w:color w:val="auto"/>
              </w:rPr>
            </w:pPr>
          </w:p>
        </w:tc>
        <w:tc>
          <w:tcPr>
            <w:tcW w:w="34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15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vMerge w:val="restart"/>
          </w:tcPr>
          <w:p>
            <w:pPr>
              <w:spacing w:after="0"/>
              <w:rPr>
                <w:sz w:val="10"/>
                <w:szCs w:val="10"/>
                <w:color w:val="auto"/>
              </w:rPr>
            </w:pPr>
          </w:p>
        </w:tc>
        <w:tc>
          <w:tcPr>
            <w:tcW w:w="3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w:t>
            </w:r>
          </w:p>
        </w:tc>
        <w:tc>
          <w:tcPr>
            <w:tcW w:w="20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w:t>
            </w:r>
          </w:p>
        </w:tc>
        <w:tc>
          <w:tcPr>
            <w:tcW w:w="220" w:type="dxa"/>
            <w:vAlign w:val="bottom"/>
          </w:tcPr>
          <w:p>
            <w:pPr>
              <w:spacing w:after="0"/>
              <w:rPr>
                <w:sz w:val="10"/>
                <w:szCs w:val="10"/>
                <w:color w:val="auto"/>
              </w:rPr>
            </w:pP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earnin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68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vMerge w:val="restart"/>
          </w:tcPr>
          <w:p>
            <w:pPr>
              <w:spacing w:after="0"/>
              <w:rPr>
                <w:sz w:val="10"/>
                <w:szCs w:val="10"/>
                <w:color w:val="auto"/>
              </w:rPr>
            </w:pPr>
          </w:p>
        </w:tc>
        <w:tc>
          <w:tcPr>
            <w:tcW w:w="4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2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2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unt</w:t>
            </w:r>
          </w:p>
        </w:tc>
        <w:tc>
          <w:tcPr>
            <w:tcW w:w="220" w:type="dxa"/>
            <w:vAlign w:val="bottom"/>
          </w:tcPr>
          <w:p>
            <w:pPr>
              <w:spacing w:after="0"/>
              <w:rPr>
                <w:sz w:val="15"/>
                <w:szCs w:val="15"/>
                <w:color w:val="auto"/>
              </w:rPr>
            </w:pPr>
          </w:p>
        </w:tc>
        <w:tc>
          <w:tcPr>
            <w:tcW w:w="4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party</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gs</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nt</w:t>
            </w:r>
          </w:p>
        </w:tc>
        <w:tc>
          <w:tcPr>
            <w:tcW w:w="220" w:type="dxa"/>
            <w:vAlign w:val="bottom"/>
          </w:tcPr>
          <w:p>
            <w:pPr>
              <w:spacing w:after="0"/>
              <w:rPr>
                <w:sz w:val="15"/>
                <w:szCs w:val="15"/>
                <w:color w:val="auto"/>
              </w:rPr>
            </w:pPr>
          </w:p>
        </w:tc>
        <w:tc>
          <w:tcPr>
            <w:tcW w:w="4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153,655,</w:t>
            </w:r>
          </w:p>
        </w:tc>
        <w:tc>
          <w:tcPr>
            <w:tcW w:w="2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12,799,</w:t>
            </w:r>
          </w:p>
        </w:tc>
        <w:tc>
          <w:tcPr>
            <w:tcW w:w="1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1,60</w:t>
            </w:r>
          </w:p>
        </w:tc>
        <w:tc>
          <w:tcPr>
            <w:tcW w:w="14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(91)</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(26,260,2</w:t>
            </w:r>
          </w:p>
        </w:tc>
        <w:tc>
          <w:tcPr>
            <w:tcW w:w="2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(847)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vMerge w:val="continue"/>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038</w:t>
            </w:r>
          </w:p>
        </w:tc>
        <w:tc>
          <w:tcPr>
            <w:tcW w:w="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999</w:t>
            </w:r>
          </w:p>
        </w:tc>
        <w:tc>
          <w:tcPr>
            <w:tcW w:w="14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w:t>
            </w:r>
          </w:p>
        </w:tc>
        <w:tc>
          <w:tcPr>
            <w:tcW w:w="1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 note receivable - related party (Note 1)</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common stock related to Merger, net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3,037,95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(26,823,6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as Merger consideration</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(Note 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Retirement of treasury shares (Note 10)</w:t>
            </w: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(40,283,</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(12,799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53,083,9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common stock under share repurchase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(2,808,08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program (Note 10)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exercises of</w:t>
            </w: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3,201,98</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 and vesting of RSUs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on net share settlements of equity</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119,611,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(2,808,08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050</w:t>
            </w:r>
          </w:p>
        </w:tc>
        <w:tc>
          <w:tcPr>
            <w:tcW w:w="200" w:type="dxa"/>
            <w:vAlign w:val="bottom"/>
          </w:tcPr>
          <w:p>
            <w:pPr>
              <w:spacing w:after="0"/>
              <w:rPr>
                <w:sz w:val="15"/>
                <w:szCs w:val="15"/>
                <w:color w:val="auto"/>
              </w:rPr>
            </w:pPr>
          </w:p>
        </w:tc>
        <w:tc>
          <w:tcPr>
            <w:tcW w:w="1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5"/>
                <w:szCs w:val="15"/>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440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354</w:t>
            </w:r>
          </w:p>
        </w:tc>
        <w:tc>
          <w:tcPr>
            <w:tcW w:w="2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(47)</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-222250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-222250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-222250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-222250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-222250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-222250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-222250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-222250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-222250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-222250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-222250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10"/>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Accu</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mulat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3"/>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compr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640" w:type="dxa"/>
            <w:vAlign w:val="bottom"/>
            <w:gridSpan w:val="3"/>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ehensi</w:t>
            </w:r>
          </w:p>
        </w:tc>
        <w:tc>
          <w:tcPr>
            <w:tcW w:w="192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92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3"/>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incom</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nt</w:t>
            </w:r>
          </w:p>
        </w:tc>
        <w:tc>
          <w:tcPr>
            <w:tcW w:w="2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152,027,4</w:t>
            </w:r>
          </w:p>
        </w:tc>
        <w:tc>
          <w:tcPr>
            <w:tcW w:w="38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12,799,9</w:t>
            </w:r>
          </w:p>
        </w:tc>
        <w:tc>
          <w:tcPr>
            <w:tcW w:w="2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$ 1,546</w:t>
            </w:r>
          </w:p>
        </w:tc>
        <w:tc>
          <w:tcPr>
            <w:tcW w:w="22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(78)</w:t>
            </w:r>
          </w:p>
        </w:tc>
        <w:tc>
          <w:tcPr>
            <w:tcW w:w="8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(26,260,25</w:t>
            </w:r>
          </w:p>
        </w:tc>
        <w:tc>
          <w:tcPr>
            <w:tcW w:w="14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(847)</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380" w:type="dxa"/>
            <w:vAlign w:val="bottom"/>
            <w:gridSpan w:val="2"/>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99</w:t>
            </w:r>
          </w:p>
        </w:tc>
        <w:tc>
          <w:tcPr>
            <w:tcW w:w="20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gridSpan w:val="2"/>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exercises of options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648,279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and vesting of RSUs</w:t>
            </w: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on net share settlements of equity</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152,675,7</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12,799,9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(26,260,25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72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07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FF0FC"/>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$ 1,577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275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40" w:type="dxa"/>
            <w:vAlign w:val="bottom"/>
            <w:gridSpan w:val="2"/>
            <w:shd w:val="clear" w:color="auto" w:fill="CFF0FC"/>
          </w:tcPr>
          <w:p>
            <w:pPr>
              <w:jc w:val="right"/>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(847)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944</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Accu</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mulat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3"/>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compr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640" w:type="dxa"/>
            <w:vAlign w:val="bottom"/>
            <w:gridSpan w:val="3"/>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ehensi</w:t>
            </w:r>
          </w:p>
        </w:tc>
        <w:tc>
          <w:tcPr>
            <w:tcW w:w="192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92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3"/>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incom</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nt</w:t>
            </w:r>
          </w:p>
        </w:tc>
        <w:tc>
          <w:tcPr>
            <w:tcW w:w="2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149,775,3</w:t>
            </w:r>
          </w:p>
        </w:tc>
        <w:tc>
          <w:tcPr>
            <w:tcW w:w="3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12,799,9</w:t>
            </w:r>
          </w:p>
        </w:tc>
        <w:tc>
          <w:tcPr>
            <w:tcW w:w="2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$ 1,493</w:t>
            </w:r>
          </w:p>
        </w:tc>
        <w:tc>
          <w:tcPr>
            <w:tcW w:w="220" w:type="dxa"/>
            <w:vAlign w:val="bottom"/>
          </w:tcPr>
          <w:p>
            <w:pPr>
              <w:spacing w:after="0"/>
              <w:rPr>
                <w:sz w:val="10"/>
                <w:szCs w:val="10"/>
                <w:color w:val="auto"/>
              </w:rPr>
            </w:pPr>
          </w:p>
        </w:tc>
        <w:tc>
          <w:tcPr>
            <w:tcW w:w="24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(71)</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(24,893,86</w:t>
            </w:r>
          </w:p>
        </w:tc>
        <w:tc>
          <w:tcPr>
            <w:tcW w:w="1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(822)</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99</w:t>
            </w: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exercises of options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2,900,346</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vesting of RSUs</w:t>
            </w:r>
          </w:p>
        </w:tc>
        <w:tc>
          <w:tcPr>
            <w:tcW w:w="7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common stock under share repurchase</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(1,366,385)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program (Note 10)</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on net share settlements of equity</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152,675,7</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12,799,9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(26,260,25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72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07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FF0FC"/>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$ 1,577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275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40" w:type="dxa"/>
            <w:vAlign w:val="bottom"/>
            <w:gridSpan w:val="2"/>
            <w:shd w:val="clear" w:color="auto" w:fill="CFF0FC"/>
          </w:tcPr>
          <w:p>
            <w:pPr>
              <w:jc w:val="right"/>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(847)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944</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-2691130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-2673985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-2691130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-2673985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-2691130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-2673985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-2691130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-2673985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-2691130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-2673985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-2691130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-2673985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-2691130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-2673985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-2691130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-2673985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-2691130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-2673985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-2673985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 (Note 9)</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net, prepaid expenses and other assets</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Term Loan B Facility, net of financing costs (Note 6)</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2025 Senior Notes (Note 6)</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financing costs related to Credit Facility (Note 6)</w:t>
            </w:r>
          </w:p>
        </w:tc>
        <w:tc>
          <w:tcPr>
            <w:tcW w:w="9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Principal payments on Term Loan B Facility (Note 6)</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 related to Merger, including transaction costs (Note 1)</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Repurchase of common stock under the share repurchase program (Note 10)</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of finance lease obligation</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00" w:type="dxa"/>
            <w:vAlign w:val="bottom"/>
          </w:tcPr>
          <w:p>
            <w:pPr>
              <w:spacing w:after="0"/>
              <w:rPr>
                <w:sz w:val="18"/>
                <w:szCs w:val="18"/>
                <w:color w:val="auto"/>
              </w:rPr>
            </w:pPr>
          </w:p>
        </w:tc>
        <w:tc>
          <w:tcPr>
            <w:tcW w:w="9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flow financing activities: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Issuance of common stock related to Merger (Note 1)</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 retained related to Merger (Note 1)</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-3782695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-3782695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-1570990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-1288415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-1005205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Tripadvisor Group's mission is to connect people to experiences worth sharing with a vision to be the world’s most trusted source for travel and experiences. We leverage our brands, technology platforms, and capabilities to connect our large, global audience with partners by offering rich content, travel guidance products and services, and two-sided marketplaces for experiences, accommodations, restaurants, and other travel categories. The Company operates across three business segments: Brand Tripadvisor, Viator, and TheFork.</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Brand Tripadvisor empowers everyone to be a better traveler through its online global platform where hundreds of millions of visitors regularly visit and engage to discover, generate, and share authentic user-generated content (“UGC”) in the form of reviews and opinions for experiences, accommodations, restaurants, and cruises in over 40 countries across the world. As of December 31, 2024, Brand Tripadvisor offered more than 1 billion user-generated reviews and opinions on over 9 million experiences, accommodations, restaurants, airlines, and cruises.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operators around the globe. Our online marketplace is comprehensive, connecting travelers to bookable tours, activities and attractions—consisting of nearly 400,000 experiences from more than 65,000 operators as of December 31, 2024.</w:t>
      </w:r>
    </w:p>
    <w:p>
      <w:pPr>
        <w:spacing w:after="0" w:line="176"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TheFork delivers happiness through amazing dining experiences as the leading online restaurant booking platform in Europe. At the forefront of championing restaurant culture, TheFork harnesses technology to promote real life connections between diners and restaurateurs. TheFork provides an online marketplace that enables diners to discover and book online reservations at approximately 55,000 restaurants in 11 countries as of December 31, 2024, across the U.K. and western and central Europe.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except as discussed below in “</w:t>
      </w:r>
      <w:r>
        <w:rPr>
          <w:rFonts w:ascii="Times New Roman" w:cs="Times New Roman" w:eastAsia="Times New Roman" w:hAnsi="Times New Roman"/>
          <w:sz w:val="18"/>
          <w:szCs w:val="18"/>
          <w:i w:val="1"/>
          <w:iCs w:val="1"/>
          <w:color w:val="auto"/>
        </w:rPr>
        <w:t>Revised Operating Expense Presentation.</w:t>
      </w:r>
      <w:r>
        <w:rPr>
          <w:rFonts w:ascii="Times New Roman" w:cs="Times New Roman" w:eastAsia="Times New Roman" w:hAnsi="Times New Roman"/>
          <w:sz w:val="18"/>
          <w:szCs w:val="18"/>
          <w:color w:val="auto"/>
        </w:rPr>
        <w:t>”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2024, which was previously filed with the SEC (the "2024 Annual Report"). The unaudited condensed consolidated balance sheet as of December 31, 2024 included herein was derived from the audited consolidated financial statements as of that date, but does not include all disclosures including notes required by GAAP.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Revised Operating Expense Presentation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below shows the reclassification adjustments made amongst costs and expenses on our unaudited condensed consolidated statement of operations for the periods presented below.</w:t>
      </w:r>
    </w:p>
    <w:p>
      <w:pPr>
        <w:sectPr>
          <w:pgSz w:w="11900" w:h="16838" w:orient="portrait"/>
          <w:cols w:equalWidth="0" w:num="1">
            <w:col w:w="11200"/>
          </w:cols>
          <w:pgMar w:left="320" w:top="12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280"/>
        <w:spacing w:after="0" w:line="265" w:lineRule="auto"/>
        <w:rPr>
          <w:sz w:val="20"/>
          <w:szCs w:val="20"/>
          <w:color w:val="auto"/>
        </w:rPr>
      </w:pPr>
      <w:r>
        <w:rPr>
          <w:rFonts w:ascii="Times New Roman" w:cs="Times New Roman" w:eastAsia="Times New Roman" w:hAnsi="Times New Roman"/>
          <w:sz w:val="17"/>
          <w:szCs w:val="17"/>
          <w:color w:val="auto"/>
        </w:rPr>
        <w:t>Cost of sales (formerly Cost of revenue) Marketing (formerly Selling and marketing) Personnel (including stock-based compensation of</w:t>
      </w:r>
    </w:p>
    <w:p>
      <w:pPr>
        <w:spacing w:after="0"/>
        <w:rPr>
          <w:sz w:val="20"/>
          <w:szCs w:val="20"/>
          <w:color w:val="auto"/>
        </w:rPr>
      </w:pPr>
      <w:r>
        <w:rPr>
          <w:rFonts w:ascii="Times New Roman" w:cs="Times New Roman" w:eastAsia="Times New Roman" w:hAnsi="Times New Roman"/>
          <w:sz w:val="18"/>
          <w:szCs w:val="18"/>
          <w:color w:val="auto"/>
        </w:rPr>
        <w:t>$31 and $92)</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Technology (formerly Technology and content)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right="300" w:firstLine="270"/>
        <w:spacing w:after="0" w:line="260" w:lineRule="auto"/>
        <w:rPr>
          <w:sz w:val="20"/>
          <w:szCs w:val="20"/>
          <w:color w:val="auto"/>
        </w:rPr>
      </w:pPr>
      <w:r>
        <w:rPr>
          <w:rFonts w:ascii="Times New Roman" w:cs="Times New Roman" w:eastAsia="Times New Roman" w:hAnsi="Times New Roman"/>
          <w:sz w:val="18"/>
          <w:szCs w:val="18"/>
          <w:color w:val="auto"/>
        </w:rPr>
        <w:t>Restructuring and other related reorganization costs (benefit)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As Adjusted</w:t>
            </w:r>
          </w:p>
        </w:tc>
        <w:tc>
          <w:tcPr>
            <w:tcW w:w="240" w:type="dxa"/>
            <w:vAlign w:val="bottom"/>
          </w:tcPr>
          <w:p>
            <w:pPr>
              <w:spacing w:after="0"/>
              <w:rPr>
                <w:sz w:val="10"/>
                <w:szCs w:val="10"/>
                <w:color w:val="auto"/>
              </w:rPr>
            </w:pPr>
          </w:p>
        </w:tc>
        <w:tc>
          <w:tcPr>
            <w:tcW w:w="960" w:type="dxa"/>
            <w:vAlign w:val="bottom"/>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As 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8"/>
                <w:szCs w:val="28"/>
                <w:color w:val="auto"/>
                <w:vertAlign w:val="superscript"/>
              </w:rPr>
              <w:t>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28"/>
                <w:szCs w:val="28"/>
                <w:color w:val="auto"/>
                <w:vertAlign w:val="superscript"/>
              </w:rPr>
              <w:t>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16"/>
                <w:szCs w:val="16"/>
                <w:color w:val="auto"/>
              </w:rPr>
              <w:t xml:space="preserve">(60) </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16"/>
                <w:szCs w:val="16"/>
                <w:color w:val="auto"/>
              </w:rPr>
              <w:t xml:space="preserve">(178) </w:t>
            </w:r>
            <w:r>
              <w:rPr>
                <w:rFonts w:ascii="Times New Roman" w:cs="Times New Roman" w:eastAsia="Times New Roman" w:hAnsi="Times New Roman"/>
                <w:sz w:val="25"/>
                <w:szCs w:val="25"/>
                <w:color w:val="auto"/>
                <w:vertAlign w:val="superscript"/>
              </w:rPr>
              <w:t>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28"/>
                <w:szCs w:val="28"/>
                <w:color w:val="auto"/>
                <w:vertAlign w:val="superscript"/>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449  </w:t>
            </w:r>
            <w:r>
              <w:rPr>
                <w:rFonts w:ascii="Times New Roman" w:cs="Times New Roman" w:eastAsia="Times New Roman" w:hAnsi="Times New Roman"/>
                <w:sz w:val="28"/>
                <w:szCs w:val="28"/>
                <w:color w:val="auto"/>
                <w:vertAlign w:val="superscript"/>
              </w:rPr>
              <w:t>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jc w:val="right"/>
              <w:ind w:right="40"/>
              <w:spacing w:after="0" w:line="267" w:lineRule="exact"/>
              <w:rPr>
                <w:sz w:val="20"/>
                <w:szCs w:val="20"/>
                <w:color w:val="auto"/>
              </w:rPr>
            </w:pPr>
            <w:r>
              <w:rPr>
                <w:rFonts w:ascii="Times New Roman" w:cs="Times New Roman" w:eastAsia="Times New Roman" w:hAnsi="Times New Roman"/>
                <w:sz w:val="18"/>
                <w:szCs w:val="18"/>
                <w:color w:val="auto"/>
              </w:rPr>
              <w:t xml:space="preserve">(50) </w:t>
            </w:r>
            <w:r>
              <w:rPr>
                <w:rFonts w:ascii="Times New Roman" w:cs="Times New Roman" w:eastAsia="Times New Roman" w:hAnsi="Times New Roman"/>
                <w:sz w:val="28"/>
                <w:szCs w:val="28"/>
                <w:color w:val="auto"/>
                <w:vertAlign w:val="superscript"/>
              </w:rPr>
              <w:t>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67" w:lineRule="exact"/>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28"/>
                <w:szCs w:val="28"/>
                <w:color w:val="auto"/>
                <w:vertAlign w:val="superscript"/>
              </w:rPr>
              <w:t>4</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16"/>
                <w:szCs w:val="16"/>
                <w:color w:val="auto"/>
              </w:rPr>
              <w:t xml:space="preserve">(90) </w:t>
            </w:r>
            <w:r>
              <w:rPr>
                <w:rFonts w:ascii="Times New Roman" w:cs="Times New Roman" w:eastAsia="Times New Roman" w:hAnsi="Times New Roman"/>
                <w:sz w:val="25"/>
                <w:szCs w:val="25"/>
                <w:color w:val="auto"/>
                <w:vertAlign w:val="superscript"/>
              </w:rPr>
              <w:t>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-1534160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-1259205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-848360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-573405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-162560</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3900" w:space="220"/>
            <w:col w:w="7080"/>
          </w:cols>
          <w:pgMar w:left="320" w:top="1224" w:right="379" w:bottom="1440" w:gutter="0" w:footer="0" w:header="0"/>
          <w:type w:val="continuous"/>
        </w:sectPr>
      </w:pPr>
    </w:p>
    <w:p>
      <w:pPr>
        <w:ind w:left="840" w:right="840" w:hanging="383"/>
        <w:spacing w:after="0" w:line="233" w:lineRule="auto"/>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reclassification of people costs to Personnel, and data center costs, and to a lesser extent, licensing costs to Technology; partially offset by the reclassification of digital service taxes (“DST”) and bad debt expense from General and administrative to Costs of sales.</w:t>
      </w:r>
    </w:p>
    <w:p>
      <w:pPr>
        <w:ind w:left="840" w:right="500" w:hanging="383"/>
        <w:spacing w:after="0" w:line="221" w:lineRule="auto"/>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reclassification of people costs to Personnel, and to a lesser extent, licensing costs to Technology and real estate and office expenses to General and administrative.</w:t>
      </w:r>
    </w:p>
    <w:p>
      <w:pPr>
        <w:ind w:left="840" w:hanging="383"/>
        <w:spacing w:after="0" w:line="221" w:lineRule="auto"/>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reclassification of people costs, including stock-based compensation expense, from all legacy operating expense captions to Personnel.</w:t>
      </w:r>
    </w:p>
    <w:p>
      <w:pPr>
        <w:ind w:left="840" w:right="320" w:hanging="383"/>
        <w:spacing w:after="0" w:line="221" w:lineRule="auto"/>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reclassification of people costs to Personnel, and to a lesser extent, the reclassification of real estate and office expenses to General and administrative; partially offset by the reclassification of data center and licensing costs from all legacy operating expense captions to Technology.</w:t>
      </w:r>
    </w:p>
    <w:p>
      <w:pPr>
        <w:ind w:left="840" w:right="20" w:hanging="383"/>
        <w:spacing w:after="0" w:line="239" w:lineRule="auto"/>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reclassification of people costs to Personnel, and to a lesser extent, the reclassification of DST and bad debt expense to Costs of sales; partially offset by the reclassification of real estate and office expenses to General and administrative from all legacy operating expense captions.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LTRIP and Tripadvisor Merger Agreement and Loan Agreement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18, 2024, the Company, Liberty TripAdvisor Holdings, Inc. (“LTRIP”) and Telluride Merger Sub Corp., a Delaware corporation and an indirect wholly-owned subsidiary of the Company (“Merger Sub”), entered into the Agreement and Plan of Merger (the “Merger Agreement”), pursuant to which (i) Merger Sub would be merged with and into LTRIP (the “Merger”), with LTRIP surviving the Merger as the surviving corporation and an indirect, wholly-owned subsidiary of the Company, and (ii) immediately following the Merger, LTRIP (as the surviving corporation in the Merger) would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on March 20, 2025 the Company provided a loan (the “Loan Agreement”) to LTRIP in an aggregate principal amount of $327 million to enable LTRIP to repurchase or settle LTRIP’s outstanding Exchangeable Debentures (refer to definition below) prior to the close of the Merger. The Loan Agreement provided that LTRIP was required to use the proceeds from the Loan Agreement solely to repurchase or settle its exchange obligations with respect to the Exchangeable Debentures in accordance with the terms of the Exchangeable Debentures Indenture and the Merger Agreement and pay related fees, costs and expenses incurred in connection therewith.</w:t>
      </w:r>
    </w:p>
    <w:p>
      <w:pPr>
        <w:spacing w:after="0" w:line="183"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On April 29, 2025, the Merger closed, and pursuant to the Merger Agreement, (i) the shares of LTRIP Series A common stock and Series B common stock issued and outstanding immediately prior to the effective time of the Merger were converted into the right to receive $0.2567 per share in cash, totaling approximately $20 million in the aggregate; (ii) all of the shares of LTRIP's 8% Series A</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type w:val="continuous"/>
        </w:sectPr>
      </w:pPr>
    </w:p>
    <w:bookmarkStart w:id="10" w:name="page11"/>
    <w:bookmarkEnd w:id="10"/>
    <w:p>
      <w:pPr>
        <w:ind w:right="260"/>
        <w:spacing w:after="0" w:line="256" w:lineRule="auto"/>
        <w:rPr>
          <w:sz w:val="20"/>
          <w:szCs w:val="20"/>
          <w:color w:val="auto"/>
        </w:rPr>
      </w:pPr>
      <w:r>
        <w:rPr>
          <w:rFonts w:ascii="Times New Roman" w:cs="Times New Roman" w:eastAsia="Times New Roman" w:hAnsi="Times New Roman"/>
          <w:sz w:val="18"/>
          <w:szCs w:val="18"/>
          <w:color w:val="auto"/>
        </w:rPr>
        <w:t>cumulative redeemable preferred stock issued and outstanding immediately prior to the effective time of the Merger were converted into the right to receive, in the aggregate, approximately $42.5 million in cash, without interest, and 3,037,959 validly issued, fully paid and non-assessable shares of the Company's common stock, with a fair value of approximately $39 million, as calculated using the Company's closing stock price on April 28, 2025 of $12.82 per share; and (iii) the remaining balance of LTRIP's 0.50% exchangeable senior debentures (the “Exchangeable Debentures”), was repaid. The repayment of the Exchangeable Debentures occurred in two phases: (i) $326 million were repaid during March 2025 by LTRIP with the use of proceeds from the Loan Agreement, and (ii) $4 million were repaid by the Company during May 2025.</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Loan Agreement subsequently expired in accordance with the terms of the Merger Agreement upon closing of the Merger on April 29, 2025. As a result, the Loan Agreement balance of $327 million, initially classified as “stockholder note receivable - related party,” a reduction to stockholders’ equity in our unaudited condensed consolidated balance sheet, is no longer payable to the Company by LTRIP, and it has been included in the aggregate transaction price of the Merger (see Merger accounting discussion below).</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Prior to the Merger, assets held by LTRIP substantially consisted of shares of the Company’s common stock. Immediately prior to the closing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 As such: (i) the aggregate transaction price of the repurchase was recorded as an increase to treasury stock within stockholders’ equity on our unaudited condensed consolidated balance sheet, and (ii) the cash portion of the aggregate transaction price of the repurchase is reflected as a financing cash outflow within our unaudited condensed consolidated statement of cash flows. The amount allocated to treasury stock on the unaudited condensed consolidated balance sheet totaled $437 million, consisting of: (i) the aggregate cash and common stock consideration paid in connection with the repurchase of $431 million, plus (ii) all direct expenses and fees associated with the repurchase of approximately $19 million; partially offset by (iii) $13 million in LTRIP net operating loss carryforwards (“NOLs”), tax effected, retained by the Company, which was recorded as an asset to deferred income taxes, net on our unaudited condensed consolidated balance sheet. Immediately following the close of the Merger, on April 29, 2025, the Board of Directors formally retired the shares of Tripadvisor common stock and Class B common stock previously held by LTRIP, thereby canceling approximately 26.8 million shares of the Company, which reduced the Company’s outstanding shares by the same number.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under the section titled </w:t>
      </w:r>
      <w:r>
        <w:rPr>
          <w:rFonts w:ascii="Times New Roman" w:cs="Times New Roman" w:eastAsia="Times New Roman" w:hAnsi="Times New Roman"/>
          <w:sz w:val="18"/>
          <w:szCs w:val="18"/>
          <w:i w:val="1"/>
          <w:iCs w:val="1"/>
          <w:color w:val="auto"/>
        </w:rPr>
        <w:t>“Retirement of Treasury Shares”</w:t>
      </w:r>
      <w:r>
        <w:rPr>
          <w:rFonts w:ascii="Times New Roman" w:cs="Times New Roman" w:eastAsia="Times New Roman" w:hAnsi="Times New Roman"/>
          <w:sz w:val="18"/>
          <w:szCs w:val="18"/>
          <w:color w:val="auto"/>
        </w:rPr>
        <w:t xml:space="preserve"> for further information.</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is no longer a controlled company under the Nasdaq Stock Market Listing Rules (the “Nasdaq Rules”) and no longer subject to the Governance Agreement by and among the Company, Liberty Interactive Corporation and Barry Diller, dated as of December 20, 2011 (as amended by the Assignment and Assumption of Governance Agreement, dated August 12, 2014).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Redomestication to Nevada</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Effective April 29, 2025, the Company effected the redomestication of the Company to the State of Nevada by conversion, which redomestication by conversion was approved by the Company's stockholders in June 2023. With respect to such redomestication, a Plan of Conversion was filed with the Delaware Secretary of State and Articles of Conversion and Articles of Incorporation were filed with the Nevada Secretary of State. The redomestication of the Company had no impact on our unaudited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spacing w:after="0" w:line="180"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are accounting for income taxes.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2024,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consolidated financial statements in Item 8 of our 2024 Annual Report, except as described below.</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Retirement of Treasury Shares</w:t>
      </w:r>
    </w:p>
    <w:p>
      <w:pPr>
        <w:spacing w:after="0" w:line="22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retirement of treasury shares is recorded as a reduction to common stock, equal to the par value of the shares retired, on our unaudited condensed consolidated balance sheet. The excess carrying value of the treasury shares over par value is recorded as a reduction of additional paid-in capital, to the extent there is additional paid-in capital in the same class of stock, with any remaining excess as a reduction to retained earnings.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under the section titled </w:t>
      </w:r>
      <w:r>
        <w:rPr>
          <w:rFonts w:ascii="Times New Roman" w:cs="Times New Roman" w:eastAsia="Times New Roman" w:hAnsi="Times New Roman"/>
          <w:sz w:val="18"/>
          <w:szCs w:val="18"/>
          <w:i w:val="1"/>
          <w:iCs w:val="1"/>
          <w:color w:val="auto"/>
        </w:rPr>
        <w:t>“Retirement of Treasury Shares”</w:t>
      </w:r>
      <w:r>
        <w:rPr>
          <w:rFonts w:ascii="Times New Roman" w:cs="Times New Roman" w:eastAsia="Times New Roman" w:hAnsi="Times New Roman"/>
          <w:sz w:val="18"/>
          <w:szCs w:val="18"/>
          <w:color w:val="auto"/>
        </w:rPr>
        <w:t>, for further information related to the retirement of treasury shares by the Company during the second quarter of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the 2025 annual period and can be applied either prospectively or retrospectively. We are currently in the process of evaluating the impact of this new accounting guidance on our consolidated financial statements and related disclosures for the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new accounting guidance that modernizes the recognition and disclosure framework for internal-use software costs, removing the previous “development stage” model and introducing a more judgment-based approach. This guidance is effective for fiscal years beginning after December 15, 2027, and interim periods within those annual reporting periods, with early adoption permitted.</w:t>
      </w:r>
    </w:p>
    <w:p>
      <w:pPr>
        <w:spacing w:after="0" w:line="176"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 xml:space="preserve">In July 2025, the FASB issued new accounting guidance that provides a practical expedient permitting an entity to assume that conditions at the balance sheet date remain unchanged over the life of the asset when estimating expected credit losses for current accounts receivable and current contract assets accounted for under ASC 606 -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This guidance is effective for fiscal years beginning after December 15, 2025, and interim reporting periods within those annual reporting periods, with early adoption permitted, and should be applied prospectively.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2" w:name="page13"/>
    <w:bookmarkEnd w:id="12"/>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new accounting guidance that clarifies the requirements for determining whether certain settlements of convertible debt instruments should be accounted for as an induced conversion. This guidance is effective for annual reporting periods beginning after December 15, 2025, and interim reporting periods within those annual reporting periods. Early adoption is permitted for all entities that have adopted the amendments in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 (Subtopic 815-40)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2024,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2024 Annual Report. There was no significant revenue recognized in the three and nine months ended September 30, 2025 and 2024,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our business consists of three reportable segments – (1) Brand Tripadvisor; (2) Viator; and (3) TheFork. A reconciliation of disaggregated revenue to segment revenue is included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2"/>
                <w:szCs w:val="12"/>
                <w:color w:val="auto"/>
              </w:rPr>
            </w:pPr>
          </w:p>
        </w:tc>
        <w:tc>
          <w:tcPr>
            <w:tcW w:w="10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 Tripadvisor:</w:t>
            </w: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8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(2)</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Brand Tripadvisor</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Viator</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TheFork</w:t>
            </w: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(2)</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553</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-864870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-864870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-864870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840" w:hanging="383"/>
        <w:spacing w:after="0"/>
        <w:tabs>
          <w:tab w:leader="none" w:pos="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all reportable segments.</w:t>
      </w:r>
    </w:p>
    <w:p>
      <w:pPr>
        <w:spacing w:after="0" w:line="3" w:lineRule="exact"/>
        <w:rPr>
          <w:rFonts w:ascii="Times New Roman" w:cs="Times New Roman" w:eastAsia="Times New Roman" w:hAnsi="Times New Roman"/>
          <w:sz w:val="14"/>
          <w:szCs w:val="14"/>
          <w:color w:val="auto"/>
        </w:rPr>
      </w:pPr>
    </w:p>
    <w:p>
      <w:pPr>
        <w:ind w:left="840" w:right="180" w:hanging="383"/>
        <w:spacing w:after="0" w:line="248" w:lineRule="auto"/>
        <w:tabs>
          <w:tab w:leader="none" w:pos="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See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a discussion of intersegment revenue for all periods presented</w:t>
      </w:r>
      <w:r>
        <w:rPr>
          <w:rFonts w:ascii="Times New Roman" w:cs="Times New Roman" w:eastAsia="Times New Roman" w:hAnsi="Times New Roman"/>
          <w:sz w:val="16"/>
          <w:szCs w:val="16"/>
          <w:color w:val="auto"/>
        </w:rPr>
        <w:t>.</w:t>
      </w: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300" w:firstLine="509"/>
        <w:spacing w:after="0" w:line="257"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2025, we had $47 million recorded as deferred revenue on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right="120"/>
        <w:spacing w:after="0" w:line="255" w:lineRule="auto"/>
        <w:rPr>
          <w:sz w:val="20"/>
          <w:szCs w:val="20"/>
          <w:color w:val="auto"/>
        </w:rPr>
      </w:pPr>
      <w:r>
        <w:rPr>
          <w:rFonts w:ascii="Times New Roman" w:cs="Times New Roman" w:eastAsia="Times New Roman" w:hAnsi="Times New Roman"/>
          <w:sz w:val="18"/>
          <w:szCs w:val="18"/>
          <w:color w:val="auto"/>
        </w:rPr>
        <w:t>unaudited condensed consolidated balance sheet, of which $3 million and $40 million was recognized as revenue during the three and nine months ended September 30, 2025, respectively. As of January 1, 2024, we had $49 million recorded as deferred revenue on our unaudited condensed consolidated balance sheet, of which $7 million and $45 million was recognized as revenue during the three and nine months ended September 30, 2024, respectively. During the three months ended September 30, 2025 and 2024, refunds due to cancellations by travelers were not material, while refunds due to cancellations by travelers during both the nine months ended September 30, 2025 and 2024 were $3 million. The difference between the opening and closing balances of our deferred revenue primarily results from the timing differences between when we receive customer payments and the time in which we satisfy our performance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 AND FAIR VALUE MEASUREMENTS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we had approximately $1.2 billion and $1.1 billion of cash and cash equivalents, respectively, which consisted of available on demand bank deposits and time deposits, as well as money market funds, with maturities of 90 days or less at the date of purchase, in each case, with major global financial institutions. We had no outstanding investments classified as either short-term or long-term marketable securities as of September 30, 2025 or December 31, 2024, and there were no purchases or sales of any marketable securities during and for the three and nine months ended September 30, 2025 and 2024.</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September 30, 2025 and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60" w:type="dxa"/>
            <w:vAlign w:val="bottom"/>
          </w:tcPr>
          <w:p>
            <w:pPr>
              <w:spacing w:after="0"/>
              <w:rPr>
                <w:sz w:val="10"/>
                <w:szCs w:val="10"/>
                <w:color w:val="auto"/>
              </w:rPr>
            </w:pPr>
          </w:p>
        </w:tc>
        <w:tc>
          <w:tcPr>
            <w:tcW w:w="10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26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6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three and nine months ended September 30, 2025 and 2024, our forward contracts were not designated as hedges and generally had maturities of less than 90 days. Our outstanding or unsettled forward contracts are carried at fair value on our unaudited condensed consolidated balance sheets.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foreign currency forward contracts in other income (expense), net on our unaudited condensed consolidated statement of operations. We recorded a net loss of $2 million for the nine months ended September 30, 2025, related to our forward contracts, while this amount was not material for the three months ended September 30, 2025, and recorded a net loss of $1 million for both the three and nine months ended September 30, 2024.</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currency exchange-forward contracts </w:t>
            </w:r>
            <w:r>
              <w:rPr>
                <w:rFonts w:ascii="Times New Roman" w:cs="Times New Roman" w:eastAsia="Times New Roman" w:hAnsi="Times New Roman"/>
                <w:sz w:val="14"/>
                <w:szCs w:val="14"/>
                <w:color w:val="auto"/>
              </w:rPr>
              <w:t>(1) (2)</w:t>
            </w:r>
          </w:p>
        </w:tc>
        <w:tc>
          <w:tcPr>
            <w:tcW w:w="2160" w:type="dxa"/>
            <w:vAlign w:val="bottom"/>
            <w:gridSpan w:val="2"/>
            <w:shd w:val="clear" w:color="auto" w:fill="CFF0FC"/>
          </w:tcPr>
          <w:p>
            <w:pPr>
              <w:jc w:val="right"/>
              <w:ind w:right="1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1440" w:right="360" w:hanging="384"/>
        <w:spacing w:after="0" w:line="233"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220" w:hanging="384"/>
        <w:spacing w:after="0" w:line="239"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December 31, 2024 was not material. The notional amount of a forward contract is the contracted amount of foreign currency to be exchanged and is not recorded on the unaudited condensed consolidated balance sheet.</w:t>
      </w:r>
    </w:p>
    <w:p>
      <w:pPr>
        <w:spacing w:after="0" w:line="1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September 30, 2025 or December 31, 2024.</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9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September 30, 2025 and December 31, 2024 related to business combinations, impairments, cumulative catch-ups or other material adjustments.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2026 Senior Notes and Term Loan B Facility as of the dates presented, classified as short-term and long-term debt on our unaudited condensed consolidated balance sheets and are considered Level 2 fair value measurements.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 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60" w:type="dxa"/>
            <w:vAlign w:val="bottom"/>
          </w:tcPr>
          <w:p>
            <w:pPr>
              <w:spacing w:after="0"/>
              <w:rPr>
                <w:sz w:val="16"/>
                <w:szCs w:val="16"/>
                <w:color w:val="auto"/>
              </w:rPr>
            </w:pPr>
          </w:p>
        </w:tc>
        <w:tc>
          <w:tcPr>
            <w:tcW w:w="82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jc w:val="right"/>
              <w:ind w:right="285"/>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9"/>
                <w:szCs w:val="9"/>
                <w:color w:val="auto"/>
              </w:rPr>
            </w:pPr>
          </w:p>
        </w:tc>
        <w:tc>
          <w:tcPr>
            <w:tcW w:w="820" w:type="dxa"/>
            <w:vAlign w:val="bottom"/>
            <w:gridSpan w:val="2"/>
            <w:vMerge w:val="restart"/>
          </w:tcPr>
          <w:p>
            <w:pPr>
              <w:jc w:val="right"/>
              <w:ind w:right="50"/>
              <w:spacing w:after="0" w:line="13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w w:val="97"/>
              </w:rPr>
              <w:t>Costs</w:t>
            </w:r>
          </w:p>
        </w:tc>
        <w:tc>
          <w:tcPr>
            <w:tcW w:w="14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jc w:val="right"/>
              <w:ind w:right="284"/>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Term Loan B Facility </w:t>
            </w:r>
            <w:r>
              <w:rPr>
                <w:rFonts w:ascii="Times New Roman" w:cs="Times New Roman" w:eastAsia="Times New Roman" w:hAnsi="Times New Roman"/>
                <w:sz w:val="24"/>
                <w:szCs w:val="24"/>
                <w:color w:val="auto"/>
                <w:vertAlign w:val="superscript"/>
              </w:rPr>
              <w:t>(2)</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140" w:right="220" w:hanging="383"/>
        <w:spacing w:after="0" w:line="221"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2026 Senior Notes and Term Loan B Facility based on recently reported market transactions and/or prices for identical or similar financial instruments obtained from a third-party pricing source.</w:t>
      </w:r>
    </w:p>
    <w:p>
      <w:pPr>
        <w:spacing w:after="0" w:line="1"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first quarter of 2025, the Company increased its existing Term Loan B Facility in the amount of $350 million.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September 30, 2025 and December 31,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business is subject to certain financial risks and concentrations, including concentration related to dependence on our relationships with our customers. For the year ended December 31, 2024, Booking Holdings Inc. (and its subsidiaries) accounted for 10% or more of our consolidated revenue, and together with Expedia Group, Inc. (and its subsidiaries), our two most significant travel partners, accounted for approximately 22% of our consolidated revenue, with nearly all of this revenue concentrated in our Brand Tripadvisor segment. Additionally, our business is dependent on relationships with third-party service providers that we rely on to fulfill service obligations to our customers where the Company is the merchant of record, primarily our experiences operators. However, for the year ended December 31, 2024, no one operator’s inventory resulted in more than 10% of our annual revenue on a consolidated basis or at a reportable segment level.</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time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$26 million and $28 million as of September 30, 2025 and December 31, 2024, respectively, and is included in non-marketable investments on our unaudited condensed consolidated balance sheets. During the three and nine months ended September 30, 2025, we recognized $1 million and $2 million, respectively, representing our share of the investee’s net loss in other income (expenses), net within the unaudited condensed consolidated statements of operations. During the nine months ended September 30, 2024, we recognized $1 million, representing our share of the investee’s net loss in other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ind w:right="20"/>
        <w:spacing w:after="0" w:line="258" w:lineRule="auto"/>
        <w:rPr>
          <w:sz w:val="20"/>
          <w:szCs w:val="20"/>
          <w:color w:val="auto"/>
        </w:rPr>
      </w:pPr>
      <w:r>
        <w:rPr>
          <w:rFonts w:ascii="Times New Roman" w:cs="Times New Roman" w:eastAsia="Times New Roman" w:hAnsi="Times New Roman"/>
          <w:sz w:val="18"/>
          <w:szCs w:val="18"/>
          <w:color w:val="auto"/>
        </w:rPr>
        <w:t>(expenses), net within the unaudited condensed consolidated statements of operations, while this amount was not material during the three months ended September 30, 2024.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nine months ended September 30, 2025 and 2024, we did not record any impairment loss on this equity investment.</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 party transactions, and were not material during the three and nine months ended September 30, 2025 and 2024.</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holds collateralized notes (the “Notes Receivable”) issued by a privately held company with a total principal amount of $20 million, classified as held-to-maturity, as the Company has concluded it has the positive intent and ability to hold the Notes Receivable until maturity, with 50% due June 2028 and the remaining 50% due June 2030, or the date on which there is a change in control, whichever is earlier. As of both September 30, 2025 and December 31, 2024,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Accrued legal contingencies </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r>
      <w:tr>
        <w:trPr>
          <w:trHeight w:val="230"/>
        </w:trPr>
        <w:tc>
          <w:tcPr>
            <w:tcW w:w="4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ind w:left="1440" w:hanging="384"/>
        <w:spacing w:after="0"/>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primarily related to unpaid digital services taxes.</w:t>
      </w:r>
    </w:p>
    <w:p>
      <w:pPr>
        <w:spacing w:after="0" w:line="3" w:lineRule="exact"/>
        <w:rPr>
          <w:rFonts w:ascii="Times New Roman" w:cs="Times New Roman" w:eastAsia="Times New Roman" w:hAnsi="Times New Roman"/>
          <w:sz w:val="14"/>
          <w:szCs w:val="14"/>
          <w:color w:val="auto"/>
        </w:rPr>
      </w:pPr>
    </w:p>
    <w:p>
      <w:pPr>
        <w:ind w:left="1440" w:hanging="384"/>
        <w:spacing w:after="0" w:line="221"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ind w:left="1440" w:right="40" w:hanging="384"/>
        <w:spacing w:after="0" w:line="230"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2024, the Company approved and subsequently initiated a set of actions in order to reduce its cost structure, improve operational efficiencies, and realign its workforce with its strategic initiatives. As a result of these actions taken, the Company incurred estimated pre-tax restructuring and other related reorganization costs of $10 million during the nine months ended September 30, 2025, which consisted of employee severance and related benefits, primarily in our Brand Tripadvisor segment. We expect that the majority of the remaining unpaid costs as of September 30, 2025 will be disbursed during the fourth quarter of 2025.</w:t>
      </w:r>
    </w:p>
    <w:p>
      <w:pPr>
        <w:spacing w:after="0" w:line="109"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nine months ended September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liability as of December 31, 2024</w:t>
            </w:r>
          </w:p>
        </w:tc>
        <w:tc>
          <w:tcPr>
            <w:tcW w:w="2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2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liability as of September 30, 2025</w:t>
            </w:r>
          </w:p>
        </w:tc>
        <w:tc>
          <w:tcPr>
            <w:tcW w:w="26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-942340</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1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09"/>
        </w:trPr>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312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0.25% Convertible 2026 Senior Notes due 2026 </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18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197"/>
        </w:trPr>
        <w:tc>
          <w:tcPr>
            <w:tcW w:w="488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312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0.25% Convertible 2026 Senior Notes due 2026 </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-882650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-864870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980" w:hanging="373"/>
        <w:spacing w:after="0"/>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Reclassified to short-term debt as the 2026 Senior Notes maturity date is April 1,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On July 8, 2024, the Company entered into the First Amendment to its Credit Agreement, which implemented the Term Loan B Facility (discussed below), and, on March 20, 2025, entered into the Second Amendment to the Amended Credit Agreement, which increased the existing Term Loan B Facility in the amount of $350 million. On June 5, 2025, the Company entered into the Third Amendment to the amended Credit Agreement, which amended the Credit Facility’s maturity conditions (the Credit Agreement, with the First Amendment, the Second Amendment and the Third Amendment is hereinafter referred to as the “Amended Credit Agreement”). The Credit Facility had previously provided a conditional maturity date (referred to as “Springing Maturity Date” in Amended Credit Agreement) that was 91 days prior to the final scheduled maturity date in respect of any indebtedness outstanding under certain “specified debt,” the aggregate outstanding principal amount of such specified debt is $200 million or more. Specifically, the Third Amendment suspends this conditional maturity date if, at that time and any day following such maturity, the aggregate amount of unrestricted cash of the Company and its restricted subsidiaries, less deferred merchant payables, is at least $500 million. The Amended Credit Agreement does not change the aggregate amount of revolving commitments available at $500 million related to our Credit Facility.</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Security Documents. Any term not otherwise defined herein shall have the meaning ascribed to it in the Amended Credit Agreement.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2025 and December 31, 2024, we had no outstanding borrowings from the Credit Facility, except $4 million and $3 million, respectively, of undrawn standby letters of credit issued under the Credit Facility. The Credit Facility also includes $15 million of borrowing capacity available for letters of credit and $40 million for swing-line borrowings on same-day notice. For both the three and nine months ended September 30, 2025 and 2024, total interest expense and commitment fees on our Credit Facility were not material. The Amended Credit Agreement, among other things, requires us to maintain a maximum total net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leverage ratio of 4.5 to 1.0 solely in respect to the Credit Facility and contains certain customary affirmative and negative covenants and events of default, including a change of control.</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B Facility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On July 15, 2024, the Company used these borrowed funds to fully redeem its 2025 Senior Notes. On March 20, 2025, under the Amended Credit Agreement, the Company increased its existing Term Loan B Facility in the amount of $350 million, with a maturity date of July 8, 2031 and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2026 Senior Notes and for general corporate purposes. The Company incurred $9 million of debt issuance costs associated with the Tack-On Incremental Term Loan B Facility. We refer to the original Term Loan B Facility, combined with the Tack-On Incremental Term Loan B Facility, as the “Term Loan B Facility.”</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the interest rate on the Term Loan B Facility was 6.91% and, for the three and nine months ended September 30, 2025 the weighted-average interest rate on the Term Loan B Facility was 7.08% and 7.07%, respectively. As of September 30, 2024, the interest rate on the Term Loan B Facility was 7.60% and the weighted-average interest rate on the Term Loan B Facility was 8.06% for the three months ended September 30, 2024.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$6 million were made during the nine months ended September 30, 2025. The Term Loan B Facility has no financial covenants.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and in connection with the issuance of the Term Loan B Facility, we have $13 million of unamortized debt issuance costs, consisting of the initial purchasers’ discount, lender fees, and other debt financing costs. These debt issuance costs will be amortized over the remaining term of the Term Loan B Facility, using the effective interest rate method, and recorded to interest expense on our unaudited condensed consolidated statement of operations. As of September 30, 2025, unpaid interest on the Term Loan B Facility was not material. During the three and nine months ended September 30, 2025, we recorded $15 million and $40 million of interest expense, respectively, while during both the three and nine months ended September 30, 2024, we recorded $10 million of interest expense, on our unaudited condensed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Senior Notes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15, 2024, the Company redeemed all $500 million aggregate principal amount of the Company’s outstanding 2025 Senior Notes. As a result, we recognized a loss on extinguishment of debt of $2 million, which primarily consisted of a non-cash write-off of unamortized debt issuance costs, and is included in Other income (expense), net on our unaudited condensed consolidated statements of operations during both the three and nine months ended September 30, 2024. During the three and nine months ended September 30, 2024, we recorded $1 million and $19 million, respectively, of interest expense on our unaudited condensed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229"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2025 and 2024, our effective interest rate, including debt issuance costs, was approximately 0.30% and 0.35%, respectively, and total interest expense incurred from the 2026 Senior Notes was not material in any period</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September 30, 2025 and December 31, 2024, unpaid interest on the 2026 Senior Notes was also not material.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w:t>
      </w:r>
    </w:p>
    <w:p>
      <w:pPr>
        <w:spacing w:after="0" w:line="176"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The Capped Calls are considered indexed to our own stock, considered equity classified under GAAP and were recorded as a reduction to additional paid-in-capital within stockholders’ equity on our consolidated balance sheet when the Capped Calls were purchased in March 2021. The Capped Calls are not accounted for as derivatives and their fair value is not remeasured each reporting period.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consolidated financial statements in Item 8 of our 2024 Annual Report, for additional information pertaining to redemption, conversion, and repurchase features or other terms regarding the Amended Credit Agreement, the Credit Facility, the Term Loan B Facility, 2025 Senior Notes, 2026 Senior Notes and Capped Calls.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income tax provision was $10 million and $12 million for the three and nine months ended September 30, 2025, respectively, and our income tax provision was $27 million and $84 million for the three and nine months ended September 30, 2024, respectively. The change in our income tax provision during the three months ended September 30, 2025, when compared to the same period in 2024, was primarily due to changes in discrete items, including stock-based compensation shortfalls. The change in our income tax provision during the nine months ended September 30, 2025, when compared to the same period in 2024, was primarily the result of an Internal Revenue Service (“IRS”) audit settlement for the 2014, 2015, and 2016 tax years, resulting in an incremental income tax provision of $41 million, recorded during the nine months ended September 30, 2024, as described below, as well as, a discrete tax benefit of $11 million recorded during the first quarter of 2025 to release income tax reserves as a result of the U.S. federal statute of limitation of assessment closing on tax years 2014, 2015, and 2016.</w:t>
      </w:r>
    </w:p>
    <w:p>
      <w:pPr>
        <w:spacing w:after="0" w:line="19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differs from the U.S. federal statutory rate of 21%, primarily due to benefits related to the Tax Cuts and Jobs Act of 2017 (the “2017 Tax Act”). Our effective tax rate for the nine months ended September 30, 2025 differs from the U.S. federal statutory rate of 21%, primarily due to a discrete tax benefit of $11 million, as described above.</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w:t>
            </w:r>
          </w:p>
        </w:tc>
        <w:tc>
          <w:tcPr>
            <w:tcW w:w="1200" w:type="dxa"/>
            <w:vAlign w:val="bottom"/>
            <w:shd w:val="clear" w:color="auto" w:fill="CFF0FC"/>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20" w:type="dxa"/>
            <w:vAlign w:val="bottom"/>
            <w:tcBorders>
              <w:right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Unrecognized tax benefits and related interest </w:t>
            </w:r>
            <w:r>
              <w:rPr>
                <w:rFonts w:ascii="Times New Roman" w:cs="Times New Roman" w:eastAsia="Times New Roman" w:hAnsi="Times New Roman"/>
                <w:sz w:val="24"/>
                <w:szCs w:val="24"/>
                <w:color w:val="auto"/>
                <w:vertAlign w:val="superscript"/>
              </w:rPr>
              <w:t>(1)</w:t>
            </w:r>
          </w:p>
        </w:tc>
        <w:tc>
          <w:tcPr>
            <w:tcW w:w="1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tax credit</w:t>
            </w:r>
          </w:p>
        </w:tc>
        <w:tc>
          <w:tcPr>
            <w:tcW w:w="1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audit settlement</w:t>
            </w:r>
          </w:p>
        </w:tc>
        <w:tc>
          <w:tcPr>
            <w:tcW w:w="1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 pricing reserves adjustment</w:t>
            </w:r>
          </w:p>
        </w:tc>
        <w:tc>
          <w:tcPr>
            <w:tcW w:w="1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620" w:type="dxa"/>
            <w:vAlign w:val="bottom"/>
            <w:tcBorders>
              <w:right w:val="single" w:sz="8" w:color="CFF0FC"/>
            </w:tcBorders>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0" w:type="dxa"/>
            <w:vAlign w:val="bottom"/>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6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right="300" w:hanging="383"/>
        <w:spacing w:after="0" w:line="261" w:lineRule="auto"/>
        <w:tabs>
          <w:tab w:leader="none" w:pos="8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discrete tax benefit of $11 million in income tax reserves during the first quarter of 2025, related to the U.S. federal statute of limitation of assessment closing on tax years 2014, 2015, and 2016, during the first quarter of 2025.</w:t>
      </w:r>
    </w:p>
    <w:p>
      <w:pPr>
        <w:spacing w:after="0" w:line="16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September 30, 2025, we had an accrued interest liability of $22 million, which was included in unrecognized tax benefits in other long-term liabilities on our unaudited condensed consolidated balance sheet, and no penalties were accrued.</w:t>
      </w:r>
    </w:p>
    <w:p>
      <w:pPr>
        <w:spacing w:after="0" w:line="17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currently under examination by the IRS for tax year 2018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income taxes. We are no longer subject to tax examinations by tax authorities for years prior to 2018. As of September 30, 2025, no material assessments have resulted, except as noted below regarding our 2014 through 2016 standalone IRS audit, which was settled during 2024, and our 2012 through 2016 HM Revenue &amp; Customs (“HMRC”) audit, which is ongoing.</w:t>
      </w:r>
    </w:p>
    <w:p>
      <w:pPr>
        <w:spacing w:after="0" w:line="18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we received Notices of Proposed Adjustments (“NOPA”) from the IRS for the 2014 through 2016 tax years relating to certain transfer pricing arrangements with our foreign subsidiaries. In response, we requested competent authority</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t>assistance under the Mutual Agreement Procedure (“MAP”) for the 2014 through 2016 tax years. In January 2024, we received notification of a MAP resolution agreement for the 2014 through 2016 tax years, which we accepted in February 2024. As a result of this audit settlement, we recorded an income tax benefit of $4 million and an income tax expense of $41 million, respectively, inclusive of interest, as a discrete item, during the three and nine months ended September 30, 2024, on our unaudited condensed consolidated statement of operations, of which $46 million of this amount was recorded during the first quarter of 2024 and a $1 million and $4 million income tax benefit that was recorded during the second and third quarters of 2024. In addition, the Company reviewed the impact of this audit settlement on our existing transfer pricing income tax reserves for subsequent open tax years at the time, which resulted in an income tax benefit, inclusive of estimated interest, of $4 million during the first quarter of 2024. During the three months ended June 30, 2024, we made a payment to the IRS of $141 million, inclusive of estimated interest, and during the three months ended September 30, 2024, we made various state tax payments of $18 million, inclusive of estimated interest, to satisfy this audit settlement.</w:t>
      </w:r>
    </w:p>
    <w:p>
      <w:pPr>
        <w:spacing w:after="0" w:line="18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the 2012 through 2016 tax years. These proposed adjustments are related to deductions for intercompany financing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2022. If HMRC were to seek adjustments of a similar nature through a closure notice for transactions in these years, we could be subject to significant additional tax liabilities. Our policy is to review and update tax reserves as facts and circumstances change.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which includes a broad range of changes to federal tax law and other regulatory provisions that may impact the Company, was signed into law in the United States. The OBBBA did not have a material impact on our effective income tax rate for the three and nine months ended September 30, 2025, and we do not expect it to materially change our effective income tax rate for the remainder of 2025. We will continue to assess the impact of the OBBBA on our business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2025, there have been no material changes to our commitments and contingencies since December 31, 2024, except as discussed below.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of our 2024 Annual Report.</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7: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ongoing income tax audits.</w:t>
      </w:r>
    </w:p>
    <w:p>
      <w:pPr>
        <w:spacing w:after="0" w:line="183"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$6 million in accrued expenses and other current liabilities in our unaudited condensed consolidated balance sheet, as an estimated potential settlement of a regulatory related matter within our vacation rentals offering. This</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t>matter was subsequently settled for the same amount in October 2025. We had accrued $10 million during the three months ended March 31, 2024, in general and administrative expenses in our unaudited condensed consolidated statement of operations, and based on updated information, this accrual was reduced to $6 million during the three months ended June 30, 2025, in general and administrative expenses in our unaudited condensed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unaudited condensed consolidated statements of operations during the periods presented: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7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-454025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76835" cy="1117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-454025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We capitalized $3 million and $10 million of stock-based compensation expense as website development costs during the three and nine months ended September 30, 2025, respectively, and $4 million and $10 million during the three and nine months ended September 30, 2024,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 Activity and Valuation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September 30, 2025</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2025</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1,776</w:t>
            </w:r>
          </w:p>
        </w:tc>
        <w:tc>
          <w:tcPr>
            <w:tcW w:w="180" w:type="dxa"/>
            <w:vAlign w:val="bottom"/>
          </w:tcPr>
          <w:p>
            <w:pPr>
              <w:spacing w:after="0"/>
              <w:rPr>
                <w:sz w:val="17"/>
                <w:szCs w:val="17"/>
                <w:color w:val="auto"/>
              </w:rPr>
            </w:pPr>
          </w:p>
        </w:tc>
        <w:tc>
          <w:tcPr>
            <w:tcW w:w="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31.88</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CFF0FC"/>
            </w:tcBorders>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Vested and expected to vest after September 30, 2025</w:t>
            </w:r>
            <w:r>
              <w:rPr>
                <w:rFonts w:ascii="Times New Roman" w:cs="Times New Roman" w:eastAsia="Times New Roman" w:hAnsi="Times New Roman"/>
                <w:sz w:val="22"/>
                <w:szCs w:val="22"/>
                <w:color w:val="auto"/>
                <w:vertAlign w:val="superscript"/>
              </w:rPr>
              <w:t>(1)</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2,031</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30.42</w:t>
            </w:r>
          </w:p>
        </w:tc>
        <w:tc>
          <w:tcPr>
            <w:tcW w:w="1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4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ind w:lef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-351155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-334010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1440" w:right="140" w:hanging="384"/>
        <w:spacing w:after="0" w:line="26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$2 million and $6 million for the nine months ended September 30, 2025 and 2024, respectively. Aggregate intrinsic value represents the difference between the closing stock price of our common stock and the exercise price of outstanding, in-the-money options. Our closing stock price as reported on Nasdaq as of September 30, 2025 was $16.26. The total intrinsic value of stock options exercised was not material for the nine months ended September 30, 2025 and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Restricted Stock Units ("RSUs")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 activity, consisting of service-based vesting terms,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2024</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14.85</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Vested and released</w:t>
            </w:r>
            <w:r>
              <w:rPr>
                <w:rFonts w:ascii="Times New Roman" w:cs="Times New Roman" w:eastAsia="Times New Roman" w:hAnsi="Times New Roman"/>
                <w:sz w:val="24"/>
                <w:szCs w:val="24"/>
                <w:color w:val="auto"/>
                <w:vertAlign w:val="superscript"/>
              </w:rPr>
              <w:t>(2)</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(3,919)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21.81</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Unvested RSUs outstanding as of September 30, 2025</w:t>
            </w:r>
            <w:r>
              <w:rPr>
                <w:rFonts w:ascii="Times New Roman" w:cs="Times New Roman" w:eastAsia="Times New Roman" w:hAnsi="Times New Roman"/>
                <w:sz w:val="24"/>
                <w:szCs w:val="24"/>
                <w:color w:val="auto"/>
                <w:vertAlign w:val="superscript"/>
              </w:rPr>
              <w:t>(3)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18.83</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440" w:right="20" w:hanging="384"/>
        <w:spacing w:after="0" w:line="227"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77,000 deferred stock units (“DSUs”) granted to certain non-employee directors during the second quarter of 2025. Each DSU represents the right to receive one share of the Company’s common stock upon vesting. The DSUs shall vest one year after the grant date. However, settlement of the shares represented by DSUs that have vested will occur on January 15th of the calendar year immediately following the year in which the director experiences a "separation of service" as defined in Section 409A of the Internal Revenue Code of 1986.</w:t>
      </w:r>
    </w:p>
    <w:p>
      <w:pPr>
        <w:ind w:left="1440" w:right="60" w:hanging="384"/>
        <w:spacing w:after="0" w:line="22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826,000 shares of common stock withheld in connection with RSU vesting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under the 2023 Plan. Total payments for the employees’ tax obligations to the taxing authorities due to net share settlements are reflected as a financing activity within the consolidated statement of cash flows.</w:t>
      </w:r>
    </w:p>
    <w:p>
      <w:pPr>
        <w:spacing w:after="0" w:line="1" w:lineRule="exact"/>
        <w:rPr>
          <w:rFonts w:ascii="Times New Roman" w:cs="Times New Roman" w:eastAsia="Times New Roman" w:hAnsi="Times New Roman"/>
          <w:sz w:val="14"/>
          <w:szCs w:val="14"/>
          <w:color w:val="auto"/>
        </w:rPr>
      </w:pPr>
    </w:p>
    <w:p>
      <w:pPr>
        <w:ind w:left="1440" w:right="140" w:hanging="384"/>
        <w:spacing w:after="0" w:line="239"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$98 million and $89 million for the nine months ended September 30, 2025 and 2024,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performance-based RSUs ("PSUs") and market-based RSUs (“MSUs”) activity is presented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9"/>
                <w:szCs w:val="19"/>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9"/>
                <w:szCs w:val="19"/>
                <w:b w:val="1"/>
                <w:bCs w:val="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40" w:type="dxa"/>
            <w:vAlign w:val="bottom"/>
          </w:tcPr>
          <w:p>
            <w:pPr>
              <w:spacing w:after="0"/>
              <w:rPr>
                <w:sz w:val="12"/>
                <w:szCs w:val="12"/>
                <w:color w:val="auto"/>
              </w:rPr>
            </w:pP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04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4"/>
                <w:szCs w:val="24"/>
                <w:color w:val="auto"/>
                <w:vertAlign w:val="superscript"/>
              </w:rPr>
              <w:t>(4)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2025</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-24765</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-8255</wp:posOffset>
            </wp:positionV>
            <wp:extent cx="93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3" w:lineRule="exact"/>
        <w:rPr>
          <w:sz w:val="20"/>
          <w:szCs w:val="20"/>
          <w:color w:val="auto"/>
        </w:rPr>
      </w:pPr>
    </w:p>
    <w:p>
      <w:pPr>
        <w:ind w:left="1440" w:right="40" w:hanging="384"/>
        <w:spacing w:after="0" w:line="224"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is measured based on the quoted price of our common stock at the date of grant, calculated upon the establishment of performance targets, and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3" w:lineRule="exact"/>
        <w:rPr>
          <w:rFonts w:ascii="Times New Roman" w:cs="Times New Roman" w:eastAsia="Times New Roman" w:hAnsi="Times New Roman"/>
          <w:sz w:val="14"/>
          <w:szCs w:val="14"/>
          <w:color w:val="auto"/>
        </w:rPr>
      </w:pPr>
    </w:p>
    <w:p>
      <w:pPr>
        <w:ind w:left="1440" w:right="10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 w:lineRule="exact"/>
        <w:rPr>
          <w:rFonts w:ascii="Times New Roman" w:cs="Times New Roman" w:eastAsia="Times New Roman" w:hAnsi="Times New Roman"/>
          <w:sz w:val="14"/>
          <w:szCs w:val="14"/>
          <w:color w:val="auto"/>
        </w:rPr>
      </w:pPr>
    </w:p>
    <w:p>
      <w:pPr>
        <w:ind w:left="1440" w:right="140" w:hanging="384"/>
        <w:spacing w:after="0" w:line="225"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81,000 shares of common stock withheld in connection with PSU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ind w:left="1440"/>
        <w:spacing w:after="0"/>
        <w:rPr>
          <w:sz w:val="20"/>
          <w:szCs w:val="20"/>
          <w:color w:val="auto"/>
        </w:rPr>
      </w:pPr>
      <w:r>
        <w:rPr>
          <w:rFonts w:ascii="Times New Roman" w:cs="Times New Roman" w:eastAsia="Times New Roman" w:hAnsi="Times New Roman"/>
          <w:sz w:val="14"/>
          <w:szCs w:val="14"/>
          <w:color w:val="auto"/>
        </w:rPr>
        <w:t>employees’ tax obligations to the taxing authorities due to net share settlements are reflected as a financing activity within the consolidated statement of cash flows.</w:t>
      </w:r>
    </w:p>
    <w:p>
      <w:pPr>
        <w:spacing w:after="0" w:line="4" w:lineRule="exact"/>
        <w:rPr>
          <w:sz w:val="20"/>
          <w:szCs w:val="20"/>
          <w:color w:val="auto"/>
        </w:rPr>
      </w:pPr>
    </w:p>
    <w:p>
      <w:pPr>
        <w:ind w:left="1440" w:hanging="384"/>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 cancellations reflect performance targets not being attained by the end of the performance period during the third quarter of 2025.</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Total current income tax benefits associated with the exercise or settlement of Tripadvisor stock-based awards held by our employees was $3 million and $8 million during the three and nine months ended September 30, 2025, respectively, and $2 million and $9 million during the three and nine months ended September 30, 2024, respectively.</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compensation cost related to stock-based awards, substantially RSUs (including PSUs, MSUs and DSUs), was $233 million, which the Company expects to recognize over a weighted-average period of 2.5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Repurchases of Treasury Shares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Our Board of Directors authorized and directed management to effect the share repurchase program in compliance with applicable legal requirements. Management will determine the price, timing, amount and method of such repurchases based on its evaluation of market conditions and other factors, and at prices determined to be attractive and in the best interests of both the Company and its stockholders. This share repurchase program does not have a fixed expiration date or obligate the Company to acquire any particular number of shares and may be modified, suspended or discontinued at any time.</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did not repurchase any shares of outstanding common stock under this share repurchase program. During the nine months ended September 30, 2025, approximately 2.8 million shares of the Company's outstanding common stock were repurchased under the share repurchase program at an average price of $14.22 per share, exclusive of fees and commissions, or $40 million in the aggregate. As of September 30, 2025, the Company had $160 million remaining available to repurchase shares of its common stock under this share repurchase program. During the nine months ended September 30, 2024, approximately 1.4 million shares of the Company's outstanding common stock were repurchased under the share repurchase program at an average price of $18.28 per share, exclusive of fees and commissions, or $25 million in the aggregate. For the three and nine months ended September 30, 2025 and 2024, excise taxes incurred for repurchases made under the share repurchase program were not material.</w:t>
      </w:r>
    </w:p>
    <w:p>
      <w:pPr>
        <w:spacing w:after="0" w:line="1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and in a separate transaction,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LTRIP and Tripadvisor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Loan Agreement</w:t>
      </w:r>
      <w:r>
        <w:rPr>
          <w:rFonts w:ascii="Times New Roman" w:cs="Times New Roman" w:eastAsia="Times New Roman" w:hAnsi="Times New Roman"/>
          <w:sz w:val="18"/>
          <w:szCs w:val="18"/>
          <w:color w:val="auto"/>
        </w:rPr>
        <w:t>”, on April 29, 2025, the Company repurchased approximately 26.8 million shares of Tripadvisor common stock and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common stock previously held by LTRIP in the Merger at an average price of approximately $16.28 per share, or $437 million in the aggregate, inclusive of transaction costs related to the repurchase of these shares.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Retirement of Treasury Shares</w:t>
      </w:r>
    </w:p>
    <w:p>
      <w:pPr>
        <w:spacing w:after="0" w:line="22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April 29, 2025, the Company’s Board of Directors approved the retirement of all common stock and Class B common stock held as treasury stock by the Company, thereby canceling approximately 53.1 million shares of the Company's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the 2026 Senior Notes using the if-converted method, as share settlement is presumed, under 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4" w:name="page25"/>
    <w:bookmarkEnd w:id="24"/>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in periods when the 2026 Senior Notes are dilutive, interest expense, net of tax, is added back to net income (loss) (the “numerator”) in order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September 30, 2025 and 2024, the market price of a share of our common stock did not exceed the $107.36 cap price.</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Diluted EPS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gridSpan w:val="9"/>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 in thousands and $ in millions, except per share amounts)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456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16"/>
        </w:trPr>
        <w:tc>
          <w:tcPr>
            <w:tcW w:w="4560" w:type="dxa"/>
            <w:vAlign w:val="bottom"/>
            <w:tcBorders>
              <w:bottom w:val="single" w:sz="8" w:color="CFF0FC"/>
            </w:tcBorders>
            <w:gridSpan w:val="3"/>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on 2026 Senior Notes, net of tax </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used to compute Diluted EPS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456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20"/>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138,862</w:t>
            </w:r>
          </w:p>
        </w:tc>
        <w:tc>
          <w:tcPr>
            <w:tcW w:w="120" w:type="dxa"/>
            <w:vAlign w:val="bottom"/>
          </w:tcPr>
          <w:p>
            <w:pPr>
              <w:spacing w:after="0"/>
              <w:rPr>
                <w:sz w:val="18"/>
                <w:szCs w:val="18"/>
                <w:color w:val="auto"/>
              </w:rPr>
            </w:pPr>
          </w:p>
        </w:tc>
      </w:tr>
      <w:tr>
        <w:trPr>
          <w:trHeight w:val="216"/>
        </w:trPr>
        <w:tc>
          <w:tcPr>
            <w:tcW w:w="45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Stock-based awards (Note 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8"/>
                <w:szCs w:val="18"/>
                <w:color w:val="auto"/>
              </w:rPr>
            </w:pPr>
          </w:p>
        </w:tc>
      </w:tr>
      <w:tr>
        <w:trPr>
          <w:trHeight w:val="216"/>
        </w:trPr>
        <w:tc>
          <w:tcPr>
            <w:tcW w:w="45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 Senior Notes (Note 6)</w:t>
            </w: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133,681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144,971</w:t>
            </w:r>
          </w:p>
        </w:tc>
        <w:tc>
          <w:tcPr>
            <w:tcW w:w="1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56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7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5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5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68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7"/>
                <w:szCs w:val="17"/>
                <w:color w:val="auto"/>
              </w:rPr>
            </w:pPr>
          </w:p>
        </w:tc>
      </w:t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-1313815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-1313815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-1313815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-1313815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-456565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-456565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-456565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7" w:lineRule="exact"/>
        <w:rPr>
          <w:sz w:val="20"/>
          <w:szCs w:val="20"/>
          <w:color w:val="auto"/>
        </w:rPr>
      </w:pPr>
    </w:p>
    <w:p>
      <w:pPr>
        <w:ind w:left="1140" w:right="260" w:hanging="383"/>
        <w:spacing w:after="0" w:line="261" w:lineRule="auto"/>
        <w:tabs>
          <w:tab w:leader="none" w:pos="1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of taxes, related to the 2026 Senior Notes which was included in the Diluted EPS calculation for both the three months ended September 30, 2025 and 2024 was not material.</w:t>
      </w:r>
    </w:p>
    <w:p>
      <w:pPr>
        <w:spacing w:after="0" w:line="1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(including PSUs, MSUs and DSUs), and those issuable under the 2026 Senior Notes, totaling approximately 6.9 million shares and 10.5 million shares for the three and nine months ended September 30, 2025, respectively, and approximately 13.3 million shares and 12.3 million shares for the three and nine months ended September 30, 2024, respectively, have been excluded from the Diluted EPS calculation because their effect would have been antidilutive. In addition, potential common shares from certain performance-based awards of approximately 1.6 million shares and 1.8 million shares for the three and nine months ended September 30, 2025, respectively, and approximately 1.5 million shares for both the three and nine months ended September 30, 2024, respectively, for which all targets required to trigger vesting had not been achieved, were also excluded from the calculation of weighted average shares used to compute Diluted EPS.</w:t>
      </w:r>
    </w:p>
    <w:p>
      <w:pPr>
        <w:spacing w:after="0" w:line="81" w:lineRule="exact"/>
        <w:rPr>
          <w:sz w:val="20"/>
          <w:szCs w:val="20"/>
          <w:color w:val="auto"/>
        </w:rPr>
      </w:pPr>
    </w:p>
    <w:p>
      <w:pPr>
        <w:ind w:right="20" w:firstLine="509"/>
        <w:spacing w:after="0" w:line="222" w:lineRule="exact"/>
        <w:rPr>
          <w:sz w:val="20"/>
          <w:szCs w:val="20"/>
          <w:color w:val="auto"/>
        </w:rPr>
      </w:pPr>
      <w:r>
        <w:rPr>
          <w:rFonts w:ascii="Times New Roman" w:cs="Times New Roman" w:eastAsia="Times New Roman" w:hAnsi="Times New Roman"/>
          <w:sz w:val="18"/>
          <w:szCs w:val="18"/>
          <w:color w:val="auto"/>
        </w:rPr>
        <w:t xml:space="preserve">The earnings per share amounts are the same for common stock and Class B common stock because the holders of each class were legally entitled to equal per share distributions whether through dividends or in liquidation.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“LTRIP and Tripadvisor Merger Agreement and Loan Agreement”, on April 29, 2025, all Class B shares were repurchased by the Company from LTRIP in the Merger and subsequently retired by the Company’s Board of Directors, thereby canceling these shares.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of determining earnings per share.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three reportable segments: (1) Brand Tripadvisor; (2) Viator; and (3) TheFork. The nature of the services provided, revenue sources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product, and related revenue recognition policies are summarized by the reportable segment in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ind w:right="40"/>
        <w:spacing w:after="0" w:line="266" w:lineRule="auto"/>
        <w:rPr>
          <w:sz w:val="20"/>
          <w:szCs w:val="20"/>
          <w:color w:val="auto"/>
        </w:rPr>
      </w:pPr>
      <w:r>
        <w:rPr>
          <w:rFonts w:ascii="Times New Roman" w:cs="Times New Roman" w:eastAsia="Times New Roman" w:hAnsi="Times New Roman"/>
          <w:sz w:val="18"/>
          <w:szCs w:val="18"/>
          <w:color w:val="auto"/>
        </w:rPr>
        <w:t>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18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and nine months ended September 30, 2025 and 2024 and include a reconciliation of adjusted EBITDA to Net income (loss). We record depreciation and amortization, stock-based compensation, goodwill, long-lived asset and intangible asset impairments, legal reserves, settlements and other, transaction related expenses,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 We have recast the prior period presented for segment revenue and segment adjusted EBITDA to ensure comparability with the current period presented. These changes did not result in a change to our previously reported segments revenue or adjusted EBITDA.</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expenses are eliminated in consolidation. The elimination of such intersegment transactions is included within the “Corporate &amp; Eliminations” column in the tables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0"/>
                <w:szCs w:val="10"/>
                <w:color w:val="auto"/>
              </w:rPr>
            </w:pPr>
          </w:p>
        </w:tc>
        <w:tc>
          <w:tcPr>
            <w:tcW w:w="96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-2914015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-2896870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-2914015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-2896870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-2914015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-2896870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-2914015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-2896870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-2896870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-1928495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-1928495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-1928495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-1928495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-1928495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280" w:type="dxa"/>
            <w:vAlign w:val="bottom"/>
          </w:tcPr>
          <w:p>
            <w:pPr>
              <w:spacing w:after="0"/>
              <w:rPr>
                <w:sz w:val="10"/>
                <w:szCs w:val="10"/>
                <w:color w:val="auto"/>
              </w:rPr>
            </w:pPr>
          </w:p>
        </w:tc>
        <w:tc>
          <w:tcPr>
            <w:tcW w:w="11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20" w:type="dxa"/>
            <w:vAlign w:val="bottom"/>
          </w:tcPr>
          <w:p>
            <w:pPr>
              <w:spacing w:after="0"/>
              <w:rPr>
                <w:sz w:val="10"/>
                <w:szCs w:val="10"/>
                <w:color w:val="auto"/>
              </w:rPr>
            </w:pPr>
          </w:p>
        </w:tc>
        <w:tc>
          <w:tcPr>
            <w:tcW w:w="1060" w:type="dxa"/>
            <w:vAlign w:val="bottom"/>
            <w:gridSpan w:val="5"/>
          </w:tcPr>
          <w:p>
            <w:pPr>
              <w:jc w:val="right"/>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FF0FC"/>
            </w:tcBorders>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FF0FC"/>
            </w:tcBorders>
            <w:shd w:val="clear" w:color="auto" w:fill="CFF0FC"/>
          </w:tcPr>
          <w:p>
            <w:pPr>
              <w:spacing w:after="0"/>
              <w:rPr>
                <w:sz w:val="21"/>
                <w:szCs w:val="21"/>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spacing w:after="0"/>
              <w:rPr>
                <w:sz w:val="20"/>
                <w:szCs w:val="20"/>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(5)</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CFF0FC"/>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Tripadvisor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260" w:type="dxa"/>
            <w:vAlign w:val="bottom"/>
          </w:tcPr>
          <w:p>
            <w:pPr>
              <w:spacing w:after="0"/>
              <w:rPr>
                <w:sz w:val="12"/>
                <w:szCs w:val="12"/>
                <w:color w:val="auto"/>
              </w:rPr>
            </w:pPr>
          </w:p>
        </w:tc>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20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(exclusive of stock-based compensation as shown separately below)</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(7)</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(8)</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-6514465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-6497320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-6514465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-6497320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-6514465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-6497320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-6514465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-6497320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-6514465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-6497320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-5528310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-5528310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-5528310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-5528310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-5528310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-4122420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-4105275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-3051175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-3034030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-3051175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-3034030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-3051175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-3034030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-3051175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-3034030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-2202180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-2202180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-2202180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-2202180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0"/>
                <w:szCs w:val="10"/>
                <w:color w:val="auto"/>
              </w:rPr>
            </w:pPr>
          </w:p>
        </w:tc>
        <w:tc>
          <w:tcPr>
            <w:tcW w:w="96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(9)</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(10)</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(11)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-2553970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-2536825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-2553970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-2536825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-2553970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-2536825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-2553970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-2536825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-1567815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-1567815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-1567815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-1567815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840" w:right="420" w:hanging="383"/>
        <w:spacing w:after="0" w:line="233"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and administrative personnel costs of $2 million and $6 million for both the three and nine months ended September 30, 2025 and 2024, respectively, were allocated to the Viator and TheFork segments.</w:t>
      </w:r>
    </w:p>
    <w:p>
      <w:pPr>
        <w:ind w:left="840" w:right="10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$1 million and $3 million for both the three and nine months ended September 30, 2025 and 2024, respectively.</w:t>
      </w:r>
    </w:p>
    <w:p>
      <w:pPr>
        <w:ind w:left="840" w:right="10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$1 million and $3 million for both the three and nine months ended September 30, 2025 and 2024, respectively.</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segment expense categories and amounts align with the segment-level information that is regularly provided to our CODM.</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$1 million in the Brand Tripadvisor segment, which is included separately below in transaction related expenses.</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$4 million in the Brand Tripadvisor segment which is included separately below in legal reserves, settlements and other.</w:t>
      </w:r>
    </w:p>
    <w:p>
      <w:pPr>
        <w:ind w:left="840" w:right="10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a decrease of $4 million to a previously estimated accrual for the potential settlement of a regulatory related matter during the second quarter of 2025, reflected in general and administrative expenses on our unaudited condensed consolidated statement of operations. Refer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$2 million in both the Brand Tripadvisor and Viator segments, which are included separately below in legal reserves, settlements and other.</w:t>
      </w:r>
    </w:p>
    <w:p>
      <w:pPr>
        <w:ind w:left="840" w:hanging="383"/>
        <w:spacing w:after="0" w:line="221"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$14 million in the Brand Tripadvisor segment which is included separately below in legal reserves, settlements and other and transaction related expenses.</w:t>
      </w:r>
    </w:p>
    <w:p>
      <w:pPr>
        <w:ind w:left="840" w:right="100" w:hanging="383"/>
        <w:spacing w:after="0" w:line="228" w:lineRule="auto"/>
        <w:tabs>
          <w:tab w:leader="none" w:pos="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an estimated accrual for the potential settlement of a regulatory related matter of $10 million expensed during the first quarter of 2024 and is reflected in general and administrative expenses on our unaudited condensed consolidated statement of operations. Refer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 In addition, this amount included a one-time charge of $4 million during the second quarter of 2024, resulting from enacted tax legislation in Canada during June 2024 related to DST, which required retrospective application back to January 1, 2022. This amount represents a one-time retrospective liability for the periods prior to April 1, 2024, while all prospective periods are and will be included within adjusted EBITDA, respectively. This expense is reflected in cost of sales on our unaudited condensed consolidated statement of operations.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225"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under the section entitled “Risks and Concentrations” for information regarding our major customer concentrations.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sources within our Brand Tripadvisor segment, consisting of Tripadvisor-branded hotels revenue, Media and advertising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experiences and dining revenue, and other revenue, along with our Viator and TheFork segments revenue sources, comprise our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November 5, 2025, the Company initiated a series of cost savings actions following a decision to realign its operating model across its Viator and Brand Tripadvisor segments to support the Company’s positioning as an experiences-led and AI-enabled company. This realignment will include a reduction of the Company’s workforce and a substantial portion of the costs associated with this course of action will relate to severance payments, employee benefits and other associated costs.</w:t>
      </w:r>
    </w:p>
    <w:p>
      <w:pPr>
        <w:spacing w:after="0" w:line="180"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As a result, the Company expects to incur estimated pre-tax restructuring and other related reorganization costs of approximately $35 million to $40 million, primarily related to employee severance and related benefits. This amount is expected to be expensed primarily in the fourth quarter of 2025, with the remaining amount expensed during 2026.</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 expects to reorganize its operating segments during the fourth quarter of 2025. Following the Company’s decision to integrate its Viator and Brand Tripadvisor experiences operating model, we anticipate our operating segments will be reorganized into the following: (1) Experiences; (2) Hotels &amp; Other; and (3) TheFork. We do not expect TheFork segment to be impacted by this re-segmentation.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right="56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2024 Annual Report.</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as well as statements made by our executive officers,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2024 Annual Report,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as well as those discussed elsewhere in this Quarterly Report. Other unknown or unpredictable factors also could have a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business, financial condition and results of operations. Accordingly, readers should not place undue reliance on these forward-looking statements. The use of words such as “anticipates,” “estimates,” “expects,” “intends,” “may,” “plans,” “will,” “believes,” “would,” “opportunity,” “goal,” “objective,” similar terms, variations of such terms or the negative of those terms,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Tripadvisor Group's mission is to connect people to experiences worth sharing with a vision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Brand Tripadvisor empowers everyone to be a better traveler through its online global platform where hundreds of millions of visitors regularly visit and engage to discover, generate, and share authentic user-generated content (“UGC”) in the form of reviews and opinions for experiences, accommodations, restaurants, and cruises in over 40 countries across the world. Brand Tripadvisor offers more than 1 billion user-generated reviews and opinions on over 9 million experiences, accommodations, restaurants, airlines, and cruises.</w:t>
      </w:r>
    </w:p>
    <w:p>
      <w:pPr>
        <w:spacing w:after="0" w:line="1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Viator’s mission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operators around the globe.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right="460"/>
        <w:spacing w:after="0" w:line="266" w:lineRule="auto"/>
        <w:rPr>
          <w:sz w:val="20"/>
          <w:szCs w:val="20"/>
          <w:color w:val="auto"/>
        </w:rPr>
      </w:pPr>
      <w:r>
        <w:rPr>
          <w:rFonts w:ascii="Times New Roman" w:cs="Times New Roman" w:eastAsia="Times New Roman" w:hAnsi="Times New Roman"/>
          <w:sz w:val="18"/>
          <w:szCs w:val="18"/>
          <w:color w:val="auto"/>
        </w:rPr>
        <w:t>online marketplace is comprehensive and easy-to-use, connecting millions of travelers to the world’s largest supply of bookable tours, activities and attractions—nearly 400,000 experiences from more than 65,000 operators. Viator is a pure-play experiences online travel agency (“OTA”) singularly focused on the needs of both travelers and operators with the largest supply of bookable experiences available to travelers.</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TheFork’s mission is to deliver happiness through amazing dining experiences as the leading online restaurant booking platform in Europe. At the forefront of championing restaurant culture, TheFork harnesses technology to promote real life connections between diners and restaurateurs. With a network of approximately 55,000 partner restaurants across 11 countries, nearly 40 million app downloads and more than 20 million reviews, TheFork is a go-to platform for all food lovers to enjoy unforgettable restaurant experiences. Through TheFork, users can easily find restaurants according to their preferences, check real-time availability, instantly book online 24/7, benefit from special offers and pay directly to the restaurants. For restaurateurs, TheFork's technology enables them to optimize reservation management and occupancy rates, increase bookings and visibility, limit the impacts of no-shows, manage payments and streamline operations, all while accessing a broad community of loyal diners.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w:t>
      </w:r>
    </w:p>
    <w:p>
      <w:pPr>
        <w:spacing w:after="0" w:line="117" w:lineRule="exact"/>
        <w:rPr>
          <w:sz w:val="20"/>
          <w:szCs w:val="20"/>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large, global, and growing addressable markets including travel, experiences, and digital advertising;</w:t>
      </w:r>
    </w:p>
    <w:p>
      <w:pPr>
        <w:spacing w:after="0" w:line="117" w:lineRule="exact"/>
        <w:rPr>
          <w:rFonts w:ascii="Times New Roman" w:cs="Times New Roman" w:eastAsia="Times New Roman" w:hAnsi="Times New Roman"/>
          <w:sz w:val="18"/>
          <w:szCs w:val="18"/>
          <w:color w:val="auto"/>
        </w:rPr>
      </w:pPr>
    </w:p>
    <w:p>
      <w:pPr>
        <w:ind w:left="1780" w:right="660" w:hanging="515"/>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large, global, and engaged audience making meaningful contributions that reinforces a relationship of trust and community; and</w:t>
      </w:r>
    </w:p>
    <w:p>
      <w:pPr>
        <w:spacing w:after="0" w:line="53" w:lineRule="exact"/>
        <w:rPr>
          <w:rFonts w:ascii="Times New Roman" w:cs="Times New Roman" w:eastAsia="Times New Roman" w:hAnsi="Times New Roman"/>
          <w:sz w:val="18"/>
          <w:szCs w:val="18"/>
          <w:color w:val="auto"/>
        </w:rPr>
      </w:pPr>
    </w:p>
    <w:p>
      <w:pPr>
        <w:ind w:left="1780" w:right="60" w:hanging="515"/>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possess 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7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the Brand Tripadvisor segment, we offer a compelling value proposition to both travelers and partners across a number of key offerings that include experiences, accommodations, dining, and media. This value proposition is delivered through a collection of durable assets that we believe are difficult to replicate: a trusted brand, authentic UGC, a large community of contributors, and a large global travel audience.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(2) prioritizing deeper engagement with travelers, increasing membership, and repeat customers by leveraging our rich data and technology assets to provide more relevant, curated, and contextual content to travelers; and (3) driving a step change in the value we can deliver to our partners by accelerating and diversifying the monetization of our valuable audience across hotels, media advertising, experiences, and restaurants. As we continue to focus on offering a more compelling product and experience that better meets travelers’ needs, we believe we will be able to drive deeper engagement through direct channel growth, including through our mobile app. As this direct engagement with users improves and scales, we will be able to collect valuable data and create more relevant opportunities to monetize, which we believe will result in higher average revenue per user over time.</w:t>
      </w:r>
    </w:p>
    <w:p>
      <w:pPr>
        <w:spacing w:after="0" w:line="19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Viator and TheFork segments, we provide two-sided marketplaces that connect travelers and diners to operators of bookable experiences and restaurants, respectively.</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Viator, we are reinforcing our leadership position in experiences by investing in the product, marketing, and bookable supply. Our investment in these areas is expected to drive growth on both sides of the marketplace. On the traveler side of the marketplace, we are investing in products to provide travelers with high-quality experiences that incentivize them to return to book with us increasingly through more economic channels. As travelers return to book on our platform more directly, especially through our mobile app, we expect unit economics to improve and profitability to increase over time. A key component of driving the traveler flywheel is offering breadth and depth of quality experiences and surfacing the most relevant experiences to travelers based on their needs and preferences. On the supply side of the marketplace, we are investing to increase the amount of high-quality, highly demanded, and unique bookable experiences on our platform. With operators, we continue to focus on improving our product and technology capabilities to improve our value proposition of providing high quality demand and tools to manage their business on our platform.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firstLine="509"/>
        <w:spacing w:after="0" w:line="266" w:lineRule="auto"/>
        <w:rPr>
          <w:sz w:val="20"/>
          <w:szCs w:val="20"/>
          <w:color w:val="auto"/>
        </w:rPr>
      </w:pPr>
      <w:r>
        <w:rPr>
          <w:rFonts w:ascii="Times New Roman" w:cs="Times New Roman" w:eastAsia="Times New Roman" w:hAnsi="Times New Roman"/>
          <w:sz w:val="18"/>
          <w:szCs w:val="18"/>
          <w:color w:val="auto"/>
        </w:rPr>
        <w:t>At TheFork, we are driving profitable revenue growth by delivering value to both diners and restaurants as the leader in the European dining market. On the diner side of the marketplace, our investment in marketing is driving growth in new and repeat diner bookings. On the restaurant side, our prior investment in technology has resulted in growth in adoption of our premium online reservation booking software.</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Across both Viator and TheFork, our investments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products on our branded platforms, and through continued awareness of our brand through marketing efforts.</w:t>
      </w:r>
    </w:p>
    <w:p>
      <w:pPr>
        <w:spacing w:after="0" w:line="9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executing initiatives across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Heightened geopolitical tensions and conflicts, including the evolving events in the Middle East and between Ukraine and Russia; acts of terrorism; political instability or changes in legislative or regulatory policies, including U.S. tax laws such as the OBBBA; announced or implemented changes in tariffs; fluctuations in interest rates, tax rates and foreign exchange rates and changes in global economic conditions; and public-health related events are examples of events that could have a negative impact on the travel industry and, as a result, our financial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generate a significant amount of direct traffic from search engines, including Google, through search engine optimization (“SEO”) performance across all segments. We believe our SEO traffic acquisition performance has been negatively impacted, and may be impacted in the future, by search engines (primarily Google) changing their search result placement and underlying algorithms to increase the prominence of their own products in search results across our business.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global experiences market is large, growing, highly fragmented, and underpenetrated, with the vast majority of bookings still occurring through traditional offline sources. We expect to benefit from ongoing market tailwinds as consumers increasingly book experiences online and consumer behavior continues to allocate discretionary spending more to travel and experiences and away from physical goods. Likewise, the global restaurants category is also benefiting from increased online adoption by both consumers and restaurant partners, particularly in Europe. These trends present attractive growth opportunities for our business, as well as to many competitors. Given the competitive positioning of our businesses relative to the attractive growth prospects in the experiences and restaurant categories, we expect to continue to invest in these categories across Tripadvisor Group to continue growing revenue, operating scale, and market share for the long-term.</w:t>
      </w:r>
    </w:p>
    <w:p>
      <w:pPr>
        <w:spacing w:after="0" w:line="1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revenue and Adjusted EBITDA, as shown in our segment financial information, continue to shift more towards its marketplace businesses with less exposure to its media-based, or click-based offerings, as a result of our strategic focus to grow and invest in these businesses. Our Viator and TheFork segments, which are two-sided marketplace businesses, have exhibited consistent revenue growth and improving profitability post-pandemic. Importantly, as of the nine months ended September 30, 2025, these two segments represented approximately 60% of the Company’s consolidated revenue and 30% of our total segment Adjusted EBITDA. As the Company continues to execute on its growth strategies, we expect these trends to continue in the future.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 Item 1 in this Quarterly Report for additional information regarding the Company’s recent decision to integrate its experiences operating model across its Viator and Brand Tripadvisor segments to support the Company’s prioritization of an experiences-led growth strategy and AI-enabled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Fourth quarter of 2025</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November 5, 2025, the Company initiated a series of cost savings actions following a decision to realign its operating model across its Viator and Brand Tripadvisor segments to support the Company’s positioning as an experiences-led and AI-enabled company. These cost savings actions primarily include a global workforce reduction, as well as other targeted operating expense reductions. The Company expects at least $85 million in annualized gross cost savings, the majority of which are expected to be realized in 2026 and fully realized by 2027.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 Item 1 in this Quarterly Report for additional information regarding these decisions and estimated restructuring costs that will be incurred by the Company.</w:t>
      </w:r>
    </w:p>
    <w:p>
      <w:pPr>
        <w:spacing w:after="0" w:line="18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 expects to reorganize its operating segments during the fourth quarter of 2025. Following the Company’s decision to integrate its Viator and Brand Tripadvisor experiences operating model, we anticipate our operating segments will be reorganized into the following: (1) Experiences, (2) Hotels &amp; Other; and (3) TheFork. We do not expect TheFork segment to be impacted by this re-segmentation.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Fourth quarter of 2024</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2024, the Company approved and subsequently initiated a set of actions in order to reduce its cost structure, improve operational efficiencies, and realign its workforce with its strategic initiatives. As a result of these actions taken, the Company incurred estimated pre-tax restructuring and other related reorganization costs of approximately $10 million during the three months ended March 31, 2025, which consisted of employee severance and related benefits, primarily in our Brand Tripadvisor segment.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and Liberty TripAdvisor Merger and Loan Agreement</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our 2024 Annual Report, on December 18, 2024, the Company and LTRIP entered into the Merger Agreement, whereby Tripadvisor would acquire LTRIP. On April 29, 2025, the Merger closed. The aggregate transaction price of the Merger was $437 million, consisting of: (i) $431 million in cash and common stock consideration paid in connection with the repurchase, plus (ii) approximately $19 million in direct expenses and fees associated with the repurchase; partially offset by (iii) $13 million in LTRIP net operating loss carryforwards (“NOLs”), tax effected, retained by the Company.</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Prior to the Merger, assets held by LTRIP substantially consisted of shares of the Company’s common stock. As of the close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w:t>
      </w:r>
    </w:p>
    <w:p>
      <w:pPr>
        <w:spacing w:after="0" w:line="178"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our unaudited condensed consolidated financial statements in Item 1 in this Quarterly Report in the section entitled “LTRIP and Tripadvisor Merger Agreement and Loan Agreement” for further information.</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Retirement of Treasury Shares</w:t>
      </w:r>
    </w:p>
    <w:p>
      <w:pPr>
        <w:spacing w:after="0" w:line="22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29, 2025, the Company’s Board of Directors approved the retirement of all common stock and Class B common stock held as treasury stock by the Company, thereby canceling approximately 53.1 million shares of our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ind w:left="540"/>
        <w:spacing w:after="0"/>
        <w:rPr>
          <w:sz w:val="20"/>
          <w:szCs w:val="20"/>
          <w:color w:val="auto"/>
        </w:rPr>
      </w:pPr>
      <w:r>
        <w:rPr>
          <w:rFonts w:ascii="Times New Roman" w:cs="Times New Roman" w:eastAsia="Times New Roman" w:hAnsi="Times New Roman"/>
          <w:sz w:val="18"/>
          <w:szCs w:val="18"/>
          <w:i w:val="1"/>
          <w:iCs w:val="1"/>
          <w:color w:val="auto"/>
        </w:rPr>
        <w:t>Term Loan B Facility</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March 20, 2025, under the Amended Credit Agreement, the Company increased its existing Term Loan B Facility in the amount of $350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outstanding 2026 Senior Notes and for general corporate purposes.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approximately 2,909 employees. Approximately 64%, 31%, and 5%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4" w:lineRule="exact"/>
        <w:rPr>
          <w:sz w:val="20"/>
          <w:szCs w:val="20"/>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2024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or new accounting pronouncements that we are required to adopt that may have an impact on our unaudited condensed consolidated financial statements since December 31, 2024, as compared to those described under “Note</w:t>
      </w:r>
    </w:p>
    <w:p>
      <w:pPr>
        <w:ind w:left="5540" w:right="4600" w:hanging="5532"/>
        <w:spacing w:after="0" w:line="260" w:lineRule="auto"/>
        <w:tabs>
          <w:tab w:leader="none" w:pos="1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3" w:name="page34"/>
    <w:bookmarkEnd w:id="33"/>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8 of our 2024 Annual Report, except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unaudited condensed consolidated financial statements in Item 1 of this Quarterly Report on Form 10-Q.</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Revised Operating Expense Presentation</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For further information, refer to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in the notes to our unaudited condensed consolidated financial statements in Item 1 of this Quarterly Report on Form 10-Q.</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18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4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$28.5, $31.3,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$85.6 and $92.2, respectively)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-1704975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-1704975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-1704975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-1704975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-864870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-864870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-582295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-582295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-582295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-582295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206" w:lineRule="exact"/>
        <w:rPr>
          <w:sz w:val="20"/>
          <w:szCs w:val="20"/>
          <w:color w:val="auto"/>
        </w:rPr>
      </w:pPr>
    </w:p>
    <w:p>
      <w:pPr>
        <w:ind w:left="840" w:right="460" w:hanging="383"/>
        <w:spacing w:after="0" w:line="239"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234.3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-509270</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-509270</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-509270</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-509270</wp:posOffset>
            </wp:positionV>
            <wp:extent cx="111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11" w:lineRule="exact"/>
        <w:rPr>
          <w:sz w:val="20"/>
          <w:szCs w:val="20"/>
          <w:color w:val="auto"/>
        </w:rPr>
      </w:pPr>
    </w:p>
    <w:p>
      <w:pPr>
        <w:ind w:left="840" w:right="220" w:hanging="383"/>
        <w:spacing w:after="0" w:line="230"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840" w:right="380" w:hanging="383"/>
        <w:spacing w:after="0" w:line="22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Brand Tripadvisor revenue decreased by approximately $21 million and $49 million during the three and nine months ended September 30, 2025, respectively, when compared to the same periods in 2024. The decrease in Brand Tripadvisor revenue during the three and nine months ended September 30, 2025, when compared to the same periods in 2024, occurred across all revenue streams within the segment, as discussed below.</w:t>
      </w:r>
    </w:p>
    <w:p>
      <w:pPr>
        <w:spacing w:after="0" w:line="17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Brand Tripadvisor decreased by approximately $27 million and $58 million during the three and nine months ended September 30, 2025, respectively, when compared to the same periods in 2024, while adjusted EBITDA margin decreased 8.6 percentage points and 6.0 percentage points during the three and nine months ended September 30, 2025, respectively, when compared to the same periods in 2024. The decrease in adjusted EBITDA was due to a decrease in revenue, as noted above, as well as, an increase in paid online marketing costs (i.e., traffic acquisition costs) in our hotel and experiences offerings, partially offset by a decrease in personnel costs due to a reduction in headcount primarily related to cost reduction measures taken during the first quarter of 2025. The decrease in adjusted EBITDA margin during the three and nine months ended September 30, 2025, when compared to the same periods in 2024, was primarily due to an increase in marketing costs as a percent of revenue, as the mix of paid marketing channels and related online marketing costs increased for our hotel and experiences offerings.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89"/>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3"/>
              </w:rPr>
              <w:t>143.1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443.3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7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61%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59%</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64%</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62%</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72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7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15%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15%</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15%</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(1)</w:t>
            </w:r>
          </w:p>
        </w:tc>
        <w:tc>
          <w:tcPr>
            <w:tcW w:w="72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121.8</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7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20%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20%</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18%</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18%</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7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4%</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3"/>
              </w:rPr>
              <w:t>234.3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695.5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-942340</wp:posOffset>
            </wp:positionV>
            <wp:extent cx="1028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-942340</wp:posOffset>
            </wp:positionV>
            <wp:extent cx="1028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-942340</wp:posOffset>
            </wp:positionV>
            <wp:extent cx="1028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-942340</wp:posOffset>
            </wp:positionV>
            <wp:extent cx="1028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98" w:lineRule="exact"/>
        <w:rPr>
          <w:sz w:val="20"/>
          <w:szCs w:val="20"/>
          <w:color w:val="auto"/>
        </w:rPr>
      </w:pPr>
    </w:p>
    <w:p>
      <w:pPr>
        <w:ind w:left="960" w:right="40" w:hanging="503"/>
        <w:spacing w:after="0" w:line="241" w:lineRule="auto"/>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 presented.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Tripadvisor-branded hotels revenue decreased by approximately $8 million and $17 million during the three and nine months ended September 30, 2025, respectively, when compared to the same periods in 2024, primarily due to a decrease in hotel B2B revenue and, to a lesser extent, a decrease in hotel meta revenue. These decreases were driven primarily by continued headwinds impacting both free and paid marketing channels, resulting in lower click volumes, which more than offset growth in pricing as measured in cost-per-click rates (“CPCs”). Growth in CPCs was due in part to certain product changes made that improved qualified referrals to our partners and, as a result, increased CPCs, across all geographies.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Media and advertising revenue primarily consists of revenue from display-based advertising (or “media advertising”) across our Tripadvisor Group platform and decreased approximately $5 million and $11 million during the three and nine months ended September 30, 2025, respectively, when compared to the same periods in 2024. These decreases were primarily due to declines in traditional display and programmatic advertising (together sometimes referred to as “on platform” advertising) that correlates closely with overall traffic volume which declined during the second and third quarters of 2025, due to the aforementioned traffic headwinds.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22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decreased approximately $4 million and $13 million during the three and nine months ended September 30, 2025, respectively, when compared to the same periods in 2024, primarily due to, previously mentioned headwinds impacting direct and SEO channel volumes, in experiences, as well as ongoing dynamics in restaurants related to our go-to-market shift from a sales-led model to a self-service model.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Other revenue includes click-based advertising and display-based advertising revenue from our cruise, vacation rentals, flights, and rental cars offerings on Tripadvisor websites and mobile apps. Other revenue decreased approximately $4 million and $8 million during the three and nine months ended September 30, 2025, respectively, when compared to the same periods in 2024, primarily due to a decline in vacation rentals revenue as this offering continues to be strategically de-emphasized.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294.3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-509270</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-509270</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-509270</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-509270</wp:posOffset>
            </wp:positionV>
            <wp:extent cx="1117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57" w:lineRule="exact"/>
        <w:rPr>
          <w:sz w:val="20"/>
          <w:szCs w:val="20"/>
          <w:color w:val="auto"/>
        </w:rPr>
      </w:pPr>
    </w:p>
    <w:p>
      <w:pPr>
        <w:ind w:left="1020" w:right="200" w:hanging="503"/>
        <w:spacing w:after="0" w:line="234"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right="60" w:hanging="503"/>
        <w:spacing w:after="0" w:line="221"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Viator segment 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1020" w:hanging="503"/>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use the operating metrics described below to assist us in measuring our operations performance, identifying trends, formulating projections and making strategic decisions for the Viator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Number of Experience Bookings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were approximately 6.6 million and 17.9 million during the three and nine months ended September 30, 2025, respectively, an increase of approximately 18% and 16%, respectively, when compared to the same periods in 2024, primarily driven by growth on Viator’s branded site and app as well as third-party points of sale.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Gross Booking Value (“GBV”)</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GBV represents the total dollar value of experience bookings powered by the Viator platform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GBV reached $1.3 billion and $3.7 billion during the three and nine months ended September 30, 2025, respectively, an increase of approximately 15% and 12%, respectively, when compared to the same periods in 2024, primarily due to growth in the number of experience bookings as discussed above, partially offset by a decline in pricing. The decline in pricing was primarily due to growth in third-party points of sale which generally sell lower priced products compared to the Viator and Tripadvisor points of sale.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and Adjusted EBITDA</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Viator segment revenue increased by approximately $25 million and $66 million during the three and nine months ended September 30, 2025, respectively, when compared to the same periods in 2024, primarily driven by growth in booking volume, partially offset by a decline in pricing. The decline in pricing was primarily due to growth in third-party points of sale which generally sell lower priced products compared to the Viator and Tripadvisor points of sale. In addition, we estimate Viator's revenue growth rate was positively impacted by foreign currency fluctuations of approximately 3% and 1% during the three and nine months ended September 30, 2025, respectively, when compared to the same periods in 2024.</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Adjusted EBITDA in our Viator segment improved by approximately $19 million and $52 million during the three and nine months ended September 30, 2025, respectively, when compared to the same periods in 2024, and adjusted EBITDA margin improved by 5.5 percentage points and 7.0 percentage points during the three and nine months ended September 30, 2025, respectively, when compared to the same periods in 2024. The improvement in adjusted EBITDA was primarily due to an increase in revenue as noted above and, to a lesser extent, a decrease in marketing costs, partially offset by an increase in variable costs related to revenue growth, such as credit card payment processing fees, and an increase in personnel costs to support business growth. The improvement in adjusted EBITDA margin during the three and nine months ended September 30, 2025 when compared to the same periods in 2024 was primarily due to a decrease in marketing costs as a percent of revenue.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2025 vs.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0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-509270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-509270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-509270</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-509270</wp:posOffset>
            </wp:positionV>
            <wp:extent cx="111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57" w:lineRule="exact"/>
        <w:rPr>
          <w:sz w:val="20"/>
          <w:szCs w:val="20"/>
          <w:color w:val="auto"/>
        </w:rPr>
      </w:pPr>
    </w:p>
    <w:p>
      <w:pPr>
        <w:ind w:left="1020" w:right="200" w:hanging="503"/>
        <w:spacing w:after="0" w:line="234"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right="60" w:hanging="503"/>
        <w:spacing w:after="0" w:line="221"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TheFork segment 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1020" w:hanging="503"/>
        <w:spacing w:after="0" w:line="233"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8" w:name="page39"/>
    <w:bookmarkEnd w:id="3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TheFork segment revenue increased by approximately $14 million and $31 million during the three and nine months ended September 30, 2025, respectively, when compared to the same periods in 2024. This improvement was primarily driven by booking volume growth largely in TheFork's branded channel and, to a lesser extent, increased adoption of our premium online reservation booking software offering and third-party partnership revenue. In addition, we estimate TheFork's revenue growth rate was positively impacted by foreign currency fluctuations of approximately 8% and 4% during the three and nine months ended September 30, 2025, respectively, when compared to the same periods in 2024.</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Adjusted EBITDA in TheFork segment improved by approximately $8 million and $14 million during the three and nine months ended September 30, 2025, respectively, when compared to the same periods in 2024, while adjusted EBITDA margin improved by 10.7 percentage points and 7.9 percentage points during the three and nine months ended September 30, 2025, respectively, when compared to the same periods in 2024. The improvement in adjusted EBITDA was primarily due to an increase in revenue as noted above, partially offset by increased marketing costs, in addition to an increase in cost of sales to support certain third-party partner relationships during the first half of 2025. The improvements in adjusted EBITDA margin was primarily due to lower personnel costs as a percentage of revenue.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18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60" w:type="dxa"/>
            <w:vAlign w:val="bottom"/>
          </w:tcPr>
          <w:p>
            <w:pPr>
              <w:spacing w:after="0"/>
              <w:rPr>
                <w:sz w:val="20"/>
                <w:szCs w:val="20"/>
                <w:color w:val="auto"/>
              </w:rPr>
            </w:pPr>
          </w:p>
        </w:tc>
        <w:tc>
          <w:tcPr>
            <w:tcW w:w="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Cost of sales increased approximately $1 million the three months ended September 30, 2025, when compared to the same period in 2024, primarily due to an increase in variable costs supporting revenue growth including credit card payment processing fees in Viator, partially offset by a decrease in digital service tax costs in Viator and a decrease in bad debt expense in Brand Tripadvisor, reflecting strong collections during the quarter. Cost of sales increased approximately $6 million during the nine months ended September 30, 2025, when compared to the same period in 2024, primarily due to an increase in variable costs supporting revenue growth including credit card payment processing fees and other transaction related costs in Viator and TheFork, partially offset by lower digital service taxes (“DST”), primarily due to $4 million in incremental DST during the second quarter of 2024 related to enacted tax legislation in Canada requiring retrospective application, which did not reoccur in 2025, as well as, a decrease in bad debt expense in Brand Tripadvisor, as noted above.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Marketing expenses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26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Brand Tripadvisor</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Marketing - Viator</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TheFork</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178"/>
        </w:trPr>
        <w:tc>
          <w:tcPr>
            <w:tcW w:w="3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Intersegment (intercompany) marketing</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1"/>
        </w:trPr>
        <w:tc>
          <w:tcPr>
            <w:tcW w:w="322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4"/>
                <w:szCs w:val="24"/>
                <w:color w:val="auto"/>
                <w:vertAlign w:val="superscript"/>
              </w:rPr>
              <w:t>(1)</w:t>
            </w:r>
          </w:p>
        </w:tc>
        <w:tc>
          <w:tcPr>
            <w:tcW w:w="700" w:type="dxa"/>
            <w:vAlign w:val="bottom"/>
          </w:tcPr>
          <w:p>
            <w:pPr>
              <w:spacing w:after="0"/>
              <w:rPr>
                <w:sz w:val="20"/>
                <w:szCs w:val="20"/>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(99.8)</w:t>
            </w:r>
          </w:p>
        </w:tc>
        <w:tc>
          <w:tcPr>
            <w:tcW w:w="3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3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Marketing</w:t>
            </w:r>
          </w:p>
        </w:tc>
        <w:tc>
          <w:tcPr>
            <w:tcW w:w="70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227.2</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5"/>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00" w:type="dxa"/>
            <w:vAlign w:val="bottom"/>
          </w:tcPr>
          <w:p>
            <w:pPr>
              <w:spacing w:after="0"/>
              <w:rPr>
                <w:sz w:val="18"/>
                <w:szCs w:val="18"/>
                <w:color w:val="auto"/>
              </w:rPr>
            </w:pP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-173990</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-156845</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-173990</wp:posOffset>
            </wp:positionV>
            <wp:extent cx="1117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-156845</wp:posOffset>
            </wp:positionV>
            <wp:extent cx="1117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-173990</wp:posOffset>
            </wp:positionV>
            <wp:extent cx="1117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-156845</wp:posOffset>
            </wp:positionV>
            <wp:extent cx="1117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-173990</wp:posOffset>
            </wp:positionV>
            <wp:extent cx="1111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-156845</wp:posOffset>
            </wp:positionV>
            <wp:extent cx="1111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5" w:lineRule="exact"/>
        <w:rPr>
          <w:sz w:val="20"/>
          <w:szCs w:val="20"/>
          <w:color w:val="auto"/>
        </w:rPr>
      </w:pPr>
    </w:p>
    <w:p>
      <w:pPr>
        <w:ind w:left="900" w:right="180" w:hanging="518"/>
        <w:spacing w:after="0" w:line="244" w:lineRule="auto"/>
        <w:tabs>
          <w:tab w:leader="none" w:pos="9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Marketing expenses by segment, are shown gross of intersegment (intercompany) expenses and then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spacing w:after="0" w:line="34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Marketing costs increased approximately $16 million and $40 million during the three and nine months ended September 30, 2025, respectively, when compared to the same periods in 2024, primarily driven by an increase in marketing costs in Brand Tripadvisor. Paid online marketing costs in Brand Tripadvisor increased as part of our overall marketing mix in our hotel and experiences offerings, and to a lesser extent TheFork, which combined increased $16 million and $38 million during the three and nine months ended September 30, 2025, respectively, partially offset by a decrease in Viator of $3 million and $7 million during the three and nine months ended September 30, 2025 when compared to the same periods in 2024, inclusive of intersegment (intercompany) marketing expenses.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Personnel</w:t>
      </w:r>
    </w:p>
    <w:p>
      <w:pPr>
        <w:spacing w:after="0" w:line="22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26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98"/>
        </w:trPr>
        <w:tc>
          <w:tcPr>
            <w:tcW w:w="3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7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3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Personnel</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147.2</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5"/>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00" w:type="dxa"/>
            <w:vAlign w:val="bottom"/>
          </w:tcPr>
          <w:p>
            <w:pPr>
              <w:spacing w:after="0"/>
              <w:rPr>
                <w:sz w:val="18"/>
                <w:szCs w:val="18"/>
                <w:color w:val="auto"/>
              </w:rPr>
            </w:pP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-173990</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-156845</wp:posOffset>
            </wp:positionV>
            <wp:extent cx="1111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-173990</wp:posOffset>
            </wp:positionV>
            <wp:extent cx="1117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-156845</wp:posOffset>
            </wp:positionV>
            <wp:extent cx="1117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-173990</wp:posOffset>
            </wp:positionV>
            <wp:extent cx="1117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-156845</wp:posOffset>
            </wp:positionV>
            <wp:extent cx="111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-173990</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-156845</wp:posOffset>
            </wp:positionV>
            <wp:extent cx="1111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Personnel costs did not materially change during the three months ended September 30, 2025 when compared to the same period in 2024, as a decrease in personnel costs in Brand Tripadvisor were offset by an increase in personnel costs to support business growth in Viator and TheFork. Personnel costs decreased approximately $9 million during the nine months ended September 30, 2025 when compared to the same period in 2024, primarily driven by a reduction in headcount related to cost-reduction measures initiated in Brand Tripadvisor during the first quarter of 2025, partially offset by an increase in personnel costs to support business growth in Viator during the year.</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Technology expenses consist primarily of licensing, data center costs including cloud-based solutions, maintenance, computer supplies, telecom, and content translation and localization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18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40" w:type="dxa"/>
            <w:vAlign w:val="bottom"/>
          </w:tcPr>
          <w:p>
            <w:pPr>
              <w:spacing w:after="0"/>
              <w:rPr>
                <w:sz w:val="20"/>
                <w:szCs w:val="20"/>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0" w:name="page41"/>
    <w:bookmarkEnd w:id="40"/>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Technology and content costs increased approximately $2 million and $6 million during the three and nine months ended September 30, 2025, respectively, when compared to the same periods in 2024, primarily due to increased data center costs in Brand Tripadvisor and licensing costs in Viator.</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26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2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costs decreased approximately $3 million during the three months ended September 30, 2025 when compared to the same period in 2024, primarily due to a decrease in real estate expense, as a result of a reduction in our real estate portfolio and, to a lesser extent, a decrease in professional service fees, both in Brand Tripadvisor. General and administrative costs decreased approximately $23 million during the nine months ended September 30, 2025 when compared to the same period in 2024, primarily due to an estimated accrual for the potential settlement of a regulatory related matter of $10 million during the first quarter of 2024, which was reduced by $4 million, during the second quarter of 2025, as discussed above and, to a lesser extent, transaction related costs incurred during 2024 of $4 million, which did not reoccur in 2025, all of which are included in Brand Tripadvisor. In addition, the decrease in real estate expenses, as discussed above and, to a lesser extent, a decrease in professional service fees, both in Brand Tripadvisor, contributed to the decrease in general and administrative costs during the nine months ended September 30, 2025 when compared to the same period in 2024.</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r>
      <w:tr>
        <w:trPr>
          <w:trHeight w:val="230"/>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FF0FC"/>
          </w:tcPr>
          <w:p>
            <w:pPr>
              <w:spacing w:after="0"/>
              <w:rPr>
                <w:sz w:val="19"/>
                <w:szCs w:val="19"/>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-173990</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-156845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-173990</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-156845</wp:posOffset>
            </wp:positionV>
            <wp:extent cx="1028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-173990</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-156845</wp:posOffset>
            </wp:positionV>
            <wp:extent cx="10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-173990</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-156845</wp:posOffset>
            </wp:positionV>
            <wp:extent cx="10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approximately $2 million and $4 million during the three and nine months ended September 30, 2025, respectively, when compared to the same periods in 2024, primarily due to increased depreciation related to previous capital expenditure investments in internal website development, partially offset by the completion of amortization related to intangible assets purchased in business acquisitions in previous years.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 and other related reorganization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62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8"/>
        </w:trPr>
        <w:tc>
          <w:tcPr>
            <w:tcW w:w="1140" w:type="dxa"/>
            <w:vAlign w:val="bottom"/>
          </w:tcPr>
          <w:p>
            <w:pPr>
              <w:spacing w:after="0"/>
              <w:rPr>
                <w:sz w:val="17"/>
                <w:szCs w:val="17"/>
                <w:color w:val="auto"/>
              </w:rPr>
            </w:pPr>
          </w:p>
        </w:tc>
        <w:tc>
          <w:tcPr>
            <w:tcW w:w="2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Restructuring and other related</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reorganization costs</w:t>
            </w:r>
          </w:p>
        </w:tc>
        <w:tc>
          <w:tcPr>
            <w:tcW w:w="13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0.1</w:t>
            </w: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1" w:name="page42"/>
    <w:bookmarkEnd w:id="41"/>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incurred increased pre-tax restructuring and other related reorganization costs of approximately $10 million during the nine months ended September 30, 2025, as discussed above. This amount was not material for both the three months ended September 30, 2025 and 2024.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in the notes to our unaudited condensed consolidated financial statements in Item 1 in this Quarterly Report for more information regarding restructuring and other related reorganization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2025 Senior Notes, the 2026 Senior Notes, as well as imputed interest on finance leases.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66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62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(17.4)</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(46.5)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bl>
    <w:p>
      <w:pPr>
        <w:spacing w:after="0" w:line="1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approximately $5 million and $12 million during the three and nine months ended September 30, 2025, respectively, when compared to the same periods in 2024, primarily due to an increase in our aggregate outstanding principal amount, which incrementally increased our ongoing financing costs. The majority of interest expense reported during the both three months ended September 30, 2025 and 2024, and the nine months ended September 30, 2025, was primarily related to the Term Loan B Facility, while during the nine months ended September 30, 2024, interest expense incurred was primarily related to the 2025 Senior Notes, which were redeemed in July 2024 and, to a lesser extent, the Term Loan B Facility.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time deposits, money market funds, and marketable securities, including amortization of discounts and premiums on our marketable securities.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66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62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Interest income decreased approximately $2 million and $7 million during the three and nine months ended September 30, 2025, respectively, when compared to the same periods in 2024, primarily due to a decrease in interest rates received on demand bank deposits, time deposits, and money market funds.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 of debt, and other non-operating income (expenses).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2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2"/>
              </w:rPr>
              <w:t>(3.8)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expense, net decreased approximately $4 million during the three months ended September 30, 2025, when compared to the same period in 2024, primarily due to net foreign exchange gains incurred as a result of foreign currency rate movements during the period and a loss on extinguishment of debt of $2 million during the third quarter of 2024, which primarily consisted of a non-cash write-off of unamortized debt issuance costs, which did not reoccur in 2025. Other expense, net increased approximately $1 million during the nine months ended September 30, 2025, when compared to the same period in 2024, primarily due to net foreign exchange losses incurred as a result of foreign currency rate movements during the period, partially offset by a loss on disposal of certain assets of approximately $3 million during the first quarter of 2024 and a loss on extinguishment of debt of $2 million, as noted above, both of which did not reoccur in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89"/>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r>
      <w:tr>
        <w:trPr>
          <w:trHeight w:val="234"/>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r>
    </w:tbl>
    <w:p>
      <w:pPr>
        <w:spacing w:after="0" w:line="1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differs from the U.S. federal statutory rate of 21%, primarily due to benefits related to the 2017 Tax Act. Our effective tax rate for the nine months ended September 30, 2025 differs from the U.S. federal statutory rate of 21%, primarily due to a discrete tax benefit of $11 million recorded during the first quarter of 2025 to release income tax reserves as a result of the U.S. federal statute of limitation of assessment closing on tax years 2014, 2015, and 2016.</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change in our income tax provision during the three months ended September 30, 2025, when compared to the same period in 2024, was primarily due to changes in discrete items including stock-based compensation shortfalls. The change in our income tax provision during the nine months ended September 30, 2025, when compared to the same period in 2024, was primarily the result of an Internal Revenue Service (“IRS”) audit settlement for the 2014, 2015, and 2016 tax years of $41 million, recorded during the nine months ended September 30, 2024, which did not reoccur in 2025, as well as, a discrete tax benefit of $11 million in the first quarter of 2025, as described above.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shd w:val="clear" w:color="auto" w:fill="CFF0FC"/>
          </w:tcPr>
          <w:p>
            <w:pPr>
              <w:spacing w:after="0"/>
              <w:rPr>
                <w:sz w:val="18"/>
                <w:szCs w:val="18"/>
                <w:color w:val="auto"/>
              </w:rPr>
            </w:pPr>
          </w:p>
        </w:tc>
      </w:tr>
      <w:tr>
        <w:trPr>
          <w:trHeight w:val="234"/>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margin</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income increased by approximately $15 million during the three months ended September 30, 2025 when compared to the same period in 2024. Improvements in net income were largely driven by an increase in revenue, as described in more detail above under “</w:t>
      </w:r>
      <w:r>
        <w:rPr>
          <w:rFonts w:ascii="Times New Roman" w:cs="Times New Roman" w:eastAsia="Times New Roman" w:hAnsi="Times New Roman"/>
          <w:sz w:val="18"/>
          <w:szCs w:val="18"/>
          <w:i w:val="1"/>
          <w:iCs w:val="1"/>
          <w:color w:val="auto"/>
        </w:rPr>
        <w:t>Revenue and Segment Information</w:t>
      </w:r>
      <w:r>
        <w:rPr>
          <w:rFonts w:ascii="Times New Roman" w:cs="Times New Roman" w:eastAsia="Times New Roman" w:hAnsi="Times New Roman"/>
          <w:sz w:val="18"/>
          <w:szCs w:val="18"/>
          <w:color w:val="auto"/>
        </w:rPr>
        <w:t>” and a decrease in income tax expense of $17 million,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These improvements were partially offset by increased marketing costs in our Brand Tripadvisor and TheFork segments, as described in more detail above under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income increased by approximately $75 million during the nine months ended September 30, 2025 when compared to the same period in 2024. The improvement in net income was largely driven by an increase in revenue, as described in more detail above under “</w:t>
      </w:r>
      <w:r>
        <w:rPr>
          <w:rFonts w:ascii="Times New Roman" w:cs="Times New Roman" w:eastAsia="Times New Roman" w:hAnsi="Times New Roman"/>
          <w:sz w:val="18"/>
          <w:szCs w:val="18"/>
          <w:i w:val="1"/>
          <w:iCs w:val="1"/>
          <w:color w:val="auto"/>
        </w:rPr>
        <w:t>Revenue and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 decrease in income tax expense of $73 million,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and,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lesser extent, a decrease in general and administrative costs in our Brand Tripadvisor segment, and a decrease in personnel costs, as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 These improvements were partially offset by increased marketing costs in our Brand Tripadvisor and TheFork segments during the nine months ended September 30, 2025 and, to a lesser extent, pre-tax restructuring and other related reorganization costs of approximately $10 million during the first quarter of 2025, and an increase in borrowing costs and a reduction in interest income, all of which is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ind w:right="40"/>
        <w:spacing w:after="0" w:line="256" w:lineRule="auto"/>
        <w:rPr>
          <w:sz w:val="20"/>
          <w:szCs w:val="20"/>
          <w:color w:val="auto"/>
        </w:rPr>
      </w:pPr>
      <w:r>
        <w:rPr>
          <w:rFonts w:ascii="Times New Roman" w:cs="Times New Roman" w:eastAsia="Times New Roman" w:hAnsi="Times New Roman"/>
          <w:sz w:val="18"/>
          <w:szCs w:val="18"/>
          <w:color w:val="auto"/>
        </w:rPr>
        <w:t>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18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780" w:right="900" w:hanging="515"/>
        <w:spacing w:after="0" w:line="282"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780" w:right="140" w:hanging="515"/>
        <w:spacing w:after="0" w:line="266"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780" w:right="80" w:hanging="515"/>
        <w:spacing w:after="0" w:line="312" w:lineRule="auto"/>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spacing w:after="0" w:line="31" w:lineRule="exact"/>
        <w:rPr>
          <w:rFonts w:ascii="Times New Roman" w:cs="Times New Roman" w:eastAsia="Times New Roman" w:hAnsi="Times New Roman"/>
          <w:sz w:val="17"/>
          <w:szCs w:val="17"/>
          <w:color w:val="auto"/>
        </w:rPr>
      </w:pPr>
    </w:p>
    <w:p>
      <w:pPr>
        <w:ind w:left="1780" w:hanging="515"/>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7" w:lineRule="exact"/>
        <w:rPr>
          <w:rFonts w:ascii="Times New Roman" w:cs="Times New Roman" w:eastAsia="Times New Roman" w:hAnsi="Times New Roman"/>
          <w:sz w:val="18"/>
          <w:szCs w:val="18"/>
          <w:color w:val="auto"/>
        </w:rPr>
      </w:pPr>
    </w:p>
    <w:p>
      <w:pPr>
        <w:ind w:left="1780" w:right="160" w:hanging="515"/>
        <w:spacing w:after="0" w:line="282"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3" w:lineRule="exact"/>
        <w:rPr>
          <w:rFonts w:ascii="Times New Roman" w:cs="Times New Roman" w:eastAsia="Times New Roman" w:hAnsi="Times New Roman"/>
          <w:sz w:val="18"/>
          <w:szCs w:val="18"/>
          <w:color w:val="auto"/>
        </w:rPr>
      </w:pPr>
    </w:p>
    <w:p>
      <w:pPr>
        <w:ind w:left="1780" w:right="240" w:hanging="515"/>
        <w:spacing w:after="0" w:line="282"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9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340" w:type="dxa"/>
            <w:vAlign w:val="bottom"/>
            <w:gridSpan w:val="2"/>
            <w:vMerge w:val="restart"/>
          </w:tcPr>
          <w:p>
            <w:pPr>
              <w:jc w:val="right"/>
              <w:ind w:right="84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80" w:type="dxa"/>
            <w:vAlign w:val="bottom"/>
          </w:tcPr>
          <w:p>
            <w:pPr>
              <w:spacing w:after="0"/>
              <w:rPr>
                <w:sz w:val="10"/>
                <w:szCs w:val="10"/>
                <w:color w:val="auto"/>
              </w:rPr>
            </w:pPr>
          </w:p>
        </w:tc>
        <w:tc>
          <w:tcPr>
            <w:tcW w:w="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4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Add: Legal reserves, settlements and other </w:t>
            </w:r>
            <w:r>
              <w:rPr>
                <w:rFonts w:ascii="Times New Roman" w:cs="Times New Roman" w:eastAsia="Times New Roman" w:hAnsi="Times New Roman"/>
                <w:sz w:val="9"/>
                <w:szCs w:val="9"/>
                <w:color w:val="auto"/>
              </w:rPr>
              <w:t>(1)</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Add: Transaction related expenses </w:t>
            </w:r>
            <w:r>
              <w:rPr>
                <w:rFonts w:ascii="Times New Roman" w:cs="Times New Roman" w:eastAsia="Times New Roman" w:hAnsi="Times New Roman"/>
                <w:sz w:val="9"/>
                <w:szCs w:val="9"/>
                <w:color w:val="auto"/>
              </w:rPr>
              <w:t>(2)</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3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80" w:type="dxa"/>
            <w:vAlign w:val="bottom"/>
          </w:tcPr>
          <w:p>
            <w:pPr>
              <w:spacing w:after="0"/>
              <w:rPr>
                <w:sz w:val="18"/>
                <w:szCs w:val="18"/>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840" w:hanging="383"/>
        <w:spacing w:after="0" w:line="226" w:lineRule="auto"/>
        <w:tabs>
          <w:tab w:leader="none" w:pos="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2025, the Company recorded a decrease of approximately $4 million to a previously estimated accrual for the potential settlement of a regulatory related matter and is reflected in general and administrative expenses on our unaudited condensed consolidated statement of operations. The Company expensed certain costs of approximately $14 million during the nine months ended September 30, 2024, respectively, including a one-time charge of $4 million during the second quarter of 2024, resulting from enacted tax legislation in Canada during June 2024 related to digital services taxes, which required retrospective application back to January 1, 2022. This amount represented the one-time retrospective liability for the periods prior to April 1, 2024, while the liability for the three months ended June 30, 2024 and all prospective periods are included within adjusted EBITDA. In addition, an estimated accrual for the potential settlement of a regulatory related matter of $10 million was expensed during the first quarter of 2024 to general and administrative expenses on our unaudited condensed consolidated statement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ind w:left="840" w:right="160" w:hanging="383"/>
        <w:spacing w:after="0" w:line="261" w:lineRule="auto"/>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costs of approximately $1 million and $4 million during the three and nine months ended September 30, 2024, respectively, to general and administrative expenses on our unaudited condensed consolidated statements of 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Stock Based Awards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6.7 million service-based RSUs with a weighted average grant-date fair value of $14.85 and approximately 0.9 million PSUs with a weighted average grant-date fair value of $14.92 during the nine months ended September 30,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September 30, 2025 and December 31, 2024, we had approximately $1.2 billion and $1.1 billion, respectively, of cash and cash equivalents, and approximately $496 million of available borrowing capacity under the Credit Facility. As of September 30, 2025, approximately $223 million of our cash and cash equivalents were held by our international subsidiaries outside of the U.S., of which approximately 35% was held in the U.K. As of September 30, 2025, the significant majority of our cash was denominated in U.S. dollars.</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$597 million of cumulative undistributed earnings in foreign subsidiaries that are no longer considered to be indefinitely reinvested. As of September 30, 2025,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2025, we are party to the Amended Credit Agreement, which, among other things, provides for a $500 million revolving Credit Facility with a maturity date of June 29, 2028. As of September 30, 2025 and December 31, 2024, we had no outstanding borrowings under the Credit Facility, except $4 million and $3 million, respectively, of undrawn standby letters of credit issued under the Credit Facility. The Company may borrow from the Credit Facility in U.S. dollars, Euros and Sterling. For information regarding interest rates on potential borrowings and commitment fees on the daily unused portion of capacity under the Credit Facility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As of September 30, 2025,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September 30, 2025 and December 31, 2024, we were in compliance with the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an aggregate outstanding principal amount of $353 million and approximately $821 million in short-term debt and long-term debt, respectively, on our unaudited condensed consolidated balance sheet pertaining to the 2026 Senior Notes and Term Loan B Facility, both of which are discussed below.</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outstanding principal of $345 million, 2026 Senior Notes provide, among other things, that interest at a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On March 20, 2025, under the Amended Credit Agreement, the Company increased its existing Term Loan B Facility by $350 million, maturing July 8, 2031, with an interest rate based on SOFR plus 2.75% (the “Tack-On Incremental Term Loan B Facility”). We expect the proceeds from the Tack-On Incremental Term Loan B Facility will be used to fund the repurchase, repayment or redemption of the Company's outstanding 2026 Senior Notes and for general corporate purposes. The Tack-On Incremental Term Loan B Facility was offered at 98.56% of par. We refer to the Term Loan B Facility, combined with the Tack-On Incremental Term Loan B Facility, as the “Term Loan B Facility.”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$6 million were made under the Term Loan B Facility during the nine months ended September 30, 2025.</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5" w:name="page46"/>
    <w:bookmarkEnd w:id="45"/>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2026 Senior Notes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2025 Senior Notes and 2026 Senior Notes,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2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This share repurchase program does not have a fixed expiration date or obligate the Company to acquire any particular number of shares and may be modified, suspended or discontinued at any time. During the three months ended September 30, 2025, the Company did not repurchase any shares of outstanding common stock under this share repurchase program. During the nine months ended September 30, 2025, we repurchased 2,808,080 shares of our outstanding common stock at an average price of $14.22 per share, exclusive of fees and commissions, or $40 million in the aggregate. As of September 30, 2025, we had $160 million remaining available to repurchase shares of our common stock under this share repurchase program. During the nine months ended September 30, 2024, we repurchased 1,366,385 shares of our outstanding common stock at an average price of $18.28 per share, exclusive of fees and commissions, or $25 million in the aggregate.</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9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As described above, on April 29, 2025, the Merger with LTRIP closed. The aggregate transaction price of the Merger totaled $437 million (of which $411 million consisted of cash payments), consisting of: (i) $431 million in cash and common stock consideration paid in connection with the repurchase, plus (ii) approximately $19 million in direct expenses and fees associated with the repurchase; partially offset by (iii) $13 million in LTRIP NOLs, tax effected, retained by the Company. Refer to “Note 1: </w:t>
      </w:r>
      <w:r>
        <w:rPr>
          <w:rFonts w:ascii="Times New Roman" w:cs="Times New Roman" w:eastAsia="Times New Roman" w:hAnsi="Times New Roman"/>
          <w:sz w:val="17"/>
          <w:szCs w:val="17"/>
          <w:i w:val="1"/>
          <w:iCs w:val="1"/>
          <w:color w:val="auto"/>
        </w:rPr>
        <w:t>Basis of Presentation</w:t>
      </w:r>
      <w:r>
        <w:rPr>
          <w:rFonts w:ascii="Times New Roman" w:cs="Times New Roman" w:eastAsia="Times New Roman" w:hAnsi="Times New Roman"/>
          <w:sz w:val="17"/>
          <w:szCs w:val="17"/>
          <w:color w:val="auto"/>
        </w:rPr>
        <w:t>” in the notes to our unaudited condensed consolidated financial statements in Item 1 in this Quarterly Report in the section entitled “LTRIP and Tripadvisor Merger Agreement and Loan Agreement” for further information.</w:t>
      </w:r>
    </w:p>
    <w:p>
      <w:pPr>
        <w:spacing w:after="0" w:line="16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we received a final notice regarding a MAP resolution agreement for the 2014 through 2016 tax years in January 2024, which we subsequently accepted in February 2024. During the three months ended June 30, 2024, we made a payment to the IRS of $141 million, inclusive of estimated interest, and during the three months ended September 30, 2024, we made various state tax payments totaling $18 million, inclusive of estimated interest, to satisfy this audit settlement.</w:t>
      </w:r>
    </w:p>
    <w:p>
      <w:pPr>
        <w:spacing w:after="0" w:line="18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$25 million to $35 million, exclusive of interest expense, at the close of the audit if HMRC prevails. We are also currently subject to audit by HMRC in tax years 2017 through 2022.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cash flows for the nine months ended September 30, 2025 and 2024, as reflected in our unaudited condensed consolidated statements of cash flows, are summarized in the following table:</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80" w:type="dxa"/>
            <w:vAlign w:val="bottom"/>
            <w:gridSpan w:val="3"/>
          </w:tcPr>
          <w:p>
            <w:pPr>
              <w:jc w:val="right"/>
              <w:ind w:right="11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8"/>
                <w:szCs w:val="18"/>
                <w:color w:val="auto"/>
              </w:rPr>
            </w:pPr>
          </w:p>
        </w:tc>
        <w:tc>
          <w:tcPr>
            <w:tcW w:w="158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our primary source of cash was from operations, while our primary use of cash was from financing activities (including $411 million to repurchase our outstanding common stock pursuant to the Merger, including transaction costs, $40 million in repurchases of our outstanding common stock under the existing share repurchase program, and $15 million in payments of withholding taxes on net share settlements of equity awards) and investing activities (including $63 million in capital expenditures). This use of cash was funded with existing cash and cash equivalents and operating cash flows generated during the period, as well as, financing activities which includes $341 million in borrowings from our Tack-On Incremental Term Loan B Facility, net of financing costs.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our primary source of cash was from operations, while our primary use of cash was from financing activities (including $25 million in repurchases of our outstanding common stock under the existing share repurchase program, $17 million in payments of withholding taxes on net share settlements of equity awards, and $7 million in financing costs related to the issuance of the Term Loan B Facility) and investing activities (including $51 million in capital expenditures). This use of cash was funded with existing cash and cash equivalents and operating cash flows generated during the period.</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increased by $201 million when compared to the same period in 2024, primarily due to an improvement in net income of $74 million, an increase in working capital of $107 million, and an increase in non-cash items of $20 million, primarily due to a decrease in deferred income tax benefits. The increase in working capital was primarily driven by U.S. federal tax payments and various state tax payments totaling approximately $160 million during the second and third quarters of 2024 related to an IRS audit settlement, as discussed above, which did not reoccur in 2025, partially offset by a decrease in our income tax provision of approximately $73 million, as discussed above under “(Provision) Benefit for Income Taxes.” In addition, changes in working capital related to the timing of collection of cash from customers, the timing of vendor payments and deferred merchant payments to experiences operators, contributed to the fluctuation in working capital.</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increased by $14 million when compared to the same period in 2024, largely due to an increase in capital investment primarily in technology and office space across the business.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increased by $82 million when compared to the same period in 2024, primarily due to $411 million for the repurchase of our outstanding common stock pursuant to the Merger, a $15 million increase in net cash used to repurchase shares of our outstanding common stock under the existing share repurchase program, and a net decrease in proceeds received from the issuance of debt under the Term Loan B Facility during 2025 of $152 million, net of financing costs, partially offset by the repayment of the 2025 Senior Notes of $500 million during the third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2024. As of September 30, 2025,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 Management’s Discussion and Analysis of Financial Condition and Results of Operations of our 2024 Annual Report for a discussion of our contractual obligations and commercial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right="80"/>
        <w:spacing w:after="0" w:line="253" w:lineRule="auto"/>
        <w:rPr>
          <w:sz w:val="20"/>
          <w:szCs w:val="20"/>
          <w:color w:val="auto"/>
        </w:rPr>
      </w:pPr>
      <w:r>
        <w:rPr>
          <w:rFonts w:ascii="Times New Roman" w:cs="Times New Roman" w:eastAsia="Times New Roman" w:hAnsi="Times New Roman"/>
          <w:sz w:val="18"/>
          <w:szCs w:val="18"/>
          <w:color w:val="auto"/>
        </w:rPr>
        <w:t>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 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impact on our financial results, as well as legislation to impose new forms of gross receipts taxes, such as digital services taxes imposed on digital advertising and online marketplace platforms/services.</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consensus is reached on Pillar One, unilateral digital services taxes should be repealed, however until such time we continue to be subject to these taxes and are currently subject to unilateral digital services taxes. While the future of the global tax regulatory landscape remains uncertain, we continue to monitor the OECD’s and members ongoing discussions to determine the current and potential impact on our unaudited condensed consolidated financial statements. During the three and nine months ended September 30, 2025, we recorded $6 million and $13 million, respectively, of digital service taxes to cost of sales on our unaudited condensed consolidated statements of operations. During the three and nine months ended September 30, 2024, we recorded $7 million and $18 million, respectively, of digital service taxes to cost of sales on our unaudited condensed consolidated statements of operations, which includes a one-time charge of $4 million during the second quarter of 2024, resulting from enacted tax legislation in Canada during June 2024 related to digital service taxes, which required retrospective application back to January 1, 2022.</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September 30, 2025. As of September 30, 2025, $597 million of our cumulative undistributed foreign earnings were no longer considered to be indefinitely reinvested.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nine months ended September 30, 2025 since December 31, 2024. For additional information about our market risk profile, refer to “Quantitative and Qualitative Disclosures About Market Risk” in Item 7A. in Part II of our Annual Report on Form 10-K for the year ended December 31, 2024.</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our business grows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as well as increased cyberattacks, other military conflicts, sanctions and tariffs.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2025,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September 30, 2025,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30, 2025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2024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2024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September 30, 2025, there have been no material changes in our risk factors from those disclosed in Part 1, Item 1A., “Risk Factors” in our 2024 Annual Report.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the Company did not issue or sell any shares of our common stock or other equity securities pursuant to unregistered transactions in reliance upon an exemption from the registration requirements of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During the quarter ended September 30, 2025, the Company did not repurchase any shares of its outstanding common stock given the operating model changes and cost savings program the Company was contemplating.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 Item 1 in this Quarterly Report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none of the Company’s directors or officers adopted or terminated a Rule 10b5-1 trading arrangement or a non-Rule 10b5-1 trading arrangement (as defined in Item 408(c) of Regulation S-K).</w:t>
      </w: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w:t>
            </w:r>
          </w:p>
        </w:tc>
        <w:tc>
          <w:tcPr>
            <w:tcW w:w="0" w:type="dxa"/>
            <w:vAlign w:val="bottom"/>
          </w:tcPr>
          <w:p>
            <w:pPr>
              <w:spacing w:after="0"/>
              <w:rPr>
                <w:sz w:val="1"/>
                <w:szCs w:val="1"/>
                <w:color w:val="auto"/>
              </w:rPr>
            </w:pPr>
          </w:p>
        </w:tc>
      </w:tr>
      <w:tr>
        <w:trPr>
          <w:trHeight w:val="272"/>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5920" w:type="dxa"/>
            <w:vAlign w:val="bottom"/>
            <w:gridSpan w:val="10"/>
          </w:tcPr>
          <w:p>
            <w:pPr>
              <w:spacing w:after="0" w:line="169"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Plan of Conversion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Articles of Incorporation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Third Amendment, dated June 5, 2025, to the Amendment and Restatement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Agreement, dated as of June 29, 2023, as further amended as of July 8, 2024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as of March 20, 2025, by and among Tripadvisor, Inc., Tripadvisor Holdings,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LLC, Tripadvisor, LLC, the other Borrowers party thereto, the Lenders party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thereto and JPMorgan Chase Bank, N.A., as Administrative Agent.</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900" w:type="dxa"/>
            <w:vAlign w:val="bottom"/>
            <w:tcBorders>
              <w:left w:val="single" w:sz="8" w:color="0000EE"/>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Linkbases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r>
      <w:tr>
        <w:trPr>
          <w:trHeight w:val="169"/>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18"/>
        </w:trPr>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8"/>
                <w:szCs w:val="18"/>
                <w:color w:val="auto"/>
              </w:rPr>
            </w:pPr>
          </w:p>
        </w:tc>
        <w:tc>
          <w:tcPr>
            <w:tcW w:w="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001-35362</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4/29/25</w:t>
            </w:r>
          </w:p>
        </w:tc>
      </w:tr>
      <w:tr>
        <w:trPr>
          <w:trHeight w:val="230"/>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4/29/25</w:t>
            </w: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80"/>
        <w:spacing w:after="0"/>
        <w:tabs>
          <w:tab w:leader="none" w:pos="2400" w:val="left"/>
          <w:tab w:leader="none" w:pos="1320" w:val="left"/>
          <w:tab w:leader="none" w:pos="6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001-35362</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8/7/25</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ectPr>
          <w:pgSz w:w="11900" w:h="16838" w:orient="portrait"/>
          <w:cols w:equalWidth="0" w:num="2">
            <w:col w:w="6860" w:space="240"/>
            <w:col w:w="4140"/>
          </w:cols>
          <w:pgMar w:left="320" w:top="1332" w:right="339" w:bottom="1440" w:gutter="0" w:footer="0" w:header="0"/>
        </w:sectPr>
      </w:pPr>
    </w:p>
    <w:p>
      <w:pPr>
        <w:ind w:right="80" w:firstLine="8"/>
        <w:spacing w:after="0" w:line="255"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rPr>
              <w:t>Michael Noonan</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 Geoffrey Gouvalaris</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2025, as filed with the Securities and Exchange Commission on the date hereof (the “Report”), I, Matt Goldberg, Chief Executive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2025, as filed with the Securities and Exchange Commission on the date hereof (the “Report”), I, Michael Noonan, Chief Financial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63" Type="http://schemas.openxmlformats.org/officeDocument/2006/relationships/hyperlink" Target="https://www.sec.gov/Archives/edgar/data/1526520/000110465925041251/tm2513424d1_ex2-2.htm" TargetMode="External"/><Relationship Id="rId364" Type="http://schemas.openxmlformats.org/officeDocument/2006/relationships/hyperlink" Target="https://www.sec.gov/Archives/edgar/data/1526520/000110465925041251/tm2513424d1_ex3-1.htm" TargetMode="External"/><Relationship Id="rId365" Type="http://schemas.openxmlformats.org/officeDocument/2006/relationships/hyperlink" Target="https://www.sec.gov/Archives/edgar/data/1526520/000110465925041251/tm2513424d1_ex3-2.htm" TargetMode="External"/><Relationship Id="rId366" Type="http://schemas.openxmlformats.org/officeDocument/2006/relationships/hyperlink" Target="https://www.sec.gov/Archives/edgar/data/1526520/000095017025104993/tri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2025-11-06T06:20:51Z</dcterms:created>
  <dcterms:modified xsi:type="dcterms:W3CDTF">2025-11-06T06:20:51Z</dcterms:modified>
</cp:coreProperties>
</file>