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55880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80645</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5" w:lineRule="exact"/>
        <w:rPr>
          <w:sz w:val="24"/>
          <w:szCs w:val="24"/>
          <w:color w:val="auto"/>
        </w:rPr>
      </w:pPr>
    </w:p>
    <w:p>
      <w:pPr>
        <w:ind w:left="4360" w:right="3780" w:hanging="4352"/>
        <w:spacing w:after="0" w:line="301" w:lineRule="auto"/>
        <w:tabs>
          <w:tab w:leader="none" w:pos="60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2018</w:t>
      </w:r>
    </w:p>
    <w:p>
      <w:pPr>
        <w:spacing w:after="0" w:line="1" w:lineRule="exact"/>
        <w:rPr>
          <w:rFonts w:ascii="MS PGothic" w:cs="MS PGothic" w:eastAsia="MS PGothic" w:hAnsi="MS PGothic"/>
          <w:sz w:val="14"/>
          <w:szCs w:val="14"/>
          <w:color w:val="auto"/>
        </w:rPr>
      </w:pPr>
    </w:p>
    <w:p>
      <w:pPr>
        <w:ind w:left="560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5" w:lineRule="exact"/>
        <w:rPr>
          <w:sz w:val="24"/>
          <w:szCs w:val="24"/>
          <w:color w:val="auto"/>
        </w:rPr>
      </w:pPr>
    </w:p>
    <w:p>
      <w:pPr>
        <w:ind w:left="436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5" w:lineRule="exact"/>
        <w:rPr>
          <w:sz w:val="24"/>
          <w:szCs w:val="24"/>
          <w:color w:val="auto"/>
        </w:rPr>
      </w:pPr>
    </w:p>
    <w:p>
      <w:pPr>
        <w:ind w:left="4600"/>
        <w:spacing w:after="0"/>
        <w:rPr>
          <w:sz w:val="20"/>
          <w:szCs w:val="20"/>
          <w:color w:val="auto"/>
        </w:rPr>
      </w:pPr>
      <w:r>
        <w:rPr>
          <w:rFonts w:ascii="Arial" w:cs="Arial" w:eastAsia="Arial" w:hAnsi="Arial"/>
          <w:sz w:val="14"/>
          <w:szCs w:val="14"/>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59690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87" w:lineRule="exact"/>
        <w:rPr>
          <w:sz w:val="24"/>
          <w:szCs w:val="24"/>
          <w:color w:val="auto"/>
        </w:rPr>
      </w:pPr>
    </w:p>
    <w:tbl>
      <w:tblPr>
        <w:tblLayout w:type="fixed"/>
        <w:tblInd w:w="600" w:type="dxa"/>
        <w:tblCellMar>
          <w:top w:w="0" w:type="dxa"/>
          <w:left w:w="0" w:type="dxa"/>
          <w:bottom w:w="0" w:type="dxa"/>
          <w:right w:w="0" w:type="dxa"/>
        </w:tblCellMar>
      </w:tblPr>
      <w:tr>
        <w:trPr>
          <w:trHeight w:val="393"/>
        </w:trPr>
        <w:tc>
          <w:tcPr>
            <w:tcW w:w="6740" w:type="dxa"/>
            <w:vAlign w:val="bottom"/>
            <w:gridSpan w:val="4"/>
          </w:tcPr>
          <w:p>
            <w:pPr>
              <w:jc w:val="center"/>
              <w:ind w:left="3423"/>
              <w:spacing w:after="0"/>
              <w:rPr>
                <w:sz w:val="20"/>
                <w:szCs w:val="20"/>
                <w:color w:val="auto"/>
              </w:rPr>
            </w:pPr>
            <w:r>
              <w:rPr>
                <w:rFonts w:ascii="Arial" w:cs="Arial" w:eastAsia="Arial" w:hAnsi="Arial"/>
                <w:sz w:val="32"/>
                <w:szCs w:val="32"/>
                <w:b w:val="1"/>
                <w:bCs w:val="1"/>
                <w:color w:val="auto"/>
              </w:rPr>
              <w:t>TRIPADVISOR, INC.</w:t>
            </w:r>
          </w:p>
        </w:tc>
        <w:tc>
          <w:tcPr>
            <w:tcW w:w="2560" w:type="dxa"/>
            <w:vAlign w:val="bottom"/>
          </w:tcPr>
          <w:p>
            <w:pPr>
              <w:spacing w:after="0"/>
              <w:rPr>
                <w:sz w:val="24"/>
                <w:szCs w:val="24"/>
                <w:color w:val="auto"/>
              </w:rPr>
            </w:pPr>
          </w:p>
        </w:tc>
      </w:tr>
      <w:tr>
        <w:trPr>
          <w:trHeight w:val="174"/>
        </w:trPr>
        <w:tc>
          <w:tcPr>
            <w:tcW w:w="6740" w:type="dxa"/>
            <w:vAlign w:val="bottom"/>
            <w:gridSpan w:val="4"/>
          </w:tcPr>
          <w:p>
            <w:pPr>
              <w:jc w:val="center"/>
              <w:ind w:left="340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560" w:type="dxa"/>
            <w:vAlign w:val="bottom"/>
          </w:tcPr>
          <w:p>
            <w:pPr>
              <w:spacing w:after="0"/>
              <w:rPr>
                <w:sz w:val="15"/>
                <w:szCs w:val="15"/>
                <w:color w:val="auto"/>
              </w:rPr>
            </w:pPr>
          </w:p>
        </w:tc>
      </w:tr>
      <w:tr>
        <w:trPr>
          <w:trHeight w:val="68"/>
        </w:trPr>
        <w:tc>
          <w:tcPr>
            <w:tcW w:w="38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2560" w:type="dxa"/>
            <w:vAlign w:val="bottom"/>
          </w:tcPr>
          <w:p>
            <w:pPr>
              <w:spacing w:after="0"/>
              <w:rPr>
                <w:sz w:val="5"/>
                <w:szCs w:val="5"/>
                <w:color w:val="auto"/>
              </w:rPr>
            </w:pPr>
          </w:p>
        </w:tc>
      </w:tr>
      <w:tr>
        <w:trPr>
          <w:trHeight w:val="197"/>
        </w:trPr>
        <w:tc>
          <w:tcPr>
            <w:tcW w:w="6740" w:type="dxa"/>
            <w:vAlign w:val="bottom"/>
            <w:gridSpan w:val="4"/>
          </w:tcPr>
          <w:p>
            <w:pPr>
              <w:jc w:val="center"/>
              <w:ind w:right="2320"/>
              <w:spacing w:after="0"/>
              <w:rPr>
                <w:sz w:val="20"/>
                <w:szCs w:val="20"/>
                <w:color w:val="auto"/>
              </w:rPr>
            </w:pPr>
            <w:r>
              <w:rPr>
                <w:rFonts w:ascii="Arial" w:cs="Arial" w:eastAsia="Arial" w:hAnsi="Arial"/>
                <w:sz w:val="14"/>
                <w:szCs w:val="14"/>
                <w:b w:val="1"/>
                <w:bCs w:val="1"/>
                <w:color w:val="auto"/>
                <w:w w:val="94"/>
              </w:rPr>
              <w:t>Delaware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3"/>
              </w:rPr>
              <w:t>80-0743202</w:t>
            </w:r>
          </w:p>
        </w:tc>
      </w:tr>
      <w:tr>
        <w:trPr>
          <w:trHeight w:val="149"/>
        </w:trPr>
        <w:tc>
          <w:tcPr>
            <w:tcW w:w="6740" w:type="dxa"/>
            <w:vAlign w:val="bottom"/>
            <w:gridSpan w:val="4"/>
          </w:tcPr>
          <w:p>
            <w:pPr>
              <w:jc w:val="center"/>
              <w:ind w:right="23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740" w:type="dxa"/>
            <w:vAlign w:val="bottom"/>
            <w:gridSpan w:val="4"/>
          </w:tcPr>
          <w:p>
            <w:pPr>
              <w:jc w:val="center"/>
              <w:ind w:right="2320"/>
              <w:spacing w:after="0"/>
              <w:rPr>
                <w:sz w:val="20"/>
                <w:szCs w:val="20"/>
                <w:color w:val="auto"/>
              </w:rPr>
            </w:pPr>
            <w:r>
              <w:rPr>
                <w:rFonts w:ascii="Arial" w:cs="Arial" w:eastAsia="Arial" w:hAnsi="Arial"/>
                <w:sz w:val="14"/>
                <w:szCs w:val="14"/>
                <w:b w:val="1"/>
                <w:bCs w:val="1"/>
                <w:color w:val="auto"/>
                <w:w w:val="89"/>
              </w:rPr>
              <w:t>incorporation or organization)</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153"/>
        </w:trPr>
        <w:tc>
          <w:tcPr>
            <w:tcW w:w="3800" w:type="dxa"/>
            <w:vAlign w:val="bottom"/>
          </w:tcPr>
          <w:p>
            <w:pPr>
              <w:spacing w:after="0"/>
              <w:rPr>
                <w:sz w:val="13"/>
                <w:szCs w:val="13"/>
                <w:color w:val="auto"/>
              </w:rPr>
            </w:pPr>
          </w:p>
        </w:tc>
        <w:tc>
          <w:tcPr>
            <w:tcW w:w="294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400 1</w:t>
            </w:r>
            <w:r>
              <w:rPr>
                <w:rFonts w:ascii="Arial" w:cs="Arial" w:eastAsia="Arial" w:hAnsi="Arial"/>
                <w:sz w:val="12"/>
                <w:szCs w:val="12"/>
                <w:b w:val="1"/>
                <w:bCs w:val="1"/>
                <w:color w:val="auto"/>
                <w:w w:val="89"/>
              </w:rPr>
              <w:t>st</w:t>
            </w:r>
            <w:r>
              <w:rPr>
                <w:rFonts w:ascii="Arial" w:cs="Arial" w:eastAsia="Arial" w:hAnsi="Arial"/>
                <w:sz w:val="14"/>
                <w:szCs w:val="14"/>
                <w:b w:val="1"/>
                <w:bCs w:val="1"/>
                <w:color w:val="auto"/>
                <w:w w:val="89"/>
              </w:rPr>
              <w:t xml:space="preserve"> Avenue</w:t>
            </w:r>
          </w:p>
        </w:tc>
        <w:tc>
          <w:tcPr>
            <w:tcW w:w="2560" w:type="dxa"/>
            <w:vAlign w:val="bottom"/>
          </w:tcPr>
          <w:p>
            <w:pPr>
              <w:spacing w:after="0"/>
              <w:rPr>
                <w:sz w:val="13"/>
                <w:szCs w:val="13"/>
                <w:color w:val="auto"/>
              </w:rPr>
            </w:pPr>
          </w:p>
        </w:tc>
      </w:tr>
      <w:tr>
        <w:trPr>
          <w:trHeight w:val="158"/>
        </w:trPr>
        <w:tc>
          <w:tcPr>
            <w:tcW w:w="3800" w:type="dxa"/>
            <w:vAlign w:val="bottom"/>
          </w:tcPr>
          <w:p>
            <w:pPr>
              <w:spacing w:after="0"/>
              <w:rPr>
                <w:sz w:val="13"/>
                <w:szCs w:val="13"/>
                <w:color w:val="auto"/>
              </w:rPr>
            </w:pPr>
          </w:p>
        </w:tc>
        <w:tc>
          <w:tcPr>
            <w:tcW w:w="2940" w:type="dxa"/>
            <w:vAlign w:val="bottom"/>
            <w:gridSpan w:val="3"/>
          </w:tcPr>
          <w:p>
            <w:pPr>
              <w:jc w:val="center"/>
              <w:ind w:right="320"/>
              <w:spacing w:after="0" w:line="159" w:lineRule="exact"/>
              <w:rPr>
                <w:sz w:val="20"/>
                <w:szCs w:val="20"/>
                <w:color w:val="auto"/>
              </w:rPr>
            </w:pPr>
            <w:r>
              <w:rPr>
                <w:rFonts w:ascii="Arial" w:cs="Arial" w:eastAsia="Arial" w:hAnsi="Arial"/>
                <w:sz w:val="14"/>
                <w:szCs w:val="14"/>
                <w:b w:val="1"/>
                <w:bCs w:val="1"/>
                <w:color w:val="auto"/>
                <w:w w:val="95"/>
              </w:rPr>
              <w:t>Needham, MA 02494</w:t>
            </w:r>
          </w:p>
        </w:tc>
        <w:tc>
          <w:tcPr>
            <w:tcW w:w="2560" w:type="dxa"/>
            <w:vAlign w:val="bottom"/>
          </w:tcPr>
          <w:p>
            <w:pPr>
              <w:spacing w:after="0"/>
              <w:rPr>
                <w:sz w:val="13"/>
                <w:szCs w:val="13"/>
                <w:color w:val="auto"/>
              </w:rPr>
            </w:pPr>
          </w:p>
        </w:tc>
      </w:tr>
      <w:tr>
        <w:trPr>
          <w:trHeight w:val="174"/>
        </w:trPr>
        <w:tc>
          <w:tcPr>
            <w:tcW w:w="6740" w:type="dxa"/>
            <w:vAlign w:val="bottom"/>
            <w:gridSpan w:val="4"/>
          </w:tcPr>
          <w:p>
            <w:pPr>
              <w:jc w:val="center"/>
              <w:ind w:left="3423"/>
              <w:spacing w:after="0"/>
              <w:rPr>
                <w:sz w:val="20"/>
                <w:szCs w:val="20"/>
                <w:color w:val="auto"/>
              </w:rPr>
            </w:pPr>
            <w:r>
              <w:rPr>
                <w:rFonts w:ascii="Arial" w:cs="Arial" w:eastAsia="Arial" w:hAnsi="Arial"/>
                <w:sz w:val="14"/>
                <w:szCs w:val="14"/>
                <w:b w:val="1"/>
                <w:bCs w:val="1"/>
                <w:color w:val="auto"/>
                <w:w w:val="86"/>
              </w:rPr>
              <w:t>(Address of principal executive office) (Zip Code)</w:t>
            </w:r>
          </w:p>
        </w:tc>
        <w:tc>
          <w:tcPr>
            <w:tcW w:w="2560" w:type="dxa"/>
            <w:vAlign w:val="bottom"/>
          </w:tcPr>
          <w:p>
            <w:pPr>
              <w:spacing w:after="0"/>
              <w:rPr>
                <w:sz w:val="15"/>
                <w:szCs w:val="15"/>
                <w:color w:val="auto"/>
              </w:rPr>
            </w:pPr>
          </w:p>
        </w:tc>
      </w:tr>
      <w:tr>
        <w:trPr>
          <w:trHeight w:val="153"/>
        </w:trPr>
        <w:tc>
          <w:tcPr>
            <w:tcW w:w="6740" w:type="dxa"/>
            <w:vAlign w:val="bottom"/>
            <w:gridSpan w:val="4"/>
          </w:tcPr>
          <w:p>
            <w:pPr>
              <w:jc w:val="center"/>
              <w:ind w:left="3423"/>
              <w:spacing w:after="0" w:line="153"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2560" w:type="dxa"/>
            <w:vAlign w:val="bottom"/>
          </w:tcPr>
          <w:p>
            <w:pPr>
              <w:spacing w:after="0"/>
              <w:rPr>
                <w:sz w:val="13"/>
                <w:szCs w:val="13"/>
                <w:color w:val="auto"/>
              </w:rPr>
            </w:pPr>
          </w:p>
        </w:tc>
      </w:tr>
      <w:tr>
        <w:trPr>
          <w:trHeight w:val="186"/>
        </w:trPr>
        <w:tc>
          <w:tcPr>
            <w:tcW w:w="6420" w:type="dxa"/>
            <w:vAlign w:val="bottom"/>
            <w:gridSpan w:val="2"/>
          </w:tcPr>
          <w:p>
            <w:pPr>
              <w:jc w:val="center"/>
              <w:ind w:left="3723"/>
              <w:spacing w:after="0"/>
              <w:rPr>
                <w:sz w:val="20"/>
                <w:szCs w:val="20"/>
                <w:color w:val="auto"/>
              </w:rPr>
            </w:pPr>
            <w:r>
              <w:rPr>
                <w:rFonts w:ascii="Arial" w:cs="Arial" w:eastAsia="Arial" w:hAnsi="Arial"/>
                <w:sz w:val="14"/>
                <w:szCs w:val="14"/>
                <w:b w:val="1"/>
                <w:bCs w:val="1"/>
                <w:color w:val="auto"/>
                <w:w w:val="93"/>
              </w:rPr>
              <w:t>(781) 800-5000</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66"/>
        </w:trPr>
        <w:tc>
          <w:tcPr>
            <w:tcW w:w="3800" w:type="dxa"/>
            <w:vAlign w:val="bottom"/>
          </w:tcPr>
          <w:p>
            <w:pPr>
              <w:spacing w:after="0"/>
              <w:rPr>
                <w:sz w:val="5"/>
                <w:szCs w:val="5"/>
                <w:color w:val="auto"/>
              </w:rPr>
            </w:pPr>
          </w:p>
        </w:tc>
        <w:tc>
          <w:tcPr>
            <w:tcW w:w="26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860" w:type="dxa"/>
            <w:vAlign w:val="bottom"/>
            <w:gridSpan w:val="2"/>
          </w:tcPr>
          <w:p>
            <w:pPr>
              <w:spacing w:after="0"/>
              <w:rPr>
                <w:sz w:val="5"/>
                <w:szCs w:val="5"/>
                <w:color w:val="auto"/>
              </w:rPr>
            </w:pPr>
          </w:p>
        </w:tc>
      </w:tr>
      <w:tr>
        <w:trPr>
          <w:trHeight w:val="198"/>
        </w:trPr>
        <w:tc>
          <w:tcPr>
            <w:tcW w:w="9300" w:type="dxa"/>
            <w:vAlign w:val="bottom"/>
            <w:gridSpan w:val="5"/>
          </w:tcPr>
          <w:p>
            <w:pPr>
              <w:jc w:val="center"/>
              <w:ind w:left="863"/>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178"/>
        </w:trPr>
        <w:tc>
          <w:tcPr>
            <w:tcW w:w="6740" w:type="dxa"/>
            <w:vAlign w:val="bottom"/>
            <w:gridSpan w:val="4"/>
          </w:tcPr>
          <w:p>
            <w:pPr>
              <w:jc w:val="center"/>
              <w:ind w:right="2320"/>
              <w:spacing w:after="0"/>
              <w:rPr>
                <w:sz w:val="20"/>
                <w:szCs w:val="20"/>
                <w:color w:val="auto"/>
              </w:rPr>
            </w:pPr>
            <w:r>
              <w:rPr>
                <w:rFonts w:ascii="Arial" w:cs="Arial" w:eastAsia="Arial" w:hAnsi="Arial"/>
                <w:sz w:val="14"/>
                <w:szCs w:val="14"/>
                <w:b w:val="1"/>
                <w:bCs w:val="1"/>
                <w:color w:val="auto"/>
                <w:w w:val="84"/>
              </w:rPr>
              <w:t>Title of each class:</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76"/>
        </w:trPr>
        <w:tc>
          <w:tcPr>
            <w:tcW w:w="6740" w:type="dxa"/>
            <w:vAlign w:val="bottom"/>
            <w:gridSpan w:val="4"/>
          </w:tcPr>
          <w:p>
            <w:pPr>
              <w:jc w:val="center"/>
              <w:ind w:right="2320"/>
              <w:spacing w:after="0"/>
              <w:rPr>
                <w:sz w:val="20"/>
                <w:szCs w:val="20"/>
                <w:color w:val="auto"/>
              </w:rPr>
            </w:pPr>
            <w:r>
              <w:rPr>
                <w:rFonts w:ascii="Arial" w:cs="Arial" w:eastAsia="Arial" w:hAnsi="Arial"/>
                <w:sz w:val="14"/>
                <w:szCs w:val="14"/>
                <w:b w:val="1"/>
                <w:bCs w:val="1"/>
                <w:color w:val="auto"/>
                <w:w w:val="92"/>
              </w:rPr>
              <w:t>Common Stock, $0.001 par value</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9"/>
              </w:rPr>
              <w:t>The NASDAQ Stock Market LLC</w:t>
            </w:r>
          </w:p>
        </w:tc>
      </w:tr>
      <w:tr>
        <w:trPr>
          <w:trHeight w:val="186"/>
        </w:trPr>
        <w:tc>
          <w:tcPr>
            <w:tcW w:w="9300" w:type="dxa"/>
            <w:vAlign w:val="bottom"/>
            <w:gridSpan w:val="5"/>
          </w:tcPr>
          <w:p>
            <w:pPr>
              <w:jc w:val="center"/>
              <w:ind w:left="843"/>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r>
      <w:tr>
        <w:trPr>
          <w:trHeight w:val="80"/>
        </w:trPr>
        <w:tc>
          <w:tcPr>
            <w:tcW w:w="3800" w:type="dxa"/>
            <w:vAlign w:val="bottom"/>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2880" w:type="dxa"/>
            <w:vAlign w:val="bottom"/>
            <w:gridSpan w:val="3"/>
          </w:tcPr>
          <w:p>
            <w:pPr>
              <w:spacing w:after="0"/>
              <w:rPr>
                <w:sz w:val="6"/>
                <w:szCs w:val="6"/>
                <w:color w:val="auto"/>
              </w:rPr>
            </w:pPr>
          </w:p>
        </w:tc>
      </w:tr>
      <w:tr>
        <w:trPr>
          <w:trHeight w:val="204"/>
        </w:trPr>
        <w:tc>
          <w:tcPr>
            <w:tcW w:w="9300" w:type="dxa"/>
            <w:vAlign w:val="bottom"/>
            <w:gridSpan w:val="5"/>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26"/>
        </w:trPr>
        <w:tc>
          <w:tcPr>
            <w:tcW w:w="6740" w:type="dxa"/>
            <w:vAlign w:val="bottom"/>
            <w:gridSpan w:val="4"/>
          </w:tcPr>
          <w:p>
            <w:pPr>
              <w:spacing w:after="0"/>
              <w:rPr>
                <w:sz w:val="20"/>
                <w:szCs w:val="20"/>
                <w:color w:val="auto"/>
              </w:rPr>
            </w:pPr>
            <w:r>
              <w:rPr>
                <w:rFonts w:ascii="Arial" w:cs="Arial" w:eastAsia="Arial" w:hAnsi="Arial"/>
                <w:sz w:val="14"/>
                <w:szCs w:val="14"/>
                <w:color w:val="auto"/>
                <w:w w:val="91"/>
              </w:rPr>
              <w:t>Indicate by check mark if the registrant is not required to file reports pursuant to Section 13 or Section 15(d) of the Act.</w:t>
            </w:r>
          </w:p>
        </w:tc>
        <w:tc>
          <w:tcPr>
            <w:tcW w:w="256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4" w:lineRule="exact"/>
        <w:rPr>
          <w:sz w:val="24"/>
          <w:szCs w:val="24"/>
          <w:color w:val="auto"/>
        </w:rPr>
      </w:pPr>
    </w:p>
    <w:p>
      <w:pPr>
        <w:ind w:right="200" w:firstLine="59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40" w:firstLine="598"/>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98"/>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right="440" w:firstLine="598"/>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3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2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380"/>
              <w:spacing w:after="0"/>
              <w:rPr>
                <w:sz w:val="20"/>
                <w:szCs w:val="20"/>
                <w:color w:val="auto"/>
              </w:rPr>
            </w:pPr>
            <w:r>
              <w:rPr>
                <w:rFonts w:ascii="Arial" w:cs="Arial" w:eastAsia="Arial" w:hAnsi="Arial"/>
                <w:sz w:val="14"/>
                <w:szCs w:val="14"/>
                <w:color w:val="auto"/>
              </w:rPr>
              <w:t>Accelerated filer</w:t>
            </w:r>
          </w:p>
        </w:tc>
        <w:tc>
          <w:tcPr>
            <w:tcW w:w="188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3320" w:type="dxa"/>
            <w:vAlign w:val="bottom"/>
          </w:tcPr>
          <w:p>
            <w:pPr>
              <w:spacing w:after="0"/>
              <w:rPr>
                <w:sz w:val="20"/>
                <w:szCs w:val="20"/>
                <w:color w:val="auto"/>
              </w:rPr>
            </w:pPr>
            <w:r>
              <w:rPr>
                <w:rFonts w:ascii="Arial" w:cs="Arial" w:eastAsia="Arial" w:hAnsi="Arial"/>
                <w:sz w:val="14"/>
                <w:szCs w:val="14"/>
                <w:color w:val="auto"/>
              </w:rPr>
              <w:t>Non-accelerated filer</w:t>
            </w:r>
          </w:p>
        </w:tc>
        <w:tc>
          <w:tcPr>
            <w:tcW w:w="222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380"/>
              <w:spacing w:after="0"/>
              <w:rPr>
                <w:sz w:val="20"/>
                <w:szCs w:val="20"/>
                <w:color w:val="auto"/>
              </w:rPr>
            </w:pPr>
            <w:r>
              <w:rPr>
                <w:rFonts w:ascii="Arial" w:cs="Arial" w:eastAsia="Arial" w:hAnsi="Arial"/>
                <w:sz w:val="14"/>
                <w:szCs w:val="14"/>
                <w:color w:val="auto"/>
              </w:rPr>
              <w:t>Smaller reporting company</w:t>
            </w:r>
          </w:p>
        </w:tc>
        <w:tc>
          <w:tcPr>
            <w:tcW w:w="188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33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220" w:type="dxa"/>
            <w:vAlign w:val="bottom"/>
          </w:tcPr>
          <w:p>
            <w:pPr>
              <w:ind w:left="172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ind w:right="140" w:firstLine="59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600"/>
        <w:spacing w:after="0" w:line="161" w:lineRule="exact"/>
        <w:tabs>
          <w:tab w:leader="none" w:pos="7260" w:val="left"/>
          <w:tab w:leader="none" w:pos="78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6" w:lineRule="exact"/>
        <w:rPr>
          <w:sz w:val="24"/>
          <w:szCs w:val="24"/>
          <w:color w:val="auto"/>
        </w:rPr>
      </w:pPr>
    </w:p>
    <w:p>
      <w:pPr>
        <w:ind w:firstLine="598"/>
        <w:spacing w:after="0" w:line="238" w:lineRule="auto"/>
        <w:rPr>
          <w:sz w:val="20"/>
          <w:szCs w:val="20"/>
          <w:color w:val="auto"/>
        </w:rPr>
      </w:pPr>
      <w:r>
        <w:rPr>
          <w:rFonts w:ascii="Arial" w:cs="Arial" w:eastAsia="Arial" w:hAnsi="Arial"/>
          <w:sz w:val="14"/>
          <w:szCs w:val="14"/>
          <w:color w:val="auto"/>
        </w:rPr>
        <w:t>The aggregate market value of the common stock of the registrant held by non-affiliates of the registrant as of the last business day of the registrant’s most recently completed second fiscal quarter was $5,775,119,721 based on the closing price on The NASDAQ Global Select Market on such date. For the purpose of the foregoing calculation only, all directors and executive officers of the registrant are assumed to be affiliates of the registrant.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Shares at February 14, 2019</w:t>
            </w:r>
          </w:p>
        </w:tc>
      </w:tr>
      <w:tr>
        <w:trPr>
          <w:trHeight w:val="123"/>
        </w:trPr>
        <w:tc>
          <w:tcPr>
            <w:tcW w:w="56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Common Stock, $0.001 par value per share</w:t>
            </w:r>
          </w:p>
        </w:tc>
        <w:tc>
          <w:tcPr>
            <w:tcW w:w="200" w:type="dxa"/>
            <w:vAlign w:val="bottom"/>
          </w:tcPr>
          <w:p>
            <w:pPr>
              <w:spacing w:after="0"/>
              <w:rPr>
                <w:sz w:val="10"/>
                <w:szCs w:val="10"/>
                <w:color w:val="auto"/>
              </w:rPr>
            </w:pPr>
          </w:p>
        </w:tc>
        <w:tc>
          <w:tcPr>
            <w:tcW w:w="5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125,336,213 shares</w:t>
            </w:r>
          </w:p>
        </w:tc>
      </w:tr>
      <w:tr>
        <w:trPr>
          <w:trHeight w:val="182"/>
        </w:trPr>
        <w:tc>
          <w:tcPr>
            <w:tcW w:w="58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Class B common stock, $0.001 par value per share</w:t>
            </w:r>
          </w:p>
        </w:tc>
        <w:tc>
          <w:tcPr>
            <w:tcW w:w="5600" w:type="dxa"/>
            <w:vAlign w:val="bottom"/>
          </w:tcPr>
          <w:p>
            <w:pPr>
              <w:jc w:val="center"/>
              <w:spacing w:after="0"/>
              <w:rPr>
                <w:sz w:val="20"/>
                <w:szCs w:val="20"/>
                <w:color w:val="auto"/>
              </w:rPr>
            </w:pPr>
            <w:r>
              <w:rPr>
                <w:rFonts w:ascii="Arial" w:cs="Arial" w:eastAsia="Arial" w:hAnsi="Arial"/>
                <w:sz w:val="14"/>
                <w:szCs w:val="14"/>
                <w:color w:val="auto"/>
                <w:w w:val="89"/>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50800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ind w:right="380" w:firstLine="598"/>
        <w:spacing w:after="0" w:line="253" w:lineRule="auto"/>
        <w:rPr>
          <w:sz w:val="20"/>
          <w:szCs w:val="20"/>
          <w:color w:val="auto"/>
        </w:rPr>
      </w:pPr>
      <w:r>
        <w:rPr>
          <w:rFonts w:ascii="Arial" w:cs="Arial" w:eastAsia="Arial" w:hAnsi="Arial"/>
          <w:sz w:val="14"/>
          <w:szCs w:val="14"/>
          <w:color w:val="auto"/>
        </w:rPr>
        <w:t>The registrant intends to file a proxy statement pursuant to Regulation 14A not later than 120 days after the close of the fiscal year ended December 31, 2018.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598170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 w:name="page2"/>
    <w:bookmarkEnd w:id="1"/>
    <w:tbl>
      <w:tblPr>
        <w:tblLayout w:type="fixed"/>
        <w:tblInd w:w="30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40" w:type="dxa"/>
            <w:vAlign w:val="bottom"/>
            <w:gridSpan w:val="13"/>
          </w:tcPr>
          <w:p>
            <w:pPr>
              <w:ind w:left="32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40" w:type="dxa"/>
            <w:vAlign w:val="bottom"/>
            <w:vMerge w:val="restart"/>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PART I</w:t>
              </w:r>
            </w:hyperlink>
          </w:p>
        </w:tc>
        <w:tc>
          <w:tcPr>
            <w:tcW w:w="640" w:type="dxa"/>
            <w:vAlign w:val="bottom"/>
            <w:gridSpan w:val="4"/>
            <w:vMerge w:val="restart"/>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540" w:type="dxa"/>
            <w:vAlign w:val="bottom"/>
            <w:tcBorders>
              <w:bottom w:val="single" w:sz="8" w:color="0000EE"/>
            </w:tcBorders>
            <w:vMerge w:val="continue"/>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240" w:type="dxa"/>
            <w:vAlign w:val="bottom"/>
            <w:gridSpan w:val="2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1A.</w:t>
            </w:r>
          </w:p>
        </w:tc>
        <w:tc>
          <w:tcPr>
            <w:tcW w:w="6880" w:type="dxa"/>
            <w:vAlign w:val="bottom"/>
            <w:gridSpan w:val="2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1B.</w:t>
            </w:r>
          </w:p>
        </w:tc>
        <w:tc>
          <w:tcPr>
            <w:tcW w:w="6880" w:type="dxa"/>
            <w:vAlign w:val="bottom"/>
            <w:gridSpan w:val="2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Properties</w:t>
              </w:r>
            </w:hyperlink>
          </w:p>
        </w:tc>
        <w:tc>
          <w:tcPr>
            <w:tcW w:w="484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3.</w:t>
            </w:r>
          </w:p>
        </w:tc>
        <w:tc>
          <w:tcPr>
            <w:tcW w:w="6880" w:type="dxa"/>
            <w:vAlign w:val="bottom"/>
            <w:gridSpan w:val="2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4.</w:t>
            </w:r>
          </w:p>
        </w:tc>
        <w:tc>
          <w:tcPr>
            <w:tcW w:w="6880" w:type="dxa"/>
            <w:vAlign w:val="bottom"/>
            <w:gridSpan w:val="2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PART II</w:t>
              </w:r>
            </w:hyperlink>
          </w:p>
        </w:tc>
        <w:tc>
          <w:tcPr>
            <w:tcW w:w="580" w:type="dxa"/>
            <w:vAlign w:val="bottom"/>
            <w:gridSpan w:val="3"/>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5.</w:t>
            </w:r>
          </w:p>
        </w:tc>
        <w:tc>
          <w:tcPr>
            <w:tcW w:w="6880" w:type="dxa"/>
            <w:vAlign w:val="bottom"/>
            <w:gridSpan w:val="25"/>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Market for Registrant’s Common Equity, Related Stockholder Matters and Issuer Purchases of</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4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Equity Securities</w:t>
              </w:r>
            </w:hyperlink>
          </w:p>
        </w:tc>
        <w:tc>
          <w:tcPr>
            <w:tcW w:w="26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6.</w:t>
            </w:r>
          </w:p>
        </w:tc>
        <w:tc>
          <w:tcPr>
            <w:tcW w:w="6880" w:type="dxa"/>
            <w:vAlign w:val="bottom"/>
            <w:gridSpan w:val="2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Selected Financial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Management’s Discussion and Analysis of Financial Condition and Results of Operations</w:t>
              </w:r>
            </w:hyperlink>
          </w:p>
        </w:tc>
        <w:tc>
          <w:tcPr>
            <w:tcW w:w="42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Quantitative and Qualitative Disclosures About Market Risk</w:t>
              </w:r>
            </w:hyperlink>
          </w:p>
        </w:tc>
        <w:tc>
          <w:tcPr>
            <w:tcW w:w="252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8.</w:t>
            </w:r>
          </w:p>
        </w:tc>
        <w:tc>
          <w:tcPr>
            <w:tcW w:w="6880" w:type="dxa"/>
            <w:vAlign w:val="bottom"/>
            <w:gridSpan w:val="2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18">
              <w:r>
                <w:rPr>
                  <w:rFonts w:ascii="Arial" w:cs="Arial" w:eastAsia="Arial" w:hAnsi="Arial"/>
                  <w:sz w:val="18"/>
                  <w:szCs w:val="18"/>
                  <w:color w:val="0000EE"/>
                  <w:w w:val="90"/>
                </w:rPr>
                <w:t>Changes in and Disagreements with Accountants on Accounting and Financial Disclosure</w:t>
              </w:r>
            </w:hyperlink>
          </w:p>
        </w:tc>
        <w:tc>
          <w:tcPr>
            <w:tcW w:w="40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9A.</w:t>
            </w:r>
          </w:p>
        </w:tc>
        <w:tc>
          <w:tcPr>
            <w:tcW w:w="6880" w:type="dxa"/>
            <w:vAlign w:val="bottom"/>
            <w:gridSpan w:val="25"/>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0"/>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Other Information</w:t>
              </w:r>
            </w:hyperlink>
          </w:p>
        </w:tc>
        <w:tc>
          <w:tcPr>
            <w:tcW w:w="512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8"/>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22">
              <w:r>
                <w:rPr>
                  <w:rFonts w:ascii="Arial" w:cs="Arial" w:eastAsia="Arial" w:hAnsi="Arial"/>
                  <w:sz w:val="18"/>
                  <w:szCs w:val="18"/>
                  <w:color w:val="0000EE"/>
                  <w:w w:val="94"/>
                </w:rPr>
                <w:t>PART III</w:t>
              </w:r>
            </w:hyperlink>
          </w:p>
        </w:tc>
        <w:tc>
          <w:tcPr>
            <w:tcW w:w="520" w:type="dxa"/>
            <w:vAlign w:val="bottom"/>
            <w:gridSpan w:val="2"/>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Directors, Executive Officers and Corporate Governance</w:t>
              </w:r>
            </w:hyperlink>
          </w:p>
        </w:tc>
        <w:tc>
          <w:tcPr>
            <w:tcW w:w="278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22">
              <w:r>
                <w:rPr>
                  <w:rFonts w:ascii="Arial" w:cs="Arial" w:eastAsia="Arial" w:hAnsi="Arial"/>
                  <w:sz w:val="18"/>
                  <w:szCs w:val="18"/>
                  <w:color w:val="0000EE"/>
                  <w:w w:val="89"/>
                </w:rPr>
                <w:t>Executive Compensation</w:t>
              </w:r>
            </w:hyperlink>
          </w:p>
        </w:tc>
        <w:tc>
          <w:tcPr>
            <w:tcW w:w="508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12.</w:t>
            </w:r>
          </w:p>
        </w:tc>
        <w:tc>
          <w:tcPr>
            <w:tcW w:w="670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122">
              <w:r>
                <w:rPr>
                  <w:rFonts w:ascii="Arial" w:cs="Arial" w:eastAsia="Arial" w:hAnsi="Arial"/>
                  <w:sz w:val="18"/>
                  <w:szCs w:val="18"/>
                  <w:color w:val="0000EE"/>
                  <w:w w:val="90"/>
                </w:rPr>
                <w:t>Security Ownership of Certain Beneficial Owners and Management and Related Stockholder</w:t>
              </w:r>
            </w:hyperlink>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22">
              <w:r>
                <w:rPr>
                  <w:rFonts w:ascii="Arial" w:cs="Arial" w:eastAsia="Arial" w:hAnsi="Arial"/>
                  <w:sz w:val="18"/>
                  <w:szCs w:val="18"/>
                  <w:color w:val="0000EE"/>
                  <w:w w:val="89"/>
                </w:rPr>
                <w:t>Matters</w:t>
              </w:r>
            </w:hyperlink>
          </w:p>
        </w:tc>
        <w:tc>
          <w:tcPr>
            <w:tcW w:w="610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13.</w:t>
            </w:r>
          </w:p>
        </w:tc>
        <w:tc>
          <w:tcPr>
            <w:tcW w:w="6880" w:type="dxa"/>
            <w:vAlign w:val="bottom"/>
            <w:gridSpan w:val="25"/>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Certain Relationships and Related Transactions, and Director Independence</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0"/>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Principal Accounting Fees and Services</w:t>
              </w:r>
            </w:hyperlink>
          </w:p>
        </w:tc>
        <w:tc>
          <w:tcPr>
            <w:tcW w:w="14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18"/>
        </w:trPr>
        <w:tc>
          <w:tcPr>
            <w:tcW w:w="1180" w:type="dxa"/>
            <w:vAlign w:val="bottom"/>
            <w:gridSpan w:val="5"/>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PART IV</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8"/>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39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22">
              <w:r>
                <w:rPr>
                  <w:rFonts w:ascii="Arial" w:cs="Arial" w:eastAsia="Arial" w:hAnsi="Arial"/>
                  <w:sz w:val="18"/>
                  <w:szCs w:val="18"/>
                  <w:color w:val="0000EE"/>
                  <w:w w:val="89"/>
                </w:rPr>
                <w:t>Exhibits; Financial Statement Schedules</w:t>
              </w:r>
            </w:hyperlink>
          </w:p>
        </w:tc>
        <w:tc>
          <w:tcPr>
            <w:tcW w:w="398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304"/>
        </w:trPr>
        <w:tc>
          <w:tcPr>
            <w:tcW w:w="1180" w:type="dxa"/>
            <w:vAlign w:val="bottom"/>
            <w:gridSpan w:val="5"/>
          </w:tcPr>
          <w:p>
            <w:pPr>
              <w:ind w:left="440"/>
              <w:spacing w:after="0"/>
              <w:rPr>
                <w:sz w:val="20"/>
                <w:szCs w:val="20"/>
                <w:color w:val="auto"/>
              </w:rPr>
            </w:pPr>
            <w:r>
              <w:rPr>
                <w:rFonts w:ascii="Arial" w:cs="Arial" w:eastAsia="Arial" w:hAnsi="Arial"/>
                <w:sz w:val="18"/>
                <w:szCs w:val="18"/>
                <w:color w:val="auto"/>
              </w:rPr>
              <w:t>Item 16.</w:t>
            </w:r>
          </w:p>
        </w:tc>
        <w:tc>
          <w:tcPr>
            <w:tcW w:w="6880" w:type="dxa"/>
            <w:vAlign w:val="bottom"/>
            <w:gridSpan w:val="25"/>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Form 10-K Summary</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18"/>
        </w:trPr>
        <w:tc>
          <w:tcPr>
            <w:tcW w:w="1180" w:type="dxa"/>
            <w:vAlign w:val="bottom"/>
            <w:gridSpan w:val="5"/>
          </w:tcPr>
          <w:p>
            <w:pPr>
              <w:spacing w:after="0"/>
              <w:rPr>
                <w:rFonts w:ascii="Arial" w:cs="Arial" w:eastAsia="Arial" w:hAnsi="Arial"/>
                <w:sz w:val="18"/>
                <w:szCs w:val="18"/>
                <w:color w:val="0000EE"/>
                <w:w w:val="99"/>
              </w:rPr>
            </w:pPr>
            <w:hyperlink w:anchor="page126">
              <w:r>
                <w:rPr>
                  <w:rFonts w:ascii="Arial" w:cs="Arial" w:eastAsia="Arial" w:hAnsi="Arial"/>
                  <w:sz w:val="18"/>
                  <w:szCs w:val="18"/>
                  <w:color w:val="0000EE"/>
                  <w:w w:val="99"/>
                </w:rPr>
                <w:t>SIGNATURES</w:t>
              </w:r>
            </w:hyperlink>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 w:name="page3"/>
    <w:bookmarkEnd w:id="2"/>
    <w:p>
      <w:pPr>
        <w:ind w:right="140" w:firstLine="877"/>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this Annual Report on Form 10-K.</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This Annual Report on Form 10-K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The following words, when used, are intended to identify forward-looking statements: “anticipate,” “believe,” “could,” “estimate,” “expect,” “intend,” “may,” “might,” “plan,” “project,” “result” “should,” “will,” and similar expressions which do not relate solely to historical matters. We caution investors that any forward-looking statements in this report, or which management may make orally or in writing from time to time, are based on management’s beliefs and on assumptions made by, and information currently available to, management. Such statements are subject to risks, uncertainties and assumptions and are not guarantees of future performance, which may be affected by known and unknown risks, trends, uncertainties and factors that are beyond our control. Some of the risks and uncertainties that may cause our actual results, performance or achievements to differ materially from those expressed or implied by forward-looking statements are more fully described in Part I. Item 1A. "Risk Factors". Moreover, we operate in a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We caution you that, while forward-looking statements reflect our good faith beliefs when we make them, they are not guarantees of future performance and are impacted by actual events when they occur after we make such statements. We expressly disclaim any responsibility to update our forward-looking statements, whether as a result of new information, future events or otherwise.</w:t>
      </w:r>
    </w:p>
    <w:p>
      <w:pPr>
        <w:spacing w:after="0" w:line="178"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Investors should also refer to our quarterly reports on Form 10-Q for future periods and current reports on Form 8-K as we file them with the U.S. Securities and Exchange Commission, or the SEC, and to other materials we may furnish to the public from time to time through Current Reports on Form 8-K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98"/>
        <w:spacing w:after="0" w:line="286" w:lineRule="auto"/>
        <w:rPr>
          <w:sz w:val="20"/>
          <w:szCs w:val="20"/>
          <w:color w:val="auto"/>
        </w:rPr>
      </w:pPr>
      <w:r>
        <w:rPr>
          <w:rFonts w:ascii="Arial" w:cs="Arial" w:eastAsia="Arial" w:hAnsi="Arial"/>
          <w:sz w:val="17"/>
          <w:szCs w:val="17"/>
          <w:color w:val="auto"/>
        </w:rPr>
        <w:t>TripAdvisor is an online travel company and our mission is to help people around the world to plan, book and experience the perfect trip. We seek to achieve our mission by providing consumers and travel partners a global platform with rich consumer-generated content, price comparison tools and online reservation and related services for destinations, accommodations, travel activities and experiences, and restaurants.</w:t>
      </w:r>
    </w:p>
    <w:p>
      <w:pPr>
        <w:spacing w:after="0" w:line="5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TripAdvisor, Inc., by and through its subsidiaries, owns and operates a portfolio of leading online travel brands. Our flagship brand, TripAdvisor, is the world’s largest travel site based on monthly unique visitors, which reached 490 million average monthly unique visitors during our seasonal peak during the year ended December 31, 2018, according to our internal log files.</w:t>
      </w:r>
    </w:p>
    <w:p>
      <w:pPr>
        <w:spacing w:after="0" w:line="73"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Our TripAdvisor-branded websites include www.tripadvisor.com in the United States and localized versions of the TripAdvisor website in 48 markets and 28 languages worldwide. TripAdvisor features approximately 730 million reviews and opinions on approximately 8.1 million places to stay, places to eat and things to do – including 1.3 million hotels, inns, B&amp;Bs and specialty lodging, 875,000 rental properties, 4.9 million restaurants and 1.0 million travel activities and experiences worldwide. We also enable consumers to compare prices and/or book a number of these travel experiences on either a TripAdvisor website or mobile application (“app”), or on the website or mobile app of one of our travel partners.</w:t>
      </w:r>
    </w:p>
    <w:p>
      <w:pPr>
        <w:spacing w:after="0" w:line="64"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In addition to the flagship TripAdvisor brand, we manage and operate the following other travel media brands, connected by the common goal of providing consumers the most comprehensive travel-planning and trip-taking resources in the travel industry: www.airfarewatchdog.com, www.bokun.io, www.bookingbuddy.com, www.cruisecritic.com, www.familyvacationcritic.com, www.flipkey.com, www.thefork.com (including www.lafourchette.com, www.eltenedor.com, and www.iens.nl), www.holidaylettings.co.uk, www.holidaywatchdog.com, www.housetrip.com, www.jetsetter.com, www.niumba.com, www.onetime.com, www.oyster.com, www.seatguru.com, www.smartertravel.com, www.tingo.com, www.vacationhomerentals.com, and www.viator.com.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Market Opportunity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operate in the global travel industry, focusing exclusively on online travel and travel-related activity, and the online advertising market.</w:t>
      </w:r>
    </w:p>
    <w:p>
      <w:pPr>
        <w:spacing w:after="0" w:line="129"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Phocuswright, an independent travel, tourism and hospitality research firm, estimates the annual global travel market at $1.7 trillion. Phocuswright also estimates online penetration of global travel bookings to be less than 50%. However, travel bookings have been moving online as consumers gain access to the internet and global tourism activity continues to increase, driven by middle class and economic growth. TripAdvisor, as an internet-enabled travel-focused business, allows consumers to research travel activity and share their experiences and opinions with a global audience. As consumer online travel media consumption and online travel commerce activity increases, we believe travel and travel-related businesses will continue to allocate greater percentages of their marketing budgets to online channels in order to grow their businesses. We believe this creates a significant long-term growth opportunity for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7" w:lineRule="exact"/>
        <w:rPr>
          <w:sz w:val="20"/>
          <w:szCs w:val="20"/>
          <w:color w:val="auto"/>
        </w:rPr>
      </w:pPr>
    </w:p>
    <w:p>
      <w:pPr>
        <w:ind w:right="220" w:firstLine="598"/>
        <w:spacing w:after="0" w:line="261" w:lineRule="auto"/>
        <w:rPr>
          <w:sz w:val="20"/>
          <w:szCs w:val="20"/>
          <w:color w:val="auto"/>
        </w:rPr>
      </w:pPr>
      <w:r>
        <w:rPr>
          <w:rFonts w:ascii="Arial" w:cs="Arial" w:eastAsia="Arial" w:hAnsi="Arial"/>
          <w:sz w:val="18"/>
          <w:szCs w:val="18"/>
          <w:color w:val="auto"/>
        </w:rPr>
        <w:t>Our businesses match demand, or consumers that seek to discover, research, price compare and book the best travel experiences online with supply from travel partners around the world that provide travel accommodations and experiences.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Consumer Offerings</w:t>
      </w:r>
    </w:p>
    <w:p>
      <w:pPr>
        <w:spacing w:after="0" w:line="225"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TripAdvisor enables consumers to plan, book and experience the perfect trip by providing content, supply, price, and convenience. Content and supply has enabled TripAdvisor to become a well-known global brand, one that has attracted the world’s largest travel audience, based on average monthly unique visitors</w:t>
      </w:r>
      <w:r>
        <w:rPr>
          <w:rFonts w:ascii="Arial" w:cs="Arial" w:eastAsia="Arial" w:hAnsi="Arial"/>
          <w:sz w:val="14"/>
          <w:szCs w:val="14"/>
          <w:color w:val="auto"/>
        </w:rPr>
        <w:t>,</w:t>
      </w:r>
      <w:r>
        <w:rPr>
          <w:rFonts w:ascii="Arial" w:cs="Arial" w:eastAsia="Arial" w:hAnsi="Arial"/>
          <w:sz w:val="18"/>
          <w:szCs w:val="18"/>
          <w:color w:val="auto"/>
        </w:rPr>
        <w:t xml:space="preserve"> and influences 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right="80"/>
        <w:spacing w:after="0" w:line="264" w:lineRule="auto"/>
        <w:rPr>
          <w:sz w:val="20"/>
          <w:szCs w:val="20"/>
          <w:color w:val="auto"/>
        </w:rPr>
      </w:pPr>
      <w:r>
        <w:rPr>
          <w:rFonts w:ascii="Arial" w:cs="Arial" w:eastAsia="Arial" w:hAnsi="Arial"/>
          <w:sz w:val="18"/>
          <w:szCs w:val="18"/>
          <w:color w:val="auto"/>
        </w:rPr>
        <w:t>significant amount of travel commerce. We are focused on creating the best online experience in travel planning and booking, making it easier for consumers to research destinations and experiences, read and contribute user-generated content, compare destinations and businesses based on quality, price and availability, and complete bookings powered by our travel partners.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Travel Partners</w:t>
      </w:r>
    </w:p>
    <w:p>
      <w:pPr>
        <w:spacing w:after="0" w:line="23"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Our portfolio of travel-related websites enables our travel partners to be discovered, to advertise and to sell their services to a global travel audience. Travel partners may include hotel chains, independent hoteliers, online travel agencies, or OTAs, destination marketing organizations, and other travel-related and non-travel related product and service providers—who seek to market and sell their products and services to a global audience. We enable media advertising opportunities – and in some cases, facilitate transactions between consumers and travel partners in a number of ways, including by sending referrals to our travel partners’ websites, facilitating bookings on behalf of our travel partners, by serving as the merchant of record – particularly in our Experiences and Rentals offerings – and by offering advertising placements on our websites and mobile apps.</w:t>
      </w: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Segments and Products</w:t>
      </w:r>
    </w:p>
    <w:p>
      <w:pPr>
        <w:spacing w:after="0" w:line="117" w:lineRule="exact"/>
        <w:rPr>
          <w:sz w:val="20"/>
          <w:szCs w:val="20"/>
          <w:color w:val="auto"/>
        </w:rPr>
      </w:pPr>
    </w:p>
    <w:p>
      <w:pPr>
        <w:ind w:right="280" w:firstLine="598"/>
        <w:spacing w:after="0" w:line="293" w:lineRule="auto"/>
        <w:rPr>
          <w:sz w:val="20"/>
          <w:szCs w:val="20"/>
          <w:color w:val="auto"/>
        </w:rPr>
      </w:pPr>
      <w:r>
        <w:rPr>
          <w:rFonts w:ascii="Arial" w:cs="Arial" w:eastAsia="Arial" w:hAnsi="Arial"/>
          <w:sz w:val="16"/>
          <w:szCs w:val="16"/>
          <w:color w:val="auto"/>
        </w:rPr>
        <w:t xml:space="preserve">We manage our business in two reportable segments: Hotel and Non-Hotel. Our Non-Hotel reportable segment consists of our Experiences, Restaurants and Rentals offerings. During the first quarter of 2018, we renamed Attractions as “Experiences” and Vacation Rentals as “Rentals.” These changes had no impact on the composition of our segments or on any financial information. These segments have been determined based on how the chief operating decision maker regularly assesses information and evaluates performance for operating decision-making purposes, including allocation of resources. Financial information and additional descriptive information related to our segments is contained in “Note 18: </w:t>
      </w:r>
      <w:r>
        <w:rPr>
          <w:rFonts w:ascii="Arial" w:cs="Arial" w:eastAsia="Arial" w:hAnsi="Arial"/>
          <w:sz w:val="16"/>
          <w:szCs w:val="16"/>
          <w:i w:val="1"/>
          <w:iCs w:val="1"/>
          <w:color w:val="auto"/>
        </w:rPr>
        <w:t>Segment and Geographic</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and “Note 4:</w:t>
      </w:r>
      <w:r>
        <w:rPr>
          <w:rFonts w:ascii="Arial" w:cs="Arial" w:eastAsia="Arial" w:hAnsi="Arial"/>
          <w:sz w:val="16"/>
          <w:szCs w:val="16"/>
          <w:i w:val="1"/>
          <w:iCs w:val="1"/>
          <w:color w:val="auto"/>
        </w:rPr>
        <w:t xml:space="preserve"> Revenue Recognition,</w:t>
      </w:r>
      <w:r>
        <w:rPr>
          <w:rFonts w:ascii="Arial" w:cs="Arial" w:eastAsia="Arial" w:hAnsi="Arial"/>
          <w:sz w:val="16"/>
          <w:szCs w:val="16"/>
          <w:color w:val="auto"/>
        </w:rPr>
        <w:t>” in the notes to our consolidated financial statements in Item 8 on this Annual Report on Form 10-K.</w:t>
      </w:r>
    </w:p>
    <w:p>
      <w:pPr>
        <w:spacing w:after="0" w:line="165"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The Hotel segment accounted for 72%, 77%, and 80%, of our consolidated revenue in the years ended December 31, 2018, 2017 and 2016, respectively, and includes revenue generated from the following sources:</w:t>
      </w:r>
    </w:p>
    <w:p>
      <w:pPr>
        <w:spacing w:after="0" w:line="62" w:lineRule="exact"/>
        <w:rPr>
          <w:sz w:val="20"/>
          <w:szCs w:val="20"/>
          <w:color w:val="auto"/>
        </w:rPr>
      </w:pPr>
    </w:p>
    <w:p>
      <w:pPr>
        <w:ind w:left="1180" w:hanging="429"/>
        <w:spacing w:after="0" w:line="290" w:lineRule="auto"/>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TripAdvisor-branded Click-based and Transaction Revenue. </w:t>
      </w:r>
      <w:r>
        <w:rPr>
          <w:rFonts w:ascii="Arial" w:cs="Arial" w:eastAsia="Arial" w:hAnsi="Arial"/>
          <w:sz w:val="16"/>
          <w:szCs w:val="16"/>
          <w:color w:val="auto"/>
        </w:rPr>
        <w:t>Our largest source of Hotel segment revenue is generated from click-based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on TripAdvisor-branded websites, which is primarily comprised of contextually-relevant links to our travel partners’ sites. Our click-based travel partners are predominantly OTAs and direct suppliers in the hotel category. Click-based advertising is generally priced on a cost-per-click, or “CPC” basis, with payments from travel partners determined by the number of travelers who click on a link multiplied by the CPC rate for each specific click. CPC rates that our travel partners pay are determined in a dynamic, competitive auction process, also known as our metasearch auction. Transaction revenue is generated from our hotel instant booking feature, which enables hotel shoppers to book directly on TripAdvisor through a travel partner, with the latter serving as the merchant of record for the transaction. We earn a pre-determined commission rate from our travel partners for each consumer that completes a hotel reservation on our website or app.</w:t>
      </w:r>
    </w:p>
    <w:p>
      <w:pPr>
        <w:spacing w:after="0" w:line="58" w:lineRule="exact"/>
        <w:rPr>
          <w:rFonts w:ascii="Arial" w:cs="Arial" w:eastAsia="Arial" w:hAnsi="Arial"/>
          <w:sz w:val="16"/>
          <w:szCs w:val="16"/>
          <w:color w:val="auto"/>
        </w:rPr>
      </w:pPr>
    </w:p>
    <w:p>
      <w:pPr>
        <w:ind w:left="1180" w:right="120" w:hanging="429"/>
        <w:spacing w:after="0" w:line="290" w:lineRule="auto"/>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TripAdvisor-branded Display-based Advertising and Subscription Revenue. </w:t>
      </w:r>
      <w:r>
        <w:rPr>
          <w:rFonts w:ascii="Arial" w:cs="Arial" w:eastAsia="Arial" w:hAnsi="Arial"/>
          <w:sz w:val="16"/>
          <w:szCs w:val="16"/>
          <w:color w:val="auto"/>
        </w:rPr>
        <w:t>Travel partners can promote their brands in a contextually-relevant manner through a variety of display-based advertising placements on our websites. Our display-based advertising clients are predominantly direct suppliers of hotels, air travel and cruises, as well as destination marketing organizations. Other display clients include OTAs and other travel-related businesses, as well as advertisers from non-travel categories. Display-based advertising is sold predominantly on a cost per thousand impressions, or CPM, basis. We also offer subscription-based advertising to hoteliers, owners of B&amp;Bs and other specialty lodging properties, enabling subscribers to advertise their businesses on our website, as well as manage and promote their website URL, email address, phone number, special offers and other information related to their business. Subscription advertising services are predominantly sold for a flat fee for a contracted period of time of one year or less.</w:t>
      </w:r>
    </w:p>
    <w:p>
      <w:pPr>
        <w:spacing w:after="0" w:line="58" w:lineRule="exact"/>
        <w:rPr>
          <w:rFonts w:ascii="Arial" w:cs="Arial" w:eastAsia="Arial" w:hAnsi="Arial"/>
          <w:sz w:val="16"/>
          <w:szCs w:val="16"/>
          <w:color w:val="auto"/>
        </w:rPr>
      </w:pPr>
    </w:p>
    <w:p>
      <w:pPr>
        <w:ind w:left="1180" w:right="1260" w:hanging="429"/>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Hotel Revenue. </w:t>
      </w:r>
      <w:r>
        <w:rPr>
          <w:rFonts w:ascii="Arial" w:cs="Arial" w:eastAsia="Arial" w:hAnsi="Arial"/>
          <w:sz w:val="18"/>
          <w:szCs w:val="18"/>
          <w:color w:val="auto"/>
        </w:rPr>
        <w:t>Our other Hotel revenue primarily includes revenue from non-TripAdvisor-branded websites,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www.bookingbuddy.com, www.cruisecritic.com, www.onetime.com, and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 w:name="page6"/>
    <w:bookmarkEnd w:id="5"/>
    <w:p>
      <w:pPr>
        <w:ind w:left="1180"/>
        <w:spacing w:after="0"/>
        <w:rPr>
          <w:sz w:val="20"/>
          <w:szCs w:val="20"/>
          <w:color w:val="auto"/>
        </w:rPr>
      </w:pPr>
      <w:r>
        <w:rPr>
          <w:rFonts w:ascii="Arial" w:cs="Arial" w:eastAsia="Arial" w:hAnsi="Arial"/>
          <w:sz w:val="16"/>
          <w:szCs w:val="16"/>
          <w:color w:val="auto"/>
        </w:rPr>
        <w:t>www.smartertravel.com, which primarily includes click-based advertising and display-based advertising revenue sources, as described above.</w:t>
      </w:r>
    </w:p>
    <w:p>
      <w:pPr>
        <w:spacing w:after="0" w:line="24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Non-Hotel offerings – Experiences, Restaurants and Rentals – have comprised an increasing percentage of consumer demand and consolidated revenue. Our Non-Hotel reportable segment accounted for 28%, 23%, and 20% of our consolidated revenue in the years ended December 31, 2018, 2017 and 2016, respectively, and includes revenue generated from the following sources:</w:t>
      </w:r>
    </w:p>
    <w:p>
      <w:pPr>
        <w:spacing w:after="0" w:line="73" w:lineRule="exact"/>
        <w:rPr>
          <w:sz w:val="20"/>
          <w:szCs w:val="20"/>
          <w:color w:val="auto"/>
        </w:rPr>
      </w:pPr>
    </w:p>
    <w:p>
      <w:pPr>
        <w:ind w:left="1180" w:hanging="429"/>
        <w:spacing w:after="0" w:line="291"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Experiences. </w:t>
      </w:r>
      <w:r>
        <w:rPr>
          <w:rFonts w:ascii="Arial" w:cs="Arial" w:eastAsia="Arial" w:hAnsi="Arial"/>
          <w:sz w:val="16"/>
          <w:szCs w:val="16"/>
          <w:color w:val="auto"/>
        </w:rPr>
        <w:t>We provide information and services for consumers to research, book and travel activities and experiences in popular travel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destinations both through Viator, our dedicated Experiences offering, and on our TripAdvisor website and app. We also power travel activities and experience booking capabilities to consumers on affiliate partner websites, including some of the world’s top airlines, hotel chains and online and offline travel agencies. We work with local tour or travel activities/experiences operators (the “supplier”) to provide consumers with access to tours, activities and experiences (the “activity”) in popular destinations worldwide. We generate commissions for each booking transaction we facilitate through our online reservation system. To a lesser extent, we earn commissions from third-party merchant partners, which display and promote our supplier activities on their websites to generate bookings.</w:t>
      </w:r>
    </w:p>
    <w:p>
      <w:pPr>
        <w:spacing w:after="0" w:line="59" w:lineRule="exact"/>
        <w:rPr>
          <w:rFonts w:ascii="Arial" w:cs="Arial" w:eastAsia="Arial" w:hAnsi="Arial"/>
          <w:sz w:val="16"/>
          <w:szCs w:val="16"/>
          <w:color w:val="auto"/>
        </w:rPr>
      </w:pPr>
    </w:p>
    <w:p>
      <w:pPr>
        <w:ind w:left="1180" w:right="120" w:hanging="429"/>
        <w:spacing w:after="0" w:line="271"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Restaurants. </w:t>
      </w:r>
      <w:r>
        <w:rPr>
          <w:rFonts w:ascii="Arial" w:cs="Arial" w:eastAsia="Arial" w:hAnsi="Arial"/>
          <w:sz w:val="17"/>
          <w:szCs w:val="17"/>
          <w:color w:val="auto"/>
        </w:rPr>
        <w:t>We provide information and services for consumers to research and book restaurants in popular travel destinations through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dedicated restaurant reservations offering, TheFork, and on our TripAdvisor websites and mobile apps. TheFork is an online restaurant booking platform operating on a number of websites (including www.lafourchette.com, www.eltenedor.com, and www.iens.nl), with a network of restaurant partners located primarily across Europe and Australia. Our bookable restaurants are available on www.thefork.com and on TripAdvisor-branded websites and mobile apps. We primarily generate transaction fees (or per seated diner fees) that are paid by restaurants for diners seated primarily from bookings through TheFork’s online reservation system. To a lesser extent, we also generate subscription fees for subscription-based advertising to restaurants, access to certain online reservation management services and marketing analytic tools provided by TheFork and TripAdvisor.</w:t>
      </w:r>
    </w:p>
    <w:p>
      <w:pPr>
        <w:spacing w:after="0" w:line="66" w:lineRule="exact"/>
        <w:rPr>
          <w:rFonts w:ascii="Arial" w:cs="Arial" w:eastAsia="Arial" w:hAnsi="Arial"/>
          <w:sz w:val="17"/>
          <w:szCs w:val="17"/>
          <w:color w:val="auto"/>
        </w:rPr>
      </w:pPr>
    </w:p>
    <w:p>
      <w:pPr>
        <w:ind w:left="1180" w:right="80" w:hanging="429"/>
        <w:spacing w:after="0" w:line="274"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Rentals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information and services for consumers to research and book vacation and short-term rental properties, including full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home rentals, condominiums, villas, beach rentals, cabins and cottages. Our Rentals offering generates revenue primarily by offering individual property owners and managers the ability to list their properties on our websites and mobile apps thereby connecting homeowners with travelers through a free-to-list, commission-based option or, to a lesser extent, by an annual subscription-based fee structure. These properties are listed on www.flipkey.com, www.holidaylettings.co.uk, www.housetrip.com, www.niumba.com, www.vacationhomerentals.com, and on our TripAdvisor-branded websites and mobile apps.</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ind w:right="200" w:firstLine="598"/>
        <w:spacing w:after="0" w:line="297" w:lineRule="auto"/>
        <w:rPr>
          <w:sz w:val="20"/>
          <w:szCs w:val="20"/>
          <w:color w:val="auto"/>
        </w:rPr>
      </w:pPr>
      <w:r>
        <w:rPr>
          <w:rFonts w:ascii="Arial" w:cs="Arial" w:eastAsia="Arial" w:hAnsi="Arial"/>
          <w:sz w:val="16"/>
          <w:szCs w:val="16"/>
          <w:color w:val="auto"/>
        </w:rPr>
        <w:t>Traveler expenditures in the global travel market tend to follow a seasonal pattern. As such, advertising investments made by travel partners to market to potential travelers and, therefore, our revenue and profits tend to be seasonal as well. Our financial performance tends to be seasonally highest in the second and third quarters of a year, as it is a key period for leisure travel research and trip-taking, which includes the seasonal peak in traveler hotel and rental stays, and travel activities and experiences taken, compared to the first and fourth quarters which represent seasonal low points. Further significant shifts in our business mix or adverse economic conditions could result in future seasonal patterns that are different from historical trends.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21"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Our mission is to help people around the world plan, book and experience the perfect trip. We seek to deliver on this mission by: increasing and leveraging our rich, user-generated content and global brand to attract consumers to our websites and mobile apps; delivering the best consumer experience throughout all phases of the travel journey from inspiration and travel-planning to trip-taking and sharing the experience; deepening our relationships with travel partners by providing them an array of advertising opportunities to generate qualified leads, or hotel shoppers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 w:name="page7"/>
    <w:bookmarkEnd w:id="6"/>
    <w:p>
      <w:pPr>
        <w:ind w:right="500"/>
        <w:spacing w:after="0" w:line="277" w:lineRule="auto"/>
        <w:rPr>
          <w:sz w:val="20"/>
          <w:szCs w:val="20"/>
          <w:color w:val="auto"/>
        </w:rPr>
      </w:pPr>
      <w:r>
        <w:rPr>
          <w:rFonts w:ascii="Arial" w:cs="Arial" w:eastAsia="Arial" w:hAnsi="Arial"/>
          <w:sz w:val="18"/>
          <w:szCs w:val="18"/>
          <w:color w:val="auto"/>
        </w:rPr>
        <w:t>we pass along to travel partners; and investing in technology, product development, marketing and other strategic areas that we believe can improve the TripAdvisor experience and improve our long-term business prospects.</w:t>
      </w:r>
    </w:p>
    <w:p>
      <w:pPr>
        <w:spacing w:after="0" w:line="62" w:lineRule="exact"/>
        <w:rPr>
          <w:sz w:val="20"/>
          <w:szCs w:val="20"/>
          <w:color w:val="auto"/>
        </w:rPr>
      </w:pPr>
    </w:p>
    <w:p>
      <w:pPr>
        <w:ind w:left="1040" w:hanging="438"/>
        <w:spacing w:after="0" w:line="25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consumer engagement with our platform. </w:t>
      </w:r>
      <w:r>
        <w:rPr>
          <w:rFonts w:ascii="Arial" w:cs="Arial" w:eastAsia="Arial" w:hAnsi="Arial"/>
          <w:sz w:val="18"/>
          <w:szCs w:val="18"/>
          <w:color w:val="auto"/>
        </w:rPr>
        <w:t>TripAdvisor is a globally-recognized travel brand built on travel reviews and travel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large, global travel audience leverages TripAdvisor’s rich content to discover, plan, and book travel experiences. We seek to further amplify our global brand by raising consumer awareness for – and engagement with – our end-to-end product offerings, such as the ability to seamlessly research, price compare, book and share travel experiences on our platform. We believe building deeper, more durable consumer relationships can attract more consumers more frequently to our products, either directly to our websites and mobile apps or through various online and offline marketing channels, and that these consumers will then become qualified leads that we can provide to our partners. These channels include search engines through search engine optimization, or SEO, and search engine marketing, or SEM, retargeting and television, or brand advertising.</w:t>
      </w:r>
    </w:p>
    <w:p>
      <w:pPr>
        <w:spacing w:after="0" w:line="84" w:lineRule="exact"/>
        <w:rPr>
          <w:rFonts w:ascii="Arial" w:cs="Arial" w:eastAsia="Arial" w:hAnsi="Arial"/>
          <w:sz w:val="18"/>
          <w:szCs w:val="18"/>
          <w:color w:val="auto"/>
        </w:rPr>
      </w:pPr>
    </w:p>
    <w:p>
      <w:pPr>
        <w:ind w:left="1040" w:right="240" w:hanging="438"/>
        <w:spacing w:after="0" w:line="302"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the best consumer experience possible on our platform. </w:t>
      </w:r>
      <w:r>
        <w:rPr>
          <w:rFonts w:ascii="Arial" w:cs="Arial" w:eastAsia="Arial" w:hAnsi="Arial"/>
          <w:sz w:val="16"/>
          <w:szCs w:val="16"/>
          <w:color w:val="auto"/>
        </w:rPr>
        <w:t>We believe delivering consumers a more holistic, end-to-end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is critically important for the long-term health of our business. We have invested – and will continue to invest – in product enhancements that ensure TripAdvisor gives consumers an assistive experience throughout all phases of the travel journey – from inspiration and discovery, to researching, price shopping and booking, to finding and booking things to do and places to eat, to sharing.</w:t>
      </w:r>
    </w:p>
    <w:p>
      <w:pPr>
        <w:spacing w:after="0" w:line="46" w:lineRule="exact"/>
        <w:rPr>
          <w:rFonts w:ascii="Arial" w:cs="Arial" w:eastAsia="Arial" w:hAnsi="Arial"/>
          <w:sz w:val="16"/>
          <w:szCs w:val="16"/>
          <w:color w:val="auto"/>
        </w:rPr>
      </w:pPr>
    </w:p>
    <w:p>
      <w:pPr>
        <w:ind w:left="1040" w:right="60" w:hanging="438"/>
        <w:spacing w:after="0" w:line="272"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Deepen relationships with our travel partners. </w:t>
      </w:r>
      <w:r>
        <w:rPr>
          <w:rFonts w:ascii="Arial" w:cs="Arial" w:eastAsia="Arial" w:hAnsi="Arial"/>
          <w:sz w:val="17"/>
          <w:szCs w:val="17"/>
          <w:color w:val="auto"/>
        </w:rPr>
        <w:t>Our large, global audience makes it an attractive platform for listing and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opportunities that helps generate impressions, brand awareness, qualified leads and bookings for travel partners. We believe that growing the number of listings and bookable supply, especially in our in-destination Experiences and Restaurants offerings, enables consumers not only to find and book the perfect trip, but also enables partners to drive transactions for their business. We also provide business-to-business services – including subscription-based advertising services, such as TripAdvisor’s Business Advantage for hoteliers and Premium for Restaurants, which are advertising opportunities and marketing analytics tools – that are designed to help our partners attract customers, more effectively manage their presence on TripAdvisor, and grow their business.</w:t>
      </w:r>
    </w:p>
    <w:p>
      <w:pPr>
        <w:spacing w:after="0" w:line="69" w:lineRule="exact"/>
        <w:rPr>
          <w:rFonts w:ascii="Arial" w:cs="Arial" w:eastAsia="Arial" w:hAnsi="Arial"/>
          <w:sz w:val="17"/>
          <w:szCs w:val="17"/>
          <w:color w:val="auto"/>
        </w:rPr>
      </w:pPr>
    </w:p>
    <w:p>
      <w:pPr>
        <w:ind w:left="1040" w:right="60" w:hanging="438"/>
        <w:spacing w:after="0" w:line="276"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 in technology and product. </w:t>
      </w:r>
      <w:r>
        <w:rPr>
          <w:rFonts w:ascii="Arial" w:cs="Arial" w:eastAsia="Arial" w:hAnsi="Arial"/>
          <w:sz w:val="17"/>
          <w:szCs w:val="17"/>
          <w:color w:val="auto"/>
        </w:rPr>
        <w:t>We prioritize rapid product-testing and speed to market as we seek to deliver consumers a richer experience.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launch new product features on our websites and mobile apps on a regular product release cycle. Also, during the year ended December 31, 2018, more than half of our average monthly unique visitors came from mobile phones, according to our log files. We have invested – and will continue to invest – to improve the features, functionality, consumer engagement, and commercialization of our offerings on all devices to meet, and hopefully, exceed, evolving consumer needs and expectations.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Competition</w:t>
      </w:r>
    </w:p>
    <w:p>
      <w:pPr>
        <w:spacing w:after="0" w:line="121"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We compete in a large, dynamic and competitive global travel industry. We face competition for content, consumers, and advertisers from other online travel and price comparison services (known in the industry as “metasearch”), as well as OTAs. In order to favorably attract consumers to our websites and mobile apps, we invest to amplify our global brand and raise consumer awareness of, and engagement with, our end-to-end product offerings. We invest through various marketing channels, including domain direct and various online and offline marketing channels, including online search engines (primarily Google), social media, emails and in more recent years, through television brand advertising. The relative success of our marketing strategy can be influenced by changes that we, our partners, or our competitors make to our respective products and marketing strategies. During 2018, our total advertising expense was approximately $544 million, primarily driven by investments in online search engines, and to a lesser extent, investments in offline marketing channels, which was primarily television advertising. We intend to continue to promote brand awareness through both online and offline advertising efforts.</w:t>
      </w:r>
    </w:p>
    <w:p>
      <w:pPr>
        <w:spacing w:after="0" w:line="58"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We compete with different types of companies in the various markets and geographies in which we operate, including large and small companies in the travel space as well as broader service providers. More specifically:</w:t>
      </w:r>
    </w:p>
    <w:p>
      <w:pPr>
        <w:spacing w:after="0" w:line="62" w:lineRule="exact"/>
        <w:rPr>
          <w:sz w:val="20"/>
          <w:szCs w:val="20"/>
          <w:color w:val="auto"/>
        </w:rPr>
      </w:pPr>
    </w:p>
    <w:p>
      <w:pPr>
        <w:ind w:left="1180" w:right="120" w:hanging="429"/>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our Hotel segment, we face competition from, and in some cases partner with, the following businesses: OTAs (including Expedia Group, Inc., or Expedia, and Booking Holdings Inc., or Booking,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ind w:left="1180" w:right="60"/>
        <w:spacing w:after="0" w:line="259" w:lineRule="auto"/>
        <w:rPr>
          <w:sz w:val="20"/>
          <w:szCs w:val="20"/>
          <w:color w:val="auto"/>
        </w:rPr>
      </w:pPr>
      <w:r>
        <w:rPr>
          <w:rFonts w:ascii="Arial" w:cs="Arial" w:eastAsia="Arial" w:hAnsi="Arial"/>
          <w:sz w:val="18"/>
          <w:szCs w:val="18"/>
          <w:color w:val="auto"/>
        </w:rPr>
        <w:t>and many of their respective subsidiaries and operating companies); hotel metasearch providers (including trivago, a subsidiary of Expedia, Kayak and HotelsCombined, subsidiaries of Booking, and Ctrip.com International, Ltd); large online search, social media, and marketplace platforms and companies (including Google, Facebook, Microsoft’s Bing, Yahoo, Baidu, Alibaba, and Amazon); and traditional offline travel agencies; and global hotel chains seeking to promote direct bookings.</w:t>
      </w:r>
    </w:p>
    <w:p>
      <w:pPr>
        <w:spacing w:after="0" w:line="79" w:lineRule="exact"/>
        <w:rPr>
          <w:sz w:val="20"/>
          <w:szCs w:val="20"/>
          <w:color w:val="auto"/>
        </w:rPr>
      </w:pPr>
    </w:p>
    <w:p>
      <w:pPr>
        <w:ind w:left="1180" w:right="20" w:hanging="429"/>
        <w:spacing w:after="0" w:line="276" w:lineRule="auto"/>
        <w:tabs>
          <w:tab w:leader="none" w:pos="1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our Non-Hotel segment, Experiences competes with online travel agencies, such as Airbnb, Booking, and GetYourGuide; traditional travel agencies; online travel service providers; and wholesalers, among others. Our Restaurants offering competes with other online restaurant reservation services, such as SeatMe (owned by Yelp) and OpenTable (a subsidiary of Booking), and local or regional providers. Our Rentals offering competes with companies focused on alternative lodging and shared accommodations and online accommodation searches, including Airbnb, HomeAway (a subsidiary of Expedia) and Booking.com (a subsidiary of Booking).</w:t>
      </w:r>
    </w:p>
    <w:p>
      <w:pPr>
        <w:spacing w:after="0" w:line="173"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As the industry continues to shift towards online travel services and the technology supporting it continues to evolve, we anticipate that the existing competitive landscape will continue to change, new competitors may emerge, and industry consolidation may continue.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Relationships</w:t>
      </w:r>
    </w:p>
    <w:p>
      <w:pPr>
        <w:spacing w:after="0" w:line="121"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We have a number of commercial relationships that are important to the success of our business. Although these relationships are memorialized in agreements, many of these agreements are for limited terms or are terminable at will or on short notice. As a result, we seek to ensure the mutual success of these relationships.</w:t>
      </w:r>
    </w:p>
    <w:p>
      <w:pPr>
        <w:spacing w:after="0" w:line="181" w:lineRule="exact"/>
        <w:rPr>
          <w:sz w:val="20"/>
          <w:szCs w:val="20"/>
          <w:color w:val="auto"/>
        </w:rPr>
      </w:pPr>
    </w:p>
    <w:p>
      <w:pPr>
        <w:jc w:val="both"/>
        <w:ind w:firstLine="598"/>
        <w:spacing w:after="0" w:line="257" w:lineRule="auto"/>
        <w:rPr>
          <w:sz w:val="20"/>
          <w:szCs w:val="20"/>
          <w:color w:val="auto"/>
        </w:rPr>
      </w:pPr>
      <w:r>
        <w:rPr>
          <w:rFonts w:ascii="Arial" w:cs="Arial" w:eastAsia="Arial" w:hAnsi="Arial"/>
          <w:sz w:val="18"/>
          <w:szCs w:val="18"/>
          <w:color w:val="auto"/>
        </w:rPr>
        <w:t>We have commercial relationships with the majority of the world’s leading OTAs, as well as a variety of other travel partners pursuant to which these companies primarily purchase traveler leads from us, generally on a click-based advertising basis. For the years ended December 31, 2018, 2017 and 2016 our two most significant travel partners were Expedia (and its subsidiaries) and Booking (and its subsidiaries), each of which accounted for more than 10% of our consolidated revenue and together accounted for approximately 37%, 43% and 46% of our consolidated revenue, respectively. Nearly all of this concentration of revenue is recorded in our Hotel segment for these reporting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Technology</w:t>
      </w:r>
    </w:p>
    <w:p>
      <w:pPr>
        <w:spacing w:after="0" w:line="121"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personalization technologies, scalable infrastructures, networking, data warehousing, and search engine technologies.</w:t>
      </w:r>
    </w:p>
    <w:p>
      <w:pPr>
        <w:spacing w:after="0" w:line="154"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Our systems infrastructure and web and database servers for TripAdvisor-branded websites are housed at two geographically separate facilities and have multiple communication links as well as continuous monitoring and engineering support. Each facility is fully self-sufficient and operational with its own hardware, networking, software and content, and is structured in an active/passive, fully redundant configuration. Substantially all of our software components, data, and content are replicated in multiple datacenters and development centers, as well as being backed up at offsite locations. Our systems are monitored and protected though multiple layers of security. Several of our individual subsidiaries and businesses, including Viator, have their own data infrastructure and technology teams.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540" w:firstLine="598"/>
        <w:spacing w:after="0" w:line="264" w:lineRule="auto"/>
        <w:rPr>
          <w:sz w:val="20"/>
          <w:szCs w:val="20"/>
          <w:color w:val="auto"/>
        </w:rPr>
      </w:pPr>
      <w:r>
        <w:rPr>
          <w:rFonts w:ascii="Arial" w:cs="Arial" w:eastAsia="Arial" w:hAnsi="Arial"/>
          <w:sz w:val="18"/>
          <w:szCs w:val="18"/>
          <w:color w:val="auto"/>
        </w:rPr>
        <w:t>Our intellectual property, including patents, trademarks, copyrights, domain names, trade dress, proprietary technology and trade secrets, is an important component of our business. We rely on our intellectual property rights in our content, proprietary technology, software code, ratings indexes, databases of reviews and forum content. We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right="780"/>
        <w:spacing w:after="0" w:line="277" w:lineRule="auto"/>
        <w:rPr>
          <w:sz w:val="20"/>
          <w:szCs w:val="20"/>
          <w:color w:val="auto"/>
        </w:rPr>
      </w:pPr>
      <w:r>
        <w:rPr>
          <w:rFonts w:ascii="Arial" w:cs="Arial" w:eastAsia="Arial" w:hAnsi="Arial"/>
          <w:sz w:val="18"/>
          <w:szCs w:val="18"/>
          <w:color w:val="auto"/>
        </w:rPr>
        <w:t>have acquired some of our intellectual property rights through licenses and content agreements with third parties and these arrangements may place restrictions on the use of our intellectual property.</w:t>
      </w:r>
    </w:p>
    <w:p>
      <w:pPr>
        <w:spacing w:after="0" w:line="170"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We protect our intellectual property by relying on our terms of use, confidentiality agreements and contractual provisions, as well as on international, national, federal, state and common law rights. We protect our brands by pursuing the trademark registration of our core brands, as appropriate,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the use of intellectual property licenses and an enforcement program.</w:t>
      </w:r>
    </w:p>
    <w:p>
      <w:pPr>
        <w:spacing w:after="0" w:line="188" w:lineRule="exact"/>
        <w:rPr>
          <w:sz w:val="20"/>
          <w:szCs w:val="20"/>
          <w:color w:val="auto"/>
        </w:rPr>
      </w:pPr>
    </w:p>
    <w:p>
      <w:pPr>
        <w:ind w:right="480" w:firstLine="598"/>
        <w:spacing w:after="0" w:line="264" w:lineRule="auto"/>
        <w:rPr>
          <w:sz w:val="20"/>
          <w:szCs w:val="20"/>
          <w:color w:val="auto"/>
        </w:rPr>
      </w:pPr>
      <w:r>
        <w:rPr>
          <w:rFonts w:ascii="Arial" w:cs="Arial" w:eastAsia="Arial" w:hAnsi="Arial"/>
          <w:sz w:val="18"/>
          <w:szCs w:val="18"/>
          <w:color w:val="auto"/>
        </w:rPr>
        <w:t>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w:t>
      </w:r>
    </w:p>
    <w:p>
      <w:pPr>
        <w:spacing w:after="0" w:line="181"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In connection with our copyrightable content, we post and institute procedures under the U.S. Digital Millennium Copyright Act and similar “host privilege” statutes worldwide to gain immunity from copyright liability for photographs, text and other content loaded on our sites by users. However, differences between statutes, limitations on immunity, and moderation efforts in the many jurisdictions in which we operate may affect our ability to claim immunity.</w:t>
      </w:r>
    </w:p>
    <w:p>
      <w:pPr>
        <w:spacing w:after="0" w:line="18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From time to time, we may be subject to legal proceedings and claims in the ordinary course of our business, including claims of alleged infringement by us of the trademarks, copyrights, patents, and other intellectual property rights of third parties. In addition, litigation may be necessary in the future to enforce our intellectual property rights, protect our trade secrets or determine the validity and scope of proprietary rights claimed by others. Any such litigation, regardless of outcome or merit, could result in substantial costs and diversion of management and technical resources, any of which could materially harm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We are subject to a number of laws and regulations that affect companies conducting business on the internet and relating to the travel industry, the vacation rental industry and the provision of travel services. As we continue to expand the reach of our brands into additional international markets, we are increasingly subject to additional laws and regulations. This includes laws and regulations regarding, among other matters, consumer privacy, libel, rights of publicity, data protection, content, intellectual property, distribution, electronic contracts and other communications, consumer protection, taxation, online payment services, competition and protection of minors. These laws and regulations are constantly evolving and can be subject to significant change. Many of these laws and regulations are being tested in courts, and could be interpreted by regulators and courts in ways that could harm our business. In addition, the application and interpretation of these laws and regulations is often uncertain, particularly in the new and rapidly-evolving industry in which we operate.</w:t>
      </w:r>
    </w:p>
    <w:p>
      <w:pPr>
        <w:spacing w:after="0" w:line="167"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In addition, we provide advertising data and information and conduct marketing activities that are subject to consumer protection laws that regulate unfair and deceptive practices, domestically and internationally, including, in some countries, pricing display requirements, licensing and registration requirements and industry specific value-added tax regimes. The United States and European Union have adopted legislation that regulates certain aspects of the internet, including online editorial and user-generated content, data privacy, behavioral targeting and online advertising, taxation, and liability for third-party activities. It is impossible to accurately predict how this new legislation will be interpreted and applied or whether new taxes or regulations will be imposed on our services, and whether or how we might be affected. Increased regulation of the internet could increase the cost of doing business or otherwise materially adversely affect our business, financial condition or operational results.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 w:name="page10"/>
    <w:bookmarkEnd w:id="9"/>
    <w:p>
      <w:pPr>
        <w:ind w:right="200" w:firstLine="598"/>
        <w:spacing w:after="0" w:line="297" w:lineRule="auto"/>
        <w:rPr>
          <w:sz w:val="20"/>
          <w:szCs w:val="20"/>
          <w:color w:val="auto"/>
        </w:rPr>
      </w:pPr>
      <w:r>
        <w:rPr>
          <w:rFonts w:ascii="Arial" w:cs="Arial" w:eastAsia="Arial" w:hAnsi="Arial"/>
          <w:sz w:val="16"/>
          <w:szCs w:val="16"/>
          <w:color w:val="auto"/>
        </w:rPr>
        <w:t>We are subject to laws that require protection of user privacy and user data. As our business has evolved, we have begun to receive and store a greater volume of personally identifiable data. This data is increasingly subject to laws and regulations in numerous jurisdictions around the world. For example, the European Union, in May 2018, adopted the General Data Protection Regulation, or GDPR, which requires companies, including ours, to meet enhanced requirements regarding the handling of personal data. The enactment, interpretation and application of this law is still in a state of flux, and the interpretation and application of GDPR may vary from country to country. In addition, similar laws are currently under discussion in other jurisdictions.</w:t>
      </w:r>
    </w:p>
    <w:p>
      <w:pPr>
        <w:spacing w:after="0" w:line="158" w:lineRule="exact"/>
        <w:rPr>
          <w:sz w:val="20"/>
          <w:szCs w:val="20"/>
          <w:color w:val="auto"/>
        </w:rPr>
      </w:pPr>
    </w:p>
    <w:p>
      <w:pPr>
        <w:ind w:right="540" w:firstLine="598"/>
        <w:spacing w:after="0" w:line="286" w:lineRule="auto"/>
        <w:rPr>
          <w:sz w:val="20"/>
          <w:szCs w:val="20"/>
          <w:color w:val="auto"/>
        </w:rPr>
      </w:pPr>
      <w:r>
        <w:rPr>
          <w:rFonts w:ascii="Arial" w:cs="Arial" w:eastAsia="Arial" w:hAnsi="Arial"/>
          <w:sz w:val="17"/>
          <w:szCs w:val="17"/>
          <w:color w:val="auto"/>
        </w:rPr>
        <w:t>Also, on June 23, 2016, the United Kingdom passed a referendum to exit the European Union, known as Brexit. Since the terms of the United Kingdom’s exit from the European Union are uncertain, we are unable to predict the effect Brexit will have on our business and results of operations; however, we will likely face new regulatory costs and challenges if the U.K. regulations diverge from those of the European Union.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Equity Ownership and Voting Control</w:t>
      </w:r>
    </w:p>
    <w:p>
      <w:pPr>
        <w:spacing w:after="0" w:line="121"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TripAdvisor was co-founded in February 2000 by Stephen Kaufer, our current Chief Executive Officer and President. In April 2004, TripAdvisor was acquired by IAC/InterActiveCorp, or IAC. In August 2005, IAC spun-off its portfolio of travel brands, including TripAdvisor, into Expedia, at the time a separate newly-formed Delaware corporation. On December 20, 2011 Expedia completed a spin-off of TripAdvisor into a separate publicly-traded Delaware corporation. We refer to this second spin-off transaction as the “Spin-Off.” Following the Spin-Off, on December 21, 2011, TripAdvisor began trading on The NASDAQ Global Select Market, or NASDAQ, as an independent public company under the trading symbol “TRIP.”</w:t>
      </w:r>
    </w:p>
    <w:p>
      <w:pPr>
        <w:spacing w:after="0" w:line="173" w:lineRule="exact"/>
        <w:rPr>
          <w:sz w:val="20"/>
          <w:szCs w:val="20"/>
          <w:color w:val="auto"/>
        </w:rPr>
      </w:pPr>
    </w:p>
    <w:p>
      <w:pPr>
        <w:ind w:right="100" w:firstLine="598"/>
        <w:spacing w:after="0" w:line="286" w:lineRule="auto"/>
        <w:rPr>
          <w:sz w:val="20"/>
          <w:szCs w:val="20"/>
          <w:color w:val="auto"/>
        </w:rPr>
      </w:pPr>
      <w:r>
        <w:rPr>
          <w:rFonts w:ascii="Arial" w:cs="Arial" w:eastAsia="Arial" w:hAnsi="Arial"/>
          <w:sz w:val="17"/>
          <w:szCs w:val="17"/>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66" w:lineRule="exact"/>
        <w:rPr>
          <w:sz w:val="20"/>
          <w:szCs w:val="20"/>
          <w:color w:val="auto"/>
        </w:rPr>
      </w:pPr>
    </w:p>
    <w:p>
      <w:pPr>
        <w:ind w:right="320" w:firstLine="598"/>
        <w:spacing w:after="0" w:line="302" w:lineRule="auto"/>
        <w:rPr>
          <w:sz w:val="20"/>
          <w:szCs w:val="20"/>
          <w:color w:val="auto"/>
        </w:rPr>
      </w:pPr>
      <w:r>
        <w:rPr>
          <w:rFonts w:ascii="Arial" w:cs="Arial" w:eastAsia="Arial" w:hAnsi="Arial"/>
          <w:sz w:val="16"/>
          <w:szCs w:val="16"/>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54" w:lineRule="exact"/>
        <w:rPr>
          <w:sz w:val="20"/>
          <w:szCs w:val="20"/>
          <w:color w:val="auto"/>
        </w:rPr>
      </w:pPr>
    </w:p>
    <w:p>
      <w:pPr>
        <w:ind w:right="120" w:firstLine="598"/>
        <w:spacing w:after="0" w:line="288" w:lineRule="auto"/>
        <w:rPr>
          <w:sz w:val="20"/>
          <w:szCs w:val="20"/>
          <w:color w:val="auto"/>
        </w:rPr>
      </w:pPr>
      <w:r>
        <w:rPr>
          <w:rFonts w:ascii="Arial" w:cs="Arial" w:eastAsia="Arial" w:hAnsi="Arial"/>
          <w:sz w:val="16"/>
          <w:szCs w:val="16"/>
          <w:color w:val="auto"/>
        </w:rPr>
        <w:t>As a result of these transactions, as of December 31, 2018, LTRIP beneficially owned approximately 18.2 million shares of our common stock and 12.8 million shares of our Class B common stock, which constitute 14.5% of the outstanding shares of common stock and 100% of the outstanding shares of Class B common stock. Assuming the conversion of all of LTRIP’s shares of Class B common stock into common stock, LTRIP would beneficially own</w:t>
      </w:r>
    </w:p>
    <w:p>
      <w:pPr>
        <w:ind w:right="200"/>
        <w:spacing w:after="0" w:line="290" w:lineRule="auto"/>
        <w:rPr>
          <w:sz w:val="20"/>
          <w:szCs w:val="20"/>
          <w:color w:val="auto"/>
        </w:rPr>
      </w:pPr>
      <w:r>
        <w:rPr>
          <w:rFonts w:ascii="Arial" w:cs="Arial" w:eastAsia="Arial" w:hAnsi="Arial"/>
          <w:sz w:val="17"/>
          <w:szCs w:val="17"/>
          <w:color w:val="auto"/>
        </w:rPr>
        <w:t>22.5% of the outstanding common stock. Because each share of Class B common stock is entitled to ten votes per share and each share of common stock is entitled to one vote per share, LTRIP may be deemed to beneficially own equity securities representing 57.7% of our voting power.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As of December 31, 2018, we had 3,366 employees. Of these employees, approximately half of these employees were based in the United States. We believe we have good relationships with our employees, including relationships with employees represented by international works councils or other similar organizations.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jc w:val="both"/>
        <w:ind w:right="480" w:firstLine="598"/>
        <w:spacing w:after="0" w:line="264" w:lineRule="auto"/>
        <w:rPr>
          <w:sz w:val="20"/>
          <w:szCs w:val="20"/>
          <w:color w:val="auto"/>
        </w:rPr>
      </w:pPr>
      <w:r>
        <w:rPr>
          <w:rFonts w:ascii="Arial" w:cs="Arial" w:eastAsia="Arial" w:hAnsi="Arial"/>
          <w:sz w:val="18"/>
          <w:szCs w:val="18"/>
          <w:color w:val="auto"/>
        </w:rPr>
        <w:t>We maintain a corporate website at ir.tripadvisor.com. Except as explicitly noted, the information on our website, as well as the websites of our various brands and businesses, is not incorporated by reference in this Annual Report on Form 10-K, or in any other filings with, or in any information furnished or submitted to, the SEC.</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 w:name="page11"/>
    <w:bookmarkEnd w:id="10"/>
    <w:p>
      <w:pPr>
        <w:ind w:firstLine="598"/>
        <w:spacing w:after="0" w:line="293" w:lineRule="auto"/>
        <w:rPr>
          <w:sz w:val="20"/>
          <w:szCs w:val="20"/>
          <w:color w:val="auto"/>
        </w:rPr>
      </w:pPr>
      <w:r>
        <w:rPr>
          <w:rFonts w:ascii="Arial" w:cs="Arial" w:eastAsia="Arial" w:hAnsi="Arial"/>
          <w:sz w:val="16"/>
          <w:szCs w:val="16"/>
          <w:color w:val="auto"/>
        </w:rPr>
        <w:t>On our Investor Relations website (http://ir.tripadvisor.com/investor-relations), we provide our Annual Reports on Form 10-K, Quarterly Reports on Form 10-Q and Current Reports on Form 8-K, and amendments to these reports free of charge. These reports are available on our website as soon as reasonably practicable after we electronically file or furnish these reports to the SEC or publish through press releases, public conference calls and certain webcasts. All documents filed electronically with the SEC (including reports, proxy and information statements and other information) are also available at www.sec.gov. Investors and others should be aware that we use our investor relations website (http://ir.tripadvisor.com/investor-relations) to announce material financial information to our investors as well as communicate with the public about our company, our results of operations and other information.</w:t>
      </w:r>
    </w:p>
    <w:p>
      <w:pPr>
        <w:spacing w:after="0" w:line="165" w:lineRule="exact"/>
        <w:rPr>
          <w:sz w:val="20"/>
          <w:szCs w:val="20"/>
          <w:color w:val="auto"/>
        </w:rPr>
      </w:pPr>
    </w:p>
    <w:p>
      <w:pPr>
        <w:jc w:val="both"/>
        <w:ind w:right="200" w:firstLine="598"/>
        <w:spacing w:after="0" w:line="264" w:lineRule="auto"/>
        <w:rPr>
          <w:sz w:val="20"/>
          <w:szCs w:val="20"/>
          <w:color w:val="auto"/>
        </w:rPr>
      </w:pPr>
      <w:r>
        <w:rPr>
          <w:rFonts w:ascii="Arial" w:cs="Arial" w:eastAsia="Arial" w:hAnsi="Arial"/>
          <w:sz w:val="18"/>
          <w:szCs w:val="18"/>
          <w:color w:val="auto"/>
        </w:rPr>
        <w:t>We post our code of business conduct and ethics, which applies to all employees, including all executive officers, senior financial officers and directors, on our corporate website at www.tripadvisor.com. We intend to disclose any waivers of the code of ethics for our executive officers, senior financial officers or directors, on our corporate website.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11" w:name="page12"/>
    <w:bookmarkEnd w:id="11"/>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right="40" w:firstLine="598"/>
        <w:spacing w:after="0" w:line="302"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Annual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3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increase visitors to our websites and mobile apps, to cost-effectively convert these visitors into revenue-generating users and to continue to engage our users, our revenue, financial results and business could be harmed.</w:t>
      </w:r>
    </w:p>
    <w:p>
      <w:pPr>
        <w:spacing w:after="0" w:line="170" w:lineRule="exact"/>
        <w:rPr>
          <w:sz w:val="20"/>
          <w:szCs w:val="20"/>
          <w:color w:val="auto"/>
        </w:rPr>
      </w:pPr>
    </w:p>
    <w:p>
      <w:pPr>
        <w:ind w:right="60" w:firstLine="598"/>
        <w:spacing w:after="0" w:line="269" w:lineRule="auto"/>
        <w:rPr>
          <w:sz w:val="20"/>
          <w:szCs w:val="20"/>
          <w:color w:val="auto"/>
        </w:rPr>
      </w:pPr>
      <w:r>
        <w:rPr>
          <w:rFonts w:ascii="Arial" w:cs="Arial" w:eastAsia="Arial" w:hAnsi="Arial"/>
          <w:sz w:val="17"/>
          <w:szCs w:val="17"/>
          <w:color w:val="auto"/>
        </w:rPr>
        <w:t>Our long term success depends on our continued ability to increase the overall number of visitors flowing through our platforms in a cost-effective manner, to convert those visitors into consumers and then to continue to engage those consumers throughout the travel planning, booking and trip-taking phases. Our traffic and user engagement could be adversely affected by a number of factors, including but not limited to, increased competition; inability to provide quality content, inventory or supply to our consumers; declines or inefficiencies in traffic acquisition; reduced awareness of our brands; and macroeconomic conditions. Certain of our competitors have advertising campaigns expressly designed to drive traffic directly to their websites, and these campaigns may negatively impact traffic to our site. We anticipate that traffic growth could decline over time, and potentially even decrease in certain periods, as our business matures, and that our success will become increasingly dependent on our ability to increase levels of user engagement on our platform. There can be no assurances that we will continue to provide content and products in a manner that meets rapidly changing demand.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29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b w:val="1"/>
          <w:bCs w:val="1"/>
          <w:i w:val="1"/>
          <w:iCs w:val="1"/>
          <w:color w:val="auto"/>
        </w:rPr>
        <w:t>We rely on internet search engines and application marketplaces to drive traffic to our platform, certain providers of which offer products and services that compete directly with our products. If links to our websites and apps are not displayed prominently, traffic to our platform could decline and our business would be negatively affected.</w:t>
      </w:r>
    </w:p>
    <w:p>
      <w:pPr>
        <w:spacing w:after="0" w:line="181" w:lineRule="exact"/>
        <w:rPr>
          <w:sz w:val="20"/>
          <w:szCs w:val="20"/>
          <w:color w:val="auto"/>
        </w:rPr>
      </w:pPr>
    </w:p>
    <w:p>
      <w:pPr>
        <w:ind w:right="20" w:firstLine="598"/>
        <w:spacing w:after="0" w:line="287" w:lineRule="auto"/>
        <w:rPr>
          <w:sz w:val="20"/>
          <w:szCs w:val="20"/>
          <w:color w:val="auto"/>
        </w:rPr>
      </w:pPr>
      <w:r>
        <w:rPr>
          <w:rFonts w:ascii="Arial" w:cs="Arial" w:eastAsia="Arial" w:hAnsi="Arial"/>
          <w:sz w:val="16"/>
          <w:szCs w:val="16"/>
          <w:color w:val="auto"/>
        </w:rPr>
        <w:t>We rely heavily on internet search engines, such as Google, to generate a significant amount of traffic to our websites, principally through the purchase of travel-related keywords (what is also known as search engine marketing, or SEM) as well as through free, or organic, search (what is also known as search engine optimization, or SEO). The number of consumers we attract from search engines to our platform is due in large part to how and where information from, and links to, our websites are displayed on search engine results pages. The display, including rankings, of search results can be affected by a number of factors, many of which are not in our control and may change frequently. Search engines frequently update and change the logic that determines the placement and display of the results of a user’s search, such that the purchased or algorithmic placement of links to our websites can be negatively affected. In addition, a search engine could, for competitive or other purposes, alter its search algorithms or results causing our websites to place lower in search query results. If a major search engine changes its algorithms in a manner that negatively affects the search engine ranking of our websites or those of our partners, or if competitive dynamics impact the cost or effectiveness of SEO or SEM in a negative manner, our business and financial performance would be adversely affected. Furthermore, our failure to successfully manage our SEO and SEM strategies and/or other traffic acquisition strategies could result in a substantial decrease in traffic to our websites, as well as increased costs to the extent we replace free traffic with paid traffic.</w:t>
      </w:r>
    </w:p>
    <w:p>
      <w:pPr>
        <w:spacing w:after="0" w:line="173"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In some instances, search and metasearch companies and application marketplaces may change their displays or rankings in order to promote their own competing products or services or the products or services of one or more of our competitors. Google in particular is the most significant source of traffic to our website, accounting for a</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12" w:name="page13"/>
    <w:bookmarkEnd w:id="12"/>
    <w:p>
      <w:pPr>
        <w:spacing w:after="0" w:line="279" w:lineRule="auto"/>
        <w:rPr>
          <w:sz w:val="20"/>
          <w:szCs w:val="20"/>
          <w:color w:val="auto"/>
        </w:rPr>
      </w:pPr>
      <w:r>
        <w:rPr>
          <w:rFonts w:ascii="Arial" w:cs="Arial" w:eastAsia="Arial" w:hAnsi="Arial"/>
          <w:sz w:val="17"/>
          <w:szCs w:val="17"/>
          <w:color w:val="auto"/>
        </w:rPr>
        <w:t>substantial portion of the visits to our websites and our success depends on our ability to maintain a prominent presence in search results for queries regarding local businesses on Google. Google frequently promotes its own competing products in its web search results, which has negatively impacted the search ranking of our website. Google’s promotion of its own competing products, or similar actions by Google in the future that have the effect of reducing our prominence or ranking on its search results, could have a substantial negative effect on our business and results of operations.</w:t>
      </w:r>
    </w:p>
    <w:p>
      <w:pPr>
        <w:spacing w:after="0" w:line="171" w:lineRule="exact"/>
        <w:rPr>
          <w:sz w:val="20"/>
          <w:szCs w:val="20"/>
          <w:color w:val="auto"/>
        </w:rPr>
      </w:pPr>
    </w:p>
    <w:p>
      <w:pPr>
        <w:jc w:val="both"/>
        <w:ind w:right="100" w:firstLine="598"/>
        <w:spacing w:after="0" w:line="255" w:lineRule="auto"/>
        <w:rPr>
          <w:sz w:val="20"/>
          <w:szCs w:val="20"/>
          <w:color w:val="auto"/>
        </w:rPr>
      </w:pPr>
      <w:r>
        <w:rPr>
          <w:rFonts w:ascii="Arial" w:cs="Arial" w:eastAsia="Arial" w:hAnsi="Arial"/>
          <w:sz w:val="18"/>
          <w:szCs w:val="18"/>
          <w:color w:val="auto"/>
        </w:rPr>
        <w:t>We also rely on application marketplaces, or app stores such as Apple’s App Store and Google’s Play, to drive downloads of our applications. In the future, Apple, Google or other marketplace operators may make changes to their marketplaces that make access to our products more difficult. For example, Google has entered various aspects of the online travel market, including by establishing a flight metasearch product and hotel metasearch product as well as reservation functionality.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30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70"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We derive a substantial portion of our revenue from the sale of advertising, primarily through click-based advertising and, to a lesser extent, display-based and subscription-based advertising. We enter into advertising contracts with our advertising partners; however, the agreement terms are generally limited to legal matters, with campaign details and economics governed by insertion orders, and most of these contracts can be terminated by our partners at will or on short notice. 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 revenue and profit on a cost-effective basis. Our ability to provide value to our advertising partners depends on a number of factors, including effectiveness of online advertising,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advertising revenue could be impacted by a number of other factors, including, but not limited to, the following:</w:t>
      </w:r>
    </w:p>
    <w:p>
      <w:pPr>
        <w:spacing w:after="0" w:line="117" w:lineRule="exact"/>
        <w:rPr>
          <w:sz w:val="20"/>
          <w:szCs w:val="20"/>
          <w:color w:val="auto"/>
        </w:rPr>
      </w:pPr>
    </w:p>
    <w:p>
      <w:pPr>
        <w:ind w:left="1180" w:hanging="429"/>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increase or maintain user engagement, including time spent on our platform;</w:t>
      </w:r>
    </w:p>
    <w:p>
      <w:pPr>
        <w:spacing w:after="0" w:line="117" w:lineRule="exact"/>
        <w:rPr>
          <w:rFonts w:ascii="Arial" w:cs="Arial" w:eastAsia="Arial" w:hAnsi="Arial"/>
          <w:sz w:val="18"/>
          <w:szCs w:val="18"/>
          <w:color w:val="auto"/>
        </w:rPr>
      </w:pPr>
    </w:p>
    <w:p>
      <w:pPr>
        <w:ind w:left="1180" w:right="420" w:hanging="429"/>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increase or maintain the quantity and quality of ads shown to consumers, including as a result of technical infrastructure constraints;</w:t>
      </w:r>
    </w:p>
    <w:p>
      <w:pPr>
        <w:spacing w:after="0" w:line="62" w:lineRule="exact"/>
        <w:rPr>
          <w:rFonts w:ascii="Arial" w:cs="Arial" w:eastAsia="Arial" w:hAnsi="Arial"/>
          <w:sz w:val="18"/>
          <w:szCs w:val="18"/>
          <w:color w:val="auto"/>
        </w:rPr>
      </w:pPr>
    </w:p>
    <w:p>
      <w:pPr>
        <w:ind w:left="1180" w:right="600" w:hanging="429"/>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of technologies that can block the display of our ads or block our ad measurement tools, particularly for advertising displayed on tablets and/or on mobile platforms;</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ad targeting or degree to which consumers opt out of certain types of ad targeting;</w:t>
      </w:r>
    </w:p>
    <w:p>
      <w:pPr>
        <w:spacing w:after="0" w:line="117" w:lineRule="exact"/>
        <w:rPr>
          <w:rFonts w:ascii="Arial" w:cs="Arial" w:eastAsia="Arial" w:hAnsi="Arial"/>
          <w:sz w:val="18"/>
          <w:szCs w:val="18"/>
          <w:color w:val="auto"/>
        </w:rPr>
      </w:pPr>
    </w:p>
    <w:p>
      <w:pPr>
        <w:ind w:left="1180" w:right="900" w:hanging="429"/>
        <w:spacing w:after="0" w:line="342" w:lineRule="auto"/>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Adverse government actions or legal developments relating to advertising, including legislative and regulatory developments and developments in litigation that limit our ability to deliver or target advertising, particularly in mobile devices; and</w:t>
      </w:r>
    </w:p>
    <w:p>
      <w:pPr>
        <w:spacing w:after="0" w:line="15" w:lineRule="exact"/>
        <w:rPr>
          <w:rFonts w:ascii="Arial" w:cs="Arial" w:eastAsia="Arial" w:hAnsi="Arial"/>
          <w:sz w:val="16"/>
          <w:szCs w:val="16"/>
          <w:color w:val="auto"/>
        </w:rPr>
      </w:pPr>
    </w:p>
    <w:p>
      <w:pPr>
        <w:ind w:left="1180" w:right="500" w:hanging="429"/>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macroeconomic conditions, whether in the advertising industry in general or among special types of marketers or within particular geographies.</w:t>
      </w:r>
    </w:p>
    <w:p>
      <w:pPr>
        <w:spacing w:after="0" w:line="170"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The occurrence of any of these or other factors could result in a reduction in demand for our ads, which may reduce the prices we receive for our ads, or cause marketers to stop advertising with us altogether, either of which would negatively affect our revenue and financial results.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3" w:name="page14"/>
    <w:bookmarkEnd w:id="13"/>
    <w:p>
      <w:pPr>
        <w:jc w:val="both"/>
        <w:ind w:right="140" w:firstLine="598"/>
        <w:spacing w:after="0" w:line="279" w:lineRule="auto"/>
        <w:rPr>
          <w:sz w:val="20"/>
          <w:szCs w:val="20"/>
          <w:color w:val="auto"/>
        </w:rPr>
      </w:pPr>
      <w:r>
        <w:rPr>
          <w:rFonts w:ascii="Arial" w:cs="Arial" w:eastAsia="Arial" w:hAnsi="Arial"/>
          <w:sz w:val="17"/>
          <w:szCs w:val="17"/>
          <w:color w:val="auto"/>
        </w:rPr>
        <w:t>Click-based advertising revenue accounts for the majority of our advertising revenue.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280"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70"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We derive a substantial portion of our revenue from a relatively small number of advertising partners and rely significantly on our relationships. For example, for the year ended December 31, 2018, our two most significant advertising partners, Expedia and Booking (and their subsidiaries), accounted for a combined 37% of total revenue. While we enter into master advertising contracts with our partners, as discussed above,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15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Our business depends on a strong brand and any failure to maintain, protect and enhance our brand could hurt our ability to retain and expand our base of consumers and partners, as well as increase the frequency with which consumers utilize our products and services.</w:t>
      </w:r>
    </w:p>
    <w:p>
      <w:pPr>
        <w:spacing w:after="0" w:line="14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We believe that the strength of our brands (particularly the TripAdvisor brand) has contributed significantly to our success. We also believe that maintaining, protecting and enhancing our brands is critical to expanding our base of consumers, increasing the frequency with which consumers utilize our solutions and attracting advertisers and business partners. Our ability to maintain and protect our brand depends, in part, on our ability to maintain consumer trust in our products and in the quality, integrity, reliability of usefulness of the user content and other information found on our platform. If consumers do not view our reviews to be useful and reliable, they may seek other sources to obtain the information they are looking for and may not return to our platform as often in the future, or at all. This would negatively impact our ability to attract and retain consumers and partners and the frequency with which they use our platform. We dedicate significant resources to these goals, primarily through our computer algorithms and teams of moderators that are focused on identifying inappropriate, unreliable or deceptive content. We remove those types of content from our website and, in certain cases, take legal action against individuals or businesses that we believe have engaged in deceptive practices.</w:t>
      </w:r>
    </w:p>
    <w:p>
      <w:pPr>
        <w:spacing w:after="0" w:line="182" w:lineRule="exact"/>
        <w:rPr>
          <w:sz w:val="20"/>
          <w:szCs w:val="20"/>
          <w:color w:val="auto"/>
        </w:rPr>
      </w:pPr>
    </w:p>
    <w:p>
      <w:pPr>
        <w:ind w:right="120" w:firstLine="578"/>
        <w:spacing w:after="0" w:line="270" w:lineRule="auto"/>
        <w:rPr>
          <w:sz w:val="20"/>
          <w:szCs w:val="20"/>
          <w:color w:val="auto"/>
        </w:rPr>
      </w:pPr>
      <w:r>
        <w:rPr>
          <w:rFonts w:ascii="Arial" w:cs="Arial" w:eastAsia="Arial" w:hAnsi="Arial"/>
          <w:sz w:val="17"/>
          <w:szCs w:val="17"/>
          <w:color w:val="auto"/>
        </w:rPr>
        <w:t>Media, legislative, or regulatory scrutiny of our decisions regarding user privacy, content, advertising, and other issues may adversely affect our reputation and brands. Negative publicity about our company, including our content, technology, business practices or strategic plans, could diminish our reputation and confidence in our brand, thereby negatively affecting the use of our products. For example, certain media outlets have alleged that we have improperly filtered or screened reviews, that we have not properly verified reviews, or that we manipulate reviews, ranking and ratings in favor of our advertisers against non-advertisers. We expend significant resources to ensure the integrity of our reviews and to ensure that the most relevant reviews are available to our consumers; we do not establish rankings and ratings in favor of our advertisers. Nevertheless, our reputation and brand, the traffic to our platform and our business may suffer from negative publicity about our company or if consumers otherwise perceive that our content is manipulated or biased. In addition, regulatory inquiries or investigations require management time and attention and could result in further negative publicity, regardless of their merits or ultimate outcomes.</w:t>
      </w:r>
    </w:p>
    <w:p>
      <w:pPr>
        <w:spacing w:after="0" w:line="182"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In addition, unfavorable publicity regarding, for example, our practices relating to privacy and data protection, product changes, competitive pressures, litigation or regulatory activity, could adversely affect our reputation with our consumers and our partners. Such negative publicity also could have an adverse effect on the size, engagement, and loyalty of our user base and result in decreased revenue.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4" w:name="page15"/>
    <w:bookmarkEnd w:id="14"/>
    <w:p>
      <w:pPr>
        <w:ind w:right="80"/>
        <w:spacing w:after="0" w:line="277" w:lineRule="auto"/>
        <w:rPr>
          <w:sz w:val="20"/>
          <w:szCs w:val="20"/>
          <w:color w:val="auto"/>
        </w:rPr>
      </w:pPr>
      <w:r>
        <w:rPr>
          <w:rFonts w:ascii="Arial" w:cs="Arial" w:eastAsia="Arial" w:hAnsi="Arial"/>
          <w:sz w:val="18"/>
          <w:szCs w:val="18"/>
          <w:b w:val="1"/>
          <w:bCs w:val="1"/>
          <w:i w:val="1"/>
          <w:iCs w:val="1"/>
          <w:color w:val="auto"/>
        </w:rPr>
        <w:t>We continue to invest significant time and effort towards educating users about our brand and our product offerings and there can be no assurances that these efforts will be successful.</w:t>
      </w:r>
    </w:p>
    <w:p>
      <w:pPr>
        <w:spacing w:after="0" w:line="170"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In an effort to enhance our brand we invest significantly in brand marketing including, but not limited to, television advertising. We expect these investments to continue, and potentially even increase, as a result of a variety of factors, including relatively high levels of advertising spending by competitors, the increasing costs of supporting multiple brands, expansion into new geographies, product positioning where our brands are less well known, and the continued emergence and relative traffic share growth of search engines as destination sites for travelers. We expect to continue our television advertising campaign and to adjust our marketing efforts and spend among the different marketing channels, in each case as we think appropriate based on the relative growth opportunity, the expected returns and the competitive environment in the different segments and businesses in which we operate.</w:t>
      </w:r>
    </w:p>
    <w:p>
      <w:pPr>
        <w:spacing w:after="0" w:line="165"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 In addition, there are no assurances that these actions will have a positive impact on our marketing efficiencies or operating margins or when the financial benefit expected to result from these efforts will exceed the costs of such efforts. Furthermore, some of our current and potential competitors have access to significantly greater and more diverse resources than we do, and they may also be able to leverage other aspects of their businesses to enable them to compete more effectively with us.</w:t>
      </w:r>
    </w:p>
    <w:p>
      <w:pPr>
        <w:spacing w:after="0" w:line="16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Consumer use of platforms other than desktop computers creates new challenges. If we are unable to operate effectively on these platforms or our products for such devices are not compelling, our business may be adversely affected.</w:t>
      </w:r>
    </w:p>
    <w:p>
      <w:pPr>
        <w:spacing w:after="0" w:line="184"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The number of people who access the internet through devices other than desktop computers, including mobile phones, tablets, handheld computers, voice-assisted speakers, television set-top devices and automobiles, continues to increase. We anticipate that the rate of use of these devices will continue to grow and that usage through desktop computers may continue to decline. The functionality and user experience associated with these alternative devices, such as a smaller screen size or lack of a screen, may make the use of our platform through such devices more difficult than through a desktop computer. For example, mobile phone devices monetize at a significantly lower rate than desktops and advertising opportunities are more limited on these mobile devices. Additionally, consumer purchasing patterns differ on alternative devices. For example, accommodation reservations made on a mobile device typically are for shorter lengths of stay and are not made as far in advance. Mobile consumers may also be unwilling to download multiple apps from multiple companies providing similar services or contribute high quality content through such devices. As a result, the consumer experience with mobile apps and brand recognition are likely to become increasingly important. We expect that the ways in which consumers engage with our platform will continue to change over time as consumers increasingly engage via alternative devices. This may make it more difficult or more expensive to develop products that consumers find useful or provide them with the information they seek, and may also negatively affect our content if consumers do not continue to contribute high quality content through such devices.</w:t>
      </w:r>
    </w:p>
    <w:p>
      <w:pPr>
        <w:spacing w:after="0" w:line="180"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color w:val="auto"/>
        </w:rPr>
        <w:t>In order to attract and retain engaged consumers, we must continue to extend our platform to drive adoption of and user engagement on other devices (in particular, our mobile platform) and the products and services we offer on such devices must be compelling. As new devices and platforms are continually being released, it is difficult to predict the problems we may encounter in adapting our products and services to them – and developing competitive new products and services - and we may need to devote significant resources to the creation, support and maintenance of such products. Our success will also depend on the interoperability of our products with a range of technologies, systems, networks and standards or in creating, maintaining and developing relationships with key participants in related industries, some of which may be our competitors. For example, Google’s Android and Apple’s iPhone are the leading smartphones in the world. Therefore, our products need to synergistically function on their respective operating systems in order to create a positive user experience on a mobile device. However, Google could leverage its Android operating system to give its travel services a competitive advantage, either technically or with prominence on its Google Play app store or within its mobile search results. Similarly, Apple obtained a patent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 w:name="page16"/>
    <w:bookmarkEnd w:id="15"/>
    <w:p>
      <w:pPr>
        <w:ind w:right="20"/>
        <w:spacing w:after="0" w:line="268" w:lineRule="auto"/>
        <w:rPr>
          <w:sz w:val="20"/>
          <w:szCs w:val="20"/>
          <w:color w:val="auto"/>
        </w:rPr>
      </w:pPr>
      <w:r>
        <w:rPr>
          <w:rFonts w:ascii="Arial" w:cs="Arial" w:eastAsia="Arial" w:hAnsi="Arial"/>
          <w:sz w:val="17"/>
          <w:szCs w:val="17"/>
          <w:color w:val="auto"/>
        </w:rPr>
        <w:t>for “iTravel,” a mobile app that would allow a traveler to check in for a travel reservation. In addition, Apple’s iPhone operating system includes “Wallet,” a virtual wallet app that holds tickets, boarding passes, coupons and gift cards, and, along with iTravel, may be indicative of Apple’s intent to enter the travel reservations business in some capacity. Apple has substantial market share in the smartphone category and controls integration of offerings, including travel services, into its mobile operating system. Apple also has more experience producing and developing mobile apps and has access to greater resources than we do. Apple may use or expand iTravel, Wallet, Siri (Apple’s voice recognition “concierge” service), Apple Pay (Apple’s mobile payment system) or another mobile app or functionality as a means of entering the travel reservations marketplace. To the extent Google or Apple use their mobile operating systems, app distribution channels or, in the case of Google, search services, to favor their own travel service offerings, there may be an adverse effect on our ability to complete in the mobile space. We may not be successful in developing products that operate effectively with these technologies, systems, networks and standards or in creating, maintaining and developing relationships with key participants in related industries. If we experience difficulties or increased costs in integrating our products into alternative devices, or if manufacturers elect not to include our products in their devices, make changes that degrade the functionality of our products, give preferential treatment to competitive products or prevent us from delivering advertising, our user growth and operating results may be harmed. This risk may be exacerbated by the frequency with which consumers change or upgrade their devices. In the event consumers choose devices that do not already include or support our platform or do not install our products when they change or upgrade their devices, our traffic and user engagement may be harmed.</w:t>
      </w:r>
    </w:p>
    <w:p>
      <w:pPr>
        <w:spacing w:after="0" w:line="185"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In addition, the market for advertising products on mobile and other devices is rapidly evolving. As new devices and platforms are released, consumers may begin consuming content in a manner that is more difficult to monetize. Similarly, as advertising products for mobile and other platforms develop, demand may increase for products that we do not offer or that may alienate our user base, which we must balance against our commitment to prioritizing the quality of user experience over short-term monetization. If we are not able to balance these competing considerations successfully to develop compelling advertising products, advertisers may stop or reduce their advertising with us and we may not be able to generate meaningful revenue from alternative devices despite the expected growth in their usage.</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248"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economic weakness, have reduced access to credit 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further declines in consumer confidence. Decreased travel spending could reduce the demand for our services and have a negative impact on our business and financial performance.</w:t>
      </w:r>
    </w:p>
    <w:p>
      <w:pPr>
        <w:spacing w:after="0" w:line="179"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our results of operations. For example, since the United Kingdom’s referendum to exit the European Union, known as Brexit, global markets and foreign exchange rates have experienced increased volatility, including a decline in the value of the British pound as compared to the U.S. Dollar. Upon leaving the European Union, among other things, the United Kingdom could lose access to the single European Union market and travel between the United Kingdom and European Union countries could be restricted. We could face new regulatory costs and challenges if the U.K. regulations diverge from those of the European Union. Since the terms of the United Kingdom’s exit from the European Union are uncertain, we are unable to predict the effect Brexit will have on our business and results of operations.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 w:name="page17"/>
    <w:bookmarkEnd w:id="16"/>
    <w:p>
      <w:pPr>
        <w:ind w:right="580"/>
        <w:spacing w:after="0" w:line="27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70"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We compete in rapidly evolving and competitive markets. We face competition for content, consumers, advertisers, online travel search and price comparison services, or what is known in the industry as metasearch, and online reservations. We compete globally with both online and offline, established and emerging, providers of travel, lodging, experiences and restaurant reservation and related services. The markets for the services we offer are intensely competitive, and current and new competitors can launch new services at a relatively low cost.</w:t>
      </w:r>
    </w:p>
    <w:p>
      <w:pPr>
        <w:spacing w:after="0" w:line="17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We also compete with different types of companies in the various markets and geographies where we operate, including large and small companies in the travel space as well as broader service providers. More specifically:</w:t>
      </w:r>
    </w:p>
    <w:p>
      <w:pPr>
        <w:spacing w:after="0" w:line="62" w:lineRule="exact"/>
        <w:rPr>
          <w:sz w:val="20"/>
          <w:szCs w:val="20"/>
          <w:color w:val="auto"/>
        </w:rPr>
      </w:pPr>
    </w:p>
    <w:p>
      <w:pPr>
        <w:ind w:left="1180" w:right="60" w:hanging="429"/>
        <w:spacing w:after="0" w:line="276" w:lineRule="auto"/>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our Hotel segment, we face competition from, and in some cases partner with, the following businesses: OTAs (including Expedia and Booking and many of their respective subsidiaries and operating companies); hotel metasearch providers (including trivago, a subsidiary of Expedia, Kayak and HotelsCombined, subsidiaries of Booking, and Ctrip.com International, Ltd); large online search, social media, and marketplace platforms and companies (including Google, Facebook, Microsoft’s Bing, Yahoo, Baidu, Alibaba, and Amazon); and traditional offline travel agencies; and global hotel chains seeking to promote direct bookings.</w:t>
      </w:r>
    </w:p>
    <w:p>
      <w:pPr>
        <w:spacing w:after="0" w:line="64" w:lineRule="exact"/>
        <w:rPr>
          <w:rFonts w:ascii="Arial" w:cs="Arial" w:eastAsia="Arial" w:hAnsi="Arial"/>
          <w:sz w:val="17"/>
          <w:szCs w:val="17"/>
          <w:color w:val="auto"/>
        </w:rPr>
      </w:pPr>
    </w:p>
    <w:p>
      <w:pPr>
        <w:ind w:left="1180" w:right="240" w:hanging="429"/>
        <w:spacing w:after="0" w:line="297"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also face competition from different companies in each of the offerings in our Non-Hotel segment. Experiences competes with online travel agencies, such as Airbnb, Booking, and GetYourGuide; traditional travel agencies; online travel service providers; and wholesalers, among others. Restaurants competes with other online restaurant reservation services, such as SeatMe (owned by Yelp) and OpenTable (a subsidiary of Booking). Rentals competes with companies focused on alternative lodging, shared accommodations and online accommodation searches, including Airbnb, HomeAway (a subsidiary of Expedia) and Booking.com (a subsidiary of Booking).</w:t>
      </w:r>
    </w:p>
    <w:p>
      <w:pPr>
        <w:spacing w:after="0" w:line="158" w:lineRule="exact"/>
        <w:rPr>
          <w:sz w:val="20"/>
          <w:szCs w:val="20"/>
          <w:color w:val="auto"/>
        </w:rPr>
      </w:pPr>
    </w:p>
    <w:p>
      <w:pPr>
        <w:ind w:right="60" w:firstLine="598"/>
        <w:spacing w:after="0" w:line="253" w:lineRule="auto"/>
        <w:rPr>
          <w:sz w:val="20"/>
          <w:szCs w:val="20"/>
          <w:color w:val="auto"/>
        </w:rPr>
      </w:pPr>
      <w:r>
        <w:rPr>
          <w:rFonts w:ascii="Arial" w:cs="Arial" w:eastAsia="Arial" w:hAnsi="Arial"/>
          <w:sz w:val="18"/>
          <w:szCs w:val="18"/>
          <w:color w:val="auto"/>
        </w:rPr>
        <w:t>There has been a proliferation of new channels through which providers can offer accommodations, experiences and restaurant reservations. Metasearch services may lower the cost for new companies to enter the market by providing a distribution channel without the cost of promoting the new entrant’s brand to drive consumers directly to its website. Some of our competitors and potential competitors offer a variety of online services, many of which are used by competitors more frequently than online travel services. In addition, in some cases, our competitors are willing to make little or no profit on a transaction, or offer travel services at a loss, in order gain market share. Many of our competitors (such as Google, Booking and Ctrip) have significantly greater financial, technical, marketing and other resources than us and have more expertise in developing online commerce and facilitating internet traffic as well as large client bases. They also have the ability to leverage other aspects of their business to enable them to compete more effectively against us. For example, Google has entered various aspects of the online travel market, including by establishing a flight metasearch product ("Google Flights") and a hotel metasearch product ("Google Hotel Ads") that are growing rapidly, as well as its "Book on Google" reservation functionality and its Google Trips app.</w:t>
      </w:r>
    </w:p>
    <w:p>
      <w:pPr>
        <w:spacing w:after="0" w:line="195"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In addition, Google and other large, established companies with substantial resources and expertise in developing online commerce and facilitating internet traffic have launched travel or travel-related search, metasearch and/or reservation booking services and may create additional inroads into online travel. Google's travel metasearch services, Google Hotel Ads and Google Flights, are growing rapidly and have achieved significant market share in a relatively short time.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65"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We compete with certain companies that we also do business with, including some of our click-based travel partners. The consolidation of our competitors and travel partners, including Expedia (through its acquisitions of Orbitz, Travelocity, and HomeAway) and Booking (through its acquisitions of KAYAK and OpenTable), may affect our relative competitiveness and our travel partner relationships. Competition and consolidation could result in</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7" w:name="page18"/>
    <w:bookmarkEnd w:id="17"/>
    <w:p>
      <w:pPr>
        <w:ind w:right="520"/>
        <w:spacing w:after="0" w:line="277" w:lineRule="auto"/>
        <w:rPr>
          <w:sz w:val="20"/>
          <w:szCs w:val="20"/>
          <w:color w:val="auto"/>
        </w:rPr>
      </w:pPr>
      <w:r>
        <w:rPr>
          <w:rFonts w:ascii="Arial" w:cs="Arial" w:eastAsia="Arial" w:hAnsi="Arial"/>
          <w:sz w:val="18"/>
          <w:szCs w:val="18"/>
          <w:color w:val="auto"/>
        </w:rPr>
        <w:t>higher traffic acquisition costs, reduced margins on our advertising services, loss of market share, reduced customer traffic to our websites and reduced advertising by travel companies on our websites.</w:t>
      </w:r>
    </w:p>
    <w:p>
      <w:pPr>
        <w:spacing w:after="0" w:line="170"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mobile phone and tablet computing devices, competition is likely to intensify. Competition in our industry may result in pricing pressure, loss of market share or decreased user engagement, any of which could adversely affect our business and financial performance.</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70"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We depend on the use of sophisticated information technologies and systems for website and mobile apps, supplier connectivity, communications, reservations, payment processing, procurement, customer service and fraud prevention. 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w:t>
      </w:r>
    </w:p>
    <w:p>
      <w:pPr>
        <w:spacing w:after="0" w:line="165"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In addition, the emergence of alternative devices, such as mobile phones and tablets, and the emergence of niche competitors who may be able to optimize products, services or strategies for such platforms, will require new investment in technology. New developments in other areas could also make it easier for competitors to enter our markets due to lower up-front technology costs. Technology changes, including new devices, services and home assistants, such as Amazon’s Alexa Voice and Google Home, and developing technologies, such as machine learning and artificial intelligence, could negatively impact our business.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products, services and features that are useful to users, we may not remain competitive, and our business and financial performance could suffer.</w:t>
      </w:r>
    </w:p>
    <w:p>
      <w:pPr>
        <w:spacing w:after="0" w:line="170"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Our success depends in part on continued innovation to provide products, features and services that make our platform compelling to users and engage our consumers. Our competitors are continually developing innovations in online travel-related services and features. As a result, we are continually working to improve our business model and consumer experience in order to engage our consumers and drive user traffic and conversion rates. We have invested, and expect to continue to invest significant resources in developing and marketing these innovations. We can give no assurances that the changes we make will yield the benefits we expect and will not have unintended or adverse impacts that we did not anticipate. If we are unable to continue offering innovative products and services and quality features that users want to use, existing consumers may become dissatisfied and use competitors’ offerings and we may be unable to attract additional consumers, which could adversely affect our business and financial performance.</w:t>
      </w:r>
    </w:p>
    <w:p>
      <w:pPr>
        <w:spacing w:after="0" w:line="2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dedication to making the user experience our highest priority may cause us to prioritize rapid innovation and user experience over short-term financial results.</w:t>
      </w:r>
    </w:p>
    <w:p>
      <w:pPr>
        <w:spacing w:after="0" w:line="170"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strive to create the best experience for our users, providing them with the information, products and tools to enable them to plan, book, and experience the perfect trip. We believe that in doing so we will increase our rates of conversion, our revenue per hotel shopper and, ultimately, our financial performance over the long-term. We have taken actions in the past and may continue to make decisions in the future that have the effect of reducing our short-term revenue or profitability if we believe that the decisions benefit the overall user experience. For example, we may introduce new products or changes to existing products or the user experience that decrease rates of conversion but increases revenue per hotel shopper. In addition, our approach of putting users first may negatively impact our relationship with existing or prospective partners. These actions and practices could result in a loss of partners, which in turn could harm our results of operations. The short-term reductions in revenue or profitability could be more severe than we anticipate or these decisions may not produce the long-term benefits that we expect, in which</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8" w:name="page19"/>
    <w:bookmarkEnd w:id="18"/>
    <w:p>
      <w:pPr>
        <w:ind w:right="220"/>
        <w:spacing w:after="0" w:line="312" w:lineRule="auto"/>
        <w:rPr>
          <w:sz w:val="20"/>
          <w:szCs w:val="20"/>
          <w:color w:val="auto"/>
        </w:rPr>
      </w:pPr>
      <w:r>
        <w:rPr>
          <w:rFonts w:ascii="Arial" w:cs="Arial" w:eastAsia="Arial" w:hAnsi="Arial"/>
          <w:sz w:val="16"/>
          <w:szCs w:val="16"/>
          <w:color w:val="auto"/>
        </w:rPr>
        <w:t>case our user growth and engagement, our relationships with consumers and travel partners, and our business and results of operations could be harmed. In addition, if new or enhanced products fail to engage users or if we are unsuccessful in our effort to monetize these initiatives, we may fail to generate sufficient revenue, profit margin or other value to justify our investments, in which case our business and results of operations would be adversely affected.</w:t>
      </w:r>
    </w:p>
    <w:p>
      <w:pPr>
        <w:spacing w:after="0" w:line="25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our partners, and any failure in our quality control could have a material adverse effect on the value of our websites to our partners and adversely affect our revenue.</w:t>
      </w:r>
    </w:p>
    <w:p>
      <w:pPr>
        <w:spacing w:after="0" w:line="170"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We use technology and processes to monitor the quality of the internet traffic that we deliver to our partners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partners. Furthermore, low-quality or invalid traffic may be detrimental to our relationships with partners, and could adversely affect our advertising pricing and revenue.</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70"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We believe that certain metrics are key to our business, including but not limited to unique visitors, hotel shoppers, and revenue per hotel shopper. As both the industry in which we operate and our business continue to evolve, so too might the metrics by which we evaluate our business. While the calculation of these metrics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We continue to improve upon our tools and methodologies to capture data and believe that our current metrics are accurate; however, the improvement of our tools and methodologies could cause inconsistency between current data and previously reported data, which could confuse investors or lead to questions about the integrity of our data. Also if the internal tools we use to track these metrics under-count or over-count performance or contain algorithm or other technical errors, the data we report may not be accurate. Accordingly, readers should not place undue reliance on these metrics.</w:t>
      </w:r>
    </w:p>
    <w:p>
      <w:pPr>
        <w:spacing w:after="0" w:line="2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retain or motivate key personnel or hire, retain and motivate qualified personnel, our business would be harmed.</w:t>
      </w:r>
    </w:p>
    <w:p>
      <w:pPr>
        <w:spacing w:after="0" w:line="170"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Our future success is largely dependent on the talents and efforts of highly skilled individuals. In particular, the contributions of Stephen Kaufer, our co-founder, Chief Executive Officer and President, the contributions of key senior management and the contributions of software engineers and other technology professionals, are critical to our overall management and the success of our business. We cannot ensure that we will be able to retain the services of our existing key personnel and the loss of one or more of our key personnel could seriously harm our business. We do not maintain any key person life insurance policies.</w:t>
      </w:r>
    </w:p>
    <w:p>
      <w:pPr>
        <w:spacing w:after="0" w:line="188"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As a global company, we aim to attract quality employees from all over the world, so any restrictions on travel for professional or personal purposes may cause significant disruption to our businesses or negatively affect our ability to attract and retain employees on a global basis. If we do not succeed in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attracting well-qualified employees or retaining or motivating existing employees, our business would be adversely affected.</w:t>
      </w:r>
    </w:p>
    <w:p>
      <w:pPr>
        <w:spacing w:after="0" w:line="3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70"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Our success will depend, in part, on our ability to expand our product offerings in order to grow our business in response to changing technologies, user and partner demands and competitive pressures. As a result, we have acquired, invested in and/or entered into significant commercial arrangements with a number of new businesses in the past and our future growth may depend, in part, on future acquisitions, investments, commercial arrangements and/or changes in business strategies. Such endeavors may involve significant risks and uncertainties, including, but not limited to, the following:</w:t>
      </w:r>
    </w:p>
    <w:p>
      <w:pPr>
        <w:spacing w:after="0" w:line="46" w:lineRule="exact"/>
        <w:rPr>
          <w:sz w:val="20"/>
          <w:szCs w:val="20"/>
          <w:color w:val="auto"/>
        </w:rPr>
      </w:pPr>
    </w:p>
    <w:p>
      <w:pPr>
        <w:ind w:left="1180" w:right="180" w:hanging="429"/>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these endeavors, and performing due diligence on potential targets that may or may not be successful;</w:t>
      </w:r>
    </w:p>
    <w:p>
      <w:pPr>
        <w:spacing w:after="0" w:line="62" w:lineRule="exact"/>
        <w:rPr>
          <w:rFonts w:ascii="Arial" w:cs="Arial" w:eastAsia="Arial" w:hAnsi="Arial"/>
          <w:sz w:val="18"/>
          <w:szCs w:val="18"/>
          <w:color w:val="auto"/>
        </w:rPr>
      </w:pPr>
    </w:p>
    <w:p>
      <w:pPr>
        <w:ind w:left="1180" w:right="200" w:hanging="429"/>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these endeavors that may limit other potential uses of our cash, including product development, stock repurchases, and/or dividend payments;</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1180" w:right="40" w:hanging="429"/>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117" w:lineRule="exact"/>
        <w:rPr>
          <w:rFonts w:ascii="Arial" w:cs="Arial" w:eastAsia="Arial" w:hAnsi="Arial"/>
          <w:sz w:val="18"/>
          <w:szCs w:val="18"/>
          <w:color w:val="auto"/>
        </w:rPr>
      </w:pPr>
    </w:p>
    <w:p>
      <w:pPr>
        <w:ind w:left="1180" w:right="60" w:hanging="429"/>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cybersecurity risks, and other claims relating to the acquired company;</w:t>
      </w:r>
    </w:p>
    <w:p>
      <w:pPr>
        <w:spacing w:after="0" w:line="62" w:lineRule="exact"/>
        <w:rPr>
          <w:rFonts w:ascii="Arial" w:cs="Arial" w:eastAsia="Arial" w:hAnsi="Arial"/>
          <w:sz w:val="18"/>
          <w:szCs w:val="18"/>
          <w:color w:val="auto"/>
        </w:rPr>
      </w:pPr>
    </w:p>
    <w:p>
      <w:pPr>
        <w:ind w:left="1180" w:right="200" w:hanging="429"/>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7" w:lineRule="exact"/>
        <w:rPr>
          <w:rFonts w:ascii="Arial" w:cs="Arial" w:eastAsia="Arial" w:hAnsi="Arial"/>
          <w:sz w:val="18"/>
          <w:szCs w:val="18"/>
          <w:color w:val="auto"/>
        </w:rPr>
      </w:pPr>
    </w:p>
    <w:p>
      <w:pPr>
        <w:ind w:left="1180" w:right="600" w:hanging="429"/>
        <w:spacing w:after="0" w:line="308"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38" w:lineRule="exact"/>
        <w:rPr>
          <w:rFonts w:ascii="Arial" w:cs="Arial" w:eastAsia="Arial" w:hAnsi="Arial"/>
          <w:sz w:val="17"/>
          <w:szCs w:val="17"/>
          <w:color w:val="auto"/>
        </w:rPr>
      </w:pPr>
    </w:p>
    <w:p>
      <w:pPr>
        <w:ind w:left="1180" w:hanging="429"/>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5"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have invested, and may in the future invest, in privately-held companies and these investments are currently accounted for using the measurement alternative for equity investments without a readily determinable fair value, which measure these investments at cost while subtracting any impairments, if any, plus or minus changes resulting from observable price changes in orderly transactions for the identical or a similar investment of the same issuer.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Further, our ability to liquidate any such investments is typically dependent upon some liquidity event, such as a public offering or acquisition, since no public market exists for such securities. Valuations of such privately-held companies are inherently complex and uncertain due to the lack of liquid market for the company’s securities.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right="560"/>
        <w:spacing w:after="0" w:line="277" w:lineRule="auto"/>
        <w:rPr>
          <w:sz w:val="20"/>
          <w:szCs w:val="20"/>
          <w:color w:val="auto"/>
        </w:rPr>
      </w:pPr>
      <w:r>
        <w:rPr>
          <w:rFonts w:ascii="Arial" w:cs="Arial" w:eastAsia="Arial" w:hAnsi="Arial"/>
          <w:sz w:val="18"/>
          <w:szCs w:val="18"/>
          <w:color w:val="auto"/>
        </w:rPr>
        <w:t>Moreover, we could lose the full amount of any of our investments and any impairment of our investments could have a material adverse effect on our financial condition and results of operations.</w:t>
      </w:r>
    </w:p>
    <w:p>
      <w:pPr>
        <w:spacing w:after="0" w:line="170" w:lineRule="exact"/>
        <w:rPr>
          <w:sz w:val="20"/>
          <w:szCs w:val="20"/>
          <w:color w:val="auto"/>
        </w:rPr>
      </w:pPr>
    </w:p>
    <w:p>
      <w:pPr>
        <w:ind w:right="240" w:firstLine="598"/>
        <w:spacing w:after="0" w:line="342" w:lineRule="auto"/>
        <w:rPr>
          <w:sz w:val="20"/>
          <w:szCs w:val="20"/>
          <w:color w:val="auto"/>
        </w:rPr>
      </w:pPr>
      <w:r>
        <w:rPr>
          <w:rFonts w:ascii="Arial" w:cs="Arial" w:eastAsia="Arial" w:hAnsi="Arial"/>
          <w:sz w:val="16"/>
          <w:szCs w:val="16"/>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225" w:lineRule="exact"/>
        <w:rPr>
          <w:sz w:val="20"/>
          <w:szCs w:val="20"/>
          <w:color w:val="auto"/>
        </w:rPr>
      </w:pPr>
    </w:p>
    <w:p>
      <w:pPr>
        <w:ind w:right="220" w:firstLine="598"/>
        <w:spacing w:after="0" w:line="297" w:lineRule="auto"/>
        <w:rPr>
          <w:sz w:val="20"/>
          <w:szCs w:val="20"/>
          <w:color w:val="auto"/>
        </w:rPr>
      </w:pPr>
      <w:r>
        <w:rPr>
          <w:rFonts w:ascii="Arial" w:cs="Arial" w:eastAsia="Arial" w:hAnsi="Arial"/>
          <w:sz w:val="16"/>
          <w:szCs w:val="16"/>
          <w:color w:val="auto"/>
        </w:rPr>
        <w:t>Over the years, we have experienced rapid growth in some areas of our business, including through acquisitions of other businesses and in new international markets. We continue to make substantial investments in our technology, product and sales and marketing organizations. This growth places substantial demands on management and our operational infrastructure. In addition, as our business matures, we make periodic changes and 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58"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online short-term and vacation rental market is rapidly evolving and if we fail to predict the manner in which the market develops, our business and prospects may suffer.</w:t>
      </w:r>
    </w:p>
    <w:p>
      <w:pPr>
        <w:spacing w:after="0" w:line="170"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We offer short-term and vacation rental services on our TripAdvisor-branded sites as well as through our dedicated Rentals websites. The short-term and vacation rental market has been, and continues to be, subject to regulatory development globally that affects the industry and the ability of companies like us to list these rental properties online. For example, some states and local jurisdictions, both domestically and internationally, have adopted, or are considering adopting, statutes or ordinances that prohibit property owners and managers from renting certain properties on a short-term basis or otherwise limit their ability to do so, and other states and local jurisdictions may introduce similar regulations. Some states and local jurisdictions also have fair housing or other laws that restrict whether and how properties may be rented, which they assert apply to vacation rentals. Many homeowners, condominium and neighborhood associations have adopted rules that prohibit or restrict short-term rentals. Many of the fundamental statutes and ordinances that impose taxes or other obligations on travel and lodging companies were established before the growth of the internet and e-commerce, which creates a risk of these laws being used in ways not originally intended that could burden property owners and managers or otherwise harm our business. Operating in this dynamic regulatory environment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Risks Related to Legal and Regulatory Matters</w:t>
      </w:r>
    </w:p>
    <w:p>
      <w:pPr>
        <w:spacing w:after="0" w:line="3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a global company that operates in many different jurisdictions and these operations expose us to additional risks, which risks increase as our business continues to expand.</w:t>
      </w:r>
    </w:p>
    <w:p>
      <w:pPr>
        <w:spacing w:after="0" w:line="170" w:lineRule="exact"/>
        <w:rPr>
          <w:sz w:val="20"/>
          <w:szCs w:val="20"/>
          <w:color w:val="auto"/>
        </w:rPr>
      </w:pPr>
    </w:p>
    <w:p>
      <w:pPr>
        <w:ind w:right="320" w:firstLine="598"/>
        <w:spacing w:after="0" w:line="279" w:lineRule="auto"/>
        <w:rPr>
          <w:sz w:val="20"/>
          <w:szCs w:val="20"/>
          <w:color w:val="auto"/>
        </w:rPr>
      </w:pPr>
      <w:r>
        <w:rPr>
          <w:rFonts w:ascii="Arial" w:cs="Arial" w:eastAsia="Arial" w:hAnsi="Arial"/>
          <w:sz w:val="17"/>
          <w:szCs w:val="17"/>
          <w:color w:val="auto"/>
        </w:rPr>
        <w:t>We operate in a number of jurisdictions both inside and outside of the United States and continue to expand our operations both domestically and internationally. Many regions have different economic conditions, languages, currencies, consumer expectations, legislation, regulatory environments (including labor laws and customs), tax laws, levels of consumer acceptance and use of the internet for commerce and levels of political stability. We are subject to associated risks typical of global businesses, including, but not limited to, the following:</w:t>
      </w:r>
    </w:p>
    <w:p>
      <w:pPr>
        <w:spacing w:after="0" w:line="63" w:lineRule="exact"/>
        <w:rPr>
          <w:sz w:val="20"/>
          <w:szCs w:val="20"/>
          <w:color w:val="auto"/>
        </w:rPr>
      </w:pPr>
    </w:p>
    <w:p>
      <w:pPr>
        <w:ind w:left="1200" w:right="40" w:hanging="392"/>
        <w:spacing w:after="0" w:line="308" w:lineRule="auto"/>
        <w:tabs>
          <w:tab w:leader="none" w:pos="109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Compliance with additional laws and regulations (including the Foreign Corrupt Practices Act, the U.K. Bribery Act and GDPR), data privacy requirements, labor and employment law, laws regarding advertisements and promotions and anti-competition regulations;</w:t>
      </w:r>
    </w:p>
    <w:p>
      <w:pPr>
        <w:spacing w:after="0" w:line="38" w:lineRule="exact"/>
        <w:rPr>
          <w:rFonts w:ascii="Arial" w:cs="Arial" w:eastAsia="Arial" w:hAnsi="Arial"/>
          <w:sz w:val="17"/>
          <w:szCs w:val="17"/>
          <w:color w:val="auto"/>
        </w:rPr>
      </w:pPr>
    </w:p>
    <w:p>
      <w:pPr>
        <w:ind w:left="1100" w:hanging="29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7" w:lineRule="exact"/>
        <w:rPr>
          <w:rFonts w:ascii="Arial" w:cs="Arial" w:eastAsia="Arial" w:hAnsi="Arial"/>
          <w:sz w:val="18"/>
          <w:szCs w:val="18"/>
          <w:color w:val="auto"/>
        </w:rPr>
      </w:pPr>
    </w:p>
    <w:p>
      <w:pPr>
        <w:ind w:left="1100" w:hanging="29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7" w:lineRule="exact"/>
        <w:rPr>
          <w:rFonts w:ascii="Arial" w:cs="Arial" w:eastAsia="Arial" w:hAnsi="Arial"/>
          <w:sz w:val="18"/>
          <w:szCs w:val="18"/>
          <w:color w:val="auto"/>
        </w:rPr>
      </w:pPr>
    </w:p>
    <w:p>
      <w:pPr>
        <w:ind w:left="1100" w:hanging="29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7" w:lineRule="exact"/>
        <w:rPr>
          <w:rFonts w:ascii="Arial" w:cs="Arial" w:eastAsia="Arial" w:hAnsi="Arial"/>
          <w:sz w:val="18"/>
          <w:szCs w:val="18"/>
          <w:color w:val="auto"/>
        </w:rPr>
      </w:pPr>
    </w:p>
    <w:p>
      <w:pPr>
        <w:ind w:left="1100" w:hanging="29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foreign currency exchange restrictions;</w:t>
      </w:r>
    </w:p>
    <w:p>
      <w:pPr>
        <w:spacing w:after="0" w:line="117" w:lineRule="exact"/>
        <w:rPr>
          <w:rFonts w:ascii="Arial" w:cs="Arial" w:eastAsia="Arial" w:hAnsi="Arial"/>
          <w:sz w:val="18"/>
          <w:szCs w:val="18"/>
          <w:color w:val="auto"/>
        </w:rPr>
      </w:pPr>
    </w:p>
    <w:p>
      <w:pPr>
        <w:ind w:left="1100" w:hanging="29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spacing w:after="0" w:line="117" w:lineRule="exact"/>
        <w:rPr>
          <w:rFonts w:ascii="Arial" w:cs="Arial" w:eastAsia="Arial" w:hAnsi="Arial"/>
          <w:sz w:val="18"/>
          <w:szCs w:val="18"/>
          <w:color w:val="auto"/>
        </w:rPr>
      </w:pPr>
    </w:p>
    <w:p>
      <w:pPr>
        <w:ind w:left="1200" w:right="140" w:hanging="392"/>
        <w:spacing w:after="0" w:line="277" w:lineRule="auto"/>
        <w:tabs>
          <w:tab w:leader="none" w:pos="10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62" w:lineRule="exact"/>
        <w:rPr>
          <w:rFonts w:ascii="Arial" w:cs="Arial" w:eastAsia="Arial" w:hAnsi="Arial"/>
          <w:sz w:val="18"/>
          <w:szCs w:val="18"/>
          <w:color w:val="auto"/>
        </w:rPr>
      </w:pPr>
    </w:p>
    <w:p>
      <w:pPr>
        <w:ind w:left="1100" w:hanging="29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or laws and regulations involving economic or trade prohibitions or sanctions; and</w:t>
      </w:r>
    </w:p>
    <w:p>
      <w:pPr>
        <w:spacing w:after="0" w:line="117" w:lineRule="exact"/>
        <w:rPr>
          <w:rFonts w:ascii="Arial" w:cs="Arial" w:eastAsia="Arial" w:hAnsi="Arial"/>
          <w:sz w:val="18"/>
          <w:szCs w:val="18"/>
          <w:color w:val="auto"/>
        </w:rPr>
      </w:pPr>
    </w:p>
    <w:p>
      <w:pPr>
        <w:ind w:left="1100" w:hanging="292"/>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225"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Our strategy includes continued expansion in existing international and new international markets. Many of these markets have different economic conditions, customers, languages, currencies, consumer expectations, levels of consumer acceptance and use of the internet for commerce, legislation, regulatory environments, tax laws and levels of political stability, and we are subject to associated risks typical of international businesses. International markets have strong local competitors with established brands and travel service providers or relationships that may make expansion in certain markets difficult and costly and take more time than anticipated. In addition, compliance with legal, regulatory or tax requirements in multiple jurisdictions places demands on our time and resources, and we may nonetheless experience unforeseen and potentially adverse legal, regulatory or tax consequences. In some markets, such as China, legal and other regulatory requirements may prohibit or limit participation by foreign businesses, such as by making foreign ownership or management of internet or travel-related businesses 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new and existing markets and effectively managing that expansion, our business and results of operations could be adversely affected. A number of countries are actively pursuing changes to their tax laws applicable to corporate multinationals, such as the recently enacted U.S. tax legislation commonly referred to as the Tax Cuts and Jobs Act of 2017 (the “2017 Tax Act”). Foreign governments may enact tax laws that could result in further changes to global taxation and materially affect our financial position and results of operations.</w:t>
      </w:r>
    </w:p>
    <w:p>
      <w:pPr>
        <w:spacing w:after="0" w:line="175" w:lineRule="exact"/>
        <w:rPr>
          <w:sz w:val="20"/>
          <w:szCs w:val="20"/>
          <w:color w:val="auto"/>
        </w:rPr>
      </w:pPr>
    </w:p>
    <w:p>
      <w:pPr>
        <w:ind w:right="220" w:firstLine="598"/>
        <w:spacing w:after="0" w:line="312" w:lineRule="auto"/>
        <w:rPr>
          <w:sz w:val="20"/>
          <w:szCs w:val="20"/>
          <w:color w:val="auto"/>
        </w:rPr>
      </w:pPr>
      <w:r>
        <w:rPr>
          <w:rFonts w:ascii="Arial" w:cs="Arial" w:eastAsia="Arial" w:hAnsi="Arial"/>
          <w:sz w:val="16"/>
          <w:szCs w:val="16"/>
          <w:color w:val="auto"/>
        </w:rPr>
        <w:t>The 2017 Tax Act resulted in significant changes to the U.S. corporate income tax system. The 2017 Tax Act requires complex computations to be performed that were not previously required in U.S. tax law, significant judgments to be made in interpretation of the provisions of the 2017 Tax Act and significant estimates in calculations, and the preparation and analysis of information not previously relevant or regularly produced. The U.S.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2" w:name="page23"/>
    <w:bookmarkEnd w:id="22"/>
    <w:p>
      <w:pPr>
        <w:ind w:right="260"/>
        <w:spacing w:after="0" w:line="277" w:lineRule="auto"/>
        <w:rPr>
          <w:sz w:val="20"/>
          <w:szCs w:val="20"/>
          <w:color w:val="auto"/>
        </w:rPr>
      </w:pPr>
      <w:r>
        <w:rPr>
          <w:rFonts w:ascii="Arial" w:cs="Arial" w:eastAsia="Arial" w:hAnsi="Arial"/>
          <w:sz w:val="18"/>
          <w:szCs w:val="18"/>
          <w:color w:val="auto"/>
        </w:rPr>
        <w:t>Treasury Department, the IRS and other standard-setting bodies could interpret or issue guidance on how provisions of the 2017 Tax Act will be applied or otherwise administered that is different from our interpretation.</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The repatriation of such funds for use in the United States, including for corporate purposes such as acquisitions, stock repurchases, or debt refinancings, may result in additional U.S. income tax expense and higher cost for such capital.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regularly subject to claims, lawsuits, government investigations, and other proceedings that may result in adverse outcomes.</w:t>
      </w:r>
    </w:p>
    <w:p>
      <w:pPr>
        <w:spacing w:after="0" w:line="225"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We are regularly subject to claims, lawsuits, government investigations and other proceedings involving, among other matters, patent and intellectual property rights (including alleged infringement of third-party intellectual property rights), tax matters (including value-added, excise, transient, occupancy and accommodation taxes), regulatory compliance (including competition and consumer protection matters), defamation and free speech, labor and employment matters and commercial disputes.</w:t>
      </w:r>
    </w:p>
    <w:p>
      <w:pPr>
        <w:spacing w:after="0" w:line="187" w:lineRule="exact"/>
        <w:rPr>
          <w:sz w:val="20"/>
          <w:szCs w:val="20"/>
          <w:color w:val="auto"/>
        </w:rPr>
      </w:pPr>
    </w:p>
    <w:p>
      <w:pPr>
        <w:ind w:right="100" w:firstLine="598"/>
        <w:spacing w:after="0" w:line="290" w:lineRule="auto"/>
        <w:rPr>
          <w:sz w:val="20"/>
          <w:szCs w:val="20"/>
          <w:color w:val="auto"/>
        </w:rPr>
      </w:pPr>
      <w:r>
        <w:rPr>
          <w:rFonts w:ascii="Arial" w:cs="Arial" w:eastAsia="Arial" w:hAnsi="Arial"/>
          <w:sz w:val="16"/>
          <w:szCs w:val="16"/>
          <w:color w:val="auto"/>
        </w:rPr>
        <w:t>Such claims, lawsuits, government investigations and proceedings are inherently uncertain and their results cannot be predicted with certainty. Regardless of the outcome, any of these types of legal proceedings could have an adverse impact on us because of legal costs, diversion of management resources, injunctions or damage awards and other factors. Determining reserves for our pending litigation or other legal proceedings is a complex, fact-intensive process that requires significant judgment. It is possible that a resolution of one or more such proceedings could result in substantial damages, fines or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70"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internet and online commerce, internet advertising, consumer protection, data security and privacy, travel and rental licensing and listing requirements and tax. In some cases, these laws continue to evolve.</w:t>
      </w:r>
    </w:p>
    <w:p>
      <w:pPr>
        <w:spacing w:after="0" w:line="187"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For example, there is, and will likely continue to be, an increasing number of laws and regulations pertaining to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In addition, enforcement authorities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78"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color w:val="auto"/>
        </w:rPr>
        <w:t>Further, Rentals has been and continues to be subject to regulatory developments that affect the rental industry and the ability of competitors like us to list those rentals online. For example, some states and local jurisdictions have fair housing or other laws governing whether and how properties may be rented, which they assert apply to rentals. In addition, many homeowners, condominium and neighborhood associations have adopted or are considering adopting statutes or ordinances that prohibit or restrict property owners and managers from short-term rentals.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ind w:right="140" w:firstLine="598"/>
        <w:spacing w:after="0" w:line="297" w:lineRule="auto"/>
        <w:rPr>
          <w:sz w:val="20"/>
          <w:szCs w:val="20"/>
          <w:color w:val="auto"/>
        </w:rPr>
      </w:pPr>
      <w:r>
        <w:rPr>
          <w:rFonts w:ascii="Arial" w:cs="Arial" w:eastAsia="Arial" w:hAnsi="Arial"/>
          <w:sz w:val="16"/>
          <w:szCs w:val="16"/>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at a competitive disadvantage vis-à-vis competitors who do not comply with such requirements.</w:t>
      </w:r>
    </w:p>
    <w:p>
      <w:pPr>
        <w:spacing w:after="0" w:line="158" w:lineRule="exact"/>
        <w:rPr>
          <w:sz w:val="20"/>
          <w:szCs w:val="20"/>
          <w:color w:val="auto"/>
        </w:rPr>
      </w:pPr>
    </w:p>
    <w:p>
      <w:pPr>
        <w:ind w:right="140" w:firstLine="598"/>
        <w:spacing w:after="0" w:line="270" w:lineRule="auto"/>
        <w:rPr>
          <w:sz w:val="20"/>
          <w:szCs w:val="20"/>
          <w:color w:val="auto"/>
        </w:rPr>
      </w:pPr>
      <w:r>
        <w:rPr>
          <w:rFonts w:ascii="Arial" w:cs="Arial" w:eastAsia="Arial" w:hAnsi="Arial"/>
          <w:sz w:val="17"/>
          <w:szCs w:val="17"/>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 For example, in 2018, the European Union adopted GDPR implementing enhanced data protection requirements and other jurisdictions are contemplating and may in the future adopt similar legislation. This legislation could increase the cost and complexity of delivering our services. Unfavorable changes could decrease demand for products and services, limit marketing methods and capabilities, impede development of new products, result in negative publicity, require significant management time, increase costs and/or subject us to additional liabilities. Violations of these laws and regulations could result in penalties and/or criminal sanctions against us, our officers or our employees and/or restrictions on the conduct of parts of our business in certain jurisdictions.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225"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71" w:lineRule="exact"/>
        <w:rPr>
          <w:sz w:val="20"/>
          <w:szCs w:val="20"/>
          <w:color w:val="auto"/>
        </w:rPr>
      </w:pPr>
    </w:p>
    <w:p>
      <w:pPr>
        <w:ind w:right="120" w:firstLine="598"/>
        <w:spacing w:after="0" w:line="270" w:lineRule="auto"/>
        <w:rPr>
          <w:sz w:val="20"/>
          <w:szCs w:val="20"/>
          <w:color w:val="auto"/>
        </w:rPr>
      </w:pPr>
      <w:r>
        <w:rPr>
          <w:rFonts w:ascii="Arial" w:cs="Arial" w:eastAsia="Arial" w:hAnsi="Arial"/>
          <w:sz w:val="17"/>
          <w:szCs w:val="17"/>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82"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Risks Related to Data and Privacy</w:t>
      </w:r>
    </w:p>
    <w:p>
      <w:pPr>
        <w:spacing w:after="0" w:line="3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subjects us to additional laws and regulations and failure to comply with those laws and regulations could give rise to liabilities.</w:t>
      </w:r>
    </w:p>
    <w:p>
      <w:pPr>
        <w:spacing w:after="0" w:line="170"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We collect, process, store and transmit data, including personal information, for our consumers. As a result, we are subject to a variety of laws in the United States and abroad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the security of data when engaging in electronic commerce is essential to maintaining consumer and travel service provider confidences in our services. 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w:t>
      </w:r>
    </w:p>
    <w:p>
      <w:pPr>
        <w:spacing w:after="0" w:line="16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In addition, we are subject to GDPR, a new data protection legal framework adopted by the European Union that is intended to enhance the privacy and security of personal data, including credit card information. There are a number of proposals for data privacy laws pending or proposed in other jurisdictions, including at both the state and federal level of the United States. Implementing and complying with these laws and regulations may be more costly or take longer than we anticipate, or could otherwise affect our business operations. We strive to comply with all applicable laws, policies, legal obligations and industry codes of conduct relating to privacy and data protection. Any failure or perceived failure by us to comply with our privacy policies, privacy-related obligations to consumers or other third parties, or privacy-related legal obligations, may result in governmental enforcement actions, litigation or public statements that could harm our reputation and cause our users and partners to lose trust in us, which could have an adverse effect on our business, brand, market share and results of operations. For example, GDPR imposes a strict data protection compliance regime with severe penalties of up to the greater of 4% of worldwide annual turnover and/or €20 million.</w:t>
      </w:r>
    </w:p>
    <w:p>
      <w:pPr>
        <w:spacing w:after="0" w:line="2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processing credit card and other payment transactions and failure to manage those risks may subject us to fines, penalties and additional costs and could have a negative impact on our business.</w:t>
      </w:r>
    </w:p>
    <w:p>
      <w:pPr>
        <w:spacing w:after="0" w:line="170" w:lineRule="exact"/>
        <w:rPr>
          <w:sz w:val="20"/>
          <w:szCs w:val="20"/>
          <w:color w:val="auto"/>
        </w:rPr>
      </w:pPr>
    </w:p>
    <w:p>
      <w:pPr>
        <w:ind w:right="40" w:firstLine="598"/>
        <w:spacing w:after="0" w:line="268" w:lineRule="auto"/>
        <w:rPr>
          <w:sz w:val="20"/>
          <w:szCs w:val="20"/>
          <w:color w:val="auto"/>
        </w:rPr>
      </w:pPr>
      <w:r>
        <w:rPr>
          <w:rFonts w:ascii="Arial" w:cs="Arial" w:eastAsia="Arial" w:hAnsi="Arial"/>
          <w:sz w:val="17"/>
          <w:szCs w:val="17"/>
          <w:color w:val="auto"/>
        </w:rPr>
        <w:t>We accept payments from consumers and partners using a variety of methods, including credit card, debit card, direct debit from a customer’s bank account, and invoicing. For existing and future payment options we offer to our customers, we may become subject to additional regulations and compliance requirements (including obligations to implement enhanced authentication processes). These regulations and/or requirements could result in significant costs and reduce the ease of use of our payment products and yet may still be susceptible to fraudulent activity. In addition, we may be held liable for accepting fraudulent credit cards on our websites as well as other payment disputes with our customers. For certain payment methods, including credit and debit cards, we pay interchange and other fees, which may increase over time and raise our operating costs and lower profitability. We rely on third parties to provide certain payment methods and payment processing services, including the processing of credit cards and debit cards. In each case, our business could be disrupted if these companies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card issuing banks’ costs, subject to fines and higher transaction fees, and/or lose our ability to accept credit and debit card payments, process electronic funds transfers, or facilitate other types of online payments. We are also subject to a number of other laws and regulations relating to payments, money laundering, international money transfers, privacy and information security, and electronic fund transfers. If we were found to be in violation of applicable laws 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regulations, we could be subject to additional requirements and civil and criminal penalties, or forced to cease providing certain services.</w:t>
      </w:r>
    </w:p>
    <w:p>
      <w:pPr>
        <w:spacing w:after="0" w:line="333" w:lineRule="exact"/>
        <w:rPr>
          <w:sz w:val="20"/>
          <w:szCs w:val="20"/>
          <w:color w:val="auto"/>
        </w:rPr>
      </w:pPr>
    </w:p>
    <w:p>
      <w:pPr>
        <w:ind w:right="820"/>
        <w:spacing w:after="0" w:line="381" w:lineRule="auto"/>
        <w:rPr>
          <w:sz w:val="20"/>
          <w:szCs w:val="20"/>
          <w:color w:val="auto"/>
        </w:rPr>
      </w:pPr>
      <w:r>
        <w:rPr>
          <w:rFonts w:ascii="Arial" w:cs="Arial" w:eastAsia="Arial" w:hAnsi="Arial"/>
          <w:sz w:val="15"/>
          <w:szCs w:val="15"/>
          <w:b w:val="1"/>
          <w:bCs w:val="1"/>
          <w:i w:val="1"/>
          <w:iCs w:val="1"/>
          <w:color w:val="auto"/>
        </w:rPr>
        <w:t>System security issues, data protection breaches, cyberattacks and system outage issues could disrupt our operations or services provided to our consumers, and any such disruption could damage our reputation and adversely affect our business, financial results and stock price.</w:t>
      </w:r>
    </w:p>
    <w:p>
      <w:pPr>
        <w:spacing w:after="0" w:line="10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Our reputation and ability to attract, retain and service our consumers and travel partners is dependent upon the reliable performance and security of our computer systems and those of third parties we utilize in our operations. Significant security issues, data breaches, cyberattacks and outages, interruptions or delays, in our systems or third party systems upon which we rely, could impair our ability to display content or process transactions and significantly harm our business. Breaches of our security measures or the accidental loss, inadvertent disclosure or unapproved dissemination of proprietary information or sensitive or confidential data about us, our consumers or our travel partners, could expose us, our consumers and travel partners to a risk of loss or misuse of this information, damage our brand and reputation or otherwise harm our business and financial performance and result in government enforcement actions and litigation and potential liability for us.</w:t>
      </w:r>
    </w:p>
    <w:p>
      <w:pPr>
        <w:spacing w:after="0" w:line="178"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Computer programmers and hackers also may be able to develop and deploy viruses, worms, ransomware and other malicious software programs that attack our products or otherwise exploit any security vulnerabilities of our products, or attempt to fraudulently induce our employees, consumers, or others to disclose passwords or other sensitive information or unwittingly provide access to our systems or data. In addition, sophisticated hardware and operating system software and applications that we produce or procure from third parties may contain defects in design or manufacture, including “bugs” and other problems that could unexpectedly interfere with the operation of the system. We may need to expend significant resources to protect against security breaches or to investigate and address problems caused by cyber or other security problems.</w:t>
      </w:r>
    </w:p>
    <w:p>
      <w:pPr>
        <w:spacing w:after="0" w:line="178"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We may be unable to proactively address these techniques or to implement adequate preventive measures and our efforts to address these problems may not be successful and could result in interruptions, delays, cessation of service and loss of existing or potential customers that may impede our sales, manufacturing, distribution or other critical functions. Failure to adequately protect against attacks or intrusions, whether for our own systems or systems of vendors, could expose us to security breaches that could have an adverse impact on our financial performance. The costs of enhancing infrastructure to attain improved stability and redundancy may be time consuming and expensive and may require resources and expertise that are difficult to obtain. In addition, to the extent that we do experience a data breach, remediation may be costly and we may not have adequate insurance to cover such costs.</w:t>
      </w:r>
    </w:p>
    <w:p>
      <w:pPr>
        <w:spacing w:after="0" w:line="165"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Much of our business is conducted with third party marketing affiliates or, to a lesser degree, through business partners powering our instant booking feature. A security breach at such third party could be perceived by consumers as a security breach of our systems and could result in negative publicity or damage our reputation, expose us to risk of loss or litigation and possible liability and subject us to regulatory penalties and sanctions. In addition, such incidents may also result in a decline in our active user base or engagement levels. Finally, failure of such third parties to comply with applicable disclosure requirements could expose us to liability.</w:t>
      </w:r>
    </w:p>
    <w:p>
      <w:pPr>
        <w:spacing w:after="0" w:line="188" w:lineRule="exact"/>
        <w:rPr>
          <w:sz w:val="20"/>
          <w:szCs w:val="20"/>
          <w:color w:val="auto"/>
        </w:rPr>
      </w:pPr>
    </w:p>
    <w:p>
      <w:pPr>
        <w:jc w:val="both"/>
        <w:ind w:right="220" w:firstLine="598"/>
        <w:spacing w:after="0" w:line="312" w:lineRule="auto"/>
        <w:rPr>
          <w:sz w:val="20"/>
          <w:szCs w:val="20"/>
          <w:color w:val="auto"/>
        </w:rPr>
      </w:pPr>
      <w:r>
        <w:rPr>
          <w:rFonts w:ascii="Arial" w:cs="Arial" w:eastAsia="Arial" w:hAnsi="Arial"/>
          <w:sz w:val="16"/>
          <w:szCs w:val="16"/>
          <w:color w:val="auto"/>
        </w:rPr>
        <w:t>We have acquired a number of companies over the years and may continue to do so in the future. As a result of these acquisitions, we may increase the volume of personal data that we collect, store, process and transmit. While we make significant efforts to address any information technology security issues and personal data protection issues with respect to our acquisitions, we may still inherit such risks when we integrate the acquired businesses.</w:t>
      </w:r>
    </w:p>
    <w:p>
      <w:pPr>
        <w:spacing w:after="0" w:line="14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Media coverage of data breaches has escalated, in part because of the increased number of enforcement actions, investigations and lawsuits. Security breaches could result in negative publicity, damage to reputation, exposure to risk of loss or litigation and possible liability due to regulatory penalties and sanctions.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potential consumers to lose confidence in our data security, which would have a negative effect on the value of our brand.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"Cookie" laws could negatively impact the way we do business.</w:t>
      </w:r>
    </w:p>
    <w:p>
      <w:pPr>
        <w:spacing w:after="0" w:line="225"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A "cookie" is a text file that is stored on a user's web browser by a website. Cookies are common tools used by thousands of websites, including ours, to, among other things, store or gather information (e.g., remember log-on details so a user does not have to re-enter them when revisiting a website), market to consumers and enhance the user experience on a website. Cookies are valuable tools for websites like ours to improve the customer experience and increase conversion on their websites. Many countries have adopted regulations governing the use of "cookies" by websites servicing consumers, especially in the European Union. To the extent any such regulations require "opt-in" consent before certain cookies can be placed on a user's web browser, our ability to serve certain customers in the manner we currently do, including with respect to retargeting of advertising, might be adversely affected and our ability to continue to improve and optimize performance on our websites might be impaired, either of which could negatively affect a consumer's experience using our services and our business, market share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Financial and Tax Matters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25" w:lineRule="exact"/>
        <w:rPr>
          <w:sz w:val="20"/>
          <w:szCs w:val="20"/>
          <w:color w:val="auto"/>
        </w:rPr>
      </w:pPr>
    </w:p>
    <w:p>
      <w:pPr>
        <w:ind w:right="120" w:firstLine="598"/>
        <w:spacing w:after="0" w:line="291" w:lineRule="auto"/>
        <w:rPr>
          <w:sz w:val="20"/>
          <w:szCs w:val="20"/>
          <w:color w:val="auto"/>
        </w:rPr>
      </w:pPr>
      <w:r>
        <w:rPr>
          <w:rFonts w:ascii="Arial" w:cs="Arial" w:eastAsia="Arial" w:hAnsi="Arial"/>
          <w:sz w:val="16"/>
          <w:szCs w:val="16"/>
          <w:color w:val="auto"/>
        </w:rPr>
        <w:t>We are currently party to a credit agreement with respect to a $1.2 billion revolving credit facility maturing in May 2022 (as more fully discussed below, the “2015 Credit Facility”). This agreement includes restrictive covenants that may impact the way we manage our business and may limit our ability to secure significant additional financing in the future on favorable terms. Our ability to secure additional financing and satisfy our financial obligations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There can be no assurance that sufficient financing will be available or desirable, or even any, terms to fund investments, acquisitions, stock repurchases, dividends, debt refinancing or extraordinary actions or that counterparties in any such financings would honor their contractual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225"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At December 31, 2018, we had no outstanding long-term debt; however, we continue to have existing credit facilities from which we can borrow significant amounts. As such, we are still subject to risks relating to our indebtedness that include:</w:t>
      </w:r>
    </w:p>
    <w:p>
      <w:pPr>
        <w:spacing w:after="0" w:line="170" w:lineRule="exact"/>
        <w:rPr>
          <w:sz w:val="20"/>
          <w:szCs w:val="20"/>
          <w:color w:val="auto"/>
        </w:rPr>
      </w:pPr>
    </w:p>
    <w:p>
      <w:pPr>
        <w:ind w:left="1180" w:hanging="42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jc w:val="both"/>
        <w:ind w:left="1180" w:right="20" w:hanging="429"/>
        <w:spacing w:after="0" w:line="342"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180" w:hanging="42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ind w:right="140" w:firstLine="598"/>
        <w:spacing w:after="0" w:line="312" w:lineRule="auto"/>
        <w:rPr>
          <w:sz w:val="20"/>
          <w:szCs w:val="20"/>
          <w:color w:val="auto"/>
        </w:rPr>
      </w:pPr>
      <w:r>
        <w:rPr>
          <w:rFonts w:ascii="Arial" w:cs="Arial" w:eastAsia="Arial" w:hAnsi="Arial"/>
          <w:sz w:val="16"/>
          <w:szCs w:val="16"/>
          <w:color w:val="auto"/>
        </w:rPr>
        <w:t>In addition, it is possible that we may need to incur additional indebtedness in the future in the ordinary course of business. The terms of our 2015 Credit Facility allow us to incur additional debt subject to certain limitations; however, there is no assurance that additional financing will be available to us on terms favorable to us, if at all. In addition, if new debt is added to the then existing debt levels, the risks described above could intensify.</w:t>
      </w:r>
    </w:p>
    <w:p>
      <w:pPr>
        <w:spacing w:after="0" w:line="25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2015 Credit Facility provides for various provisions that limit our discretion in the operation of our business and require us to meet financial maintenance tests and other covenants and the failure to comply with their covenants could have a material adverse effect on us.</w:t>
      </w:r>
    </w:p>
    <w:p>
      <w:pPr>
        <w:spacing w:after="0" w:line="124"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We are party to a credit agreement providing for our 2015 Credit Facility. The agreements that govern the 2015 Credit Facility contain various covenants, including those that limit our ability to, among other things:</w:t>
      </w:r>
    </w:p>
    <w:p>
      <w:pPr>
        <w:spacing w:after="0" w:line="62" w:lineRule="exact"/>
        <w:rPr>
          <w:sz w:val="20"/>
          <w:szCs w:val="20"/>
          <w:color w:val="auto"/>
        </w:rPr>
      </w:pPr>
    </w:p>
    <w:p>
      <w:pPr>
        <w:ind w:left="1180" w:hanging="429"/>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5"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These covenants may limit our ability to optimally operate our business. In addition, our 2015 Credit Facility requires that we meet certain financial tests, including a leverage ratio test. Any failure to comply with the restrictions of our credit facility may result in an event of default under the agreements governing such facility. Such default may allow the creditors to accelerate the debt incurred thereunder. In addition, lenders may be able to terminate any commitments they had made to supply us with further funds (including periodic rollovers of existing borrowings).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will fluctuate from quarter to quarter and are difficult to predict.</w:t>
      </w:r>
    </w:p>
    <w:p>
      <w:pPr>
        <w:spacing w:after="0" w:line="22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Our quarterly financial results have fluctuated in the past and will likely fluctuate in the future. Additionally, we have limited operating history with the current scale of our business, which means it is difficult to forecast our financial results. As a result, you should not rely upon our quarterly financial results as indicators of future performance. Our financial results in any given quarter can be influenced by numerous factors, many of which we are unable to predict or are outside of our control, including:</w:t>
      </w:r>
    </w:p>
    <w:p>
      <w:pPr>
        <w:spacing w:after="0" w:line="79" w:lineRule="exact"/>
        <w:rPr>
          <w:sz w:val="20"/>
          <w:szCs w:val="20"/>
          <w:color w:val="auto"/>
        </w:rPr>
      </w:pPr>
    </w:p>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and grow our user base and to increase user engagement;</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 in marketing, sales and other operation expenses that we will incur to grow and expand our operations and to remain competitive;</w:t>
      </w:r>
    </w:p>
    <w:p>
      <w:pPr>
        <w:spacing w:after="0" w:line="140" w:lineRule="exact"/>
        <w:rPr>
          <w:rFonts w:ascii="Arial" w:cs="Arial" w:eastAsia="Arial" w:hAnsi="Arial"/>
          <w:sz w:val="16"/>
          <w:szCs w:val="16"/>
          <w:color w:val="auto"/>
        </w:rPr>
      </w:pPr>
    </w:p>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marketing spend of our travel partners due to seasonality, episodic global or regional events or other factors;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pricing of our ads and other products;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User behavior or product changes that may reduce traffic to features or products that we successfully monetize;</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System failure or outages, which would prevent us from serving ads for any period of time;</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Breaches of security or privacy and the costs associated with any such breaches and remediation;</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Fees paid to third parties for content or promotion of our products and services;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litigation judgments, settlement or other litigation related costs;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8" w:name="page29"/>
    <w:bookmarkEnd w:id="28"/>
    <w:p>
      <w:pPr>
        <w:ind w:left="1180" w:right="220" w:hanging="429"/>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and data protection, or engagement by government regulators, including final orders or consent decrees;</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impact of changes in tax laws, which are recorded in the period enacted and may significantly affect our effective income tax rates;</w:t>
      </w:r>
    </w:p>
    <w:p>
      <w:pPr>
        <w:spacing w:after="0" w:line="128" w:lineRule="exact"/>
        <w:rPr>
          <w:rFonts w:ascii="Arial" w:cs="Arial" w:eastAsia="Arial" w:hAnsi="Arial"/>
          <w:sz w:val="17"/>
          <w:szCs w:val="17"/>
          <w:color w:val="auto"/>
        </w:rPr>
      </w:pPr>
    </w:p>
    <w:p>
      <w:pPr>
        <w:ind w:left="1180" w:right="160" w:hanging="429"/>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obligations that may arise from resolutions of tax examinations, including the examinations we are currently under that may materially differ from the amounts we have anticipated;</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Fluctuations in currency exchange rates and changes in the proportion of our revenue and expenses denominated in foreign currencies;</w:t>
      </w:r>
    </w:p>
    <w:p>
      <w:pPr>
        <w:spacing w:after="0" w:line="140" w:lineRule="exact"/>
        <w:rPr>
          <w:rFonts w:ascii="Arial" w:cs="Arial" w:eastAsia="Arial" w:hAnsi="Arial"/>
          <w:sz w:val="16"/>
          <w:szCs w:val="16"/>
          <w:color w:val="auto"/>
        </w:rPr>
      </w:pPr>
    </w:p>
    <w:p>
      <w:pPr>
        <w:ind w:left="1180" w:hanging="429"/>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 and</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global business and macroeconomic conditions.</w:t>
      </w:r>
    </w:p>
    <w:p>
      <w:pPr>
        <w:spacing w:after="0" w:line="33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70" w:lineRule="exact"/>
        <w:rPr>
          <w:sz w:val="20"/>
          <w:szCs w:val="20"/>
          <w:color w:val="auto"/>
        </w:rPr>
      </w:pPr>
    </w:p>
    <w:p>
      <w:pPr>
        <w:ind w:right="80" w:firstLine="598"/>
        <w:spacing w:after="0" w:line="253" w:lineRule="auto"/>
        <w:rPr>
          <w:sz w:val="20"/>
          <w:szCs w:val="20"/>
          <w:color w:val="auto"/>
        </w:rPr>
      </w:pPr>
      <w:r>
        <w:rPr>
          <w:rFonts w:ascii="Arial" w:cs="Arial" w:eastAsia="Arial" w:hAnsi="Arial"/>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30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effective income tax rate is impacted by a number of factors that could have a material impact on our financial results and could increase the volatility of those results.</w:t>
      </w:r>
    </w:p>
    <w:p>
      <w:pPr>
        <w:spacing w:after="0" w:line="170" w:lineRule="exact"/>
        <w:rPr>
          <w:sz w:val="20"/>
          <w:szCs w:val="20"/>
          <w:color w:val="auto"/>
        </w:rPr>
      </w:pPr>
    </w:p>
    <w:p>
      <w:pPr>
        <w:jc w:val="both"/>
        <w:ind w:right="20" w:firstLine="598"/>
        <w:spacing w:after="0" w:line="276" w:lineRule="auto"/>
        <w:rPr>
          <w:sz w:val="20"/>
          <w:szCs w:val="20"/>
          <w:color w:val="auto"/>
        </w:rPr>
      </w:pPr>
      <w:r>
        <w:rPr>
          <w:rFonts w:ascii="Arial" w:cs="Arial" w:eastAsia="Arial" w:hAnsi="Arial"/>
          <w:sz w:val="17"/>
          <w:szCs w:val="17"/>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This lack of flexibility increases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73"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 business does not achieve the intended tax consequences, which would increase our effective income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For example, the Organization for Economic Cooperation and Development (the “OECD”) has recently recommended changes to numerous long-standing international tax principles. If countries amend their tax laws to adopt certain parts of the OECD guidelines, this may increase tax uncertainty and may adversely impact our tax liabilities. Any of these changes could affect our financial performance.</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9" w:name="page30"/>
    <w:bookmarkEnd w:id="29"/>
    <w:p>
      <w:pPr>
        <w:ind w:firstLine="598"/>
        <w:spacing w:after="0" w:line="302" w:lineRule="auto"/>
        <w:rPr>
          <w:sz w:val="20"/>
          <w:szCs w:val="20"/>
          <w:color w:val="auto"/>
        </w:rPr>
      </w:pPr>
      <w:r>
        <w:rPr>
          <w:rFonts w:ascii="Arial" w:cs="Arial" w:eastAsia="Arial" w:hAnsi="Arial"/>
          <w:sz w:val="16"/>
          <w:szCs w:val="16"/>
          <w:color w:val="auto"/>
        </w:rPr>
        <w:t>The final determination of audits could be materially different from our income tax provisions and accruals and could have a material effect on our financial position, results of operations, or cash flows in the period or periods for which that determination is made. Also, our future effective income tax rates could be affected by changes in the mix of earnings in countries with differing statutory tax rates, changes in valuation of deferred tax assets or changes in tax laws or their interpretation. If our effective income tax rates were to increase, our results of operations and cash flows would be adversely affected.</w:t>
      </w:r>
    </w:p>
    <w:p>
      <w:pPr>
        <w:spacing w:after="0" w:line="154"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The income tax effects of the accounting for share-based compensation may significantly impact our effective income tax rate. In periods in which our stock price is higher than the grant-date price of the share-based compensation awards vesting in that period, we will recognize excess tax benefits that will decrease our effective income tax rate. In periods in which our stock price is lower than the grant-date price of the share-based compensation awards vesting in that period, our effective income tax rate will increase.</w:t>
      </w:r>
    </w:p>
    <w:p>
      <w:pPr>
        <w:spacing w:after="0" w:line="187"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Additionally, we continue to accumulate positive cash flow in foreign jurisdictions, which we consider indefinitely reinvested, although we will continue to evaluate the impact of the 2017 Tax Act on our capital deployment within and outside the U.S. Any repatriation of funds currently held in foreign jurisdictions may result in withholding taxes and state taxes.</w:t>
      </w:r>
    </w:p>
    <w:p>
      <w:pPr>
        <w:spacing w:after="0" w:line="2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Application of U.S. state and local or international tax laws, changes in tax laws or tax rulings, or the examination of our tax positions, could materially affect our financial position and results of operations.</w:t>
      </w:r>
    </w:p>
    <w:p>
      <w:pPr>
        <w:spacing w:after="0" w:line="170" w:lineRule="exact"/>
        <w:rPr>
          <w:sz w:val="20"/>
          <w:szCs w:val="20"/>
          <w:color w:val="auto"/>
        </w:rPr>
      </w:pPr>
    </w:p>
    <w:p>
      <w:pPr>
        <w:ind w:right="60" w:firstLine="598"/>
        <w:spacing w:after="0" w:line="290" w:lineRule="auto"/>
        <w:rPr>
          <w:sz w:val="20"/>
          <w:szCs w:val="20"/>
          <w:color w:val="auto"/>
        </w:rPr>
      </w:pPr>
      <w:r>
        <w:rPr>
          <w:rFonts w:ascii="Arial" w:cs="Arial" w:eastAsia="Arial" w:hAnsi="Arial"/>
          <w:sz w:val="16"/>
          <w:szCs w:val="16"/>
          <w:color w:val="auto"/>
        </w:rPr>
        <w:t>As an international business, we are subject to incomes taxes and non-income-based taxes in the United States and various other international jurisdictions. 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due to economic and political conditions, tax rates and tax regimes in various jurisdictions may be subject to significant change and the tax benefits that we intend to eventually derive could be undermined due to changing tax laws. Governments are increasingly focused on ways to increase tax revenues, which has contributed to an increase in audit activity,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w:t>
      </w:r>
    </w:p>
    <w:p>
      <w:pPr>
        <w:spacing w:after="0" w:line="166"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The 2017 Tax Act has resulted in significant changes to the U.S. corporate income tax system. The 2017 Tax Act requires complex computations to be performed that were not previously required in U.S. tax law, significant judgments to be made in interpretation of the provisions of the 2017 Tax Act, significant estimates in calculations, and the preparation and analysis of information not previously relevant or regularly produced. The tax law changes by the 2017 Tax Act are broad and complex and there are still uncertainties about how the 2017 Tax Act will be interpreted at both the U.S. federal and state levels. The U.S. Treasury Department, the IRS and other standard-setting bodies could interpret or issue guidance on how provisions of the 2017 Tax Act will be applied or otherwise administered that is different from our interpretation. This could materially change the taxes that we recorded in 2017 and 2018, and the expected future impact of the 2017 Tax Act on our business.</w:t>
      </w:r>
    </w:p>
    <w:p>
      <w:pPr>
        <w:spacing w:after="0" w:line="178"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color w:val="auto"/>
        </w:rPr>
        <w:t>On January 28, 2016, the European Commission unveiled a new package of proposals aimed at providing a framework for fairer taxation and to provide a coordinated European Union response to combating corporate tax avoidance. Following agreement among the European Union member states on the final content of the package, the European Council formally adopted an Anti-Tax Avoidance Directive in July 2016, which was further amended in February 2017. The Directive is aimed at preventing aggressive tax planning, increasing tax transparency and creating a fairer tax environment for all businesses in the European Union. The OECD is working towards a consensus-based solution to the challenges of the digitalization of the economy by 2020. In addition, on March 21, 2018, the European Commission released two draft directives on the Taxation of the Digital Economy. One directive aims at a more comprehensive solution whereby EU states would be able to levy corporate income tax on companies that have digital presence in those states regardless of whether they have a physical presence in those states. The second directive provides for an interim solution whereby EU States are to apply a 3% revenue based Digital Services Tax, which if enacted, would be effective beginning in 2020. In the interim, certain EU States (Austria,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spacing w:after="0" w:line="291" w:lineRule="auto"/>
        <w:rPr>
          <w:sz w:val="20"/>
          <w:szCs w:val="20"/>
          <w:color w:val="auto"/>
        </w:rPr>
      </w:pPr>
      <w:r>
        <w:rPr>
          <w:rFonts w:ascii="Arial" w:cs="Arial" w:eastAsia="Arial" w:hAnsi="Arial"/>
          <w:sz w:val="16"/>
          <w:szCs w:val="16"/>
          <w:color w:val="auto"/>
        </w:rPr>
        <w:t>France, Italy, Spain, Belgium and the United Kingdom) have proposed legislation to implement a Digital Services Tax that, if enacted, would impose a tax on revenue earned by larger companies from users of digital services located in these respective EU States as early as 2019. Any changes to international tax laws, including new definitions of permanent establishment, could affect the tax treatment of our foreign earnings and adversely impact our effective income tax rate. Further, changes to tax laws and additional reporting requirements could increase the complexity, burden and cost of compliance. Due to the large and expanding scale of our international business activities, any changes in U.S. or international taxation of our activities or the combined effect of tax laws in multiple jurisdictions may increase our worldwide effective income tax rate, increase the complexity and costs associated with tax compliance (especially if changes are implemented or interpreted inconsistently across tax jurisdictions) and adversely affect our cash flows and results of operations.</w:t>
      </w:r>
    </w:p>
    <w:p>
      <w:pPr>
        <w:spacing w:after="0" w:line="16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In addition, the taxing authorities in the United States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operating results and financial condition.</w:t>
      </w:r>
    </w:p>
    <w:p>
      <w:pPr>
        <w:spacing w:after="0" w:line="18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In July 2015, the United States Tax Court issued an opinion favorable to Altera Corporation, accepting Altera’s position of excluding stock-based compensation from its intercompany cost-sharing arrangement. The IRS subsequently appealed the Court decision on February 19, 2016. On July 24, 2018, the IRS won an appeals court case at the Ninth Circuit, however, on August 7, 2018, the Ninth Circuit withdrew its decision regarding Altera and the case was reheard. While we have recorded an income tax benefit based on the Court’s 2015 opinion, we may be required to reverse the income tax benefit if an unfavorable opinion is issued by the Court when the case is reheard.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treatment of companies engaged in e-commerce may adversely affect the commercial use of our sites and our financial results.</w:t>
      </w:r>
    </w:p>
    <w:p>
      <w:pPr>
        <w:spacing w:after="0" w:line="248" w:lineRule="exact"/>
        <w:rPr>
          <w:sz w:val="20"/>
          <w:szCs w:val="20"/>
          <w:color w:val="auto"/>
        </w:rPr>
      </w:pPr>
    </w:p>
    <w:p>
      <w:pPr>
        <w:ind w:firstLine="585"/>
        <w:spacing w:after="0" w:line="269" w:lineRule="auto"/>
        <w:rPr>
          <w:sz w:val="20"/>
          <w:szCs w:val="20"/>
          <w:color w:val="auto"/>
        </w:rPr>
      </w:pPr>
      <w:r>
        <w:rPr>
          <w:rFonts w:ascii="Arial" w:cs="Arial" w:eastAsia="Arial" w:hAnsi="Arial"/>
          <w:sz w:val="17"/>
          <w:szCs w:val="17"/>
          <w:color w:val="auto"/>
        </w:rPr>
        <w:t>Due to the global nature of the internet, it is possible that various states or foreign countries might attempt to levy additional or new sales, income or other taxes relating to our activities. Tax authorities at the international, federal, state and local levels are currently reviewing the appropriate treatment of companies engaged in e-commerce. New or revised international, federal, state or local tax regulations or court decisions may subject us or our customers to additional sales, occupancy, income and other taxes. For example, Congress is considering various approaches to legislation that would require companies engaged in e-commerce to collect sales tax on internet revenue and a growing number of U.S. states and certain foreign jurisdictions have adopted or are considering proposals to impose obligations on remote sellers and online marketplaces to collect taxes on their behalf. Additionally, the U.S. Supreme Court’s ruling in South Dakota v. Wayfair Inc., in which a Court reversed longstanding precedent that remote sellers are not required to collect state and local sales taxes, may have an adverse impact on our business. We cannot predict the effect of these and other attempts to impose sales, income or other taxes on e-commerce.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Any of these events could have a material adverse effect on our business, financial condition and operating results.</w:t>
      </w:r>
    </w:p>
    <w:p>
      <w:pPr>
        <w:spacing w:after="0" w:line="18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Taxing authorities may successfully assert that we should have collected or in the future should collect sales and use, occupancy, VAT or similar taxes, and we could be subject to liability with respect to past or future sales, which could adversely affect our operating results.</w:t>
      </w:r>
    </w:p>
    <w:p>
      <w:pPr>
        <w:spacing w:after="0" w:line="147" w:lineRule="exact"/>
        <w:rPr>
          <w:sz w:val="20"/>
          <w:szCs w:val="20"/>
          <w:color w:val="auto"/>
        </w:rPr>
      </w:pPr>
    </w:p>
    <w:p>
      <w:pPr>
        <w:ind w:right="20" w:firstLine="585"/>
        <w:spacing w:after="0" w:line="293" w:lineRule="auto"/>
        <w:rPr>
          <w:sz w:val="20"/>
          <w:szCs w:val="20"/>
          <w:color w:val="auto"/>
        </w:rPr>
      </w:pPr>
      <w:r>
        <w:rPr>
          <w:rFonts w:ascii="Arial" w:cs="Arial" w:eastAsia="Arial" w:hAnsi="Arial"/>
          <w:sz w:val="16"/>
          <w:szCs w:val="16"/>
          <w:color w:val="auto"/>
        </w:rPr>
        <w:t>We do not collect and remit sales and use, occupancy, VAT or similar taxes in all jurisdictions in which we have sales, based on our belief 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 outcome of our discussions and/or appeals with these states or cases that are pending in the courts. In the event of an adverse outcome, we could face assessments for additional time periods since the last assessments we received, plus any additional interest and penalties. We also expect additional jurisdictions may make similar assessments or pass similar new laws in the future, and any of the jurisdictions where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we have sales may apply more rigorous enforcement efforts or take more aggressive positions in the future that could result in greater tax liability allegations.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tax assessments, penalties and interest or future requirements may materially adversely affect our business, financial condition and operating results.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be subject to significant potential tax liabilities in connection with the Spin-Off.</w:t>
      </w:r>
    </w:p>
    <w:p>
      <w:pPr>
        <w:spacing w:after="0" w:line="225"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65"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IRS audit for the 2009, 2010, and short-period 2011 tax years. In connection with that audit, we received, in January 2017, notices of proposed adjustment from the IRS for the 2009 and 2010 tax years, which would result in an increase in our worldwide income tax expense. The proposed adjustments would result in an increase to our worldwide income tax expense in an estimated range totaling $10 million to $14 million for those specific years after consideration of competent authority relief, exclusive of interest and penalties. We are also subject to various ongoing state income tax audits. The outcome of these matters or any other audits could subject us to significant tax liabilities.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225"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color w:val="auto"/>
        </w:rPr>
        <w:t>We conduct a significant and growing portion of our business outside the United States but report our results in U.S. dollars. As a result, we face exposure to movements in foreign currency exchange rates, particularly those related to the Euro, British pound, and Australian dollar.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Brexit caused significant volatility in currency exchange rates, especially between the U.S. dollar and the British pound. Continued uncertainty regarding Brexit may result in future exchange rate volatility. In addition, in the event that one or more European countries were to replace the Euro with another currency, our sales into such countries, or into Europe generally, would likely be adversely affected until stable exchange rates are established. Accordingly, fluctuations in foreign currency exchange rates, such as the strengthening of the U.S. dollar against the Euro or the British pound, could adversely affect our net revenue growth in future periods.</w:t>
      </w:r>
    </w:p>
    <w:p>
      <w:pPr>
        <w:spacing w:after="0" w:line="16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78"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 consumer trends and the timing and degree of their impact on our markets and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business, which in turn could adversely affect our ability to effectively manage our business and adversely affect our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225"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Gregory Maffei and one of our Directors Albert Rosenthaler also serve as officers and directors of LTRIP. LTRIP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LTRIP’s control of us, as well as the existing provisions of our organizational documents and Delaware law, may discourage or prevent a change of control that might otherwise be beneficial, which may reduce the market price of our common stock.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3" w:lineRule="exact"/>
        <w:rPr>
          <w:sz w:val="20"/>
          <w:szCs w:val="20"/>
          <w:color w:val="auto"/>
        </w:rPr>
      </w:pPr>
    </w:p>
    <w:p>
      <w:pPr>
        <w:ind w:left="1180" w:hanging="42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1180" w:right="480" w:hanging="429"/>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7" w:lineRule="exact"/>
        <w:rPr>
          <w:rFonts w:ascii="Arial" w:cs="Arial" w:eastAsia="Arial" w:hAnsi="Arial"/>
          <w:sz w:val="18"/>
          <w:szCs w:val="18"/>
          <w:color w:val="auto"/>
        </w:rPr>
      </w:pPr>
    </w:p>
    <w:p>
      <w:pPr>
        <w:ind w:left="1180" w:right="460" w:hanging="429"/>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0"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2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20" w:firstLine="598"/>
        <w:spacing w:after="0" w:line="27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2" w:lineRule="exact"/>
        <w:rPr>
          <w:sz w:val="20"/>
          <w:szCs w:val="20"/>
          <w:color w:val="auto"/>
        </w:rPr>
      </w:pPr>
    </w:p>
    <w:p>
      <w:pPr>
        <w:ind w:left="1180" w:hanging="429"/>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7" w:lineRule="exact"/>
        <w:rPr>
          <w:rFonts w:ascii="Arial" w:cs="Arial" w:eastAsia="Arial" w:hAnsi="Arial"/>
          <w:sz w:val="18"/>
          <w:szCs w:val="18"/>
          <w:color w:val="auto"/>
        </w:rPr>
      </w:pPr>
    </w:p>
    <w:p>
      <w:pPr>
        <w:ind w:left="1180" w:right="620" w:hanging="429"/>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2" w:lineRule="exact"/>
        <w:rPr>
          <w:rFonts w:ascii="Arial" w:cs="Arial" w:eastAsia="Arial" w:hAnsi="Arial"/>
          <w:sz w:val="18"/>
          <w:szCs w:val="18"/>
          <w:color w:val="auto"/>
        </w:rPr>
      </w:pPr>
    </w:p>
    <w:p>
      <w:pPr>
        <w:ind w:left="1180" w:right="480" w:hanging="429"/>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0"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our stockholders’ ability to achieve a return on their investment will depend on appreciation in the price of our common stock.</w:t>
      </w:r>
    </w:p>
    <w:p>
      <w:pPr>
        <w:spacing w:after="0" w:line="279"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future gains on their investments.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237"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Sales of substantial 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equity securities.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certificate of incorporation and bylaws contain provisions that could delay or prevent a change of control of our company or changes in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that our stockholders might consider favorable. These provisions include:</w:t>
      </w:r>
    </w:p>
    <w:p>
      <w:pPr>
        <w:spacing w:after="0" w:line="103" w:lineRule="exact"/>
        <w:rPr>
          <w:sz w:val="20"/>
          <w:szCs w:val="20"/>
          <w:color w:val="auto"/>
        </w:rPr>
      </w:pPr>
    </w:p>
    <w:p>
      <w:pPr>
        <w:ind w:left="1180" w:hanging="429"/>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7" w:lineRule="exact"/>
        <w:rPr>
          <w:rFonts w:ascii="Arial" w:cs="Arial" w:eastAsia="Arial" w:hAnsi="Arial"/>
          <w:sz w:val="18"/>
          <w:szCs w:val="18"/>
          <w:color w:val="auto"/>
        </w:rPr>
      </w:pPr>
    </w:p>
    <w:p>
      <w:pPr>
        <w:ind w:left="1180" w:right="620" w:hanging="429"/>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our stockholders from filling board vacancies or calling special stockholder meetings; and</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4" w:name="page35"/>
    <w:bookmarkEnd w:id="34"/>
    <w:p>
      <w:pPr>
        <w:ind w:firstLine="598"/>
        <w:spacing w:after="0" w:line="276"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200" w:lineRule="exact"/>
        <w:rPr>
          <w:sz w:val="20"/>
          <w:szCs w:val="20"/>
          <w:color w:val="auto"/>
        </w:rPr>
      </w:pPr>
    </w:p>
    <w:p>
      <w:pPr>
        <w:spacing w:after="0" w:line="32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We currently lease approximately 280,000 square feet for our corporate headquarters in Needham, Massachusetts, pursuant to a lease with an expiration date of December 2030, with an option to extend the lease term for two consecutive terms of five years each. We also lease an aggregate of approximately 450,000 square feet of office space at approximately 40 other locations across North America, Europe and Asia Pacific, in cities such as, New York, Boston, London, Sydney, Barcelona, Paris, and Beijing, primarily for our sales offices, subsidiary headquarters, and international management teams, pursuant to leases with various expiration dates, with the latest expiring in June 2027. We believe that our current facilities are adequate for our current operations and that additional leased space can be obtained on reasonable terms if needed. We do not legally own any real estate as of December 31, 2018.</w:t>
      </w:r>
    </w:p>
    <w:p>
      <w:pPr>
        <w:spacing w:after="0" w:line="5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 xml:space="preserve">Refer to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our consolidated financial statements in Item 8 of this Annual Report on Form 10-K for further information on our corporate headquarters and other property leases.</w:t>
      </w:r>
    </w:p>
    <w:p>
      <w:pPr>
        <w:spacing w:after="0" w:line="2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28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148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140" w:firstLine="598"/>
        <w:spacing w:after="0" w:line="264" w:lineRule="auto"/>
        <w:rPr>
          <w:sz w:val="20"/>
          <w:szCs w:val="20"/>
          <w:color w:val="auto"/>
        </w:rPr>
      </w:pPr>
      <w:r>
        <w:rPr>
          <w:rFonts w:ascii="Arial" w:cs="Arial" w:eastAsia="Arial" w:hAnsi="Arial"/>
          <w:sz w:val="18"/>
          <w:szCs w:val="18"/>
          <w:color w:val="auto"/>
        </w:rPr>
        <w:t>Our common stock is quoted on NASDAQ under the ticker symbol “TRIP.” On February 14, 2019, the closing price of our common stock reported on NASDAQ was $57.76 per share. Our Class B common stock is not listed and there is no established public trading market for that security. As of February 14, 2019, all of our Class B common stock was held by LTRIP.</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Performance Comparison Graph</w:t>
      </w:r>
    </w:p>
    <w:p>
      <w:pPr>
        <w:spacing w:after="0" w:line="121"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The following graph provides a comparison of the total stockholder return from December 31, 2013 to December 31, 2018, of an investment of $100 in cash on December 31, 2013 for TripAdvisor, Inc. common stock and an investment of $100 in cash on December 31, 2013 for (i) the Standard and Poor’s 500 Index (the “S&amp;P 500 Index”), (ii) the NASDAQ Composite Index, and (iii)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NASDAQ Composite Index, and the RDG Internet Composite Index assume reinvestment of dividends. We have never paid dividends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113665</wp:posOffset>
            </wp:positionV>
            <wp:extent cx="5342890" cy="44424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2890" cy="4442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i w:val="1"/>
          <w:iCs w:val="1"/>
          <w:color w:val="auto"/>
        </w:rPr>
        <w:t>This performance comparison graph is not “soliciting material,” is not deemed filed with the SEC and is not deemed to be incorporated by reference by any general statement incorporating by reference this Annual Report on Form 10-K into any filing of TripAdvisor, Inc. under the Securities Act of 1933, as amended (the “Securities Act”), or any filing under the Securities Exchange Act of 1934, as amended (the “Exchange Act”), except to the extent that we specifically request that the information be treated as soliciting material or specifically incorporate this information by reference into any such filing, and will not otherwise be deemed incorporated by reference into any other filing under the Securities Act or the Exchange Act, except to the extent that we specifically incorporate it by reference.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As of February 14, 2019, there were 125,336,213 outstanding shares of our common stock held by 2,220 stockholders of record, and 12,799,999 outstanding shares of our Class B common stock held by one stockholder of record: LTRIP.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 xml:space="preserve">We have never declared or paid dividends and do not expect to pay any dividends for the foreseeable future. Our ability to pay dividends is also limited by the terms of our 2015 Credit Facility. Refer to “Note 10: </w:t>
      </w:r>
      <w:r>
        <w:rPr>
          <w:rFonts w:ascii="Arial" w:cs="Arial" w:eastAsia="Arial" w:hAnsi="Arial"/>
          <w:sz w:val="16"/>
          <w:szCs w:val="16"/>
          <w:i w:val="1"/>
          <w:iCs w:val="1"/>
          <w:color w:val="auto"/>
        </w:rPr>
        <w:t>Debt</w:t>
      </w:r>
      <w:r>
        <w:rPr>
          <w:rFonts w:ascii="Arial" w:cs="Arial" w:eastAsia="Arial" w:hAnsi="Arial"/>
          <w:sz w:val="16"/>
          <w:szCs w:val="16"/>
          <w:color w:val="auto"/>
        </w:rPr>
        <w:t>” in the notes to the consolidated financial statements in Item 8 in this Annual Report on Form 10-K for additional information regarding this revolving credit facility. Any future determination as to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During the year ended December 31, 2018, we did not issue or sell any shares of our common stock, Class B common stock or other equity securities pursuant to unregistered transactions in reliance upon an exemption from the registration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On January 31, 2018, TripAdvisor’s Board of Directors authorized up to $250 million of share repurchases. Our Board of Directors authorized and directed management, working with the Executive Committee of our Board of Directors, to affect the share repurchase program in compliance with applicable legal requirements. This repurchase program has no expiration date but may be suspended or terminated by the Board of Directors at any time.</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information about our common stock repurchases during the fourth quarter of 2018 is set forth in the table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20" w:type="dxa"/>
            <w:vAlign w:val="bottom"/>
            <w:gridSpan w:val="2"/>
          </w:tcPr>
          <w:p>
            <w:pPr>
              <w:ind w:left="420"/>
              <w:spacing w:after="0"/>
              <w:rPr>
                <w:sz w:val="20"/>
                <w:szCs w:val="20"/>
                <w:color w:val="auto"/>
              </w:rPr>
            </w:pPr>
            <w:r>
              <w:rPr>
                <w:rFonts w:ascii="Arial" w:cs="Arial" w:eastAsia="Arial" w:hAnsi="Arial"/>
                <w:sz w:val="18"/>
                <w:szCs w:val="18"/>
                <w:b w:val="1"/>
                <w:bCs w:val="1"/>
                <w:color w:val="auto"/>
              </w:rPr>
              <w:t>Maximum</w:t>
            </w:r>
          </w:p>
        </w:tc>
      </w:tr>
      <w:tr>
        <w:trPr>
          <w:trHeight w:val="216"/>
        </w:trPr>
        <w:tc>
          <w:tcPr>
            <w:tcW w:w="5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Total Number</w:t>
            </w:r>
          </w:p>
        </w:tc>
        <w:tc>
          <w:tcPr>
            <w:tcW w:w="2020" w:type="dxa"/>
            <w:vAlign w:val="bottom"/>
            <w:gridSpan w:val="2"/>
          </w:tcPr>
          <w:p>
            <w:pPr>
              <w:ind w:left="420"/>
              <w:spacing w:after="0"/>
              <w:rPr>
                <w:sz w:val="20"/>
                <w:szCs w:val="20"/>
                <w:color w:val="auto"/>
              </w:rPr>
            </w:pPr>
            <w:r>
              <w:rPr>
                <w:rFonts w:ascii="Arial" w:cs="Arial" w:eastAsia="Arial" w:hAnsi="Arial"/>
                <w:sz w:val="18"/>
                <w:szCs w:val="18"/>
                <w:b w:val="1"/>
                <w:bCs w:val="1"/>
                <w:color w:val="auto"/>
              </w:rPr>
              <w:t>Number (or</w:t>
            </w:r>
          </w:p>
        </w:tc>
      </w:tr>
      <w:tr>
        <w:trPr>
          <w:trHeight w:val="216"/>
        </w:trPr>
        <w:tc>
          <w:tcPr>
            <w:tcW w:w="5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of Shares</w:t>
            </w:r>
          </w:p>
        </w:tc>
        <w:tc>
          <w:tcPr>
            <w:tcW w:w="2020" w:type="dxa"/>
            <w:vAlign w:val="bottom"/>
            <w:gridSpan w:val="2"/>
          </w:tcPr>
          <w:p>
            <w:pPr>
              <w:ind w:left="420"/>
              <w:spacing w:after="0"/>
              <w:rPr>
                <w:sz w:val="20"/>
                <w:szCs w:val="20"/>
                <w:color w:val="auto"/>
              </w:rPr>
            </w:pPr>
            <w:r>
              <w:rPr>
                <w:rFonts w:ascii="Arial" w:cs="Arial" w:eastAsia="Arial" w:hAnsi="Arial"/>
                <w:sz w:val="18"/>
                <w:szCs w:val="18"/>
                <w:b w:val="1"/>
                <w:bCs w:val="1"/>
                <w:color w:val="auto"/>
              </w:rPr>
              <w:t>Approximate</w:t>
            </w:r>
          </w:p>
        </w:tc>
      </w:tr>
      <w:tr>
        <w:trPr>
          <w:trHeight w:val="216"/>
        </w:trPr>
        <w:tc>
          <w:tcPr>
            <w:tcW w:w="5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Purchased as</w:t>
            </w:r>
          </w:p>
        </w:tc>
        <w:tc>
          <w:tcPr>
            <w:tcW w:w="2020" w:type="dxa"/>
            <w:vAlign w:val="bottom"/>
            <w:gridSpan w:val="2"/>
          </w:tcPr>
          <w:p>
            <w:pPr>
              <w:ind w:left="420"/>
              <w:spacing w:after="0"/>
              <w:rPr>
                <w:sz w:val="20"/>
                <w:szCs w:val="20"/>
                <w:color w:val="auto"/>
              </w:rPr>
            </w:pPr>
            <w:r>
              <w:rPr>
                <w:rFonts w:ascii="Arial" w:cs="Arial" w:eastAsia="Arial" w:hAnsi="Arial"/>
                <w:sz w:val="18"/>
                <w:szCs w:val="18"/>
                <w:b w:val="1"/>
                <w:bCs w:val="1"/>
                <w:color w:val="auto"/>
              </w:rPr>
              <w:t>Dollar Value) of</w:t>
            </w:r>
          </w:p>
        </w:tc>
      </w:tr>
      <w:tr>
        <w:trPr>
          <w:trHeight w:val="216"/>
        </w:trPr>
        <w:tc>
          <w:tcPr>
            <w:tcW w:w="5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w w:val="94"/>
              </w:rPr>
              <w:t>Part of Publicly</w:t>
            </w:r>
          </w:p>
        </w:tc>
        <w:tc>
          <w:tcPr>
            <w:tcW w:w="2020" w:type="dxa"/>
            <w:vAlign w:val="bottom"/>
            <w:gridSpan w:val="2"/>
          </w:tcPr>
          <w:p>
            <w:pPr>
              <w:ind w:left="420"/>
              <w:spacing w:after="0"/>
              <w:rPr>
                <w:sz w:val="20"/>
                <w:szCs w:val="20"/>
                <w:color w:val="auto"/>
              </w:rPr>
            </w:pPr>
            <w:r>
              <w:rPr>
                <w:rFonts w:ascii="Arial" w:cs="Arial" w:eastAsia="Arial" w:hAnsi="Arial"/>
                <w:sz w:val="18"/>
                <w:szCs w:val="18"/>
                <w:b w:val="1"/>
                <w:bCs w:val="1"/>
                <w:color w:val="auto"/>
              </w:rPr>
              <w:t>Shares that May</w:t>
            </w:r>
          </w:p>
        </w:tc>
      </w:tr>
      <w:tr>
        <w:trPr>
          <w:trHeight w:val="216"/>
        </w:trPr>
        <w:tc>
          <w:tcPr>
            <w:tcW w:w="5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Announced</w:t>
            </w:r>
          </w:p>
        </w:tc>
        <w:tc>
          <w:tcPr>
            <w:tcW w:w="2020" w:type="dxa"/>
            <w:vAlign w:val="bottom"/>
            <w:gridSpan w:val="2"/>
          </w:tcPr>
          <w:p>
            <w:pPr>
              <w:ind w:left="420"/>
              <w:spacing w:after="0"/>
              <w:rPr>
                <w:sz w:val="20"/>
                <w:szCs w:val="20"/>
                <w:color w:val="auto"/>
              </w:rPr>
            </w:pPr>
            <w:r>
              <w:rPr>
                <w:rFonts w:ascii="Arial" w:cs="Arial" w:eastAsia="Arial" w:hAnsi="Arial"/>
                <w:sz w:val="18"/>
                <w:szCs w:val="18"/>
                <w:b w:val="1"/>
                <w:bCs w:val="1"/>
                <w:color w:val="auto"/>
              </w:rPr>
              <w:t>Yet Be Purchased</w:t>
            </w:r>
          </w:p>
        </w:tc>
      </w:tr>
      <w:tr>
        <w:trPr>
          <w:trHeight w:val="216"/>
        </w:trPr>
        <w:tc>
          <w:tcPr>
            <w:tcW w:w="5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2060" w:type="dxa"/>
            <w:vAlign w:val="bottom"/>
            <w:gridSpan w:val="2"/>
          </w:tcPr>
          <w:p>
            <w:pPr>
              <w:ind w:left="400"/>
              <w:spacing w:after="0"/>
              <w:rPr>
                <w:sz w:val="20"/>
                <w:szCs w:val="20"/>
                <w:color w:val="auto"/>
              </w:rPr>
            </w:pPr>
            <w:r>
              <w:rPr>
                <w:rFonts w:ascii="Arial" w:cs="Arial" w:eastAsia="Arial" w:hAnsi="Arial"/>
                <w:sz w:val="18"/>
                <w:szCs w:val="18"/>
                <w:b w:val="1"/>
                <w:bCs w:val="1"/>
                <w:color w:val="auto"/>
              </w:rPr>
              <w:t>Average Price</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Plans or</w:t>
            </w:r>
          </w:p>
        </w:tc>
        <w:tc>
          <w:tcPr>
            <w:tcW w:w="2020" w:type="dxa"/>
            <w:vAlign w:val="bottom"/>
            <w:gridSpan w:val="2"/>
          </w:tcPr>
          <w:p>
            <w:pPr>
              <w:ind w:left="420"/>
              <w:spacing w:after="0"/>
              <w:rPr>
                <w:sz w:val="20"/>
                <w:szCs w:val="20"/>
                <w:color w:val="auto"/>
              </w:rPr>
            </w:pPr>
            <w:r>
              <w:rPr>
                <w:rFonts w:ascii="Arial" w:cs="Arial" w:eastAsia="Arial" w:hAnsi="Arial"/>
                <w:sz w:val="18"/>
                <w:szCs w:val="18"/>
                <w:b w:val="1"/>
                <w:bCs w:val="1"/>
                <w:color w:val="auto"/>
                <w:w w:val="98"/>
              </w:rPr>
              <w:t>Under the Plans or</w:t>
            </w:r>
          </w:p>
        </w:tc>
      </w:tr>
      <w:tr>
        <w:trPr>
          <w:trHeight w:val="234"/>
        </w:trPr>
        <w:tc>
          <w:tcPr>
            <w:tcW w:w="510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980" w:type="dxa"/>
            <w:vAlign w:val="bottom"/>
          </w:tcPr>
          <w:p>
            <w:pPr>
              <w:spacing w:after="0"/>
              <w:rPr>
                <w:sz w:val="20"/>
                <w:szCs w:val="20"/>
                <w:color w:val="auto"/>
              </w:rPr>
            </w:pPr>
            <w:r>
              <w:rPr>
                <w:rFonts w:ascii="Arial" w:cs="Arial" w:eastAsia="Arial" w:hAnsi="Arial"/>
                <w:sz w:val="18"/>
                <w:szCs w:val="18"/>
                <w:b w:val="1"/>
                <w:bCs w:val="1"/>
                <w:color w:val="auto"/>
              </w:rPr>
              <w:t>Purchased</w:t>
            </w:r>
          </w:p>
        </w:tc>
        <w:tc>
          <w:tcPr>
            <w:tcW w:w="2060" w:type="dxa"/>
            <w:vAlign w:val="bottom"/>
            <w:gridSpan w:val="2"/>
          </w:tcPr>
          <w:p>
            <w:pPr>
              <w:ind w:left="400"/>
              <w:spacing w:after="0"/>
              <w:rPr>
                <w:sz w:val="20"/>
                <w:szCs w:val="20"/>
                <w:color w:val="auto"/>
              </w:rPr>
            </w:pPr>
            <w:r>
              <w:rPr>
                <w:rFonts w:ascii="Arial" w:cs="Arial" w:eastAsia="Arial" w:hAnsi="Arial"/>
                <w:sz w:val="18"/>
                <w:szCs w:val="18"/>
                <w:b w:val="1"/>
                <w:bCs w:val="1"/>
                <w:color w:val="auto"/>
              </w:rPr>
              <w:t>Paid per Share</w:t>
            </w:r>
          </w:p>
        </w:tc>
        <w:tc>
          <w:tcPr>
            <w:tcW w:w="1260" w:type="dxa"/>
            <w:vAlign w:val="bottom"/>
          </w:tcPr>
          <w:p>
            <w:pPr>
              <w:spacing w:after="0"/>
              <w:rPr>
                <w:sz w:val="20"/>
                <w:szCs w:val="20"/>
                <w:color w:val="auto"/>
              </w:rPr>
            </w:pPr>
            <w:r>
              <w:rPr>
                <w:rFonts w:ascii="Arial" w:cs="Arial" w:eastAsia="Arial" w:hAnsi="Arial"/>
                <w:sz w:val="18"/>
                <w:szCs w:val="18"/>
                <w:b w:val="1"/>
                <w:bCs w:val="1"/>
                <w:color w:val="auto"/>
              </w:rPr>
              <w:t>Programs</w:t>
            </w:r>
          </w:p>
        </w:tc>
        <w:tc>
          <w:tcPr>
            <w:tcW w:w="2020" w:type="dxa"/>
            <w:vAlign w:val="bottom"/>
            <w:gridSpan w:val="2"/>
          </w:tcPr>
          <w:p>
            <w:pPr>
              <w:ind w:left="420"/>
              <w:spacing w:after="0"/>
              <w:rPr>
                <w:sz w:val="20"/>
                <w:szCs w:val="20"/>
                <w:color w:val="auto"/>
              </w:rPr>
            </w:pPr>
            <w:r>
              <w:rPr>
                <w:rFonts w:ascii="Arial" w:cs="Arial" w:eastAsia="Arial" w:hAnsi="Arial"/>
                <w:sz w:val="18"/>
                <w:szCs w:val="18"/>
                <w:b w:val="1"/>
                <w:bCs w:val="1"/>
                <w:color w:val="auto"/>
              </w:rPr>
              <w:t>Programs</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October 1 to October 31</w:t>
            </w:r>
          </w:p>
        </w:tc>
        <w:tc>
          <w:tcPr>
            <w:tcW w:w="9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150,000,033</w:t>
            </w: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November 1 to November 30</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400"/>
              <w:spacing w:after="0"/>
              <w:rPr>
                <w:sz w:val="20"/>
                <w:szCs w:val="20"/>
                <w:color w:val="auto"/>
              </w:rPr>
            </w:pPr>
            <w:r>
              <w:rPr>
                <w:rFonts w:ascii="Arial" w:cs="Arial" w:eastAsia="Arial" w:hAnsi="Arial"/>
                <w:sz w:val="18"/>
                <w:szCs w:val="18"/>
                <w:color w:val="auto"/>
              </w:rPr>
              <w:t>$</w:t>
            </w:r>
          </w:p>
        </w:tc>
        <w:tc>
          <w:tcPr>
            <w:tcW w:w="108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tcPr>
          <w:p>
            <w:pPr>
              <w:ind w:left="1080"/>
              <w:spacing w:after="0"/>
              <w:rPr>
                <w:sz w:val="20"/>
                <w:szCs w:val="20"/>
                <w:color w:val="auto"/>
              </w:rPr>
            </w:pPr>
            <w:r>
              <w:rPr>
                <w:rFonts w:ascii="Arial" w:cs="Arial" w:eastAsia="Arial" w:hAnsi="Arial"/>
                <w:sz w:val="18"/>
                <w:szCs w:val="18"/>
                <w:color w:val="auto"/>
                <w:w w:val="88"/>
              </w:rPr>
              <w:t>—</w:t>
            </w:r>
          </w:p>
        </w:tc>
        <w:tc>
          <w:tcPr>
            <w:tcW w:w="740" w:type="dxa"/>
            <w:vAlign w:val="bottom"/>
          </w:tcPr>
          <w:p>
            <w:pPr>
              <w:ind w:left="4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150,000,033</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1 to December 31</w:t>
            </w: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150,000,033</w:t>
            </w:r>
          </w:p>
        </w:tc>
      </w:tr>
      <w:tr>
        <w:trPr>
          <w:trHeight w:val="244"/>
        </w:trPr>
        <w:tc>
          <w:tcPr>
            <w:tcW w:w="5100" w:type="dxa"/>
            <w:vAlign w:val="bottom"/>
          </w:tcPr>
          <w:p>
            <w:pPr>
              <w:ind w:left="50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88"/>
              </w:rPr>
              <w:t>—</w:t>
            </w: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0"/>
        </w:trPr>
        <w:tc>
          <w:tcPr>
            <w:tcW w:w="5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 xml:space="preserve">As of December 31, 2018, we have repurchased a total of 2,582,198 shares of outstanding common stock under this share repurchase program for an aggregate cost of $100 million, or an average price of $38.73 per share, exclusive of fees and commissions. Refer to “Note 16: </w:t>
      </w:r>
      <w:r>
        <w:rPr>
          <w:rFonts w:ascii="Arial" w:cs="Arial" w:eastAsia="Arial" w:hAnsi="Arial"/>
          <w:sz w:val="16"/>
          <w:szCs w:val="16"/>
          <w:i w:val="1"/>
          <w:iCs w:val="1"/>
          <w:color w:val="auto"/>
        </w:rPr>
        <w:t>Stockholders’ Equity</w:t>
      </w:r>
      <w:r>
        <w:rPr>
          <w:rFonts w:ascii="Arial" w:cs="Arial" w:eastAsia="Arial" w:hAnsi="Arial"/>
          <w:sz w:val="16"/>
          <w:szCs w:val="16"/>
          <w:color w:val="auto"/>
        </w:rPr>
        <w:t>” in the notes to the consolidated financial statements in Item 8 for additional information regarding our share repurchase program and share repurchases.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We have derived the following selected financial data presented below from our consolidated financial statements and related notes. The information set forth below is not necessarily indicative of future results and should be read in conjunction with the consolidated financial statements and related notes appearing in Item 8 “Financial Statements and Supplementary Data,” and Item 7 “Management’s Discussion and Analysis of Financial Condition and Results of Operations” of this Annual Report on Form 10-K. Historical results are not necessarily indicative of the results to be expected in any future period.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52"/>
              <w:spacing w:after="0" w:line="155" w:lineRule="exact"/>
              <w:rPr>
                <w:sz w:val="20"/>
                <w:szCs w:val="20"/>
                <w:color w:val="auto"/>
              </w:rPr>
            </w:pPr>
            <w:r>
              <w:rPr>
                <w:rFonts w:ascii="Arial" w:cs="Arial" w:eastAsia="Arial" w:hAnsi="Arial"/>
                <w:sz w:val="14"/>
                <w:szCs w:val="14"/>
                <w:b w:val="1"/>
                <w:bCs w:val="1"/>
                <w:color w:val="auto"/>
                <w:w w:val="96"/>
              </w:rPr>
              <w:t>2016</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80" w:type="dxa"/>
            <w:vAlign w:val="bottom"/>
            <w:gridSpan w:val="5"/>
          </w:tcPr>
          <w:p>
            <w:pPr>
              <w:jc w:val="center"/>
              <w:ind w:right="232"/>
              <w:spacing w:after="0" w:line="155" w:lineRule="exact"/>
              <w:rPr>
                <w:sz w:val="20"/>
                <w:szCs w:val="20"/>
                <w:color w:val="auto"/>
              </w:rPr>
            </w:pPr>
            <w:r>
              <w:rPr>
                <w:rFonts w:ascii="Arial" w:cs="Arial" w:eastAsia="Arial" w:hAnsi="Arial"/>
                <w:sz w:val="14"/>
                <w:szCs w:val="14"/>
                <w:b w:val="1"/>
                <w:bCs w:val="1"/>
                <w:color w:val="auto"/>
                <w:w w:val="92"/>
              </w:rPr>
              <w:t>(in millions, except per share data)</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1,615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1,556</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1,480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1,492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1,432</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1,432</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1,314</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1,260</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Operating income (1)</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9"/>
                <w:szCs w:val="19"/>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173</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Net income (loss) (2)</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attributable to common stockholders:</w:t>
            </w:r>
          </w:p>
        </w:tc>
        <w:tc>
          <w:tcPr>
            <w:tcW w:w="6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Basic (3)</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0.82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(0.14)</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0.83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 (3)</w:t>
            </w: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0.81</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0.82</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0"/>
                <w:szCs w:val="20"/>
                <w:color w:val="auto"/>
              </w:rPr>
            </w:pPr>
            <w:r>
              <w:rPr>
                <w:rFonts w:ascii="Arial" w:cs="Arial" w:eastAsia="Arial" w:hAnsi="Arial"/>
                <w:sz w:val="18"/>
                <w:szCs w:val="18"/>
                <w:color w:val="auto"/>
              </w:rPr>
              <w:t>Shares used in computing net income per share:</w:t>
            </w: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(3)</w:t>
            </w:r>
          </w:p>
        </w:tc>
        <w:tc>
          <w:tcPr>
            <w:tcW w:w="6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60"/>
              <w:spacing w:after="0"/>
              <w:rPr>
                <w:sz w:val="20"/>
                <w:szCs w:val="20"/>
                <w:color w:val="auto"/>
              </w:rPr>
            </w:pPr>
            <w:r>
              <w:rPr>
                <w:rFonts w:ascii="Arial" w:cs="Arial" w:eastAsia="Arial" w:hAnsi="Arial"/>
                <w:sz w:val="18"/>
                <w:szCs w:val="18"/>
                <w:color w:val="auto"/>
              </w:rPr>
              <w:t>Diluted (3)</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20"/>
                <w:szCs w:val="20"/>
                <w:color w:val="auto"/>
              </w:rPr>
            </w:pP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147</w:t>
            </w:r>
          </w:p>
        </w:tc>
        <w:tc>
          <w:tcPr>
            <w:tcW w:w="34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5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12"/>
              <w:spacing w:after="0" w:line="155" w:lineRule="exact"/>
              <w:rPr>
                <w:sz w:val="20"/>
                <w:szCs w:val="20"/>
                <w:color w:val="auto"/>
              </w:rPr>
            </w:pPr>
            <w:r>
              <w:rPr>
                <w:rFonts w:ascii="Arial" w:cs="Arial" w:eastAsia="Arial" w:hAnsi="Arial"/>
                <w:sz w:val="14"/>
                <w:szCs w:val="14"/>
                <w:b w:val="1"/>
                <w:bCs w:val="1"/>
                <w:color w:val="auto"/>
                <w:w w:val="96"/>
              </w:rPr>
              <w:t>2016</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1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short and long-term</w:t>
            </w: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marketable securities</w:t>
            </w: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670</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735</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746</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698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Working capital (4)</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522</w:t>
            </w:r>
          </w:p>
        </w:tc>
        <w:tc>
          <w:tcPr>
            <w:tcW w:w="34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621</w:t>
            </w:r>
          </w:p>
        </w:tc>
        <w:tc>
          <w:tcPr>
            <w:tcW w:w="3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527</w:t>
            </w:r>
          </w:p>
        </w:tc>
        <w:tc>
          <w:tcPr>
            <w:tcW w:w="3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553</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2,167</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2,272</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2,238</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2,128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Long-term debt (5)</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obligations under financing obligation</w:t>
            </w: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Total liabilities (2)</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696</w:t>
            </w:r>
          </w:p>
        </w:tc>
        <w:tc>
          <w:tcPr>
            <w:tcW w:w="340" w:type="dxa"/>
            <w:vAlign w:val="bottom"/>
          </w:tcPr>
          <w:p>
            <w:pPr>
              <w:spacing w:after="0"/>
              <w:rPr>
                <w:sz w:val="19"/>
                <w:szCs w:val="19"/>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909</w:t>
            </w:r>
          </w:p>
        </w:tc>
        <w:tc>
          <w:tcPr>
            <w:tcW w:w="30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716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(6)</w:t>
            </w: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1,471</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1,363</w:t>
            </w: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1,502</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1,412</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0" w:right="40" w:hanging="592"/>
        <w:spacing w:after="0" w:line="253"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a non-cash charitable contribution expense to The TripAdvisor Charitable Foundation (the “Foundation”) of $67 million for the year ended December 31, 2015, which was recorded to general and administrative expense in our consolidated statement of operations. In comparison, charitable contributions to the Foundation, which were paid in cash, were $8 million for the year ended December 31, 2014. There were no charitable contributions made to the Foundation during any period after December 31, 2015, and the Company does not expect to make any future contributions to the Foundation.</w:t>
      </w:r>
    </w:p>
    <w:p>
      <w:pPr>
        <w:spacing w:after="0" w:line="3" w:lineRule="exact"/>
        <w:rPr>
          <w:rFonts w:ascii="Arial" w:cs="Arial" w:eastAsia="Arial" w:hAnsi="Arial"/>
          <w:sz w:val="18"/>
          <w:szCs w:val="18"/>
          <w:color w:val="auto"/>
        </w:rPr>
      </w:pPr>
    </w:p>
    <w:p>
      <w:pPr>
        <w:ind w:left="600" w:right="120" w:hanging="592"/>
        <w:spacing w:after="0" w:line="265" w:lineRule="auto"/>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The year ended December 31, 2017 reflects $67 million of tax expense recorded for the mandatory deemed repatriation of accumulative foreign earnings which was included in the short and long-term income tax liabilities on our consolidated balance sheet, and $6 million of tax expense recorded for the remeasurement of deferred taxes related to the 2017 Tax Act enacted on December 22, 2017, of which $31 million remained unpaid as of December 31, 2018. Refer to “Note 11: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the notes to the consolidated financial statements in Item 8 on this Annual Report on Form10-K for further information on the financial statement impact of the 2017 Tax Act.</w:t>
      </w:r>
    </w:p>
    <w:p>
      <w:pPr>
        <w:spacing w:after="0" w:line="1" w:lineRule="exact"/>
        <w:rPr>
          <w:rFonts w:ascii="Arial" w:cs="Arial" w:eastAsia="Arial" w:hAnsi="Arial"/>
          <w:sz w:val="17"/>
          <w:szCs w:val="17"/>
          <w:color w:val="auto"/>
        </w:rPr>
      </w:pPr>
    </w:p>
    <w:p>
      <w:pPr>
        <w:ind w:left="600" w:right="80" w:hanging="592"/>
        <w:spacing w:after="0" w:line="261"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Earnings per Share</w:t>
      </w:r>
      <w:r>
        <w:rPr>
          <w:rFonts w:ascii="Arial" w:cs="Arial" w:eastAsia="Arial" w:hAnsi="Arial"/>
          <w:sz w:val="18"/>
          <w:szCs w:val="18"/>
          <w:color w:val="auto"/>
        </w:rPr>
        <w:t>” in the notes to the consolidated financial statements in Item 8 on this Annual Report on Form 10-K for further information regarding our calculation of earnings per share numbers.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ind w:left="600" w:right="840" w:hanging="592"/>
        <w:spacing w:after="0" w:line="258"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does not include available for sale long-term marketable securities of $27 million, $16 million, $37 million and $31 million, as of December 31, 2017, 2016, 2015, and 2014, respectively.</w:t>
      </w:r>
    </w:p>
    <w:p>
      <w:pPr>
        <w:spacing w:after="0" w:line="1" w:lineRule="exact"/>
        <w:rPr>
          <w:rFonts w:ascii="Arial" w:cs="Arial" w:eastAsia="Arial" w:hAnsi="Arial"/>
          <w:sz w:val="18"/>
          <w:szCs w:val="18"/>
          <w:color w:val="auto"/>
        </w:rPr>
      </w:pPr>
    </w:p>
    <w:p>
      <w:pPr>
        <w:ind w:left="600" w:right="680" w:hanging="592"/>
        <w:spacing w:after="0" w:line="250"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Refer to “Note 10: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financial statements in Item 8 on this Annual Report on Form 10-K for information regarding our long-term debt.</w:t>
      </w:r>
    </w:p>
    <w:p>
      <w:pPr>
        <w:ind w:left="600" w:right="20" w:hanging="592"/>
        <w:spacing w:after="0" w:line="290"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Refer to our consolidated statements of changes in stockholders’ equity and “Note 16: </w:t>
      </w:r>
      <w:r>
        <w:rPr>
          <w:rFonts w:ascii="Arial" w:cs="Arial" w:eastAsia="Arial" w:hAnsi="Arial"/>
          <w:sz w:val="17"/>
          <w:szCs w:val="17"/>
          <w:i w:val="1"/>
          <w:iCs w:val="1"/>
          <w:color w:val="auto"/>
        </w:rPr>
        <w:t>Stockholders’ Equity</w:t>
      </w:r>
      <w:r>
        <w:rPr>
          <w:rFonts w:ascii="Arial" w:cs="Arial" w:eastAsia="Arial" w:hAnsi="Arial"/>
          <w:sz w:val="17"/>
          <w:szCs w:val="17"/>
          <w:color w:val="auto"/>
        </w:rPr>
        <w:t>” in the notes to the consolidated financial statements in Item 8 on this Annual Report on Form 10-K for additional information on changes to our stockholders’ equity.</w:t>
      </w:r>
    </w:p>
    <w:p>
      <w:pPr>
        <w:spacing w:after="0" w:line="34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98"/>
        <w:spacing w:after="0" w:line="286" w:lineRule="auto"/>
        <w:rPr>
          <w:sz w:val="20"/>
          <w:szCs w:val="20"/>
          <w:color w:val="auto"/>
        </w:rPr>
      </w:pPr>
      <w:r>
        <w:rPr>
          <w:rFonts w:ascii="Arial" w:cs="Arial" w:eastAsia="Arial" w:hAnsi="Arial"/>
          <w:sz w:val="17"/>
          <w:szCs w:val="17"/>
          <w:color w:val="auto"/>
        </w:rPr>
        <w:t>TripAdvisor is an online travel company and our mission is to help people around the world to plan, book and experience the perfect trip. We seek to achieve our mission by providing consumers and travel partners a global platform with rich consumer-generated content, price comparison tools and online reservation and related services for destinations, accommodations, travel activities and experiences, and restaurants.</w:t>
      </w:r>
    </w:p>
    <w:p>
      <w:pPr>
        <w:spacing w:after="0" w:line="166" w:lineRule="exact"/>
        <w:rPr>
          <w:sz w:val="20"/>
          <w:szCs w:val="20"/>
          <w:color w:val="auto"/>
        </w:rPr>
      </w:pPr>
    </w:p>
    <w:p>
      <w:pPr>
        <w:ind w:right="80" w:firstLine="598"/>
        <w:spacing w:after="0" w:line="291" w:lineRule="auto"/>
        <w:rPr>
          <w:sz w:val="20"/>
          <w:szCs w:val="20"/>
          <w:color w:val="auto"/>
        </w:rPr>
      </w:pPr>
      <w:r>
        <w:rPr>
          <w:rFonts w:ascii="Arial" w:cs="Arial" w:eastAsia="Arial" w:hAnsi="Arial"/>
          <w:sz w:val="16"/>
          <w:szCs w:val="16"/>
          <w:color w:val="auto"/>
        </w:rPr>
        <w:t>TripAdvisor, Inc., by and through its subsidiaries, owns and operates a portfolio of leading online travel brands. Our flagship brand, TripAdvisor, is the world’s largest travel site based on average monthly unique visitors, which reached 490 million in our seasonal peak during the year ended December 31, 2018, according to our internal log files. Our TripAdvisor-branded websites include www.tripadvisor.com in the United States and localized versions of the TripAdvisor website in 48 markets and 28 languages worldwide. TripAdvisor features approximately 730 million reviews and opinions on approximately 8.1 million places to stay, places to eat and things to do – including 1.3 million hotels, inns, B&amp;Bs and specialty lodging, 875,000 rental properties, 4.9 million restaurants and 1.0 million travel activities and experiences worldwide. We also enable consumers to compare prices and/or book a number of these travel experiences on either a TripAdvisor website or mobile app, or on the website or mobile app of one of our travel partners.</w:t>
      </w:r>
    </w:p>
    <w:p>
      <w:pPr>
        <w:spacing w:after="0" w:line="16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In addition to the flagship TripAdvisor brand, we manage and operate other travel media brands, connected by the common goal of providing consumers the most comprehensive travel-planning and trip-taking resources in the travel industry. For additional information about our portfolio of brands and our business model, see the disclosure set forth in Part I, Item 1. “Business”, under the caption “Overview.”</w:t>
      </w:r>
    </w:p>
    <w:p>
      <w:pPr>
        <w:spacing w:after="0" w:line="18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 xml:space="preserve">Our reporting structure includes two reportable segments: Hotel and Non-Hotel. Our Non-Hotel reportable segment consists of our Experiences, Restaurants and Rentals offerings. During the first quarter of 2018, we renamed Attractions as “Experiences” and Vacation Rentals as “Rentals.” These changes had no impact on the composition of our segments or on any financial information. Financial information and additional descriptive information related to our segments is contained in “Note 18: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and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in the notes to our consolidated financial statements in Item 8 on this Annual Report on Form 10-K and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 and Business Trends</w:t>
      </w:r>
    </w:p>
    <w:p>
      <w:pPr>
        <w:spacing w:after="0" w:line="229"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TripAdvisor is the world’s largest online travel site, as measured by average unique monthly visitors. As a result, TripAdvisor represents an attractive platform for travel partners—including hotel chains, independent hoteliers, OTAs, destination marketing organizations, and other travel-related and non-travel related product and service providers—who seek to market and sell their products and services to a global audience. Our platform and product offerings enable consumers to find, research and price shop and book a variety of travel products, including hotels, flights, cruises, rental properties, tours, travel activities and experiences, and restaurants either directly on our websites or mobile apps, or on our travel partners’ websites or mobile apps. Our financial results, current trends affecting our business and our segment information are provided below.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ind w:left="600"/>
        <w:spacing w:after="0"/>
        <w:rPr>
          <w:sz w:val="20"/>
          <w:szCs w:val="20"/>
          <w:color w:val="auto"/>
        </w:rPr>
      </w:pPr>
      <w:r>
        <w:rPr>
          <w:rFonts w:ascii="Arial" w:cs="Arial" w:eastAsia="Arial" w:hAnsi="Arial"/>
          <w:sz w:val="18"/>
          <w:szCs w:val="18"/>
          <w:b w:val="1"/>
          <w:bCs w:val="1"/>
          <w:i w:val="1"/>
          <w:iCs w:val="1"/>
          <w:color w:val="auto"/>
        </w:rPr>
        <w:t>Business Trends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online travel industry in which we operate, is large and growing, and also remains highly dynamic and competitive.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Hotel Segment</w:t>
      </w:r>
    </w:p>
    <w:p>
      <w:pPr>
        <w:spacing w:after="0" w:line="11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Over the past year, we have focused on delivering a great product experience and optimizing our paid marketing investments and profit as we drive for long-term, profitable growth. Marketing optimizations have impacted revenue growth, but have successfully generated significant profit growth and margin expansion compared to 2017.</w:t>
      </w:r>
    </w:p>
    <w:p>
      <w:pPr>
        <w:spacing w:after="0" w:line="73"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On the product side, we continue to make product enhancements that we believe deliver consumers a more engaging, and comprehensive, hotel shopping experience. Content on travel destinations, properties and room types continues to grow; and we continue to make it easier for consumers find the best room prices offered by our travel partners. We also continue to focus on increasing supply, and adding more properties from more travel partners. We believe that providing consumers a robust experience, with rich content and a comprehensive selection of accommodations helps increase brand awareness and brand loyalty, which, over time, can result in deeper consumer engagement with our platform, more qualified leads delivered to travel partners and higher monetization for our business.</w:t>
      </w:r>
    </w:p>
    <w:p>
      <w:pPr>
        <w:spacing w:after="0" w:line="85" w:lineRule="exact"/>
        <w:rPr>
          <w:sz w:val="20"/>
          <w:szCs w:val="20"/>
          <w:color w:val="auto"/>
        </w:rPr>
      </w:pPr>
    </w:p>
    <w:p>
      <w:pPr>
        <w:ind w:right="80" w:firstLine="640"/>
        <w:spacing w:after="0" w:line="279" w:lineRule="auto"/>
        <w:rPr>
          <w:sz w:val="20"/>
          <w:szCs w:val="20"/>
          <w:color w:val="auto"/>
        </w:rPr>
      </w:pPr>
      <w:r>
        <w:rPr>
          <w:rFonts w:ascii="Arial" w:cs="Arial" w:eastAsia="Arial" w:hAnsi="Arial"/>
          <w:sz w:val="17"/>
          <w:szCs w:val="17"/>
          <w:color w:val="auto"/>
        </w:rPr>
        <w:t>We seek to maximize revenue per hotel shopper generated in our Hotel segment. Revenue per hotel shopper performance improved throughout 2018 and increased 14% for the three months ended December 31, 2018 when compared to the same period in 2017, primarily due to metasearch auction stability throughout 2018 and progress along the aforementioned product enhancements and also marketing efforts, partially offset by the continued hotel shopper growth on mobile phone, which has a significantly lower revenue per hotel shopper compared to desktop and tablet.</w:t>
      </w:r>
    </w:p>
    <w:p>
      <w:pPr>
        <w:spacing w:after="0" w:line="63"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look to acquire hotel shoppers that meet or exceed our desired marketing return on investment targets on paid online marketing channels. Since mid-2017, we progressively increased Hotel segment profits by significantly reducing investments in direct selling and marketing channels and re-investing some of the savings into brand advertising, or television advertising, in pursuit of our long-term strategic growth objectives. As expected, the optimized marketing mix, as well as product enhancements focused on increasing traffic quality, has caused hotel shopper growth to slow and decline in recent periods; however, our marketing portfolio optimizations reduced our total marketing expenses and increased both our Hotel segment Adjusted EBITDA and Hotel Adjusted EBITDA margin in 2018 as compared to 2017.</w:t>
      </w:r>
    </w:p>
    <w:p>
      <w:pPr>
        <w:spacing w:after="0" w:line="85" w:lineRule="exact"/>
        <w:rPr>
          <w:sz w:val="20"/>
          <w:szCs w:val="20"/>
          <w:color w:val="auto"/>
        </w:rPr>
      </w:pPr>
    </w:p>
    <w:p>
      <w:pPr>
        <w:ind w:right="160" w:firstLine="598"/>
        <w:spacing w:after="0" w:line="273" w:lineRule="auto"/>
        <w:rPr>
          <w:sz w:val="20"/>
          <w:szCs w:val="20"/>
          <w:color w:val="auto"/>
        </w:rPr>
      </w:pPr>
      <w:r>
        <w:rPr>
          <w:rFonts w:ascii="Arial" w:cs="Arial" w:eastAsia="Arial" w:hAnsi="Arial"/>
          <w:sz w:val="17"/>
          <w:szCs w:val="17"/>
          <w:color w:val="auto"/>
        </w:rPr>
        <w:t>Consumers are increasingly using mobile phones to conduct ecommerce activity and mobile average monthly unique visitor growth continues to drive overall user growth on our platform. We continue to support investments and product enhancements that improve the consumer experience as opposed to maximizing the number of display advertising impressions we can sell in a given period. Historically, this preference has limited the number and type of display advertising opportunities we make available to customers, which, in turn, has hampered TripAdvisor-branded display-based advertising revenue growth, particularly on mobile phone. However, we continue to explore product enhancements and media advertising products that can deliver increased value to both consumers and travel partners, as well as generate more revenue for our business.</w:t>
      </w:r>
    </w:p>
    <w:p>
      <w:pPr>
        <w:spacing w:after="0" w:line="70"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Other Hotel revenue, which consists primarily of hotel revenue from non-TripAdvisor branded sites, has decreased in recent periods primarily due to increased marketing efficiency from paid online marketing channels, which has reduced revenue and improved Hotel segment profit. We have also taken certain steps to re-align operations within some of these other Hotel brands which have had a material adverse impact to revenue performance during 2018, while increasing Hotel segment profitability.</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Non-Hotel Segment</w:t>
      </w:r>
    </w:p>
    <w:p>
      <w:pPr>
        <w:spacing w:after="0" w:line="117"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TripAdvisor’s Non-Hotel offerings – Experiences, Restaurants and Rentals – enable consumers to discover and book great travel experiences across a diversified spectrum of travel offerings.</w:t>
      </w:r>
    </w:p>
    <w:p>
      <w:pPr>
        <w:spacing w:after="0" w:line="62"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Our key priority in our Non-Hotel segment remains revenue growth. To achieve this, we continue to invest in product, supply and marketing to improve the experience for consumers and suppliers on our platform. We believe scaling and presenting a greater selection of offerings will deepen our relationships with consumers, will drive more bookings and marketing opportunities for more travel partners and will increase monetization on our platform.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jc w:val="both"/>
        <w:ind w:firstLine="598"/>
        <w:spacing w:after="0" w:line="264" w:lineRule="auto"/>
        <w:rPr>
          <w:sz w:val="20"/>
          <w:szCs w:val="20"/>
          <w:color w:val="auto"/>
        </w:rPr>
      </w:pPr>
      <w:r>
        <w:rPr>
          <w:rFonts w:ascii="Arial" w:cs="Arial" w:eastAsia="Arial" w:hAnsi="Arial"/>
          <w:sz w:val="18"/>
          <w:szCs w:val="18"/>
          <w:color w:val="auto"/>
        </w:rPr>
        <w:t>During 2018, Non-Hotel revenue growth was driven by growth in consumer demand, bookable supply and bookings in our Experiences and Restaurants offerings. Rentals revenue declined primarily due to competition in the alternative accommodations marketplace as well as our strategic resource re-allocation within Non-Hotel to Experiences and Restaurants.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Tax Reform</w:t>
      </w:r>
    </w:p>
    <w:p>
      <w:pPr>
        <w:spacing w:after="0" w:line="225" w:lineRule="exact"/>
        <w:rPr>
          <w:sz w:val="20"/>
          <w:szCs w:val="20"/>
          <w:color w:val="auto"/>
        </w:rPr>
      </w:pPr>
    </w:p>
    <w:p>
      <w:pPr>
        <w:ind w:right="20" w:firstLine="598"/>
        <w:spacing w:after="0" w:line="297" w:lineRule="auto"/>
        <w:rPr>
          <w:sz w:val="20"/>
          <w:szCs w:val="20"/>
          <w:color w:val="auto"/>
        </w:rPr>
      </w:pPr>
      <w:r>
        <w:rPr>
          <w:rFonts w:ascii="Arial" w:cs="Arial" w:eastAsia="Arial" w:hAnsi="Arial"/>
          <w:sz w:val="16"/>
          <w:szCs w:val="16"/>
          <w:color w:val="auto"/>
        </w:rPr>
        <w:t>The 2017 Tax Act was signed into law on December 22, 2017, and has resulted in significant changes to the U.S. corporate income tax system. These changes include a federal statutory rate reduction from 35% to 21%, the elimination or reduction of certain domestic deductions and credits and limitations on the deductibility of interest expense and executive compensation. The 2017 Tax Act also transitions international taxation from a worldwide system to a modified territorial system and includes base erosion prevention measures on non-U.S. earnings, which has the effect of subjecting certain earnings of our foreign subsidiaries to U.S. taxation as global intangible low-taxed income (“GILTI”). These changes were effective beginning January 1, 2018.</w:t>
      </w:r>
    </w:p>
    <w:p>
      <w:pPr>
        <w:spacing w:after="0" w:line="266"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 xml:space="preserve">The 2017 Tax Act also includes a one-time mandatory deemed repatriation tax on accumulated foreign subsidiaries' previously untaxed foreign earnings (the “Transition Tax”). Changes in tax rates and tax laws are accounted for in the period of enactment. During the year ended December 31, 2017, we recorded a charge totaling $73 million related to our estimate at that time of the provisions of the 2017 Tax Act, principally due to the Transition Tax. The Transition Tax, recorded of $67 million, which will not accrue interest, will be paid over an eight-year period, of which $31 million remained unpaid at December 31, 2018. We also recorded a charge of $6 million for the remeasurement of our net deferred tax assets. These estimates as of December 31, 2017 were reflected in our financial results in accordance with Staff Accounting Bulletin No. 118 (“SAB 118"), which provided for a measurement period of one year to complete the accounting for certain elements of the tax reform. The impact of adjustments recorded during the measurement period by the Company during the year ended December 31, 2018 was not material. Refer to “Note 11: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in the notes to the consolidated financial statements in Item 8 on this Annual Report on Form 10-K for further information on the financial statement impact of the 2017 Tax Act.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and percentages)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1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7"/>
          </w:tcPr>
          <w:p>
            <w:pPr>
              <w:jc w:val="right"/>
              <w:ind w:right="1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80" w:type="dxa"/>
            <w:vAlign w:val="bottom"/>
            <w:tcBorders>
              <w:bottom w:val="single" w:sz="8" w:color="CFF0FC"/>
            </w:tcBorders>
          </w:tcPr>
          <w:p>
            <w:pPr>
              <w:spacing w:after="0"/>
              <w:rPr>
                <w:sz w:val="13"/>
                <w:szCs w:val="13"/>
                <w:color w:val="auto"/>
              </w:rPr>
            </w:pPr>
          </w:p>
        </w:tc>
        <w:tc>
          <w:tcPr>
            <w:tcW w:w="42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gridSpan w:val="4"/>
          </w:tcPr>
          <w:p>
            <w:pPr>
              <w:jc w:val="right"/>
              <w:ind w:right="28"/>
              <w:spacing w:after="0" w:line="155" w:lineRule="exact"/>
              <w:rPr>
                <w:sz w:val="20"/>
                <w:szCs w:val="20"/>
                <w:color w:val="auto"/>
              </w:rPr>
            </w:pPr>
            <w:r>
              <w:rPr>
                <w:rFonts w:ascii="Arial" w:cs="Arial" w:eastAsia="Arial" w:hAnsi="Arial"/>
                <w:sz w:val="14"/>
                <w:szCs w:val="14"/>
                <w:b w:val="1"/>
                <w:bCs w:val="1"/>
                <w:color w:val="auto"/>
              </w:rPr>
              <w:t>2018 vs. 2017</w:t>
            </w:r>
          </w:p>
        </w:tc>
        <w:tc>
          <w:tcPr>
            <w:tcW w:w="34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gridSpan w:val="3"/>
          </w:tcPr>
          <w:p>
            <w:pPr>
              <w:jc w:val="right"/>
              <w:ind w:right="30"/>
              <w:spacing w:after="0" w:line="155" w:lineRule="exact"/>
              <w:rPr>
                <w:sz w:val="20"/>
                <w:szCs w:val="20"/>
                <w:color w:val="auto"/>
              </w:rPr>
            </w:pPr>
            <w:r>
              <w:rPr>
                <w:rFonts w:ascii="Arial" w:cs="Arial" w:eastAsia="Arial" w:hAnsi="Arial"/>
                <w:sz w:val="14"/>
                <w:szCs w:val="14"/>
                <w:b w:val="1"/>
                <w:bCs w:val="1"/>
                <w:color w:val="auto"/>
                <w:w w:val="98"/>
              </w:rPr>
              <w:t>2017 vs. 2016</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w:t>
            </w:r>
          </w:p>
        </w:tc>
        <w:tc>
          <w:tcPr>
            <w:tcW w:w="124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19%</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778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124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Technology and content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99"/>
              </w:rPr>
              <w:t>275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13%</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177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13%</w:t>
            </w:r>
          </w:p>
        </w:tc>
        <w:tc>
          <w:tcPr>
            <w:tcW w:w="124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124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1,432</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1,314</w:t>
            </w:r>
          </w:p>
        </w:tc>
        <w:tc>
          <w:tcPr>
            <w:tcW w:w="20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gridSpan w:val="3"/>
          </w:tcPr>
          <w:p>
            <w:pPr>
              <w:jc w:val="right"/>
              <w:ind w:right="200"/>
              <w:spacing w:after="0"/>
              <w:rPr>
                <w:sz w:val="20"/>
                <w:szCs w:val="20"/>
                <w:color w:val="auto"/>
              </w:rPr>
            </w:pPr>
            <w:r>
              <w:rPr>
                <w:rFonts w:ascii="Arial" w:cs="Arial" w:eastAsia="Arial" w:hAnsi="Arial"/>
                <w:sz w:val="18"/>
                <w:szCs w:val="18"/>
                <w:color w:val="auto"/>
              </w:rPr>
              <w:t>0%</w:t>
            </w:r>
          </w:p>
        </w:tc>
        <w:tc>
          <w:tcPr>
            <w:tcW w:w="1240" w:type="dxa"/>
            <w:vAlign w:val="bottom"/>
            <w:tcBorders>
              <w:bottom w:val="single" w:sz="8" w:color="CFF0FC"/>
            </w:tcBorders>
            <w:gridSpan w:val="4"/>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183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48%</w:t>
            </w:r>
          </w:p>
        </w:tc>
        <w:tc>
          <w:tcPr>
            <w:tcW w:w="12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0"/>
        </w:trPr>
        <w:tc>
          <w:tcPr>
            <w:tcW w:w="48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480" w:type="dxa"/>
            <w:vAlign w:val="bottom"/>
            <w:gridSpan w:val="4"/>
            <w:shd w:val="clear" w:color="auto" w:fill="CFF0FC"/>
          </w:tcPr>
          <w:p>
            <w:pPr>
              <w:jc w:val="right"/>
              <w:ind w:right="8"/>
              <w:spacing w:after="0"/>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5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9"/>
              </w:rPr>
              <w:t>(20)%</w:t>
            </w:r>
          </w:p>
        </w:tc>
        <w:tc>
          <w:tcPr>
            <w:tcW w:w="124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Interest income and other,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w w:val="91"/>
              </w:rPr>
              <w:t>100%</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n.m.</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9"/>
              </w:rPr>
              <w:t>(10)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9"/>
              </w:rPr>
              <w:t>(29)%</w:t>
            </w:r>
          </w:p>
        </w:tc>
        <w:tc>
          <w:tcPr>
            <w:tcW w:w="1240" w:type="dxa"/>
            <w:vAlign w:val="bottom"/>
            <w:tcBorders>
              <w:top w:val="single" w:sz="8" w:color="CFF0FC"/>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99"/>
              </w:rPr>
              <w:t>173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57%</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gridSpan w:val="4"/>
            <w:shd w:val="clear" w:color="auto" w:fill="CFF0FC"/>
          </w:tcPr>
          <w:p>
            <w:pPr>
              <w:jc w:val="right"/>
              <w:ind w:right="8"/>
              <w:spacing w:after="0"/>
              <w:rPr>
                <w:sz w:val="20"/>
                <w:szCs w:val="20"/>
                <w:color w:val="auto"/>
              </w:rPr>
            </w:pPr>
            <w:r>
              <w:rPr>
                <w:rFonts w:ascii="Arial" w:cs="Arial" w:eastAsia="Arial" w:hAnsi="Arial"/>
                <w:sz w:val="18"/>
                <w:szCs w:val="18"/>
                <w:color w:val="auto"/>
              </w:rPr>
              <w:t>(60)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(31)</w:t>
            </w: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9"/>
              </w:rPr>
              <w:t>(53)%</w:t>
            </w:r>
          </w:p>
        </w:tc>
        <w:tc>
          <w:tcPr>
            <w:tcW w:w="124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113</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FF0FC"/>
            </w:tcBorders>
          </w:tcPr>
          <w:p>
            <w:pPr>
              <w:spacing w:after="0"/>
              <w:rPr>
                <w:sz w:val="22"/>
                <w:szCs w:val="22"/>
                <w:color w:val="auto"/>
              </w:rPr>
            </w:pPr>
          </w:p>
        </w:tc>
        <w:tc>
          <w:tcPr>
            <w:tcW w:w="580" w:type="dxa"/>
            <w:vAlign w:val="bottom"/>
            <w:tcBorders>
              <w:bottom w:val="single" w:sz="8" w:color="CFF0FC"/>
            </w:tcBorders>
          </w:tcPr>
          <w:p>
            <w:pPr>
              <w:spacing w:after="0"/>
              <w:rPr>
                <w:sz w:val="22"/>
                <w:szCs w:val="22"/>
                <w:color w:val="auto"/>
              </w:rPr>
            </w:pPr>
          </w:p>
        </w:tc>
        <w:tc>
          <w:tcPr>
            <w:tcW w:w="780" w:type="dxa"/>
            <w:vAlign w:val="bottom"/>
            <w:tcBorders>
              <w:bottom w:val="single" w:sz="8" w:color="CFF0FC"/>
            </w:tcBorders>
            <w:gridSpan w:val="4"/>
          </w:tcPr>
          <w:p>
            <w:pPr>
              <w:jc w:val="right"/>
              <w:ind w:right="360"/>
              <w:spacing w:after="0"/>
              <w:rPr>
                <w:sz w:val="20"/>
                <w:szCs w:val="20"/>
                <w:color w:val="auto"/>
              </w:rPr>
            </w:pPr>
            <w:r>
              <w:rPr>
                <w:rFonts w:ascii="Arial" w:cs="Arial" w:eastAsia="Arial" w:hAnsi="Arial"/>
                <w:sz w:val="18"/>
                <w:szCs w:val="18"/>
                <w:color w:val="auto"/>
              </w:rPr>
              <w:t>n.m.</w:t>
            </w:r>
          </w:p>
        </w:tc>
        <w:tc>
          <w:tcPr>
            <w:tcW w:w="44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560" w:type="dxa"/>
            <w:vAlign w:val="bottom"/>
            <w:tcBorders>
              <w:bottom w:val="single" w:sz="8" w:color="CFF0FC"/>
            </w:tcBorders>
            <w:gridSpan w:val="2"/>
          </w:tcPr>
          <w:p>
            <w:pPr>
              <w:jc w:val="right"/>
              <w:ind w:right="240"/>
              <w:spacing w:after="0"/>
              <w:rPr>
                <w:sz w:val="20"/>
                <w:szCs w:val="20"/>
                <w:color w:val="auto"/>
              </w:rPr>
            </w:pPr>
            <w:r>
              <w:rPr>
                <w:rFonts w:ascii="Arial" w:cs="Arial" w:eastAsia="Arial" w:hAnsi="Arial"/>
                <w:sz w:val="18"/>
                <w:szCs w:val="18"/>
                <w:color w:val="auto"/>
                <w:w w:val="85"/>
              </w:rPr>
              <w:t>n.m.</w:t>
            </w:r>
          </w:p>
        </w:tc>
        <w:tc>
          <w:tcPr>
            <w:tcW w:w="0" w:type="dxa"/>
            <w:vAlign w:val="bottom"/>
          </w:tcPr>
          <w:p>
            <w:pPr>
              <w:spacing w:after="0"/>
              <w:rPr>
                <w:sz w:val="1"/>
                <w:szCs w:val="1"/>
                <w:color w:val="auto"/>
              </w:rPr>
            </w:pPr>
          </w:p>
        </w:tc>
      </w:tr>
      <w:tr>
        <w:trPr>
          <w:trHeight w:val="237"/>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Earnings (loss) per share attributable to common stockholders:</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5"/>
              </w:rPr>
              <w:t>0.82</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8"/>
                <w:szCs w:val="18"/>
                <w:color w:val="auto"/>
                <w:w w:val="93"/>
              </w:rPr>
              <w:t>(0.14)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0.83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gridSpan w:val="4"/>
          </w:tcPr>
          <w:p>
            <w:pPr>
              <w:jc w:val="right"/>
              <w:ind w:right="360"/>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n.m.</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5"/>
              </w:rPr>
              <w:t>0.81</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5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w w:val="93"/>
              </w:rPr>
              <w:t>(0.14)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ind w:right="360"/>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85"/>
              </w:rPr>
              <w:t>n.m.</w:t>
            </w:r>
          </w:p>
        </w:tc>
        <w:tc>
          <w:tcPr>
            <w:tcW w:w="0" w:type="dxa"/>
            <w:vAlign w:val="bottom"/>
          </w:tcPr>
          <w:p>
            <w:pPr>
              <w:spacing w:after="0"/>
              <w:rPr>
                <w:sz w:val="1"/>
                <w:szCs w:val="1"/>
                <w:color w:val="auto"/>
              </w:rPr>
            </w:pPr>
          </w:p>
        </w:tc>
      </w:tr>
      <w:tr>
        <w:trPr>
          <w:trHeight w:val="243"/>
        </w:trPr>
        <w:tc>
          <w:tcPr>
            <w:tcW w:w="4840" w:type="dxa"/>
            <w:vAlign w:val="bottom"/>
            <w:gridSpan w:val="2"/>
          </w:tcPr>
          <w:p>
            <w:pPr>
              <w:spacing w:after="0"/>
              <w:rPr>
                <w:sz w:val="20"/>
                <w:szCs w:val="20"/>
                <w:color w:val="auto"/>
              </w:rPr>
            </w:pPr>
            <w:r>
              <w:rPr>
                <w:rFonts w:ascii="Arial" w:cs="Arial" w:eastAsia="Arial" w:hAnsi="Arial"/>
                <w:sz w:val="18"/>
                <w:szCs w:val="18"/>
                <w:color w:val="auto"/>
              </w:rPr>
              <w:t>Other financial data:</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422</w:t>
            </w:r>
          </w:p>
        </w:tc>
        <w:tc>
          <w:tcPr>
            <w:tcW w:w="1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27%</w:t>
            </w:r>
          </w:p>
        </w:tc>
        <w:tc>
          <w:tcPr>
            <w:tcW w:w="12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40" w:type="dxa"/>
            <w:vAlign w:val="bottom"/>
            <w:gridSpan w:val="2"/>
            <w:shd w:val="clear" w:color="auto" w:fill="CFF0FC"/>
          </w:tcPr>
          <w:p>
            <w:pPr>
              <w:ind w:left="340"/>
              <w:spacing w:after="0"/>
              <w:rPr>
                <w:sz w:val="20"/>
                <w:szCs w:val="20"/>
                <w:color w:val="auto"/>
              </w:rPr>
            </w:pPr>
            <w:r>
              <w:rPr>
                <w:rFonts w:ascii="Arial" w:cs="Arial" w:eastAsia="Arial" w:hAnsi="Arial"/>
                <w:sz w:val="16"/>
                <w:szCs w:val="16"/>
                <w:color w:val="auto"/>
              </w:rPr>
              <w:t>n.m</w:t>
            </w:r>
            <w:r>
              <w:rPr>
                <w:rFonts w:ascii="Arial" w:cs="Arial" w:eastAsia="Arial" w:hAnsi="Arial"/>
                <w:sz w:val="16"/>
                <w:szCs w:val="16"/>
                <w:i w:val="1"/>
                <w:iCs w:val="1"/>
                <w:color w:val="auto"/>
              </w:rPr>
              <w:t>. = not meaningful</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4840" w:type="dxa"/>
            <w:vAlign w:val="bottom"/>
            <w:gridSpan w:val="2"/>
            <w:shd w:val="clear" w:color="auto" w:fill="CFF0FC"/>
          </w:tcPr>
          <w:p>
            <w:pPr>
              <w:ind w:left="340"/>
              <w:spacing w:after="0"/>
              <w:rPr>
                <w:sz w:val="20"/>
                <w:szCs w:val="20"/>
                <w:color w:val="auto"/>
              </w:rPr>
            </w:pPr>
            <w:r>
              <w:rPr>
                <w:rFonts w:ascii="Arial" w:cs="Arial" w:eastAsia="Arial" w:hAnsi="Arial"/>
                <w:sz w:val="16"/>
                <w:szCs w:val="16"/>
                <w:i w:val="1"/>
                <w:iCs w:val="1"/>
                <w:color w:val="auto"/>
                <w:w w:val="96"/>
              </w:rPr>
              <w:t>(1)See “Adjusted EBITDA” discussion below for more information.</w:t>
            </w:r>
          </w:p>
        </w:tc>
        <w:tc>
          <w:tcPr>
            <w:tcW w:w="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Revenue and Segment Information</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2"/>
          </w:tcPr>
          <w:p>
            <w:pPr>
              <w:jc w:val="center"/>
              <w:ind w:left="254"/>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4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40" w:type="dxa"/>
            <w:vAlign w:val="bottom"/>
            <w:gridSpan w:val="2"/>
            <w:vMerge w:val="restart"/>
          </w:tcPr>
          <w:p>
            <w:pPr>
              <w:ind w:left="580"/>
              <w:spacing w:after="0"/>
              <w:rPr>
                <w:sz w:val="20"/>
                <w:szCs w:val="20"/>
                <w:color w:val="auto"/>
              </w:rPr>
            </w:pPr>
            <w:r>
              <w:rPr>
                <w:rFonts w:ascii="Arial" w:cs="Arial" w:eastAsia="Arial" w:hAnsi="Arial"/>
                <w:sz w:val="18"/>
                <w:szCs w:val="18"/>
                <w:color w:val="auto"/>
              </w:rPr>
              <w:t>Revenue by Segment: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w w:val="83"/>
              </w:rPr>
              <w:t>2018</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jc w:val="center"/>
              <w:ind w:right="112"/>
              <w:spacing w:after="0" w:line="155"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4"/>
          </w:tcPr>
          <w:p>
            <w:pPr>
              <w:jc w:val="right"/>
              <w:ind w:right="110"/>
              <w:spacing w:after="0" w:line="155" w:lineRule="exact"/>
              <w:rPr>
                <w:sz w:val="20"/>
                <w:szCs w:val="20"/>
                <w:color w:val="auto"/>
              </w:rPr>
            </w:pPr>
            <w:r>
              <w:rPr>
                <w:rFonts w:ascii="Arial" w:cs="Arial" w:eastAsia="Arial" w:hAnsi="Arial"/>
                <w:sz w:val="14"/>
                <w:szCs w:val="14"/>
                <w:b w:val="1"/>
                <w:bCs w:val="1"/>
                <w:color w:val="auto"/>
                <w:w w:val="93"/>
              </w:rPr>
              <w:t>2018 vs. 2017</w:t>
            </w:r>
          </w:p>
        </w:tc>
        <w:tc>
          <w:tcPr>
            <w:tcW w:w="180" w:type="dxa"/>
            <w:vAlign w:val="bottom"/>
          </w:tcPr>
          <w:p>
            <w:pPr>
              <w:spacing w:after="0"/>
              <w:rPr>
                <w:sz w:val="13"/>
                <w:szCs w:val="13"/>
                <w:color w:val="auto"/>
              </w:rPr>
            </w:pPr>
          </w:p>
        </w:tc>
        <w:tc>
          <w:tcPr>
            <w:tcW w:w="9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1"/>
              </w:rPr>
              <w:t>2017 vs. 2016</w:t>
            </w:r>
          </w:p>
        </w:tc>
        <w:tc>
          <w:tcPr>
            <w:tcW w:w="8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580"/>
              <w:spacing w:after="0"/>
              <w:rPr>
                <w:sz w:val="20"/>
                <w:szCs w:val="20"/>
                <w:color w:val="auto"/>
              </w:rPr>
            </w:pPr>
            <w:r>
              <w:rPr>
                <w:rFonts w:ascii="Arial" w:cs="Arial" w:eastAsia="Arial" w:hAnsi="Arial"/>
                <w:sz w:val="18"/>
                <w:szCs w:val="18"/>
                <w:color w:val="auto"/>
              </w:rPr>
              <w:t>Hotel</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1,157</w:t>
            </w:r>
          </w:p>
        </w:tc>
        <w:tc>
          <w:tcPr>
            <w:tcW w:w="480" w:type="dxa"/>
            <w:vAlign w:val="bottom"/>
            <w:gridSpan w:val="4"/>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1,196</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1,190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290</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1,556</w:t>
            </w: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1,480</w:t>
            </w:r>
          </w:p>
        </w:tc>
        <w:tc>
          <w:tcPr>
            <w:tcW w:w="3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7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tcPr>
          <w:p>
            <w:pPr>
              <w:spacing w:after="0"/>
              <w:rPr>
                <w:sz w:val="22"/>
                <w:szCs w:val="22"/>
                <w:color w:val="auto"/>
              </w:rPr>
            </w:pPr>
          </w:p>
        </w:tc>
        <w:tc>
          <w:tcPr>
            <w:tcW w:w="6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EBITDA by Segment </w:t>
            </w:r>
            <w:r>
              <w:rPr>
                <w:rFonts w:ascii="Arial" w:cs="Arial" w:eastAsia="Arial" w:hAnsi="Arial"/>
                <w:sz w:val="14"/>
                <w:szCs w:val="14"/>
                <w:color w:val="auto"/>
              </w:rPr>
              <w:t>(1)</w:t>
            </w: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Hotel</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356</w:t>
            </w:r>
          </w:p>
        </w:tc>
        <w:tc>
          <w:tcPr>
            <w:tcW w:w="480" w:type="dxa"/>
            <w:vAlign w:val="bottom"/>
            <w:gridSpan w:val="4"/>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286</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380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Non-Hotel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n.m.</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(2)</w:t>
            </w: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Hotel</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31%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Non-Hotel</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68"/>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n.m. = </w:t>
      </w:r>
      <w:r>
        <w:rPr>
          <w:rFonts w:ascii="Arial" w:cs="Arial" w:eastAsia="Arial" w:hAnsi="Arial"/>
          <w:sz w:val="14"/>
          <w:szCs w:val="14"/>
          <w:i w:val="1"/>
          <w:iCs w:val="1"/>
          <w:color w:val="auto"/>
        </w:rPr>
        <w:t>not meaningful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ind w:left="880" w:right="40" w:hanging="440"/>
        <w:spacing w:after="0" w:line="227" w:lineRule="auto"/>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Included in Adjusted EBITDA is a general and administrative expense allocation for each segment, which is based on the segment’s percentage of our total personnel costs, excluding stock-based compensation. Refer to “Note 18: </w:t>
      </w:r>
      <w:r>
        <w:rPr>
          <w:rFonts w:ascii="Arial" w:cs="Arial" w:eastAsia="Arial" w:hAnsi="Arial"/>
          <w:sz w:val="14"/>
          <w:szCs w:val="14"/>
          <w:i w:val="1"/>
          <w:iCs w:val="1"/>
          <w:color w:val="auto"/>
        </w:rPr>
        <w:t>Segment and Geographic Information</w:t>
      </w:r>
      <w:r>
        <w:rPr>
          <w:rFonts w:ascii="Arial" w:cs="Arial" w:eastAsia="Arial" w:hAnsi="Arial"/>
          <w:sz w:val="14"/>
          <w:szCs w:val="14"/>
          <w:color w:val="auto"/>
        </w:rPr>
        <w:t>,” in the notes to our consolidated financial statements in Item 8 on this Annual Report on Form 10-K for more information.</w:t>
      </w:r>
    </w:p>
    <w:p>
      <w:pPr>
        <w:ind w:left="880" w:hanging="440"/>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define “Adjusted EBITDA Margin by Segment”, as Adjusted EBITDA by segment divided by Revenue by segment.</w:t>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Hotel Segment</w:t>
      </w:r>
    </w:p>
    <w:p>
      <w:pPr>
        <w:spacing w:after="0" w:line="117" w:lineRule="exact"/>
        <w:rPr>
          <w:sz w:val="20"/>
          <w:szCs w:val="20"/>
          <w:color w:val="auto"/>
        </w:rPr>
      </w:pPr>
    </w:p>
    <w:p>
      <w:pPr>
        <w:ind w:right="60" w:firstLine="598"/>
        <w:spacing w:after="0" w:line="273" w:lineRule="auto"/>
        <w:rPr>
          <w:sz w:val="20"/>
          <w:szCs w:val="20"/>
          <w:color w:val="auto"/>
        </w:rPr>
      </w:pPr>
      <w:r>
        <w:rPr>
          <w:rFonts w:ascii="Arial" w:cs="Arial" w:eastAsia="Arial" w:hAnsi="Arial"/>
          <w:sz w:val="17"/>
          <w:szCs w:val="17"/>
          <w:color w:val="auto"/>
        </w:rPr>
        <w:t>Our Hotel segment revenue decreased $39 million during the year ended December 31, 2018 when compared to the same period in 2017, primarily due to a $34 million decrease in TripAdvisor-branded click-based and transaction revenue and $21 million decrease in other Hotel revenue, partially offset by $16 million increase in TripAdvisor-branded display-based advertising and subscription revenue, all of which are discussed below. Our Hotel segment revenue increased $6 million during the year ended December 31, 2017 when compared to the same period in 2016, primarily due to $6 million increase in TripAdvisor-branded click-based and transaction revenue and $10 million increase in TripAdvisor-branded display-based advertising and subscription revenue, partially offset by a decrease of $10 million in other Hotel revenue, all of which are discussed below.</w:t>
      </w:r>
    </w:p>
    <w:p>
      <w:pPr>
        <w:spacing w:after="0" w:line="70" w:lineRule="exact"/>
        <w:rPr>
          <w:sz w:val="20"/>
          <w:szCs w:val="20"/>
          <w:color w:val="auto"/>
        </w:rPr>
      </w:pPr>
    </w:p>
    <w:p>
      <w:pPr>
        <w:ind w:right="140" w:firstLine="598"/>
        <w:spacing w:after="0" w:line="271" w:lineRule="auto"/>
        <w:rPr>
          <w:sz w:val="20"/>
          <w:szCs w:val="20"/>
          <w:color w:val="auto"/>
        </w:rPr>
      </w:pPr>
      <w:r>
        <w:rPr>
          <w:rFonts w:ascii="Arial" w:cs="Arial" w:eastAsia="Arial" w:hAnsi="Arial"/>
          <w:sz w:val="17"/>
          <w:szCs w:val="17"/>
          <w:color w:val="auto"/>
        </w:rPr>
        <w:t>Adjusted EBITDA and Adjusted EBITDA margin in our Hotel segment increased $70 million and to 31%, respectively, during the year ended December 31, 2018 when compared to the same period in 2017, primarily due to a decrease in our direct selling and marketing expenses related to SEM and other online paid traffic acquisition costs as we have continued to optimize and improve our marketing efficiency from our online marketing campaigns and, to a lesser extent, growth in our TripAdvisor-branded display-based advertising and subscription revenue. Adjusted EBITDA and Adjusted EBITDA margin in our Hotel segment decreased $94 million and to 24%, respectively, during the year ended December 31, 2017 when compared to the same period in 2016, primarily due to costs related to our television campaign, which launched in June 2017, and also due to increased SEM and other online traffic acquisition costs during the first half of 2017, partially offset by cost savings created through optimization and improved marketing efficiencies of our online marketing campaigns during the second half of 2017.</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detailed discussion of the revenue sources within our Hotel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6"/>
          </w:tcPr>
          <w:p>
            <w:pPr>
              <w:jc w:val="center"/>
              <w:ind w:left="476"/>
              <w:spacing w:after="0"/>
              <w:rPr>
                <w:sz w:val="20"/>
                <w:szCs w:val="20"/>
                <w:color w:val="auto"/>
              </w:rPr>
            </w:pPr>
            <w:r>
              <w:rPr>
                <w:rFonts w:ascii="Arial" w:cs="Arial" w:eastAsia="Arial" w:hAnsi="Arial"/>
                <w:sz w:val="14"/>
                <w:szCs w:val="14"/>
                <w:b w:val="1"/>
                <w:bCs w:val="1"/>
                <w:color w:val="auto"/>
                <w:w w:val="92"/>
              </w:rPr>
              <w:t>Year ended December 31,</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Hotel:</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36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2018 vs 2017</w:t>
            </w:r>
          </w:p>
        </w:tc>
        <w:tc>
          <w:tcPr>
            <w:tcW w:w="1020" w:type="dxa"/>
            <w:vAlign w:val="bottom"/>
            <w:tcBorders>
              <w:top w:val="single" w:sz="8" w:color="auto"/>
            </w:tcBorders>
          </w:tcPr>
          <w:p>
            <w:pPr>
              <w:jc w:val="right"/>
              <w:ind w:right="54"/>
              <w:spacing w:after="0" w:line="155" w:lineRule="exact"/>
              <w:rPr>
                <w:sz w:val="20"/>
                <w:szCs w:val="20"/>
                <w:color w:val="auto"/>
              </w:rPr>
            </w:pPr>
            <w:r>
              <w:rPr>
                <w:rFonts w:ascii="Arial" w:cs="Arial" w:eastAsia="Arial" w:hAnsi="Arial"/>
                <w:sz w:val="14"/>
                <w:szCs w:val="14"/>
                <w:b w:val="1"/>
                <w:bCs w:val="1"/>
                <w:color w:val="auto"/>
              </w:rPr>
              <w:t>2017 vs 2016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click-based and transaction</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5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w w:val="95"/>
              </w:rPr>
              <w:t>TripAdvisor-branded display-based advertising and subscription</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 Hotel revenue</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5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880" w:type="dxa"/>
            <w:vAlign w:val="bottom"/>
          </w:tcPr>
          <w:p>
            <w:pPr>
              <w:ind w:left="260"/>
              <w:spacing w:after="0"/>
              <w:rPr>
                <w:sz w:val="20"/>
                <w:szCs w:val="20"/>
                <w:color w:val="auto"/>
              </w:rPr>
            </w:pPr>
            <w:r>
              <w:rPr>
                <w:rFonts w:ascii="Arial" w:cs="Arial" w:eastAsia="Arial" w:hAnsi="Arial"/>
                <w:sz w:val="18"/>
                <w:szCs w:val="18"/>
                <w:color w:val="auto"/>
              </w:rPr>
              <w:t>Total Hotel revenue</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TripAdvisor-branded Click-based and Transaction Revenue</w:t>
      </w:r>
    </w:p>
    <w:p>
      <w:pPr>
        <w:spacing w:after="0" w:line="117"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TripAdvisor-branded click-based and transaction revenue includes CPC-advertising revenue from our TripAdvisor-branded websites as well as transaction-based revenue from our hotel instant booking feature. For the years ended December 31, 2018, 2017 and 2016, 62%, 63% and 63%, respectively, of our Hotel segment revenue was derived from our TripAdvisor-branded click-based and transaction revenue. TripAdvisor-branded click-based and transaction revenue decreased $34 million or 4% during the year ended December 31, 2018 when compared to the same period in 2017, primarily due to a 4% decrease in our average monthly unique hotel shoppers as well as a 2% decrease in our revenue per hotel shopper during the year ended December 31, 2018, which is explained below. TripAdvisor-branded click-based and transaction revenue increased $6 million or 1% during the year ended December 31, 2017 when compared to the same period in 2016, primarily due to an increase in our average monthly unique hotel shoppers of 10%, which was largely offset by a decrease of 9% in our revenue per hotel shopper during the year ended December 31, 2017, which is explained below.</w:t>
      </w:r>
    </w:p>
    <w:p>
      <w:pPr>
        <w:spacing w:after="0" w:line="58"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Our largest source of Hotel segment revenue is click-based advertising revenue from our TripAdvisor-branded websites, which include links to our travel partners’ sites and contextually-relevant branded and related text links. Click-based advertising is generated primarily through our metasearch auction, a description of which follows. Our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ind w:right="20"/>
        <w:spacing w:after="0" w:line="289" w:lineRule="auto"/>
        <w:rPr>
          <w:sz w:val="20"/>
          <w:szCs w:val="20"/>
          <w:color w:val="auto"/>
        </w:rPr>
      </w:pPr>
      <w:r>
        <w:rPr>
          <w:rFonts w:ascii="Arial" w:cs="Arial" w:eastAsia="Arial" w:hAnsi="Arial"/>
          <w:sz w:val="16"/>
          <w:szCs w:val="16"/>
          <w:color w:val="auto"/>
        </w:rPr>
        <w:t>click-based travel partners are predominantly OTAs and hoteliers. Click-based advertising is generally priced on a CPC basis, with payments to us from advertisers based on the number of consumer clicks on each type of link or, in other words, the conversion of a hotel shopper to a paid click. CPC is the price that a partner is willing to pay us for a hotel shopper lead, which is determined in a competitive process as partner CPC bids for rates and availability listed on our site are submitted. When a CPC bid is submitted, the partner agrees to pay us the bid amount each time a consumer clicks on the link to that partner’s website. Bids can be submitted periodically – as often as daily– on a property-by-property basis. Primary factors used to determine the placement of partner links on our site include, but are not limited to, nightly room rate, the size of the bid relative to other bids, and other variables. Hotel shoppers visiting via mobile phones currently monetize at a significantly lower rate than hotel shoppers visiting via desktop or tablet. Our Hotel segment transaction-based revenue is comprised of revenue from our hotel instant booking feature, which enables the merchant of record, generally an OTA or hotel partner, to pay a pre-determined commission rate to TripAdvisor for each consumer that completes a hotel reservation via our website.</w:t>
      </w:r>
    </w:p>
    <w:p>
      <w:pPr>
        <w:spacing w:after="0" w:line="59"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 key drivers of TripAdvisor-branded click-based and transaction revenue include average monthly unique hotel shoppers and revenue per hotel shopper, the latter of which measures how effectively we convert our hotel shoppers into revenue. We measure performance by calculating revenue per hotel shopper on an aggregate basis by dividing total TripAdvisor-branded click-based and transaction revenue by total average monthly unique hotel shoppers on TripAdvisor-branded websites for the periods presented.</w:t>
      </w:r>
    </w:p>
    <w:p>
      <w:pPr>
        <w:spacing w:after="0" w:line="79" w:lineRule="exact"/>
        <w:rPr>
          <w:sz w:val="20"/>
          <w:szCs w:val="20"/>
          <w:color w:val="auto"/>
        </w:rPr>
      </w:pPr>
    </w:p>
    <w:p>
      <w:pPr>
        <w:jc w:val="both"/>
        <w:ind w:right="280" w:firstLine="598"/>
        <w:spacing w:after="0" w:line="279" w:lineRule="auto"/>
        <w:rPr>
          <w:sz w:val="20"/>
          <w:szCs w:val="20"/>
          <w:color w:val="auto"/>
        </w:rPr>
      </w:pPr>
      <w:r>
        <w:rPr>
          <w:rFonts w:ascii="Arial" w:cs="Arial" w:eastAsia="Arial" w:hAnsi="Arial"/>
          <w:sz w:val="17"/>
          <w:szCs w:val="17"/>
          <w:color w:val="auto"/>
        </w:rPr>
        <w:t>While we believe that total traffic growth, or growth in monthly visits from unique visitors, is reflective of our overall brand growth, we also track and analyze sub-segments of our traffic and their correlation to revenue generation and utilize data regarding hotel shoppers as one of the key indicators of revenue growth. Hotel shoppers are visitors who view either a listing of hotels in a city or on a specific hotel page. The number of hotel shoppers tends to vary based on seasonality of the travel industry and general economic conditions, as well as other factors outside of our control.</w:t>
      </w:r>
    </w:p>
    <w:p>
      <w:pPr>
        <w:spacing w:after="0" w:line="63" w:lineRule="exact"/>
        <w:rPr>
          <w:sz w:val="20"/>
          <w:szCs w:val="20"/>
          <w:color w:val="auto"/>
        </w:rPr>
      </w:pPr>
    </w:p>
    <w:p>
      <w:pPr>
        <w:ind w:right="500" w:firstLine="598"/>
        <w:spacing w:after="0" w:line="277" w:lineRule="auto"/>
        <w:rPr>
          <w:sz w:val="20"/>
          <w:szCs w:val="20"/>
          <w:color w:val="auto"/>
        </w:rPr>
      </w:pPr>
      <w:r>
        <w:rPr>
          <w:rFonts w:ascii="Arial" w:cs="Arial" w:eastAsia="Arial" w:hAnsi="Arial"/>
          <w:sz w:val="18"/>
          <w:szCs w:val="18"/>
          <w:color w:val="auto"/>
        </w:rPr>
        <w:t>The table below summarizes our revenue per hotel shopper calculation and growth rate, in the aggregate, for the periods presented (in millions, except calculated revenue per hotel shopper and percentages):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477"/>
              <w:spacing w:after="0"/>
              <w:rPr>
                <w:sz w:val="20"/>
                <w:szCs w:val="20"/>
                <w:color w:val="auto"/>
              </w:rPr>
            </w:pPr>
            <w:r>
              <w:rPr>
                <w:rFonts w:ascii="Arial" w:cs="Arial" w:eastAsia="Arial" w:hAnsi="Arial"/>
                <w:sz w:val="14"/>
                <w:szCs w:val="14"/>
                <w:b w:val="1"/>
                <w:bCs w:val="1"/>
                <w:color w:val="auto"/>
                <w:w w:val="92"/>
              </w:rPr>
              <w:t>Year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r>
      <w:tr>
        <w:trPr>
          <w:trHeight w:val="223"/>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2018 vs 2017</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2017 vs 2016</w:t>
            </w:r>
          </w:p>
        </w:tc>
      </w:tr>
      <w:tr>
        <w:trPr>
          <w:trHeight w:val="223"/>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 per hotel shopper:</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TripAdvisor-branded click-based and transaction revenue</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c>
          <w:tcPr>
            <w:tcW w:w="1560" w:type="dxa"/>
            <w:vAlign w:val="bottom"/>
            <w:gridSpan w:val="3"/>
          </w:tcPr>
          <w:p>
            <w:pPr>
              <w:ind w:left="1060"/>
              <w:spacing w:after="0"/>
              <w:rPr>
                <w:sz w:val="20"/>
                <w:szCs w:val="20"/>
                <w:color w:val="auto"/>
              </w:rPr>
            </w:pPr>
            <w:r>
              <w:rPr>
                <w:rFonts w:ascii="Arial" w:cs="Arial" w:eastAsia="Arial" w:hAnsi="Arial"/>
                <w:sz w:val="18"/>
                <w:szCs w:val="18"/>
                <w:color w:val="auto"/>
              </w:rPr>
              <w:t>(4%)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15"/>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Divided by: Total average monthly unique hotel shoppers for the</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year</w:t>
            </w:r>
          </w:p>
        </w:tc>
        <w:tc>
          <w:tcPr>
            <w:tcW w:w="1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20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1560" w:type="dxa"/>
            <w:vAlign w:val="bottom"/>
            <w:gridSpan w:val="3"/>
            <w:shd w:val="clear" w:color="auto" w:fill="CFF0FC"/>
          </w:tcPr>
          <w:p>
            <w:pPr>
              <w:ind w:left="1060"/>
              <w:spacing w:after="0"/>
              <w:rPr>
                <w:sz w:val="20"/>
                <w:szCs w:val="20"/>
                <w:color w:val="auto"/>
              </w:rPr>
            </w:pPr>
            <w:r>
              <w:rPr>
                <w:rFonts w:ascii="Arial" w:cs="Arial" w:eastAsia="Arial" w:hAnsi="Arial"/>
                <w:sz w:val="18"/>
                <w:szCs w:val="18"/>
                <w:color w:val="auto"/>
              </w:rPr>
              <w:t>(4%)</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r>
      <w:tr>
        <w:trPr>
          <w:trHeight w:val="223"/>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560" w:type="dxa"/>
            <w:vAlign w:val="bottom"/>
            <w:gridSpan w:val="3"/>
          </w:tcPr>
          <w:p>
            <w:pPr>
              <w:ind w:left="1060"/>
              <w:spacing w:after="0"/>
              <w:rPr>
                <w:sz w:val="20"/>
                <w:szCs w:val="20"/>
                <w:color w:val="auto"/>
              </w:rPr>
            </w:pPr>
            <w:r>
              <w:rPr>
                <w:rFonts w:ascii="Arial" w:cs="Arial" w:eastAsia="Arial" w:hAnsi="Arial"/>
                <w:sz w:val="18"/>
                <w:szCs w:val="18"/>
                <w:color w:val="auto"/>
              </w:rPr>
              <w:t>(2%)</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2018 vs. 2017</w:t>
      </w:r>
    </w:p>
    <w:p>
      <w:pPr>
        <w:spacing w:after="0" w:line="225"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Revenue per hotel shopper decreased 2% during the year ended December 31, 2018 when compared to the same period in 2017, according to our internal log files. The decrease was primarily driven by travel partners bidding to lower CPCs in our click-based metasearch auction during the second half of 2017, which created difficult year-over-year growth comparisons during the first half of 2018, as well as a greater percentage of hotel shoppers visiting TripAdvisor-branded websites and apps on mobile phones, partially offset by our success in product improvements and increasing traffic quality, as discussed above.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jc w:val="both"/>
        <w:ind w:firstLine="598"/>
        <w:spacing w:after="0" w:line="276" w:lineRule="auto"/>
        <w:rPr>
          <w:sz w:val="20"/>
          <w:szCs w:val="20"/>
          <w:color w:val="auto"/>
        </w:rPr>
      </w:pPr>
      <w:r>
        <w:rPr>
          <w:rFonts w:ascii="Arial" w:cs="Arial" w:eastAsia="Arial" w:hAnsi="Arial"/>
          <w:sz w:val="17"/>
          <w:szCs w:val="17"/>
          <w:color w:val="auto"/>
        </w:rPr>
        <w:t>Our aggregate average monthly unique hotel shoppers on TripAdvisor-branded websites decreased by 4% during the year ended December 31, 2018 when compared to the same period in 2017, according to our internal log files. The decrease was primarily due to significantly reducing our direct marketing spend on our least-profitable paid online marketing campaigns, as well as product enhancements focused on increasing traffic quality, which we believe limits our ability to grow hotel shoppers in the near term, as discussed above, partially offset by the general trend of an increasing number of hotel shoppers visiting our websites and apps on mobile phones which we continued to experience during 2018.</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225"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Revenue per hotel shopper decreased 9% during the year ended December 31, 2017 when compared to the same period in 2016, according to our internal log files. The decrease was primarily driven by travel partners bidding to lower CPCs in our click-based metasearch auction during the second half of 2017, and the general trend of a greater percentage of hotel shoppers visiting TripAdvisor-branded websites and apps on mobile phones, which grew significantly faster than traffic from desktop and tablet devices, as well as dilution from product testing related to the second-quarter 2017 launch of our redesigned website and apps, and the timing of our hotel instant booking feature rollout in certain non-U.S. markets during the first half of 2016.</w:t>
      </w:r>
    </w:p>
    <w:p>
      <w:pPr>
        <w:spacing w:after="0" w:line="158"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Our aggregate average monthly unique hotel shoppers on TripAdvisor-branded websites increased by 10% during the year ended December 31, 2017 when compared to the same period in 2016, according to our internal log files. The increase in hotel shoppers is primarily due to the general trend of an increasing number of hotel shoppers visiting our websites on mobile phones, as well as growth in our paid online marketing channels, partially offset by marketing spend tradeoffs resulting from increased brand advertising investment in our television campaign, as discussed above.</w:t>
      </w:r>
    </w:p>
    <w:p>
      <w:pPr>
        <w:spacing w:after="0" w:line="28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TripAdvisor-branded Display-based Advertising and Subscription Revenue</w:t>
      </w:r>
    </w:p>
    <w:p>
      <w:pPr>
        <w:spacing w:after="0" w:line="117" w:lineRule="exact"/>
        <w:rPr>
          <w:sz w:val="20"/>
          <w:szCs w:val="20"/>
          <w:color w:val="auto"/>
        </w:rPr>
      </w:pPr>
    </w:p>
    <w:p>
      <w:pPr>
        <w:ind w:right="480" w:firstLine="598"/>
        <w:spacing w:after="0" w:line="264" w:lineRule="auto"/>
        <w:rPr>
          <w:sz w:val="20"/>
          <w:szCs w:val="20"/>
          <w:color w:val="auto"/>
        </w:rPr>
      </w:pPr>
      <w:r>
        <w:rPr>
          <w:rFonts w:ascii="Arial" w:cs="Arial" w:eastAsia="Arial" w:hAnsi="Arial"/>
          <w:sz w:val="18"/>
          <w:szCs w:val="18"/>
          <w:color w:val="auto"/>
        </w:rPr>
        <w:t>For the years ended December 31, 2018, 2017 and 2016, 27%, 24% and 24%, respectively, of our Hotel segment revenue was derived from our TripAdvisor-branded display-based advertising and subscription revenue, which primarily consists of revenue from display-based advertising and subscription-based hotel advertising revenue.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u w:val="single" w:color="auto"/>
          <w:color w:val="auto"/>
        </w:rPr>
        <w:t>2018 vs. 2017</w:t>
      </w:r>
    </w:p>
    <w:p>
      <w:pPr>
        <w:spacing w:after="0" w:line="117"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Our TripAdvisor-branded display-based advertising and subscription revenue increased by $16 million or 5%, during the year ended December 31, 2018 when compared to the same period in 2017, primarily attributable to revenue from our new media ad product during 2018, which enables hotels to enhance their visibility on TripAdvisor hotel pages. The increase was partially offset by the general trend of an increasing percentage of our traffic visiting our websites on mobile phones, which yield smaller impression opportunities due to the smaller screen size.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117"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Our TripAdvisor-branded display-based advertising and subscription revenue increased by $10 million or 4%, during the year ended December 31, 2017 when compared to the same period in 2016. The increase in display-based advertising revenue was primarily due to an increase in impressions sold, as well as an increase in pricing, partially offset by the general trend of an increasing percentage of our traffic visiting our websites on mobile phones, in addition to hotel industry consolidation.</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Other Hotel Revenue</w:t>
      </w:r>
    </w:p>
    <w:p>
      <w:pPr>
        <w:spacing w:after="0" w:line="117" w:lineRule="exact"/>
        <w:rPr>
          <w:sz w:val="20"/>
          <w:szCs w:val="20"/>
          <w:color w:val="auto"/>
        </w:rPr>
      </w:pPr>
    </w:p>
    <w:p>
      <w:pPr>
        <w:ind w:right="80" w:firstLine="598"/>
        <w:spacing w:after="0" w:line="255" w:lineRule="auto"/>
        <w:rPr>
          <w:sz w:val="20"/>
          <w:szCs w:val="20"/>
          <w:color w:val="auto"/>
        </w:rPr>
      </w:pPr>
      <w:r>
        <w:rPr>
          <w:rFonts w:ascii="Arial" w:cs="Arial" w:eastAsia="Arial" w:hAnsi="Arial"/>
          <w:sz w:val="18"/>
          <w:szCs w:val="18"/>
          <w:color w:val="auto"/>
        </w:rPr>
        <w:t>For the years ended December 31, 2018, 2017 and 2016, 11%, 12% and 13%, respectively, of our Hotel segment revenue was derived from other Hotel revenue. Our other Hotel revenue primarily includes revenue from non-TripAdvisor branded websites, such as bookingbuddy.com, cruisecritic.com, onetime.com, and smartertravel.com, primarily through click-based advertising and display-based advertising. Other Hotel revenue decreased by $21 million and $10 million during the years ended December 31, 2018 and 2017, respectively, when compared to the same periods in 2017 and 2016, primarily due to increased marketing efficiency from paid online marketing channels, and in 2018, increased with the elimination of some marginal and unprofitable revenue within</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ind w:right="60"/>
        <w:spacing w:after="0" w:line="308" w:lineRule="auto"/>
        <w:rPr>
          <w:sz w:val="20"/>
          <w:szCs w:val="20"/>
          <w:color w:val="auto"/>
        </w:rPr>
      </w:pPr>
      <w:r>
        <w:rPr>
          <w:rFonts w:ascii="Arial" w:cs="Arial" w:eastAsia="Arial" w:hAnsi="Arial"/>
          <w:sz w:val="17"/>
          <w:szCs w:val="17"/>
          <w:color w:val="auto"/>
        </w:rPr>
        <w:t>these offerings, in addition to realignment of certain capital resources within the Hotel segment. These steps have resulted in increased profitability within the Hotel segment; however, these changes have had an adverse impact on other Hotel revenue performance in 2018 and 2017.</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Non-Hotel Segment</w:t>
      </w:r>
    </w:p>
    <w:p>
      <w:pPr>
        <w:spacing w:after="0" w:line="117" w:lineRule="exact"/>
        <w:rPr>
          <w:sz w:val="20"/>
          <w:szCs w:val="20"/>
          <w:color w:val="auto"/>
        </w:rPr>
      </w:pPr>
    </w:p>
    <w:p>
      <w:pPr>
        <w:jc w:val="both"/>
        <w:ind w:right="40" w:firstLine="598"/>
        <w:spacing w:after="0" w:line="259" w:lineRule="auto"/>
        <w:rPr>
          <w:sz w:val="20"/>
          <w:szCs w:val="20"/>
          <w:color w:val="auto"/>
        </w:rPr>
      </w:pPr>
      <w:r>
        <w:rPr>
          <w:rFonts w:ascii="Arial" w:cs="Arial" w:eastAsia="Arial" w:hAnsi="Arial"/>
          <w:sz w:val="18"/>
          <w:szCs w:val="18"/>
          <w:color w:val="auto"/>
        </w:rPr>
        <w:t>For the years ended December 31, 2018, 2017 and 2016, our Non-Hotel segment revenue accounted for 28%, 23% and 20%, respectively, of our total consolidated revenue. Our Non-Hotel segment revenue increased by $98 million or 27% and $70 million or 24%, for the years ended December 31, 2018 and 2017, respectively, when compared to the same periods in 2017 and 2016, respectively, driven by Experiences and Restaurants, as we continue our investment in product, bookable supply and marketing.</w:t>
      </w:r>
    </w:p>
    <w:p>
      <w:pPr>
        <w:spacing w:after="0" w:line="79" w:lineRule="exact"/>
        <w:rPr>
          <w:sz w:val="20"/>
          <w:szCs w:val="20"/>
          <w:color w:val="auto"/>
        </w:rPr>
      </w:pPr>
    </w:p>
    <w:p>
      <w:pPr>
        <w:jc w:val="both"/>
        <w:ind w:right="20" w:firstLine="598"/>
        <w:spacing w:after="0" w:line="287" w:lineRule="auto"/>
        <w:rPr>
          <w:sz w:val="20"/>
          <w:szCs w:val="20"/>
          <w:color w:val="auto"/>
        </w:rPr>
      </w:pPr>
      <w:r>
        <w:rPr>
          <w:rFonts w:ascii="Arial" w:cs="Arial" w:eastAsia="Arial" w:hAnsi="Arial"/>
          <w:sz w:val="16"/>
          <w:szCs w:val="16"/>
          <w:color w:val="auto"/>
        </w:rPr>
        <w:t>Experiences continued to generate strong revenue due to increased growth in bookings, which was primarily driven by an increased and greater selection of bookable supply, and growth in demand from bookings sourced by TripAdvisor. Another contributing factor was the key feature improvements made to the shopping experience, which improvements are ongoing. In addition, we launched a new supplier platform during the fourth quarter of 2018, which increased the efficiency with which suppliers can participate and market their bookable experiences, thereby offering consumers a greater selection of travel activities and experiences. Continued strong revenue growth in Restaurants was primarily due to seated diner growth, mobile bookings growth, user experience improvements, and increased bookable supply of restaurant listings, as well as increased revenue from TripAdvisor websites. Rentals’ revenue decreased during the year ended December 31, 2018 when compared to the same period in 2017, primarily due to increasing competition in the alternative accommodations marketplace and our strategic re-allocation of resources within the Non-Hotel segment to support growth in Experiences and Restaurants, and to a lesser extent the continued migration of our subscription model to our free-to-list model. Revenue in our Rentals offering decreased slightly during the year ended December 31, 2017 when compared to the same period in 2016, primarily due to the continued migration of our subscription model to our free-to-list model, in addition to a slower growth rate in our free-to-list revenues than 2016.</w:t>
      </w:r>
    </w:p>
    <w:p>
      <w:pPr>
        <w:spacing w:after="0" w:line="132" w:lineRule="exact"/>
        <w:rPr>
          <w:sz w:val="20"/>
          <w:szCs w:val="20"/>
          <w:color w:val="auto"/>
        </w:rPr>
      </w:pPr>
    </w:p>
    <w:p>
      <w:pPr>
        <w:ind w:right="100" w:firstLine="598"/>
        <w:spacing w:after="0" w:line="254" w:lineRule="auto"/>
        <w:rPr>
          <w:sz w:val="20"/>
          <w:szCs w:val="20"/>
          <w:color w:val="auto"/>
        </w:rPr>
      </w:pPr>
      <w:r>
        <w:rPr>
          <w:rFonts w:ascii="Arial" w:cs="Arial" w:eastAsia="Arial" w:hAnsi="Arial"/>
          <w:sz w:val="18"/>
          <w:szCs w:val="18"/>
          <w:color w:val="auto"/>
        </w:rPr>
        <w:t>Adjusted EBITDA and Adjusted EBITDA margin in our Non-Hotel segment increased $21 million and to 14%, respectively, during the year ended December 31, 2018 when compared to the same period in 2017. This increase was primarily driven by the increase in our Non-Hotel segment revenue, partially offset primarily by increased personnel and overhead costs of $41 million, to support growth in this segment during the year ended December 31, 2018, as well as an increase in online advertising costs. Adjusted EBITDA and Adjusted EBITDA margin in our Non-Hotel segment increased $73 million and to 13%, respectively, during the year ended December 31, 2017 when compared to the same period in 2016. This increase was primarily driven by the increase in our Non-Hotel segment revenue, in addition to increased efficiencies in paid online marketing channels and other operational synergies across our Experiences and Rentals offerings, partially offset by increased personnel and overhead costs to support growth in this segment for the year ended December 31, 2017.</w:t>
      </w:r>
    </w:p>
    <w:p>
      <w:pPr>
        <w:spacing w:after="0" w:line="188" w:lineRule="exact"/>
        <w:rPr>
          <w:sz w:val="20"/>
          <w:szCs w:val="20"/>
          <w:color w:val="auto"/>
        </w:rPr>
      </w:pPr>
    </w:p>
    <w:p>
      <w:pPr>
        <w:jc w:val="right"/>
        <w:ind w:right="9660"/>
        <w:spacing w:after="0"/>
        <w:rPr>
          <w:sz w:val="20"/>
          <w:szCs w:val="20"/>
          <w:color w:val="auto"/>
        </w:rPr>
      </w:pPr>
      <w:r>
        <w:rPr>
          <w:rFonts w:ascii="Arial" w:cs="Arial" w:eastAsia="Arial" w:hAnsi="Arial"/>
          <w:sz w:val="15"/>
          <w:szCs w:val="15"/>
          <w:b w:val="1"/>
          <w:bCs w:val="1"/>
          <w:color w:val="auto"/>
        </w:rPr>
        <w:t>Consolidated Expenses</w:t>
      </w:r>
    </w:p>
    <w:p>
      <w:pPr>
        <w:spacing w:after="0" w:line="156" w:lineRule="exact"/>
        <w:rPr>
          <w:sz w:val="20"/>
          <w:szCs w:val="20"/>
          <w:color w:val="auto"/>
        </w:rPr>
      </w:pPr>
    </w:p>
    <w:p>
      <w:pPr>
        <w:jc w:val="right"/>
        <w:ind w:right="96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760" w:type="dxa"/>
            <w:vAlign w:val="bottom"/>
            <w:tcBorders>
              <w:top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130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2018 vs 2017</w:t>
            </w:r>
          </w:p>
        </w:tc>
        <w:tc>
          <w:tcPr>
            <w:tcW w:w="1000" w:type="dxa"/>
            <w:vAlign w:val="bottom"/>
            <w:tcBorders>
              <w:top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2017 vs 2016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760" w:type="dxa"/>
            <w:vAlign w:val="bottom"/>
            <w:shd w:val="clear" w:color="auto" w:fill="CFF0FC"/>
          </w:tcPr>
          <w:p>
            <w:pPr>
              <w:jc w:val="right"/>
              <w:ind w:right="6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67</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18"/>
                <w:szCs w:val="18"/>
                <w:color w:val="auto"/>
              </w:rPr>
              <w:t>0%</w:t>
            </w: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 of revenue</w:t>
            </w:r>
          </w:p>
        </w:tc>
        <w:tc>
          <w:tcPr>
            <w:tcW w:w="760" w:type="dxa"/>
            <w:vAlign w:val="bottom"/>
            <w:tcBorders>
              <w:bottom w:val="single" w:sz="8" w:color="auto"/>
            </w:tcBorders>
            <w:shd w:val="clear" w:color="auto" w:fill="CFF0FC"/>
          </w:tcPr>
          <w:p>
            <w:pPr>
              <w:jc w:val="right"/>
              <w:ind w:right="602"/>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86</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2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260"/>
              <w:spacing w:after="0"/>
              <w:rPr>
                <w:sz w:val="20"/>
                <w:szCs w:val="20"/>
                <w:color w:val="auto"/>
              </w:rPr>
            </w:pPr>
            <w:r>
              <w:rPr>
                <w:rFonts w:ascii="Arial" w:cs="Arial" w:eastAsia="Arial" w:hAnsi="Arial"/>
                <w:sz w:val="18"/>
                <w:szCs w:val="18"/>
                <w:color w:val="auto"/>
              </w:rPr>
              <w:t>% of revenue</w:t>
            </w: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5.3%</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4"/>
        </w:trPr>
        <w:tc>
          <w:tcPr>
            <w:tcW w:w="50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i w:val="1"/>
          <w:iCs w:val="1"/>
          <w:u w:val="single" w:color="auto"/>
          <w:color w:val="auto"/>
        </w:rPr>
        <w:t>2018 vs. 2017</w:t>
      </w:r>
    </w:p>
    <w:p>
      <w:pPr>
        <w:spacing w:after="0" w:line="225" w:lineRule="exact"/>
        <w:rPr>
          <w:sz w:val="20"/>
          <w:szCs w:val="20"/>
          <w:color w:val="auto"/>
        </w:rPr>
      </w:pPr>
    </w:p>
    <w:p>
      <w:pPr>
        <w:jc w:val="both"/>
        <w:ind w:right="520" w:firstLine="598"/>
        <w:spacing w:after="0" w:line="312" w:lineRule="auto"/>
        <w:rPr>
          <w:sz w:val="20"/>
          <w:szCs w:val="20"/>
          <w:color w:val="auto"/>
        </w:rPr>
      </w:pPr>
      <w:r>
        <w:rPr>
          <w:rFonts w:ascii="Arial" w:cs="Arial" w:eastAsia="Arial" w:hAnsi="Arial"/>
          <w:sz w:val="16"/>
          <w:szCs w:val="16"/>
          <w:color w:val="auto"/>
        </w:rPr>
        <w:t>Cost of revenue increased $14 million during the year ended December 31, 2018 when compared to the same period in 2017, primarily due to increased direct costs associated with prepaid tour tickets and merchant credit card and other transaction payment processing fees as a result of revenue growth in our Non-Hotel segment and, to a lesser extent, an increase in transaction costs related to revenue generation in our Hotel segment.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225" w:lineRule="exact"/>
        <w:rPr>
          <w:sz w:val="20"/>
          <w:szCs w:val="20"/>
          <w:color w:val="auto"/>
        </w:rPr>
      </w:pPr>
    </w:p>
    <w:p>
      <w:pPr>
        <w:ind w:right="480" w:firstLine="598"/>
        <w:spacing w:after="0" w:line="342" w:lineRule="auto"/>
        <w:rPr>
          <w:sz w:val="20"/>
          <w:szCs w:val="20"/>
          <w:color w:val="auto"/>
        </w:rPr>
      </w:pPr>
      <w:r>
        <w:rPr>
          <w:rFonts w:ascii="Arial" w:cs="Arial" w:eastAsia="Arial" w:hAnsi="Arial"/>
          <w:sz w:val="16"/>
          <w:szCs w:val="16"/>
          <w:color w:val="auto"/>
        </w:rPr>
        <w:t>Cost of revenue increased $1 million during the year ended December 31, 2017 when compared to the same period in 2016, primarily due to increased direct costs from merchant credit card and other transaction payment processing fees as a result of revenue growth in our Non-Hotel segment.</w:t>
      </w:r>
    </w:p>
    <w:p>
      <w:pPr>
        <w:spacing w:after="0" w:line="23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340" w:firstLine="598"/>
        <w:spacing w:after="0" w:line="302"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program commissions, social media costs, brand advertising, television and other offline advertising, promotions and public relations. In addition, our sales and marketing expenses consist of indirect costs such as personnel and overhead expenses, including salaries, commissions, benefits, stock-based compensation expense, and bonuses for sales, sales support, customer support and marketing employees.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134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2018 vs 2017</w:t>
            </w:r>
          </w:p>
        </w:tc>
        <w:tc>
          <w:tcPr>
            <w:tcW w:w="1000" w:type="dxa"/>
            <w:vAlign w:val="bottom"/>
            <w:tcBorders>
              <w:top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2017 vs 2016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553</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225</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7%</w:t>
            </w:r>
          </w:p>
        </w:tc>
        <w:tc>
          <w:tcPr>
            <w:tcW w:w="11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selling and marketing</w:t>
            </w:r>
          </w:p>
        </w:tc>
        <w:tc>
          <w:tcPr>
            <w:tcW w:w="660" w:type="dxa"/>
            <w:vAlign w:val="bottom"/>
            <w:tcBorders>
              <w:bottom w:val="single" w:sz="8" w:color="auto"/>
            </w:tcBorders>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778</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48.2%</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2018 vs. 2017</w:t>
      </w:r>
    </w:p>
    <w:p>
      <w:pPr>
        <w:spacing w:after="0" w:line="225" w:lineRule="exact"/>
        <w:rPr>
          <w:sz w:val="20"/>
          <w:szCs w:val="20"/>
          <w:color w:val="auto"/>
        </w:rPr>
      </w:pPr>
    </w:p>
    <w:p>
      <w:pPr>
        <w:ind w:right="180" w:firstLine="598"/>
        <w:spacing w:after="0" w:line="255" w:lineRule="auto"/>
        <w:rPr>
          <w:sz w:val="20"/>
          <w:szCs w:val="20"/>
          <w:color w:val="auto"/>
        </w:rPr>
      </w:pPr>
      <w:r>
        <w:rPr>
          <w:rFonts w:ascii="Arial" w:cs="Arial" w:eastAsia="Arial" w:hAnsi="Arial"/>
          <w:sz w:val="18"/>
          <w:szCs w:val="18"/>
          <w:color w:val="auto"/>
        </w:rPr>
        <w:t>Direct selling and marketing costs decreased $86 million during the year ended December 31, 2018 when compared to the same period in 2017, primarily due to decreased SEM and online traffic acquisition costs in our Hotel segment, partially offset by an increase in our Hotel segment television advertising campaign spend of $40 million during the year ended December 31, 2018, and by an increase in online and offline advertising costs in our Non-Hotel segment during the year ended December 31, 2018 when compared to the same period in 2017. Personnel and overhead costs increased $15 million during the year ended December 31, 2018 when compared to the same period in 2017, due to an increase in headcount in our Non-Hotel segment to support business growth.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225" w:lineRule="exact"/>
        <w:rPr>
          <w:sz w:val="20"/>
          <w:szCs w:val="20"/>
          <w:color w:val="auto"/>
        </w:rPr>
      </w:pPr>
    </w:p>
    <w:p>
      <w:pPr>
        <w:ind w:right="280" w:firstLine="598"/>
        <w:spacing w:after="0" w:line="257" w:lineRule="auto"/>
        <w:rPr>
          <w:sz w:val="20"/>
          <w:szCs w:val="20"/>
          <w:color w:val="auto"/>
        </w:rPr>
      </w:pPr>
      <w:r>
        <w:rPr>
          <w:rFonts w:ascii="Arial" w:cs="Arial" w:eastAsia="Arial" w:hAnsi="Arial"/>
          <w:sz w:val="18"/>
          <w:szCs w:val="18"/>
          <w:color w:val="auto"/>
        </w:rPr>
        <w:t>Direct selling and marketing costs increased $85 million during the year ended December 31, 2017 when compared to the same period in 2016, primarily due to costs incurred related to the launch of a new television campaign in June of 2017, as well as an increase in SEM and other online traffic acquisition costs in our Hotel segment during the first half of 2017, partially offset by a decrease in other advertising costs. We spent $74 million on our television advertising campaign during the year ended December 31, 2017 attributable to our Hotel segment, which we did not incur during the year ended December 31, 2016.</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ind w:right="180" w:firstLine="638"/>
        <w:spacing w:after="0" w:line="277"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7" w:name="page48"/>
    <w:bookmarkEnd w:id="47"/>
    <w:p>
      <w:pPr>
        <w:ind w:right="640"/>
        <w:spacing w:after="0" w:line="277" w:lineRule="auto"/>
        <w:rPr>
          <w:sz w:val="20"/>
          <w:szCs w:val="20"/>
          <w:color w:val="auto"/>
        </w:rPr>
      </w:pPr>
      <w:r>
        <w:rPr>
          <w:rFonts w:ascii="Arial" w:cs="Arial" w:eastAsia="Arial" w:hAnsi="Arial"/>
          <w:sz w:val="18"/>
          <w:szCs w:val="18"/>
          <w:color w:val="auto"/>
        </w:rPr>
        <w:t>design, development, testing, content support, and maintenance of our websites and mobile apps. Other costs include licensing, maintenance expense, computer supplies, telecom costs, content translation costs, and consulting costs.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4"/>
          </w:tcPr>
          <w:p>
            <w:pPr>
              <w:ind w:left="8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13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2018 vs 2017</w:t>
            </w:r>
          </w:p>
        </w:tc>
        <w:tc>
          <w:tcPr>
            <w:tcW w:w="1000" w:type="dxa"/>
            <w:vAlign w:val="bottom"/>
            <w:tcBorders>
              <w:top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2017 vs 2016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660" w:type="dxa"/>
            <w:vAlign w:val="bottom"/>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246</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ind w:left="820"/>
              <w:spacing w:after="0"/>
              <w:rPr>
                <w:sz w:val="20"/>
                <w:szCs w:val="20"/>
                <w:color w:val="auto"/>
              </w:rPr>
            </w:pPr>
            <w:r>
              <w:rPr>
                <w:rFonts w:ascii="Arial" w:cs="Arial" w:eastAsia="Arial" w:hAnsi="Arial"/>
                <w:sz w:val="18"/>
                <w:szCs w:val="18"/>
                <w:color w:val="auto"/>
              </w:rPr>
              <w:t>21%</w:t>
            </w: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technology and content</w:t>
            </w:r>
          </w:p>
        </w:tc>
        <w:tc>
          <w:tcPr>
            <w:tcW w:w="660" w:type="dxa"/>
            <w:vAlign w:val="bottom"/>
            <w:tcBorders>
              <w:bottom w:val="single" w:sz="8" w:color="auto"/>
            </w:tcBorders>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275</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gridSpan w:val="2"/>
            <w:shd w:val="clear" w:color="auto" w:fill="CFF0FC"/>
          </w:tcPr>
          <w:p>
            <w:pPr>
              <w:ind w:left="820"/>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17.0%</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u w:val="single" w:color="auto"/>
          <w:color w:val="auto"/>
        </w:rPr>
        <w:t>2018 vs. 2017</w:t>
      </w:r>
    </w:p>
    <w:p>
      <w:pPr>
        <w:spacing w:after="0" w:line="117"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Technology and content costs increased $32 million during the year ended December 31, 2018 when compared to the same period in 2017 primarily due to increased personnel and overhead costs, which includes an increase in stock-based compensation of $11 million for the year ended December 31, 2018, primarily as a result of an increase in headcount to support business growth in our Non-Hotel segment. Other costs increased by $5 million during the year ended December 31, 2018 when compared to the same period in 2017, primarily due to an increase in software and other professional licensing costs.</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117" w:lineRule="exact"/>
        <w:rPr>
          <w:sz w:val="20"/>
          <w:szCs w:val="20"/>
          <w:color w:val="auto"/>
        </w:rPr>
      </w:pPr>
    </w:p>
    <w:p>
      <w:pPr>
        <w:ind w:right="280" w:firstLine="598"/>
        <w:spacing w:after="0" w:line="302" w:lineRule="auto"/>
        <w:rPr>
          <w:sz w:val="20"/>
          <w:szCs w:val="20"/>
          <w:color w:val="auto"/>
        </w:rPr>
      </w:pPr>
      <w:r>
        <w:rPr>
          <w:rFonts w:ascii="Arial" w:cs="Arial" w:eastAsia="Arial" w:hAnsi="Arial"/>
          <w:sz w:val="16"/>
          <w:szCs w:val="16"/>
          <w:color w:val="auto"/>
        </w:rPr>
        <w:t>Technology and content costs remained flat during the year ended December 31, 2017 when compared to the same period in 2016. Personnel and overhead costs increased $6 million during the year ended December 31, 2017 when compared to the same period in 2016, primarily to support our mobile phone and website initiatives, as well as to support business growth, partially offset by a decrease in contingent staff costs. Other costs decreased by $6 million during the year ended December 31, 2017 when compared to the same period in 2016, primarily due to a decrease in content translation costs.</w:t>
      </w: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240" w:firstLine="598"/>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4"/>
          </w:tcPr>
          <w:p>
            <w:pPr>
              <w:ind w:left="820"/>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13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2018 vs 2017</w:t>
            </w:r>
          </w:p>
        </w:tc>
        <w:tc>
          <w:tcPr>
            <w:tcW w:w="1000" w:type="dxa"/>
            <w:vAlign w:val="bottom"/>
            <w:tcBorders>
              <w:top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2017 vs 2016</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660" w:type="dxa"/>
            <w:vAlign w:val="bottom"/>
            <w:shd w:val="clear" w:color="auto" w:fill="CFF0FC"/>
          </w:tcPr>
          <w:p>
            <w:pPr>
              <w:jc w:val="right"/>
              <w:ind w:right="502"/>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129</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11%</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 fees and other</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ind w:left="820"/>
              <w:spacing w:after="0"/>
              <w:rPr>
                <w:sz w:val="20"/>
                <w:szCs w:val="20"/>
                <w:color w:val="auto"/>
              </w:rPr>
            </w:pPr>
            <w:r>
              <w:rPr>
                <w:rFonts w:ascii="Arial" w:cs="Arial" w:eastAsia="Arial" w:hAnsi="Arial"/>
                <w:sz w:val="18"/>
                <w:szCs w:val="18"/>
                <w:color w:val="auto"/>
              </w:rPr>
              <w:t>17%</w:t>
            </w: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general and administrative</w:t>
            </w:r>
          </w:p>
        </w:tc>
        <w:tc>
          <w:tcPr>
            <w:tcW w:w="660" w:type="dxa"/>
            <w:vAlign w:val="bottom"/>
            <w:tcBorders>
              <w:bottom w:val="single" w:sz="8" w:color="auto"/>
            </w:tcBorders>
            <w:shd w:val="clear" w:color="auto" w:fill="CFF0FC"/>
          </w:tcPr>
          <w:p>
            <w:pPr>
              <w:jc w:val="right"/>
              <w:ind w:right="502"/>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177</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gridSpan w:val="2"/>
            <w:shd w:val="clear" w:color="auto" w:fill="CFF0FC"/>
          </w:tcPr>
          <w:p>
            <w:pPr>
              <w:ind w:left="820"/>
              <w:spacing w:after="0"/>
              <w:rPr>
                <w:sz w:val="20"/>
                <w:szCs w:val="20"/>
                <w:color w:val="auto"/>
              </w:rPr>
            </w:pPr>
            <w:r>
              <w:rPr>
                <w:rFonts w:ascii="Arial" w:cs="Arial" w:eastAsia="Arial" w:hAnsi="Arial"/>
                <w:sz w:val="18"/>
                <w:szCs w:val="18"/>
                <w:color w:val="auto"/>
              </w:rPr>
              <w:t>13%</w:t>
            </w:r>
          </w:p>
        </w:tc>
        <w:tc>
          <w:tcPr>
            <w:tcW w:w="12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260"/>
              <w:spacing w:after="0"/>
              <w:rPr>
                <w:sz w:val="20"/>
                <w:szCs w:val="20"/>
                <w:color w:val="auto"/>
              </w:rPr>
            </w:pPr>
            <w:r>
              <w:rPr>
                <w:rFonts w:ascii="Arial" w:cs="Arial" w:eastAsia="Arial" w:hAnsi="Arial"/>
                <w:sz w:val="18"/>
                <w:szCs w:val="18"/>
                <w:color w:val="auto"/>
              </w:rPr>
              <w:t>% of revenue</w:t>
            </w: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11.0%</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5060" w:type="dxa"/>
            <w:vAlign w:val="bottom"/>
          </w:tcPr>
          <w:p>
            <w:pPr>
              <w:spacing w:after="0"/>
              <w:rPr>
                <w:sz w:val="24"/>
                <w:szCs w:val="24"/>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i w:val="1"/>
          <w:iCs w:val="1"/>
          <w:u w:val="single" w:color="auto"/>
          <w:color w:val="auto"/>
        </w:rPr>
        <w:t>2018 vs. 2017</w:t>
      </w:r>
    </w:p>
    <w:p>
      <w:pPr>
        <w:spacing w:after="0" w:line="117"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General and administrative costs increased $20 million during the year ended December 31, 2018 when compared to the same period in 2017. Personnel costs and overhead costs increased $13 million during the year ended December 31, 2018 when compared to the same period in 2017, primarily due to an increase in stock-based compensation of $10 million, which was primarily as a result of equity awards granted to our CEO in November 2017. Professional service fees and other increased $7 million during the year ended December 31, 2018 when compared to the same period in 2017, primarily due to an increase of $5 million in legal settlements and to a lesser extent an increase in bad debt expense.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117"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General and administrative costs increased $14 million during the year ended December 31, 2017 when compared to the same period in 2016. Personnel costs and overhead costs increased $15 million during the year ended December 31, 2017 when compared to the same period in 2016, primarily related to an increase in stock-based compensation of $10 million. Professional service fees and other decreased $1 million during the year ended December 31, 2017 when compared to the same period in 2016, primarily due to a decrease in consulting costs and non-income taxes, partially offset by an increase in bad debt expense.</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Depreciation</w:t>
      </w:r>
    </w:p>
    <w:p>
      <w:pPr>
        <w:spacing w:after="0" w:line="11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our corporate headquarters building and amortization of capitalized software and website development costs.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319"/>
              <w:spacing w:after="0" w:line="155"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center"/>
              <w:ind w:right="33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272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2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ind w:right="179"/>
              <w:spacing w:after="0"/>
              <w:rPr>
                <w:sz w:val="20"/>
                <w:szCs w:val="20"/>
                <w:color w:val="auto"/>
              </w:rPr>
            </w:pPr>
            <w:r>
              <w:rPr>
                <w:rFonts w:ascii="Arial" w:cs="Arial" w:eastAsia="Arial" w:hAnsi="Arial"/>
                <w:sz w:val="18"/>
                <w:szCs w:val="18"/>
                <w:color w:val="auto"/>
              </w:rPr>
              <w:t>5.1%</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201" w:lineRule="exact"/>
        <w:rPr>
          <w:sz w:val="20"/>
          <w:szCs w:val="20"/>
          <w:color w:val="auto"/>
        </w:rPr>
      </w:pPr>
    </w:p>
    <w:p>
      <w:pPr>
        <w:ind w:right="40" w:firstLine="598"/>
        <w:spacing w:after="0" w:line="308" w:lineRule="auto"/>
        <w:rPr>
          <w:sz w:val="20"/>
          <w:szCs w:val="20"/>
          <w:color w:val="auto"/>
        </w:rPr>
      </w:pPr>
      <w:r>
        <w:rPr>
          <w:rFonts w:ascii="Arial" w:cs="Arial" w:eastAsia="Arial" w:hAnsi="Arial"/>
          <w:sz w:val="17"/>
          <w:szCs w:val="17"/>
          <w:color w:val="auto"/>
        </w:rPr>
        <w:t>Depreciation expense increased $3 million and $10 million during the years ended December 31, 2018 and 2017 when compared to the same periods in 2017 and 2016, respectively, primarily due to an increase in amortization related to capitalized software and website development costs.</w:t>
      </w:r>
    </w:p>
    <w:p>
      <w:pPr>
        <w:spacing w:after="0" w:line="25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Amortization consists of the amortization of definite-lived intangibles purchased in business acquisitions.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319"/>
              <w:spacing w:after="0" w:line="155"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jc w:val="center"/>
              <w:ind w:right="33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214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1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gridSpan w:val="2"/>
          </w:tcPr>
          <w:p>
            <w:pPr>
              <w:jc w:val="right"/>
              <w:ind w:right="179"/>
              <w:spacing w:after="0"/>
              <w:rPr>
                <w:sz w:val="20"/>
                <w:szCs w:val="20"/>
                <w:color w:val="auto"/>
              </w:rPr>
            </w:pPr>
            <w:r>
              <w:rPr>
                <w:rFonts w:ascii="Arial" w:cs="Arial" w:eastAsia="Arial" w:hAnsi="Arial"/>
                <w:sz w:val="18"/>
                <w:szCs w:val="18"/>
                <w:color w:val="auto"/>
              </w:rPr>
              <w:t>2.1%</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bl>
    <w:p>
      <w:pPr>
        <w:spacing w:after="0" w:line="282"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 xml:space="preserve">Amortization of intangible assets increased $2 million during the year ended December 31, 2018 when compared to the same period in 2017, primarily due to incremental amortization from purchased definite-lived intangibles related to a business acquisition during 2018. Refer to “Note 3: </w:t>
      </w:r>
      <w:r>
        <w:rPr>
          <w:rFonts w:ascii="Arial" w:cs="Arial" w:eastAsia="Arial" w:hAnsi="Arial"/>
          <w:sz w:val="17"/>
          <w:szCs w:val="17"/>
          <w:i w:val="1"/>
          <w:iCs w:val="1"/>
          <w:color w:val="auto"/>
        </w:rPr>
        <w:t>Acquisitions and Other Investments</w:t>
      </w:r>
      <w:r>
        <w:rPr>
          <w:rFonts w:ascii="Arial" w:cs="Arial" w:eastAsia="Arial" w:hAnsi="Arial"/>
          <w:sz w:val="17"/>
          <w:szCs w:val="17"/>
          <w:color w:val="auto"/>
        </w:rPr>
        <w:t>” in the notes to our consolidated financial statements in Item 8 on this Annual Report on Form 10-K for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on our acquisitions. Amortization of intangible assets remained flat during the year ended December 31, 2017 when compared to the same period in 2016, as incremental amortization from purchased definite-lived intangibles related to business acquisitions in 2016 were offset due to the completion of amortization related to certain intangible assets from business acquisitions in prior periods.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49" w:name="page50"/>
    <w:bookmarkEnd w:id="49"/>
    <w:p>
      <w:pPr>
        <w:ind w:left="6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2015 Credit Facility, 2016 Credit Facility, and Chinese Credit Facilities, as well as interest on our financing obligation related to our corporate headquarters.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82"/>
              <w:spacing w:after="0" w:line="155"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20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88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bl>
    <w:p>
      <w:pPr>
        <w:spacing w:after="0" w:line="269" w:lineRule="exact"/>
        <w:rPr>
          <w:sz w:val="20"/>
          <w:szCs w:val="20"/>
          <w:color w:val="auto"/>
        </w:rPr>
      </w:pPr>
    </w:p>
    <w:p>
      <w:pPr>
        <w:jc w:val="both"/>
        <w:ind w:right="120" w:firstLine="598"/>
        <w:spacing w:after="0" w:line="286" w:lineRule="auto"/>
        <w:rPr>
          <w:sz w:val="20"/>
          <w:szCs w:val="20"/>
          <w:color w:val="auto"/>
        </w:rPr>
      </w:pPr>
      <w:r>
        <w:rPr>
          <w:rFonts w:ascii="Arial" w:cs="Arial" w:eastAsia="Arial" w:hAnsi="Arial"/>
          <w:sz w:val="16"/>
          <w:szCs w:val="16"/>
          <w:color w:val="auto"/>
        </w:rPr>
        <w:t xml:space="preserve">Interest expense decreased $3 million during the year ended December 31, 2018 when compared to the same period in 2017, primarily due to lower average outstanding borrowings on our 2015 Credit Facility during the year ended December 31, 2018. Interest expense increased $3 million during the year ended December 31, 2017 when compared to the same period in 2016, primarily due to an increase in interest incurred related to higher average outstanding borrowings and effective interest rates during the year ended December 31, 2017, primarily on our 2015 Credit Facility. Refer to “Note 10: </w:t>
      </w:r>
      <w:r>
        <w:rPr>
          <w:rFonts w:ascii="Arial" w:cs="Arial" w:eastAsia="Arial" w:hAnsi="Arial"/>
          <w:sz w:val="16"/>
          <w:szCs w:val="16"/>
          <w:i w:val="1"/>
          <w:iCs w:val="1"/>
          <w:color w:val="auto"/>
        </w:rPr>
        <w:t>Debt</w:t>
      </w:r>
      <w:r>
        <w:rPr>
          <w:rFonts w:ascii="Arial" w:cs="Arial" w:eastAsia="Arial" w:hAnsi="Arial"/>
          <w:sz w:val="16"/>
          <w:szCs w:val="16"/>
          <w:color w:val="auto"/>
        </w:rPr>
        <w:t>” and “Note</w:t>
      </w:r>
    </w:p>
    <w:p>
      <w:pPr>
        <w:spacing w:after="0" w:line="2" w:lineRule="exact"/>
        <w:rPr>
          <w:sz w:val="20"/>
          <w:szCs w:val="20"/>
          <w:color w:val="auto"/>
        </w:rPr>
      </w:pPr>
    </w:p>
    <w:p>
      <w:pPr>
        <w:ind w:right="460" w:firstLine="8"/>
        <w:spacing w:after="0" w:line="290" w:lineRule="auto"/>
        <w:tabs>
          <w:tab w:leader="none" w:pos="275"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in the notes to our consolidated financial statements in Item 8 on this Annual Report on Form 10-K for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on our borrowing facilities and our financing obligation related to our corporate headquarters building, respectively.</w:t>
      </w:r>
    </w:p>
    <w:p>
      <w:pPr>
        <w:spacing w:after="0" w:line="27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117" w:lineRule="exact"/>
        <w:rPr>
          <w:sz w:val="20"/>
          <w:szCs w:val="20"/>
          <w:color w:val="auto"/>
        </w:rPr>
      </w:pPr>
    </w:p>
    <w:p>
      <w:pPr>
        <w:ind w:right="60" w:firstLine="598"/>
        <w:spacing w:after="0" w:line="342" w:lineRule="auto"/>
        <w:rPr>
          <w:sz w:val="20"/>
          <w:szCs w:val="20"/>
          <w:color w:val="auto"/>
        </w:rPr>
      </w:pPr>
      <w:r>
        <w:rPr>
          <w:rFonts w:ascii="Arial" w:cs="Arial" w:eastAsia="Arial" w:hAnsi="Arial"/>
          <w:sz w:val="16"/>
          <w:szCs w:val="16"/>
          <w:color w:val="auto"/>
        </w:rPr>
        <w:t>Interest income and other, net primarily consists of interest earned from our money market funds and marketable securities, amortization of discounts and premiums on our marketable securities, net foreign exchange gains and losses, and gains and losses on sales of our marketable securities.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42"/>
              <w:spacing w:after="0" w:line="155"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6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244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bl>
    <w:p>
      <w:pPr>
        <w:spacing w:after="0" w:line="310"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Interest income and other, net increased $1 million during the year ended December 31, 2018 when compared to the same period in 2017, primarily due to an increase in interest income earned from our money market funds of $6 million and a loss of $2 million in 2017 related to our investment in a privately-held company which did not reoccur in 2018, partially offset by an increase of $7 million in net foreign currency transaction losses as a result of the fluctuation of foreign exchange rates. Interest income and other, net increased $4 million during the year ended December 31, 2017 when compared to the same period in 2016, primarily due to an increase of $6 million in net foreign currency transaction gains, as a result of the fluctuation of foreign exchange rates, partially offset by a loss of $2 million related to our investment in a privately-held company recognized during the year ended December 31, 2017, which did not occur in 2016.</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92"/>
              </w:rPr>
              <w:t>Year ended December 31,</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59"/>
              <w:spacing w:after="0" w:line="155" w:lineRule="exact"/>
              <w:rPr>
                <w:sz w:val="20"/>
                <w:szCs w:val="20"/>
                <w:color w:val="auto"/>
              </w:rPr>
            </w:pPr>
            <w:r>
              <w:rPr>
                <w:rFonts w:ascii="Arial" w:cs="Arial" w:eastAsia="Arial" w:hAnsi="Arial"/>
                <w:sz w:val="14"/>
                <w:szCs w:val="14"/>
                <w:b w:val="1"/>
                <w:bCs w:val="1"/>
                <w:color w:val="auto"/>
                <w:w w:val="96"/>
              </w:rPr>
              <w:t>2017</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r>
      <w:tr>
        <w:trPr>
          <w:trHeight w:val="155"/>
        </w:trPr>
        <w:tc>
          <w:tcPr>
            <w:tcW w:w="4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tcPr>
          <w:p>
            <w:pPr>
              <w:jc w:val="center"/>
              <w:ind w:right="35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18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9"/>
              <w:spacing w:after="0"/>
              <w:rPr>
                <w:sz w:val="20"/>
                <w:szCs w:val="20"/>
                <w:color w:val="auto"/>
              </w:rPr>
            </w:pPr>
            <w:r>
              <w:rPr>
                <w:rFonts w:ascii="Arial" w:cs="Arial" w:eastAsia="Arial" w:hAnsi="Arial"/>
                <w:sz w:val="18"/>
                <w:szCs w:val="18"/>
                <w:color w:val="auto"/>
              </w:rPr>
              <w:t>129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Effective income tax rate</w:t>
            </w:r>
          </w:p>
        </w:tc>
        <w:tc>
          <w:tcPr>
            <w:tcW w:w="2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117.3%</w:t>
            </w:r>
          </w:p>
        </w:tc>
        <w:tc>
          <w:tcPr>
            <w:tcW w:w="3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20.5%</w:t>
            </w:r>
          </w:p>
        </w:tc>
      </w:tr>
    </w:tbl>
    <w:p>
      <w:pPr>
        <w:spacing w:after="0" w:line="202"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color w:val="auto"/>
        </w:rPr>
        <w:t xml:space="preserve">On December 22, 2017, the 2017 Tax Act was signed into United States tax law. The legislation significantly changed U.S. tax law by, among other provisions, lowering corporate income tax rates, and imposing a repatriation tax on deemed repatriated earnings of foreign subsidiaries. The 2017 Tax Act permanently reduced the U.S. corporate income tax rate from 35% to 21%, effective January 1, 2018. Refer to “Note 11: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the notes to our consolidated financial statements in Item 8 for further information on the financial statement impact of the 2017 Tax Act.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right="20" w:firstLine="598"/>
        <w:spacing w:after="0" w:line="264" w:lineRule="auto"/>
        <w:rPr>
          <w:sz w:val="20"/>
          <w:szCs w:val="20"/>
          <w:color w:val="auto"/>
        </w:rPr>
      </w:pPr>
      <w:r>
        <w:rPr>
          <w:rFonts w:ascii="Arial" w:cs="Arial" w:eastAsia="Arial" w:hAnsi="Arial"/>
          <w:sz w:val="18"/>
          <w:szCs w:val="18"/>
          <w:color w:val="auto"/>
        </w:rPr>
        <w:t>Our effective income tax rate is higher than the federal statutory rate in the United States primarily due to foreign valuation allowances, unrecognized tax benefits, and non-deductible stock based compensation. This is partially offset by international provisions from the 2017 Tax Act, and earnings in jurisdictions outside the United States, where our effective income tax rate is lower.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u w:val="single" w:color="auto"/>
          <w:color w:val="auto"/>
        </w:rPr>
        <w:t>2018 vs. 2017</w:t>
      </w:r>
    </w:p>
    <w:p>
      <w:pPr>
        <w:spacing w:after="0" w:line="144"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Our effective income tax rate decreased to 34.7% during the year ended December 31, 2018 from 117.3% in the same period in 2017. The decrease in the effective tax rate for the year ended December 31, 2018 when compared to the same period in 2017, was primarily due to the Transition Tax and remeasurement of our deferred tax assets and liabilities as a result of the 2017 Tax Act recorded in 2017 and which did not reoccur in 2018, as well as the decrease in the U.S. corporate tax rate.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u w:val="single" w:color="auto"/>
          <w:color w:val="auto"/>
        </w:rPr>
        <w:t>2017 vs. 2016</w:t>
      </w:r>
    </w:p>
    <w:p>
      <w:pPr>
        <w:spacing w:after="0" w:line="158"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Our effective income tax rate increased to 117.3% during the year ended December 31, 2017 from 20.5% in the same period in 2016. The change in the effective income tax rate for 2017 compared to the 2016 rate was primarily due to the Transition Tax and remeasurement of our deferred tax assets and liabilities as a result of the 2017 Tax Act, foreign valuation allowances, and non-deductible stock based compensation. We recorded an estimate of $67 million of Transition Tax, and $6 million due to a remeasurement of our net deferred tax assets, during the year ended December 31, 2017, which reflected provisional amounts for those specific income tax effects of the 2017 Tax Act, which did not occur in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generally accepted accounting principles in the United States (“GAAP”) in such company’s financial statements.</w:t>
      </w:r>
    </w:p>
    <w:p>
      <w:pPr>
        <w:spacing w:after="0" w:line="171" w:lineRule="exact"/>
        <w:rPr>
          <w:sz w:val="20"/>
          <w:szCs w:val="20"/>
          <w:color w:val="auto"/>
        </w:rPr>
      </w:pPr>
    </w:p>
    <w:p>
      <w:pPr>
        <w:ind w:right="100" w:firstLine="598"/>
        <w:spacing w:after="0" w:line="285" w:lineRule="auto"/>
        <w:rPr>
          <w:sz w:val="20"/>
          <w:szCs w:val="20"/>
          <w:color w:val="auto"/>
        </w:rPr>
      </w:pPr>
      <w:r>
        <w:rPr>
          <w:rFonts w:ascii="Arial" w:cs="Arial" w:eastAsia="Arial" w:hAnsi="Arial"/>
          <w:sz w:val="16"/>
          <w:szCs w:val="16"/>
          <w:color w:val="auto"/>
        </w:rPr>
        <w:t>Adjusted EBITDA is also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firstLine="8"/>
        <w:spacing w:after="0" w:line="252"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(7) legal reserves and settlements; and (8) other non-recurring expenses and income. During the fourth quarter of 2018, the Company revised its Adjusted EBITDA definition to exclude legal reserves and settlements, as the Company believes these costs are not directly tied to the core operations of our business. The Company believes that excluding these amounts better enables management and investors to compare financial results between periods as these costs may vary independent of business performance. This revision to our definition did not have a material impact to Adjusted EBITDA for any period prior to the year ended December 31, 2018; therefore, no reclassifications have been made to conform the prior periods to the current period presentation. This revision had no effect on GAAP results in any period.</w:t>
      </w:r>
    </w:p>
    <w:p>
      <w:pPr>
        <w:spacing w:after="0" w:line="193" w:lineRule="exact"/>
        <w:rPr>
          <w:sz w:val="20"/>
          <w:szCs w:val="20"/>
          <w:color w:val="auto"/>
        </w:rPr>
      </w:pPr>
    </w:p>
    <w:p>
      <w:pPr>
        <w:ind w:right="340" w:firstLine="598"/>
        <w:spacing w:after="0" w:line="264"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1180" w:hanging="429"/>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180" w:hanging="429"/>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180" w:hanging="429"/>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40" w:lineRule="exact"/>
        <w:rPr>
          <w:rFonts w:ascii="Arial" w:cs="Arial" w:eastAsia="Arial" w:hAnsi="Arial"/>
          <w:sz w:val="16"/>
          <w:szCs w:val="16"/>
          <w:color w:val="auto"/>
        </w:rPr>
      </w:pPr>
    </w:p>
    <w:p>
      <w:pPr>
        <w:ind w:left="1180" w:hanging="429"/>
        <w:spacing w:after="0"/>
        <w:tabs>
          <w:tab w:leader="none" w:pos="1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Adjusted EBITDA does not consider the potentially dilutive impact of stock-based compensation or other stock-settled obligations;</w:t>
      </w:r>
    </w:p>
    <w:p>
      <w:pPr>
        <w:spacing w:after="0" w:line="128" w:lineRule="exact"/>
        <w:rPr>
          <w:rFonts w:ascii="Arial" w:cs="Arial" w:eastAsia="Arial" w:hAnsi="Arial"/>
          <w:sz w:val="17"/>
          <w:szCs w:val="17"/>
          <w:color w:val="auto"/>
        </w:rPr>
      </w:pPr>
    </w:p>
    <w:p>
      <w:pPr>
        <w:ind w:left="1180" w:right="240" w:hanging="429"/>
        <w:spacing w:after="0" w:line="264"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180" w:hanging="429"/>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core operations of our business, such as legal reserves and settlements;</w:t>
      </w:r>
    </w:p>
    <w:p>
      <w:pPr>
        <w:spacing w:after="0" w:line="62" w:lineRule="exact"/>
        <w:rPr>
          <w:rFonts w:ascii="Arial" w:cs="Arial" w:eastAsia="Arial" w:hAnsi="Arial"/>
          <w:sz w:val="18"/>
          <w:szCs w:val="18"/>
          <w:color w:val="auto"/>
        </w:rPr>
      </w:pPr>
    </w:p>
    <w:p>
      <w:pPr>
        <w:ind w:left="1180" w:hanging="429"/>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180" w:right="120" w:hanging="429"/>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and presented in accordance with GAAP, for the periods presented:</w:t>
      </w:r>
    </w:p>
    <w:p>
      <w:pPr>
        <w:spacing w:after="0" w:line="3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2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14"/>
              <w:spacing w:after="0" w:line="155"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4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460" w:type="dxa"/>
            <w:vAlign w:val="bottom"/>
            <w:gridSpan w:val="2"/>
            <w:shd w:val="clear" w:color="auto" w:fill="CFF0FC"/>
          </w:tcPr>
          <w:p>
            <w:pPr>
              <w:jc w:val="right"/>
              <w:ind w:right="667"/>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w:t>
            </w:r>
          </w:p>
        </w:tc>
        <w:tc>
          <w:tcPr>
            <w:tcW w:w="4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(19)</w:t>
            </w: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Add: Provision for income taxes</w:t>
            </w:r>
          </w:p>
        </w:tc>
        <w:tc>
          <w:tcPr>
            <w:tcW w:w="1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Add: Other expense (income), net</w:t>
            </w:r>
          </w:p>
        </w:tc>
        <w:tc>
          <w:tcPr>
            <w:tcW w:w="1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Add: Stock-based compensation</w:t>
            </w:r>
          </w:p>
        </w:tc>
        <w:tc>
          <w:tcPr>
            <w:tcW w:w="1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Add: Legal reserves and settlements</w:t>
            </w:r>
          </w:p>
        </w:tc>
        <w:tc>
          <w:tcPr>
            <w:tcW w:w="1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Add: Amortization of intangible assets</w:t>
            </w:r>
          </w:p>
        </w:tc>
        <w:tc>
          <w:tcPr>
            <w:tcW w:w="1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Add: Depreciation</w:t>
            </w:r>
          </w:p>
        </w:tc>
        <w:tc>
          <w:tcPr>
            <w:tcW w:w="164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FF0FC"/>
          </w:tcPr>
          <w:p>
            <w:pPr>
              <w:spacing w:after="0"/>
              <w:rPr>
                <w:sz w:val="19"/>
                <w:szCs w:val="19"/>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Adjusted EBITDA</w:t>
            </w:r>
          </w:p>
        </w:tc>
        <w:tc>
          <w:tcPr>
            <w:tcW w:w="1640" w:type="dxa"/>
            <w:vAlign w:val="bottom"/>
          </w:tcPr>
          <w:p>
            <w:pPr>
              <w:spacing w:after="0"/>
              <w:rPr>
                <w:sz w:val="19"/>
                <w:szCs w:val="19"/>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598"/>
        <w:spacing w:after="0" w:line="270" w:lineRule="auto"/>
        <w:rPr>
          <w:sz w:val="20"/>
          <w:szCs w:val="20"/>
          <w:color w:val="auto"/>
        </w:rPr>
      </w:pPr>
      <w:r>
        <w:rPr>
          <w:rFonts w:ascii="Arial" w:cs="Arial" w:eastAsia="Arial" w:hAnsi="Arial"/>
          <w:sz w:val="17"/>
          <w:szCs w:val="17"/>
          <w:color w:val="auto"/>
        </w:rPr>
        <w:t>Our principal source of liquidity is cash flows generated from operations, although liquidity needs can also be met through drawdowns under our credit facilities. As of December 31, 2018 and 2017, we had $670 million and $735 million, respectively, of cash, cash equivalents and short and long-term available-for-sale marketable debt securities. As of December 31, 2018 approximately $237 million of our cash and cash equivalents, and $15 million of short-term available-for-sale marketable debt securities, were held by our international subsidiaries outside of the United States, with the majority in the United Kingdom</w:t>
      </w:r>
      <w:r>
        <w:rPr>
          <w:rFonts w:ascii="Arial" w:cs="Arial" w:eastAsia="Arial" w:hAnsi="Arial"/>
          <w:sz w:val="13"/>
          <w:szCs w:val="13"/>
          <w:color w:val="auto"/>
        </w:rPr>
        <w:t>.</w:t>
      </w:r>
      <w:r>
        <w:rPr>
          <w:rFonts w:ascii="Arial" w:cs="Arial" w:eastAsia="Arial" w:hAnsi="Arial"/>
          <w:sz w:val="17"/>
          <w:szCs w:val="17"/>
          <w:color w:val="auto"/>
        </w:rPr>
        <w:t xml:space="preserve"> As of December 31, 2018 the significant majority of total cash on hand is denominated in U.S. dollars. Cumulative undistributed earnings of foreign subsidiaries totaled approximately $651 million as of December 31, 2018. During the year ended December 31, 2018, we made a one-time repatriation of $325 million of foreign earnings to the United States primarily to repay our remaining outstanding debt under the 2015 Credit Facility. We intend to indefinitely reinvest the remaining foreign undistributed earnings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U.S.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income taxes or tax benefits. The amount of any unrecognized deferred income tax on this temporary difference is not material.</w:t>
      </w:r>
    </w:p>
    <w:p>
      <w:pPr>
        <w:spacing w:after="0" w:line="225" w:lineRule="exact"/>
        <w:rPr>
          <w:sz w:val="20"/>
          <w:szCs w:val="20"/>
          <w:color w:val="auto"/>
        </w:rPr>
      </w:pPr>
    </w:p>
    <w:p>
      <w:pPr>
        <w:jc w:val="both"/>
        <w:ind w:right="60" w:firstLine="598"/>
        <w:spacing w:after="0" w:line="312" w:lineRule="auto"/>
        <w:rPr>
          <w:sz w:val="20"/>
          <w:szCs w:val="20"/>
          <w:color w:val="auto"/>
        </w:rPr>
      </w:pPr>
      <w:r>
        <w:rPr>
          <w:rFonts w:ascii="Arial" w:cs="Arial" w:eastAsia="Arial" w:hAnsi="Arial"/>
          <w:sz w:val="16"/>
          <w:szCs w:val="16"/>
          <w:color w:val="auto"/>
        </w:rPr>
        <w:t xml:space="preserve">As of December 31, 2018, we had no outstanding borrowings and approximately $1.2 billion of borrowing capacity available under our 2015 Credit Facility and approximately $40 million of borrowing capacity available under our Chinese Credit Facilities. For further discussion on our credit facilities, see below, and also refer to “Note 10: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consolidated financial statements in Item 8 on this Annual Report on Form 10-K.</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2015 Credit Facility</w:t>
      </w:r>
    </w:p>
    <w:p>
      <w:pPr>
        <w:spacing w:after="0" w:line="225"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In June 2015, we entered into a five year credit agreement with a group of lenders which, among other things, provided for a $1 billion unsecured revolving credit facility (the “2015 Credit Facility”). In May 2017, the 2015 Credit Facility was amended to, among other things, (i) increase the aggregate amount of revolving loan commitments available from $1.0 billion to $1.2 billion; and (ii) extend the maturity date of the 2015 Credit Facility from June 26, 2020 to May 12, 2022 (the “First Amendment”).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 The Company may borrow from the 2015 Credit Facility in U.S. dollars, Euros and British pound.</w:t>
      </w:r>
    </w:p>
    <w:p>
      <w:pPr>
        <w:spacing w:after="0" w:line="178" w:lineRule="exact"/>
        <w:rPr>
          <w:sz w:val="20"/>
          <w:szCs w:val="20"/>
          <w:color w:val="auto"/>
        </w:rPr>
      </w:pPr>
    </w:p>
    <w:p>
      <w:pPr>
        <w:ind w:firstLine="631"/>
        <w:spacing w:after="0" w:line="276" w:lineRule="auto"/>
        <w:rPr>
          <w:sz w:val="20"/>
          <w:szCs w:val="20"/>
          <w:color w:val="auto"/>
        </w:rPr>
      </w:pPr>
      <w:r>
        <w:rPr>
          <w:rFonts w:ascii="Arial" w:cs="Arial" w:eastAsia="Arial" w:hAnsi="Arial"/>
          <w:sz w:val="17"/>
          <w:szCs w:val="17"/>
          <w:color w:val="auto"/>
        </w:rPr>
        <w:t>As of December 31, 2018, we had no outstanding borrowings and approximately $1.2 billion of borrowing capacity available under our 2015 Credit Facility. We are required to pay a quarterly commitment fee, at an applicable rate ranging from 0.15% to 0.30%, on the daily unused portion of the revolving credit facility for each fiscal quarter and additional fees in connection with the issuance of letters of credit. As of December 31, 2018, our unused revolver capacity was subject to a commitment fee of 0.15%, given the Company’s leverage ratio. The 2015 Credit Facility includes $15 million of borrowing capacity available for letters of credit and $40 million for Swingline borrowings on same-day notice.</w:t>
      </w:r>
    </w:p>
    <w:p>
      <w:pPr>
        <w:spacing w:after="0" w:line="173" w:lineRule="exact"/>
        <w:rPr>
          <w:sz w:val="20"/>
          <w:szCs w:val="20"/>
          <w:color w:val="auto"/>
        </w:rPr>
      </w:pPr>
    </w:p>
    <w:p>
      <w:pPr>
        <w:ind w:right="60" w:firstLine="631"/>
        <w:spacing w:after="0" w:line="272" w:lineRule="auto"/>
        <w:rPr>
          <w:sz w:val="20"/>
          <w:szCs w:val="20"/>
          <w:color w:val="auto"/>
        </w:rPr>
      </w:pPr>
      <w:r>
        <w:rPr>
          <w:rFonts w:ascii="Arial" w:cs="Arial" w:eastAsia="Arial" w:hAnsi="Arial"/>
          <w:sz w:val="17"/>
          <w:szCs w:val="17"/>
          <w:color w:val="auto"/>
        </w:rPr>
        <w:t>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December 31, 2018 and December 31, 2017, we were in compliance with all of our debt covenants.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2016 Credit Facility</w:t>
      </w:r>
    </w:p>
    <w:p>
      <w:pPr>
        <w:spacing w:after="0" w:line="225" w:lineRule="exact"/>
        <w:rPr>
          <w:sz w:val="20"/>
          <w:szCs w:val="20"/>
          <w:color w:val="auto"/>
        </w:rPr>
      </w:pPr>
    </w:p>
    <w:p>
      <w:pPr>
        <w:ind w:right="60" w:firstLine="877"/>
        <w:spacing w:after="0" w:line="257" w:lineRule="auto"/>
        <w:rPr>
          <w:sz w:val="20"/>
          <w:szCs w:val="20"/>
          <w:color w:val="auto"/>
        </w:rPr>
      </w:pPr>
      <w:r>
        <w:rPr>
          <w:rFonts w:ascii="Arial" w:cs="Arial" w:eastAsia="Arial" w:hAnsi="Arial"/>
          <w:sz w:val="18"/>
          <w:szCs w:val="18"/>
          <w:color w:val="auto"/>
        </w:rPr>
        <w:t>We were party to an uncommitted facility agreement which provided for a $73 million unsecured revolving credit facility (the “2016 Credit Facility”) with no specific expiration date. We initially borrowed $73 million from this uncommitted credit facility in 2016 and repaid the full amount during the year ended December 31, 2017. These funds were used for general working capital needs of the Company, primarily for partial repayment of our 2015 Credit Facility. In June 2018, the Company terminated the 2016 Credit Facility and had no outstanding borrowings under the 2016 Credit Facility at the time of termination.</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Chinese Credit Facilities</w:t>
      </w:r>
    </w:p>
    <w:p>
      <w:pPr>
        <w:spacing w:after="0" w:line="225"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We are parties to a $30 million, one-year revolving credit facility with Bank of America (the “Chinese Credit Facility—BOA”) that is currently subject to review on a periodic basis with no specific expiration period.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jc w:val="both"/>
        <w:ind w:right="660"/>
        <w:spacing w:after="0" w:line="264" w:lineRule="auto"/>
        <w:rPr>
          <w:sz w:val="20"/>
          <w:szCs w:val="20"/>
          <w:color w:val="auto"/>
        </w:rPr>
      </w:pPr>
      <w:r>
        <w:rPr>
          <w:rFonts w:ascii="Arial" w:cs="Arial" w:eastAsia="Arial" w:hAnsi="Arial"/>
          <w:sz w:val="18"/>
          <w:szCs w:val="18"/>
          <w:color w:val="auto"/>
        </w:rPr>
        <w:t>Borrowings under our Chinese Credit Facility—BOA generally bears interest at a rate based on People’s Bank of China benchmark, including certain adjustments which may be made in accordance with market conditions at the time of borrowing. As of December 31, 2018 there were no outstanding borrowings under our Chinese Credit Facility—BOA.</w:t>
      </w:r>
    </w:p>
    <w:p>
      <w:pPr>
        <w:spacing w:after="0" w:line="181" w:lineRule="exact"/>
        <w:rPr>
          <w:sz w:val="20"/>
          <w:szCs w:val="20"/>
          <w:color w:val="auto"/>
        </w:rPr>
      </w:pPr>
    </w:p>
    <w:p>
      <w:pPr>
        <w:ind w:right="240" w:firstLine="638"/>
        <w:spacing w:after="0" w:line="259" w:lineRule="auto"/>
        <w:rPr>
          <w:sz w:val="20"/>
          <w:szCs w:val="20"/>
          <w:color w:val="auto"/>
        </w:rPr>
      </w:pPr>
      <w:r>
        <w:rPr>
          <w:rFonts w:ascii="Arial" w:cs="Arial" w:eastAsia="Arial" w:hAnsi="Arial"/>
          <w:sz w:val="18"/>
          <w:szCs w:val="18"/>
          <w:color w:val="auto"/>
        </w:rPr>
        <w:t>We are also parties to a RMB 70,000,000 (approximately $10 million), one-year revolving credit facility with J.P. Morgan Chase Bank (“Chinese Credit Facility—JPM”). Our Chinese Credit Facility—JPM generally bears interest at a rate based on People’s Bank of China benchmark, including certain adjustments which may be made in accordance with market conditions at the time of borrowing. As of December 31, 2018, there were no outstanding borrowings under our Chinese Credit Facility—JPM.</w:t>
      </w:r>
    </w:p>
    <w:p>
      <w:pPr>
        <w:spacing w:after="0" w:line="187"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On February 15, 2013, our Board of Directors authorized the repurchase of $250 million of our shares of common stock under a share repurchase program. During the year ended December 31, 2016, we repurchased 2,002,356 shares of the Company’s outstanding common stock under this share repurchase program at an aggregate cost of $105 million, and completed this share repurchase program. On January 25, 2017, our Board of Directors authorized the repurchase of $250 million of our shares of common stock under another share repurchase program. During the year ended December 31, 2017, we repurchased a total of 6,079,003 shares of the Company’s outstanding common stock at an aggregate cost of $250 million, and completed this share repurchase program.</w:t>
      </w:r>
    </w:p>
    <w:p>
      <w:pPr>
        <w:spacing w:after="0" w:line="85" w:lineRule="exact"/>
        <w:rPr>
          <w:sz w:val="20"/>
          <w:szCs w:val="20"/>
          <w:color w:val="auto"/>
        </w:rPr>
      </w:pPr>
    </w:p>
    <w:p>
      <w:pPr>
        <w:jc w:val="both"/>
        <w:ind w:right="20" w:firstLine="598"/>
        <w:spacing w:after="0" w:line="302" w:lineRule="auto"/>
        <w:rPr>
          <w:sz w:val="20"/>
          <w:szCs w:val="20"/>
          <w:color w:val="auto"/>
        </w:rPr>
      </w:pPr>
      <w:r>
        <w:rPr>
          <w:rFonts w:ascii="Arial" w:cs="Arial" w:eastAsia="Arial" w:hAnsi="Arial"/>
          <w:sz w:val="16"/>
          <w:szCs w:val="16"/>
          <w:color w:val="auto"/>
        </w:rPr>
        <w:t>On January 31, 2018, our Board of Directors authorized an additional repurchase of up to $250 million of our shares of common stock under a share repurchase program. This share repurchase program has no expiration date but may be suspended or terminated by the Board of Directors at any time. During the year ended December 31, 2018, we repurchased 2,582,198 shares of the Company’s outstanding common stock at an aggregate cost of $100 million. As of December 31, 2018, we had a remaining $150 million available to repurchase shares of our common stock under this share repurchase program.</w:t>
      </w:r>
    </w:p>
    <w:p>
      <w:pPr>
        <w:spacing w:after="0" w:line="154"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Our business experiences seasonal fluctuations that affect the timing of our annual cash flows related to working capital. In our Rentals free-to-list model and our Experiences offerings, we receive cash from travelers at the time of booking and we record these amounts, net of commissions, on our consolidated balance sheets as deferred merchant payables. We pay the suppliers, or the property rental owners and experience providers, after the travelers’ use. Therefore, we receive cash from the traveler prior to paying the supplier and this operating cycle represents a working capital source or use of cash to us. During the first half of the year Rentals and Experiences bookings typically exceed the amount of completed stays and tour-taking, resulting in higher cash flow related to working capital, while during the second half of the year, particularly in the third quarter, this pattern reverses and cash flows from these transactions are typically negative. While we expect the impact of seasonal fluctuations to continue, further significant shifts in our business mix or adverse economic conditions could result in future seasonal patterns that are different from historical trends.</w:t>
      </w:r>
    </w:p>
    <w:p>
      <w:pPr>
        <w:spacing w:after="0" w:line="179"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believe that our available cash, cash equivalents and marketable securities, combined with expected cash flows generated by operating activities and available borrowings from our credit facilities,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share repurchases, and/or other expenditures in support of our business strategy, thus may potentially reduce our cash balance and/or increase our debt.</w:t>
      </w:r>
    </w:p>
    <w:p>
      <w:pPr>
        <w:spacing w:after="0" w:line="188" w:lineRule="exact"/>
        <w:rPr>
          <w:sz w:val="20"/>
          <w:szCs w:val="20"/>
          <w:color w:val="auto"/>
        </w:rPr>
      </w:pPr>
    </w:p>
    <w:p>
      <w:pPr>
        <w:ind w:right="320" w:firstLine="598"/>
        <w:spacing w:after="0" w:line="258" w:lineRule="auto"/>
        <w:rPr>
          <w:sz w:val="20"/>
          <w:szCs w:val="20"/>
          <w:color w:val="auto"/>
        </w:rPr>
      </w:pPr>
      <w:r>
        <w:rPr>
          <w:rFonts w:ascii="Arial" w:cs="Arial" w:eastAsia="Arial" w:hAnsi="Arial"/>
          <w:sz w:val="18"/>
          <w:szCs w:val="18"/>
          <w:color w:val="auto"/>
        </w:rPr>
        <w:t>Our cash flows from operating, investing and financing activities, as reflected in our consolidated statements of cash flows, are summarized in the following table: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97"/>
              <w:spacing w:after="0" w:line="155"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center"/>
              <w:ind w:right="29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22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238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2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2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gridSpan w:val="2"/>
          </w:tcPr>
          <w:p>
            <w:pPr>
              <w:jc w:val="right"/>
              <w:ind w:right="259"/>
              <w:spacing w:after="0"/>
              <w:rPr>
                <w:sz w:val="20"/>
                <w:szCs w:val="20"/>
                <w:color w:val="auto"/>
              </w:rPr>
            </w:pPr>
            <w:r>
              <w:rPr>
                <w:rFonts w:ascii="Arial" w:cs="Arial" w:eastAsia="Arial" w:hAnsi="Arial"/>
                <w:sz w:val="18"/>
                <w:szCs w:val="18"/>
                <w:color w:val="auto"/>
              </w:rPr>
              <w:t>(358)</w:t>
            </w: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580" w:type="dxa"/>
            <w:vAlign w:val="bottom"/>
          </w:tcPr>
          <w:p>
            <w:pPr>
              <w:spacing w:after="0"/>
              <w:rPr>
                <w:sz w:val="20"/>
                <w:szCs w:val="20"/>
                <w:color w:val="auto"/>
              </w:rPr>
            </w:pPr>
          </w:p>
        </w:tc>
      </w:tr>
      <w:tr>
        <w:trPr>
          <w:trHeight w:val="674"/>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20" w:type="dxa"/>
            <w:vAlign w:val="bottom"/>
          </w:tcPr>
          <w:p>
            <w:pPr>
              <w:jc w:val="right"/>
              <w:ind w:right="770"/>
              <w:spacing w:after="0"/>
              <w:rPr>
                <w:sz w:val="20"/>
                <w:szCs w:val="20"/>
                <w:color w:val="auto"/>
              </w:rPr>
            </w:pPr>
            <w:r>
              <w:rPr>
                <w:rFonts w:ascii="Arial" w:cs="Arial" w:eastAsia="Arial" w:hAnsi="Arial"/>
                <w:sz w:val="18"/>
                <w:szCs w:val="18"/>
                <w:color w:val="auto"/>
              </w:rPr>
              <w:t>52</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4" w:name="page55"/>
    <w:bookmarkEnd w:id="54"/>
    <w:p>
      <w:pPr>
        <w:ind w:right="140" w:firstLine="598"/>
        <w:spacing w:after="0" w:line="293" w:lineRule="auto"/>
        <w:rPr>
          <w:sz w:val="20"/>
          <w:szCs w:val="20"/>
          <w:color w:val="auto"/>
        </w:rPr>
      </w:pPr>
      <w:r>
        <w:rPr>
          <w:rFonts w:ascii="Arial" w:cs="Arial" w:eastAsia="Arial" w:hAnsi="Arial"/>
          <w:sz w:val="16"/>
          <w:szCs w:val="16"/>
          <w:color w:val="auto"/>
        </w:rPr>
        <w:t>During the year ended December 31, 2018, our primary use of cash was in operations, financing activities, including the repayment of combined outstanding borrowings under the 2015 Credit Facility and Chinese Credit Facilities of $245 million, repurchases of our outstanding common stock at an aggregate cost of $100 million under our existing share repurchase program, and investing activities, including capital expenditures incurred during the year of $61 million and business acquisitions and other investing activities of $36 million. This use of cash was funded primarily with cash on hand and cash equivalents, which included a one-time cash repatriation $325 million of foreign earnings to the United States, cash provided by operations, and investing activities, including net cash generated of $48 million from purchases, sales and maturities of marketable securities.</w:t>
      </w:r>
    </w:p>
    <w:p>
      <w:pPr>
        <w:spacing w:after="0" w:line="165"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During the year ended December 31, 2017, our primary use of cash was in operations, financing activities, including the repayment of borrowings under the 2015 Credit Facility of $296 million, repurchases of our outstanding common stock at an aggregate cost of $250 million under a share repurchase program, repayment of outstanding borrowings under the 2016 Credit Facility of $73 million, and investing activities, including capital expenditures incurred during the year of $64 million. This use of cash was funded primarily with cash on hand and cash equivalents, cash provided by operations, financing activities, including additional net borrowings of $433 million under the 2015 Credit Facility, and investing activities, including net cash generated of $70 million from purchases, sales and maturities of marketable securities.</w:t>
      </w:r>
    </w:p>
    <w:p>
      <w:pPr>
        <w:spacing w:after="0" w:line="193"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During the year ended December 31, 2016, our primary use of cash was in operations, and financing activities, including the repayment of borrowings under our 2015 Credit Facility of $210 million, repurchases of our outstanding common stock at an aggregate cost of $105 million under a share repurchase program, and investing activities, including capital expenditures incurred during the year of $72 million and net cash used of a $50 million in purchases, sales and maturities of marketable securities, and business acquisitions and other investments of $43 million. This use of cash was funded primarily with cash on hand and cash equivalents, cash provided by operations, and financing activities, including additional borrowings of $101 million under the 2015 Credit Facility and $73 million under the 2016 Credit Facility.</w:t>
      </w:r>
    </w:p>
    <w:p>
      <w:pPr>
        <w:spacing w:after="0" w:line="178"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For the year ended December 31, 2018, net cash provided by operating activities increased by $167 million or 70% when compared to the same period in 2017, primarily due to an increase in net income of $132 million and an increase in net working capital movements of $35 million, primarily due to the timing of collection of customer receivables, vendor payments, and income tax payments. For the year ended December 31, 2017, net cash provided by operating activities decreased by $83 million or 26% when compared to the same period in 2016, primarily due to a decrease in net income of $139 million and a decrease in net working capital movements of $14 million, partially offset by an increase in non-cash items affecting cash flow of $70 million which is primarily due to an increase in the following items: deferred tax expenses; stock-based compensation; and depreciation. The decrease in working capital movements of $14 million was primarily due to the timing of collection of customer receivables, vendor payments, income tax payments, and deferred merchant payments.</w:t>
      </w:r>
    </w:p>
    <w:p>
      <w:pPr>
        <w:spacing w:after="0" w:line="192"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For the year ended December 31, 2018, net cash provided by investing activities decreased by $55 million when compared to the same period in 2017, primarily due to a decrease in net cash generated from the purchases, sales and maturities of our marketable securities of $22 million, and an increase in cash paid for business acquisitions and other investing activities of $36 million during year ended December 31, 2018. For the year ended December 31, 2017, net cash provided by investing activities increased by $169 million when compared to the same period in 2016, primarily due to an increase in net cash provided from the purchases, sales and maturities of our marketable securities of $120 million, a decrease in cash paid for business acquisitions and other investments of $43 million, and a decrease in capital expenditures of $8 million.</w:t>
      </w:r>
    </w:p>
    <w:p>
      <w:pPr>
        <w:spacing w:after="0" w:line="178"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For the year ended December 31, 2018, net cash used in financing activities increased by $158 million when compared to the same period in 2017, primarily due to a net repayment on our 2015 Credit Facility of $230 million during the year ended December 31, 2018, compared to a net borrowing of $137 million during the year ended December 31, 2017, partially offset by a decrease of $150 million in cash used to purchase shares of our common stock under our share repurchase programs in 2018, as discussed above, as well as the repayment of our 2016 Credit Facility borrowings of $73 million during the year ended December 31, 2017, which did not reoccur in 2018. For the year ended December 31, 2017, net cash used in financing activities increased by $57 million when compared to the same period in 2016, primarily due to an increase of $145 million in cash used in 2017 to purchase shares of our common stock under our share repurchase programs in 2017, as discussed above, as well as a net new borrowing 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5" w:name="page56"/>
    <w:bookmarkEnd w:id="55"/>
    <w:p>
      <w:pPr>
        <w:ind w:right="400"/>
        <w:spacing w:after="0" w:line="277" w:lineRule="auto"/>
        <w:rPr>
          <w:sz w:val="20"/>
          <w:szCs w:val="20"/>
          <w:color w:val="auto"/>
        </w:rPr>
      </w:pPr>
      <w:r>
        <w:rPr>
          <w:rFonts w:ascii="Arial" w:cs="Arial" w:eastAsia="Arial" w:hAnsi="Arial"/>
          <w:sz w:val="18"/>
          <w:szCs w:val="18"/>
          <w:color w:val="auto"/>
        </w:rPr>
        <w:t>our 2016 Credit Facility of $73 million in 2016 which was subsequently repaid in 2017, partially offset by an increase in net borrowings under our 2015 Credit Facility of $246 million for the year ended December 31, 2017 when compared to the same period in 2016.</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material contractual obligations and commercial commitments as of December 31,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95"/>
              <w:spacing w:after="0" w:line="133"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1 to 3 years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to 5 years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Property leases, net of sublease income (1)</w:t>
            </w:r>
          </w:p>
        </w:tc>
        <w:tc>
          <w:tcPr>
            <w:tcW w:w="680" w:type="dxa"/>
            <w:vAlign w:val="bottom"/>
            <w:gridSpan w:val="2"/>
          </w:tcPr>
          <w:p>
            <w:pPr>
              <w:jc w:val="right"/>
              <w:ind w:right="43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2017 Tax Act - Transition tax liability</w:t>
            </w:r>
          </w:p>
        </w:tc>
        <w:tc>
          <w:tcPr>
            <w:tcW w:w="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w w:val="92"/>
              </w:rPr>
              <w:t>Expected commitment fee payments on 2015 Credit Facility (2)</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 and other (3)</w:t>
            </w:r>
          </w:p>
        </w:tc>
        <w:tc>
          <w:tcPr>
            <w:tcW w:w="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Total (4),(5)</w:t>
            </w:r>
          </w:p>
        </w:tc>
        <w:tc>
          <w:tcPr>
            <w:tcW w:w="60" w:type="dxa"/>
            <w:vAlign w:val="bottom"/>
          </w:tcPr>
          <w:p>
            <w:pPr>
              <w:spacing w:after="0"/>
              <w:rPr>
                <w:sz w:val="19"/>
                <w:szCs w:val="19"/>
                <w:color w:val="auto"/>
              </w:rPr>
            </w:pP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249</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right="300" w:hanging="592"/>
        <w:spacing w:after="0" w:line="258"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Estimated future minimum rental payments under operating leases with non-cancelable lease terms, including our corporate headquarters lease in Needham, MA. Refer to “Office Lease Commitments” discussion below.</w:t>
      </w:r>
    </w:p>
    <w:p>
      <w:pPr>
        <w:spacing w:after="0" w:line="1" w:lineRule="exact"/>
        <w:rPr>
          <w:rFonts w:ascii="Arial" w:cs="Arial" w:eastAsia="Arial" w:hAnsi="Arial"/>
          <w:sz w:val="18"/>
          <w:szCs w:val="18"/>
          <w:color w:val="auto"/>
        </w:rPr>
      </w:pPr>
    </w:p>
    <w:p>
      <w:pPr>
        <w:ind w:left="600" w:right="500" w:hanging="592"/>
        <w:spacing w:after="0" w:line="265"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Expected commitment fee payments are based on the daily unused portion of the 2015 Credit Facility, issued letters of credit, and the effective commitment fee rate as of December 31, 2018; however, these variables could change significantly in the future.</w:t>
      </w:r>
    </w:p>
    <w:p>
      <w:pPr>
        <w:ind w:left="600" w:right="420" w:hanging="592"/>
        <w:spacing w:after="0" w:line="250"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Estimated purchase obligations that are fixed and determinable are primarily related to telecommunication and licensing contracts, with various expiration dates through approximately December 2024. These contracts have non-cancelable terms or are cancelable only upon payment of significant penalty.</w:t>
      </w:r>
    </w:p>
    <w:p>
      <w:pPr>
        <w:spacing w:after="0" w:line="1" w:lineRule="exact"/>
        <w:rPr>
          <w:rFonts w:ascii="Arial" w:cs="Arial" w:eastAsia="Arial" w:hAnsi="Arial"/>
          <w:sz w:val="18"/>
          <w:szCs w:val="18"/>
          <w:color w:val="auto"/>
        </w:rPr>
      </w:pPr>
    </w:p>
    <w:p>
      <w:pPr>
        <w:ind w:left="600" w:right="280" w:hanging="592"/>
        <w:spacing w:after="0" w:line="250" w:lineRule="auto"/>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Excluded from the table was $148 million of unrecognized tax benefits, including interest, that we have recorded in other long-term liabilities for which we cannot make a reasonably reliable estimate of the amount and period of payment. We do not anticipate any material changes in the next year. 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the notes to our consolidated financial statements in Item 8 on this Annual Report on Form 10-K for further discussion.</w:t>
      </w:r>
    </w:p>
    <w:p>
      <w:pPr>
        <w:spacing w:after="0" w:line="1" w:lineRule="exact"/>
        <w:rPr>
          <w:rFonts w:ascii="Arial" w:cs="Arial" w:eastAsia="Arial" w:hAnsi="Arial"/>
          <w:sz w:val="18"/>
          <w:szCs w:val="18"/>
          <w:color w:val="auto"/>
        </w:rPr>
      </w:pPr>
    </w:p>
    <w:p>
      <w:pPr>
        <w:ind w:left="600" w:hanging="592"/>
        <w:spacing w:after="0"/>
        <w:tabs>
          <w:tab w:leader="none" w:pos="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Excluded from the table was $3 million of undrawn standby letters of credit, primarily related to our property leases.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Lease Commitments</w:t>
      </w:r>
    </w:p>
    <w:p>
      <w:pPr>
        <w:spacing w:after="0" w:line="33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June 2013 we entered into a lease for a new corporate headquarters building (“Headquarters Lease”). Pursuant to the Headquarters Lease, the landlord built an approximately 280,000 square foot rental building in Needham, Massachusetts (the “Premises”), and leased the Premises to the Company as our corporate headquarters for an initial term of 15 years and 7 months or through December 2030. The Company also has an option to extend the term of the Headquarters Lease for two consecutive terms of five years each.</w:t>
      </w:r>
    </w:p>
    <w:p>
      <w:pPr>
        <w:spacing w:after="0" w:line="79" w:lineRule="exact"/>
        <w:rPr>
          <w:sz w:val="20"/>
          <w:szCs w:val="20"/>
          <w:color w:val="auto"/>
        </w:rPr>
      </w:pPr>
    </w:p>
    <w:p>
      <w:pPr>
        <w:ind w:right="80" w:firstLine="598"/>
        <w:spacing w:after="0" w:line="297" w:lineRule="auto"/>
        <w:rPr>
          <w:sz w:val="20"/>
          <w:szCs w:val="20"/>
          <w:color w:val="auto"/>
        </w:rPr>
      </w:pPr>
      <w:r>
        <w:rPr>
          <w:rFonts w:ascii="Arial" w:cs="Arial" w:eastAsia="Arial" w:hAnsi="Arial"/>
          <w:sz w:val="16"/>
          <w:szCs w:val="16"/>
          <w:color w:val="auto"/>
        </w:rPr>
        <w:t>Because we were involved in the construction project and were responsible for paying a significant portion of the costs of normal finish work and structural elements of the Premises, the Company was deemed for accounting purposes to be the owner of the Premises during the construction period under build to suit lease accounting guidance under GAAP. Therefore, the Company recorded project construction costs during the construction period incurred by the landlord as a construction-in-progress asset and a related construction financing obligation on our consolidated balance sheets. The amounts that the Company has paid or incurred for normal tenant improvements and structural improvements had also been recorded to the construction-in-progress asset.</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56" w:name="page57"/>
    <w:bookmarkEnd w:id="56"/>
    <w:p>
      <w:pPr>
        <w:ind w:right="60" w:firstLine="598"/>
        <w:spacing w:after="0" w:line="268" w:lineRule="auto"/>
        <w:rPr>
          <w:sz w:val="20"/>
          <w:szCs w:val="20"/>
          <w:color w:val="auto"/>
        </w:rPr>
      </w:pPr>
      <w:r>
        <w:rPr>
          <w:rFonts w:ascii="Arial" w:cs="Arial" w:eastAsia="Arial" w:hAnsi="Arial"/>
          <w:sz w:val="17"/>
          <w:szCs w:val="17"/>
          <w:color w:val="auto"/>
        </w:rPr>
        <w:t>Upon completion of construction at end of the second quarter of 2015, we evaluated the construction-in-progress asset and construction financing obligation for de-recognition under the criteria for “sale-leaseback” treatment under GAAP. We concluded that we have forms of continued economic involvement in the facility, and therefore did not meet the provisions for sale-leaseback accounting. This determination was based on the Company's continuing involvement with the property in the form of non-recourse financing to the lessor. Therefore, the Headquarters Lease is accounted for as a financing obligation. Accordingly, we began depreciating the building asset over its estimated useful life and incurring interest expense related to the financing obligation imputed using the effective interest rate method. We bifurcate our lease payments pursuant to the Premises into: (i) a portion that is allocated to the building (a reduction to the financing obligation) and; (ii) a portion that is allocated to the land on which the building was constructed. The portion of the lease obligations allocated to the land is treated as an operating lease that commenced in 2013. The lease costs allocated to the land are recognized as rent expense on a straight-line basis over the term of the lease and are recorded in general and administrative expense in the consolidated statements of operations. The financing obligation is considered a long-term finance lease obligation and is recorded to other long-term liabilities on our consolidated balance sheet. In the years ended December 31, 2018, 2017 and 2016, the Company recorded $7 million of interest expense in each year, respectively, $3 million of depreciation expense in each year, respectively, and $2 million of rent expense in each year, in general and administrative expense, respectively, on our consolidated statements of operations related to the Premises.</w:t>
      </w:r>
    </w:p>
    <w:p>
      <w:pPr>
        <w:spacing w:after="0" w:line="188" w:lineRule="exact"/>
        <w:rPr>
          <w:sz w:val="20"/>
          <w:szCs w:val="20"/>
          <w:color w:val="auto"/>
        </w:rPr>
      </w:pPr>
    </w:p>
    <w:p>
      <w:pPr>
        <w:ind w:right="100" w:firstLine="598"/>
        <w:spacing w:after="0" w:line="286" w:lineRule="auto"/>
        <w:rPr>
          <w:sz w:val="20"/>
          <w:szCs w:val="20"/>
          <w:color w:val="auto"/>
        </w:rPr>
      </w:pPr>
      <w:r>
        <w:rPr>
          <w:rFonts w:ascii="Arial" w:cs="Arial" w:eastAsia="Arial" w:hAnsi="Arial"/>
          <w:sz w:val="17"/>
          <w:szCs w:val="17"/>
          <w:color w:val="auto"/>
        </w:rPr>
        <w:t>We also lease an aggregate of approximately 450,000 square feet of office space at approximately 40 other locations across North America, Europe and Asia Pacific in cities such as, New York, Boston, London, Sydney, Barcelona, Paris, and Beijing, primarily for our sales offices, subsidiary headquarters, and international management teams, pursuant to leases with various expiration dates, with the latest expiring in June 2027.</w:t>
      </w:r>
    </w:p>
    <w:p>
      <w:pPr>
        <w:spacing w:after="0" w:line="274"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As of December 31, 2018, future minimum commitments under our Headquarters Lease and other non-cancelable operating leases for office space with terms of more than one year and contractual sublease income were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2"/>
              </w:rPr>
              <w:t>Corporate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Total Lease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6"/>
              </w:rPr>
              <w:t>Other Operating</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149"/>
        </w:trPr>
        <w:tc>
          <w:tcPr>
            <w:tcW w:w="5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Headquarters</w:t>
            </w:r>
          </w:p>
        </w:tc>
        <w:tc>
          <w:tcPr>
            <w:tcW w:w="1260" w:type="dxa"/>
            <w:vAlign w:val="bottom"/>
            <w:gridSpan w:val="3"/>
            <w:vMerge w:val="continue"/>
          </w:tcPr>
          <w:p>
            <w:pPr>
              <w:spacing w:after="0"/>
              <w:rPr>
                <w:sz w:val="12"/>
                <w:szCs w:val="12"/>
                <w:color w:val="auto"/>
              </w:rPr>
            </w:pPr>
          </w:p>
        </w:tc>
        <w:tc>
          <w:tcPr>
            <w:tcW w:w="138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Sublease Income</w:t>
            </w:r>
          </w:p>
        </w:tc>
        <w:tc>
          <w:tcPr>
            <w:tcW w:w="80" w:type="dxa"/>
            <w:vAlign w:val="bottom"/>
          </w:tcPr>
          <w:p>
            <w:pPr>
              <w:spacing w:after="0"/>
              <w:rPr>
                <w:sz w:val="12"/>
                <w:szCs w:val="12"/>
                <w:color w:val="auto"/>
              </w:rPr>
            </w:pPr>
          </w:p>
        </w:tc>
        <w:tc>
          <w:tcPr>
            <w:tcW w:w="11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(Net of Sublease</w:t>
            </w:r>
          </w:p>
        </w:tc>
        <w:tc>
          <w:tcPr>
            <w:tcW w:w="0" w:type="dxa"/>
            <w:vAlign w:val="bottom"/>
          </w:tcPr>
          <w:p>
            <w:pPr>
              <w:spacing w:after="0"/>
              <w:rPr>
                <w:sz w:val="1"/>
                <w:szCs w:val="1"/>
                <w:color w:val="auto"/>
              </w:rPr>
            </w:pPr>
          </w:p>
        </w:tc>
      </w:tr>
      <w:tr>
        <w:trPr>
          <w:trHeight w:val="171"/>
        </w:trPr>
        <w:tc>
          <w:tcPr>
            <w:tcW w:w="5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88"/>
              </w:rPr>
              <w:t>Lease (1)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Leases</w:t>
            </w:r>
          </w:p>
        </w:tc>
        <w:tc>
          <w:tcPr>
            <w:tcW w:w="1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37"/>
        </w:trPr>
        <w:tc>
          <w:tcPr>
            <w:tcW w:w="5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7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Total</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hanging="580"/>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includes an $83 million financing obligation, which we have recorded in other long-term liabilities on our consolidated balance sheet at December 31, 2018, related to our Headquarters Lease.</w:t>
      </w:r>
    </w:p>
    <w:p>
      <w:pPr>
        <w:spacing w:after="0" w:line="89" w:lineRule="exact"/>
        <w:rPr>
          <w:sz w:val="20"/>
          <w:szCs w:val="20"/>
          <w:color w:val="auto"/>
        </w:rPr>
      </w:pPr>
    </w:p>
    <w:p>
      <w:pPr>
        <w:ind w:right="100" w:firstLine="598"/>
        <w:spacing w:after="0" w:line="253" w:lineRule="auto"/>
        <w:rPr>
          <w:sz w:val="20"/>
          <w:szCs w:val="20"/>
          <w:color w:val="auto"/>
        </w:rPr>
      </w:pPr>
      <w:r>
        <w:rPr>
          <w:rFonts w:ascii="Arial" w:cs="Arial" w:eastAsia="Arial" w:hAnsi="Arial"/>
          <w:sz w:val="18"/>
          <w:szCs w:val="18"/>
          <w:color w:val="auto"/>
        </w:rPr>
        <w:t xml:space="preserve">The Financial Accounting Standards Board (“FASB”) issued new lease accounting guidance under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the Company will adopt on January 1, 2019. Upon adoption, we expect our Headquarters Lease to be classified and accounted for as a finance lease under the new accounting guidance, rather than as a financing obligation under the existing GAAP. Upon adoption of the new guidance, we expect to derecognize amounts in property and equipment, net and other long-term liabilities on our consolidated balance sheet as of December 31, 2018 related to our Headquarters Lease of approximately $62 million and $70 million, respectively, with the difference recorded to our opening balance of retained earnings as of the adoption date. Accordingly, we expect to then recognize a right-of-use (ROU) asset ranging from $105 million to $120 million and a lease liability of approximately $85 million to $95 million based on the initial measurement of the present value of the remaining lease payments over the remaining lease term. The difference between the ROU asset and lease liability relates to a net prepaid rent balance. We expect our office space leases, except for our Headquarters Lease, to remain operating</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7" w:name="page58"/>
    <w:bookmarkEnd w:id="57"/>
    <w:p>
      <w:pPr>
        <w:ind w:right="40"/>
        <w:spacing w:after="0" w:line="271" w:lineRule="auto"/>
        <w:rPr>
          <w:sz w:val="20"/>
          <w:szCs w:val="20"/>
          <w:color w:val="auto"/>
        </w:rPr>
      </w:pPr>
      <w:r>
        <w:rPr>
          <w:rFonts w:ascii="Arial" w:cs="Arial" w:eastAsia="Arial" w:hAnsi="Arial"/>
          <w:sz w:val="17"/>
          <w:szCs w:val="17"/>
          <w:color w:val="auto"/>
        </w:rPr>
        <w:t xml:space="preserve">leases under the new guidance, which we will recognize ROU assets and corresponding lease liabilities on our consolidated balance sheet under the new guidance. We expect to recognize ROU assets ranging from $70 million to $80 million and lease liabilities of approximately $85 million to $95 million based on the present value of the remaining rental payments for these office leases as of January 1, 2019. The difference in the ROU asset and the lease liability is the result of balances already recognized related to deferred and prepaid rent balances. We do not expect the adoption of this new guidance will have a material impact, either on an annual or quarterly basis, to our consolidated statement of operations, including operating income, net income and adjusted EBITDA, as well as to our consolidated statement of cash flows on a go-forward basis. Refer to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the notes to our consolidated financial statements in Item 8 on this Annual Report on Form 10-K for further discussion regarding the new lease accounting guidance and its expected impact of adoption to our consolidated financial statements and related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As of December 31, 2018, other than the items discussed above, we did not have any off-balance sheet arrangements, as defined in Item 303(a)(4)(ii) of Regulation S-K promulgated by the SEC, that have, or are reasonably likely to have, a current or future effect on our financial condition, results of operations, liquidity, capital expenditures or capital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In the ordinary course of business, we are parties to regulatory and legal matters, including threats thereof, arising out of our operations. These matters may involve claims involving patent and intellectual property rights (including alleged infringement of third-party intellectual property rights), tax matters (including value-added, excise, transient occupancy and accommodation taxes), regulatory compliance (including competition and consumer matters), defamation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73"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On December 22, 2017, the Securities and Exchange Commission issued SAB 118, which allowed us to record provisional amounts during a measurement period not to extend beyond one year of the enactment date. Accordingly, we recorded an estimate of $67 million of Transition Tax, and $6 million due to a remeasurement of our net deferred tax assets, during the year ended December 31, 2017, which reflected provisional amounts for those specific income tax effects of the 2017 Tax Act. December 22, 2018 marked the end of the measurement period for the purposes of SAB 118. During the measurement period, impacts of the law were recorded at the time a reasonable estimate for all or a portion of the effects were made, and provisional amounts were recognized and adjusted as information became available, prepared, or analyzed. As permitted under SAB 118, we have subsequently finalized our accounting analysis based on the guidance, interpretations, and data available as of December 31, 2018. During the year ended December 31, 2018, we recorded a $2 million income tax expense related to the Transition Tax, which reflects additional information that we obtained during 2018 related to uncertain tax positions, earnings and profits, foreign tax credits, and state taxes. We also recorded a $2 million benefit related to the adjustment of deferred taxes based on the tax rate that is expected to apply when such deferred taxes are settled or realized in future periods.</w:t>
      </w:r>
    </w:p>
    <w:p>
      <w:pPr>
        <w:spacing w:after="0" w:line="169"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8" w:name="page59"/>
    <w:bookmarkEnd w:id="58"/>
    <w:p>
      <w:pPr>
        <w:ind w:right="120"/>
        <w:spacing w:after="0" w:line="342" w:lineRule="auto"/>
        <w:rPr>
          <w:sz w:val="20"/>
          <w:szCs w:val="20"/>
          <w:color w:val="auto"/>
        </w:rPr>
      </w:pPr>
      <w:r>
        <w:rPr>
          <w:rFonts w:ascii="Arial" w:cs="Arial" w:eastAsia="Arial" w:hAnsi="Arial"/>
          <w:sz w:val="16"/>
          <w:szCs w:val="16"/>
          <w:color w:val="auto"/>
        </w:rPr>
        <w:t>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24"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and have various ongoing state income tax audits. We are separately under examination by the IRS for the short-period 2011, 2012 and 2013 tax years and under an employment tax audit with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December 31, 2018, no material assessments have resulted, except as noted below regarding our 2009 and 2010 IRS audit with Expedia.</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January 2017, as part of the IRS audit of Expedia, we received Notices of Proposed Adjustment from the IRS for the 2009 and 2010 tax</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years. These proposed adjustments are related to certain transfer pricing arrangements with our foreign subsidiaries, and would result in an increase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worldwide income tax expense in an estimated range of $10 million to $14 million after consideration of competent authority relief, exclusive of interest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penalties. We disagree with the proposed adjustments and intend to defend our position through applicable administrative and, if necessary, judicial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remedies. Our policy is to review and update tax reserves as facts and circumstances change. Based on our interpretation of the regulations and available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 we believe the position we have taken with regard to transfer pricing with our foreign subsidiaries is sustainable. In addition to the risk of additional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2009 and 2010 transactions, if the IRS were to seek transfer pricing adjustments of a similar nature for transactions in subsequent years, we would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subject to significant additional tax liabilities.</w:t>
      </w:r>
    </w:p>
    <w:p>
      <w:pPr>
        <w:spacing w:after="0" w:line="211"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 based compensation from its inter-company cost-sharing arrangement. The IRS appealed the Court decision on February 19, 2016. At this time, the U.S. Department of the Treasury has not withdrawn the requirement from its regulations to include stock-based compensation in intercompany cost-sharing arrangements. The Company recorded a tax benefit of $3 million, $5 million and $6 million in its consolidated statements of operations for the years ended December 31, 2018, 2017 and 2016, respectively. Since the Court’s 2015 opinion, the Company has taken total income tax benefits of $15 million as of December 31, 2018. On July 24, 2018, the IRS won the appeals court case at the Ninth Circuit; however, on August 7, 2018, the Ninth Circuit withdrew its decision regarding Altera and the case was reheard. While we have taken an income tax benefit based on the Court’s 2015 opinion, as discussed above, we will continue to review the latest decisions on the case and its impact to our consolidated financial statements.</w:t>
      </w:r>
    </w:p>
    <w:p>
      <w:pPr>
        <w:spacing w:after="0" w:line="169"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Additionally, we continue to accumulate positive cash flows in foreign jurisdictions, which we consider indefinitely reinvested,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U.S. income taxes or tax benefits. The amount of any unrecognized deferred income tax on this temporary difference is not material.</w:t>
      </w:r>
    </w:p>
    <w:p>
      <w:pPr>
        <w:spacing w:after="0" w:line="171" w:lineRule="exact"/>
        <w:rPr>
          <w:sz w:val="20"/>
          <w:szCs w:val="20"/>
          <w:color w:val="auto"/>
        </w:rPr>
      </w:pPr>
    </w:p>
    <w:p>
      <w:pPr>
        <w:jc w:val="both"/>
        <w:ind w:right="380" w:firstLine="598"/>
        <w:spacing w:after="0" w:line="264" w:lineRule="auto"/>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on this Annual Report on Form 10-K for further information on the impact of the 2017 Tax Act, potential contingencies surrounding current audits by the IRS and various other domestic and foreign tax authorities, and other income tax matters.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right="640" w:firstLine="598"/>
        <w:spacing w:after="0" w:line="277" w:lineRule="auto"/>
        <w:rPr>
          <w:sz w:val="20"/>
          <w:szCs w:val="20"/>
          <w:color w:val="auto"/>
        </w:rPr>
      </w:pPr>
      <w:r>
        <w:rPr>
          <w:rFonts w:ascii="Arial" w:cs="Arial" w:eastAsia="Arial" w:hAnsi="Arial"/>
          <w:sz w:val="18"/>
          <w:szCs w:val="18"/>
          <w:color w:val="auto"/>
        </w:rPr>
        <w:t xml:space="preserve">For information on our relationships with LTRIP and Expedia refer to “Note 17: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consolidated financial statements in Item 8 on this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9" w:lineRule="exact"/>
        <w:rPr>
          <w:sz w:val="20"/>
          <w:szCs w:val="20"/>
          <w:color w:val="auto"/>
        </w:rPr>
      </w:pPr>
    </w:p>
    <w:p>
      <w:pPr>
        <w:ind w:right="500" w:firstLine="598"/>
        <w:spacing w:after="0" w:line="258"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1" w:lineRule="exact"/>
        <w:rPr>
          <w:sz w:val="20"/>
          <w:szCs w:val="20"/>
          <w:color w:val="auto"/>
        </w:rPr>
      </w:pPr>
    </w:p>
    <w:p>
      <w:pPr>
        <w:ind w:left="880" w:right="300" w:hanging="440"/>
        <w:spacing w:after="0" w:line="25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ind w:left="880" w:right="20" w:hanging="440"/>
        <w:spacing w:after="0" w:line="261"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84"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consolidated financial statements in Item 8 on this Annual Report on Form 10-K for an overview of our significant accounting policies and new accounting pronouncements that we have adopted or that we plan to adopt that have had or may have an impact on our financial statements.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discussion of information about the nature and rationale for our critical accounting estimates is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and Recoverability of Goodwill, Definite-Lived Intangibles, and Other Long-Term Assets</w:t>
      </w:r>
    </w:p>
    <w:p>
      <w:pPr>
        <w:spacing w:after="0" w:line="279"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We account for acquired businesses using the acquisition method of accounting which requires that the 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significant estimates and assumptions, especially with respect to intangible assets. Significant estimates in valuing certain intangible assets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 party valuation specialists under management's supervision, where appropriate.</w:t>
      </w:r>
    </w:p>
    <w:p>
      <w:pPr>
        <w:spacing w:after="0" w:line="71"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70"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The Company has the option to qualitatively assess whether it is more likely than not that the fair value of a reporting unit is less than its carrying value. In the evaluation of goodwill for impairment, we generally first perform a qualitative assessment to determine whether it is more likely than not (i.e., a likelihood of more than 50%) that the estimated fair value of the reporting unit is less than the carrying amount.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including, but not limited to, the size of the</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60" w:name="page61"/>
    <w:bookmarkEnd w:id="60"/>
    <w:p>
      <w:pPr>
        <w:ind w:right="20"/>
        <w:spacing w:after="0" w:line="254" w:lineRule="auto"/>
        <w:rPr>
          <w:sz w:val="20"/>
          <w:szCs w:val="20"/>
          <w:color w:val="auto"/>
        </w:rPr>
      </w:pPr>
      <w:r>
        <w:rPr>
          <w:rFonts w:ascii="Arial" w:cs="Arial" w:eastAsia="Arial" w:hAnsi="Arial"/>
          <w:sz w:val="18"/>
          <w:szCs w:val="18"/>
          <w:color w:val="auto"/>
        </w:rPr>
        <w:t>reporting unit's goodwill, the significance of the excess of the reporting unit's estimated fair value over carrying value at the last quantitative assessment date, the amount of time in between quantitative fair value assessments from the date of acquisition to establish an updated baseline quantitative analysis, and other performance and market indicators.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impairment is measured using the difference between the carrying value and the fair value of the reporting unit; however, any loss recognized cannot exceed the total amount of goodwill allocated to that reporting unit.</w:t>
      </w:r>
    </w:p>
    <w:p>
      <w:pPr>
        <w:spacing w:after="0" w:line="84"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color w:val="auto"/>
        </w:rPr>
        <w:t>In determining the estimated fair values of reporting units in a quantitative goodwill impairment test, we generally use a blend, of the following recognized valuation methods: the income approach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 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61" w:lineRule="exact"/>
        <w:rPr>
          <w:sz w:val="20"/>
          <w:szCs w:val="20"/>
          <w:color w:val="auto"/>
        </w:rPr>
      </w:pPr>
    </w:p>
    <w:p>
      <w:pPr>
        <w:ind w:right="20" w:firstLine="598"/>
        <w:spacing w:after="0" w:line="284" w:lineRule="auto"/>
        <w:rPr>
          <w:sz w:val="20"/>
          <w:szCs w:val="20"/>
          <w:color w:val="auto"/>
        </w:rPr>
      </w:pPr>
      <w:r>
        <w:rPr>
          <w:rFonts w:ascii="Arial" w:cs="Arial" w:eastAsia="Arial" w:hAnsi="Arial"/>
          <w:sz w:val="16"/>
          <w:szCs w:val="16"/>
          <w:color w:val="auto"/>
        </w:rPr>
        <w:t>During the Company's annual goodwill impairment test during the fourth quarter of 2018, a qualitative assessment for each of our reporting units' goodwill was performed and we concluded it was not more likely than not that an impairment existed. Accordingly, we did not proceed to a quantitative assessment or recognize any impairment charges during the year ending December 31, 2018. As part of our qualitative assessment for our 2018 goodwill impairment analysis of our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current and future forecasted financial results of the reporting units, (f) comparison of our current financial performance to historical and budgeted results of the reporting units, (g) change in excess of the Company’s market capitalization over its book value, (h) changes in estimates, valuation inputs, and/or assumptions since the last quantitative analysis of the reporting units, (i) changes in the regulatory environment;</w:t>
      </w:r>
    </w:p>
    <w:p>
      <w:pPr>
        <w:spacing w:after="0" w:line="1" w:lineRule="exact"/>
        <w:rPr>
          <w:sz w:val="20"/>
          <w:szCs w:val="20"/>
          <w:color w:val="auto"/>
        </w:rPr>
      </w:pPr>
    </w:p>
    <w:p>
      <w:pPr>
        <w:ind w:right="280" w:firstLine="8"/>
        <w:spacing w:after="0" w:line="255"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strategic outlook or organizational structure and leadership of the reporting units; and (k) other relevant factors, and how these factors might impact specific performance in future periods. However, as we periodically reassess estimated future cash flows and asset fair values, changes in our estimates and assumptions may cause us to realize material impairment charges in the future.</w:t>
      </w:r>
    </w:p>
    <w:p>
      <w:pPr>
        <w:spacing w:after="0" w:line="82"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We also periodically review the carrying amount of our definite-lived intangible assets and other long-term assets, including property and equipment and website and internal use software, to determine whether current events or circumstances indicate that such carrying amounts may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using an appropriate discount rate. Any impairment would be measured by the amount that the carrying values, of such asset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1" w:name="page62"/>
    <w:bookmarkEnd w:id="61"/>
    <w:p>
      <w:pPr>
        <w:spacing w:after="0" w:line="259" w:lineRule="auto"/>
        <w:rPr>
          <w:sz w:val="20"/>
          <w:szCs w:val="20"/>
          <w:color w:val="auto"/>
        </w:rPr>
      </w:pPr>
      <w:r>
        <w:rPr>
          <w:rFonts w:ascii="Arial" w:cs="Arial" w:eastAsia="Arial" w:hAnsi="Arial"/>
          <w:sz w:val="18"/>
          <w:szCs w:val="18"/>
          <w:color w:val="auto"/>
        </w:rPr>
        <w:t>groups, exceed their fair value and would be included in operating income on the consolidated statement of operations. Considerable management judgment is necessary to estimate the fair value of asset groups. Accordingly, actual results could vary significantly from such estimates. We have not identified any circumstances that would warrant an impairment charge for any recorded definite-lived intangibles or other long term assets on our consolidated balance sheet at December 31,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598"/>
        <w:spacing w:after="0" w:line="288" w:lineRule="auto"/>
        <w:rPr>
          <w:sz w:val="20"/>
          <w:szCs w:val="20"/>
          <w:color w:val="auto"/>
        </w:rPr>
      </w:pPr>
      <w:r>
        <w:rPr>
          <w:rFonts w:ascii="Arial" w:cs="Arial" w:eastAsia="Arial" w:hAnsi="Arial"/>
          <w:sz w:val="16"/>
          <w:szCs w:val="16"/>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We classify deferred tax assets and liabilities as noncurrent on our consolidated balance sheet.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69"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w:t>
      </w:r>
    </w:p>
    <w:p>
      <w:pPr>
        <w:spacing w:after="0" w:line="193"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color w:val="auto"/>
        </w:rPr>
        <w:t>On December 22, 2017, the 2017 Tax Act was signed into United States tax law. The legislation significantly changed U.S. tax law by, among other provisions, lowering corporate income tax rates, and imposing Transition Tax. The 2017 Tax Act permanently reduced the U.S. corporate income tax rate from a maximum of 35% to a flat 21% rate, effective January 1, 2018. The 2017 Tax Act also provided for prospective changes that began in 2018. Under GAAP, the effects of changes in income tax rates and laws are recognized in the period in which the new legislation is enacted.</w:t>
      </w:r>
    </w:p>
    <w:p>
      <w:pPr>
        <w:spacing w:after="0" w:line="171"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We are subject to additional requirements of the 2017 Tax Act which began during the year ended December 31, 2018. Those provisions include a deduction for foreign derived intangible income (“FDII”), GILTI, a limitation of certain executive compensation, and other immaterial provisions. We have elected to account for GILTI as a period cost, and therefore included GILTI expense in the effective income tax rate calculation. Our 2018 effective income tax rate includes our estimates of these new provisions, with a net tax benefit of $5 million recorded during the year ended December 31, 2018. Our estimates may be revised in future periods as we obtain additional data, and as the IRS issues new guidance implementing the law changes.</w:t>
      </w:r>
    </w:p>
    <w:p>
      <w:pPr>
        <w:spacing w:after="0" w:line="158"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 xml:space="preserve">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consolidated financial statements in Item 8 on this Annual Report on Form 10-K for further information on income taxes.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2" w:name="page63"/>
    <w:bookmarkEnd w:id="62"/>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12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Market risk refers to the risk of loss arising from adverse changes in stock prices, interest rates and foreign currency exchange rates. We are exposed to market risks primarily due to our international operations, and our ongoing investing and financial activities. The risk of loss can be assessed from the perspective of adverse changes in our future earnings, cash flows, fair values, and financial condition. Our exposure to market risk includes our credit facilities, derivative instruments, cash, cash equivalents, short term and long term marketable securities, accounts receivable, intercompany receivables/payables, accounts payable and deferred merchant payables denominated in foreign currencies. We have established policies, procedures and internal processes governing our management of market risks and the use of financial instruments to manage and attempt to mitigate our exposure to such risks.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17"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As of December 31, 2018, our primary exposure to changes in interest rates relates primarily to our investment portfolio. Changes in interest rates affect the amount of interest earned on our cash, cash equivalents, and marketable securities, and the fair value of those securities. Our interest income and expense is most sensitive to fluctuations in U.S. interest rates and Libor.</w:t>
      </w:r>
    </w:p>
    <w:p>
      <w:pPr>
        <w:spacing w:after="0" w:line="18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We currently invest our excess cash in cash deposits at major global banks, money market funds, and marketable securities. Our investment policy and strategy are focused on preservation of capital and supporting our liquidity requirements. We invest in highly-rated securities, and our investment policy limits the amount of credit exposure to any one issuer. Our investment policy requires our investments to be investment grade, with the primary objective of minimizing the potential risk of principal loss.</w:t>
      </w:r>
    </w:p>
    <w:p>
      <w:pPr>
        <w:spacing w:after="0" w:line="18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 xml:space="preserve">In order to provide a meaningful assessment of the interest rate risk associated with our investment portfolio, we performed a sensitivity analysis to determine the impact a change in interest rates would have on the value of our current investment portfolio assuming a 100 basis point parallel shift in the yield curve. Based on our investment positions as of December 31, 2018, a hypothetical 100 basis point increase in interest rates across all maturities would not result in a material decline in the fair value of the portfolio. In addition, such losses would only be realized if we sold the investments prior to maturity. Refer to “Note 7: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in the notes to our consolidated financial statements in Item 8 on this Annual Report on Form 10-K for further information on our investment portfolio and other financial instruments. As of December 31, 2018, we had no outstanding borrowings under our 2015 Credit Facility.</w:t>
      </w:r>
    </w:p>
    <w:p>
      <w:pPr>
        <w:spacing w:after="0" w:line="189" w:lineRule="exact"/>
        <w:rPr>
          <w:sz w:val="20"/>
          <w:szCs w:val="20"/>
          <w:color w:val="auto"/>
        </w:rPr>
      </w:pPr>
    </w:p>
    <w:p>
      <w:pPr>
        <w:ind w:right="140" w:firstLine="598"/>
        <w:spacing w:after="0" w:line="312" w:lineRule="auto"/>
        <w:rPr>
          <w:sz w:val="20"/>
          <w:szCs w:val="20"/>
          <w:color w:val="auto"/>
        </w:rPr>
      </w:pPr>
      <w:r>
        <w:rPr>
          <w:rFonts w:ascii="Arial" w:cs="Arial" w:eastAsia="Arial" w:hAnsi="Arial"/>
          <w:sz w:val="16"/>
          <w:szCs w:val="16"/>
          <w:color w:val="auto"/>
        </w:rPr>
        <w:t>We currently do not hedge our interest rate risk; however, we are continually evaluating the interest rate market, and if we become increasingly exposed to potentially volatile movements in interest rates, and if these movements are material, this could cause us to adjust our financing strategy. We did not experience any material financial impact from changes in interest rates for the years ended December 31, 2018, 2017 or 2016.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Rates</w:t>
      </w:r>
    </w:p>
    <w:p>
      <w:pPr>
        <w:spacing w:after="0" w:line="117"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We conduct business in certain international markets, primarily the European Union, including the United Kingdom, and also Singapore and Australia. Because we operate in international markets, we have exposure to different economic climates, political arenas, tax systems and regulations that could affect foreign currency exchange rates.</w:t>
      </w:r>
    </w:p>
    <w:p>
      <w:pPr>
        <w:spacing w:after="0" w:line="18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Some of our subsidiaries maintain their accounting records in their respective local currencies other than the U.S. dollar. Consequently, changes in foreign currency exchange rates may impact the translation of those subsidiary’s financial statements into U.S. dollars. As a result, we face exposure to adverse movements in foreign currency exchange rates as the financial results of our non-U.S. dollar operations are translated from local currency, or functional currency, into U.S. dollars upon consolidation. If the U.S. dollar weakens against the functional currency, the translation of these foreign-currency-denominated balances will result in increased net assets, revenue, operating expenses, operating income and net income. Similarly, our net assets, revenue, operating expenses,</w:t>
      </w: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1" w:right="299" w:bottom="1440" w:gutter="0" w:footer="0" w:header="0"/>
        </w:sectPr>
      </w:pPr>
    </w:p>
    <w:bookmarkStart w:id="63" w:name="page64"/>
    <w:bookmarkEnd w:id="63"/>
    <w:p>
      <w:pPr>
        <w:jc w:val="both"/>
        <w:ind w:right="100"/>
        <w:spacing w:after="0" w:line="255" w:lineRule="auto"/>
        <w:rPr>
          <w:sz w:val="20"/>
          <w:szCs w:val="20"/>
          <w:color w:val="auto"/>
        </w:rPr>
      </w:pPr>
      <w:r>
        <w:rPr>
          <w:rFonts w:ascii="Arial" w:cs="Arial" w:eastAsia="Arial" w:hAnsi="Arial"/>
          <w:sz w:val="18"/>
          <w:szCs w:val="18"/>
          <w:color w:val="auto"/>
        </w:rPr>
        <w:t>operating income and net income will decrease if the U.S. dollar strengthens against the functional currency. The effect of foreign currency exchange on our business historically has varied from quarter to quarter and may continue to do so, potentially materially. In order to provide a meaningful assessment of the foreign currency exchange rate risk associated with our consolidated financial statements, we performed a sensitivity analysis. A hypothetical 10% decrease of the foreign currency exchange rates relative to the U.S. dollar, or strengthening of the U.S. dollar, would generate an unrealized loss of approximately $27 million related to a decrease in our net assets as of December 31, 2018, which would initially be recorded to accumulated other comprehensive income (loss) on our consolidated balance sheet.</w:t>
      </w:r>
    </w:p>
    <w:p>
      <w:pPr>
        <w:spacing w:after="0" w:line="193"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In addition, foreign currency exchange rate fluctuations on transactions denominated in currencies other than the functional currency result in transactional gains and losses. We recognize these transactional gains and losses (primarily Euro currency transactions) in our consolidated statements of operations and have recorded a foreign currency exchange loss of $6 million for the year ended December 31, 2018, gain of $1 million for the year ended December 31, 2017, and a loss of $6 million for the year ended December 31, 2016, respectively, in “Interest income and other, net” on our consolidated statements of operations. Future transactional gains and losses are inherently difficult to predict as they are reliant on how the multiple currencies in which we transact fluctuate in relation to the U.S. dollar and other functional currencies, and the relative composition and denomination of monetary assets and liabilities each period.</w:t>
      </w:r>
    </w:p>
    <w:p>
      <w:pPr>
        <w:spacing w:after="0" w:line="189" w:lineRule="exact"/>
        <w:rPr>
          <w:sz w:val="20"/>
          <w:szCs w:val="20"/>
          <w:color w:val="auto"/>
        </w:rPr>
      </w:pPr>
    </w:p>
    <w:p>
      <w:pPr>
        <w:ind w:right="100" w:firstLine="598"/>
        <w:spacing w:after="0" w:line="291" w:lineRule="auto"/>
        <w:rPr>
          <w:sz w:val="20"/>
          <w:szCs w:val="20"/>
          <w:color w:val="auto"/>
        </w:rPr>
      </w:pPr>
      <w:r>
        <w:rPr>
          <w:rFonts w:ascii="Arial" w:cs="Arial" w:eastAsia="Arial" w:hAnsi="Arial"/>
          <w:sz w:val="16"/>
          <w:szCs w:val="16"/>
          <w:color w:val="auto"/>
        </w:rPr>
        <w:t>We currently manage our exposure to foreign currency risk through internally established policies and procedures. To the extent practicable, we minimize our foreign currency exposures by maintaining natural hedges between our current assets and current liabilities in similarly denominated foreign currencies, as well as, using derivative financial instruments. We use foreign currency forward exchange contracts to manage certain short-term foreign currency risk to try and reduce the effects of fluctuating foreign currency exchange rates on our cash flows denominated in foreign currencies. We do not use financial instruments for trading purposes and are not a party to any leveraged derivatives. Our objective is to hedge only those foreign currency exposures that can be confidently identified and quantified and that may result in significant impacts to our cash or the consolidated statement of operations. Our policy does not allow speculation in derivative instruments for profit or execution of derivative instrument contracts for which there are no underlying exposures.</w:t>
      </w:r>
    </w:p>
    <w:p>
      <w:pPr>
        <w:spacing w:after="0" w:line="167" w:lineRule="exact"/>
        <w:rPr>
          <w:sz w:val="20"/>
          <w:szCs w:val="20"/>
          <w:color w:val="auto"/>
        </w:rPr>
      </w:pPr>
    </w:p>
    <w:p>
      <w:pPr>
        <w:ind w:firstLine="598"/>
        <w:spacing w:after="0" w:line="252" w:lineRule="auto"/>
        <w:rPr>
          <w:sz w:val="20"/>
          <w:szCs w:val="20"/>
          <w:color w:val="auto"/>
        </w:rPr>
      </w:pPr>
      <w:r>
        <w:rPr>
          <w:rFonts w:ascii="Arial" w:cs="Arial" w:eastAsia="Arial" w:hAnsi="Arial"/>
          <w:sz w:val="18"/>
          <w:szCs w:val="18"/>
          <w:color w:val="auto"/>
        </w:rPr>
        <w:t xml:space="preserve">Our foreign currency forward exchange contracts, to date, have principally addressed foreign currency exchange fluctuation risk between the Euro and the U.S. dollar. We have accounted for our derivative instruments to date, which have not been designated as hedges under GAAP, as either assets or liabilities and carry them at fair value. We had two outstanding forward currency contracts as of December 31, 2018 with a total notional value of $13 million. These outstanding forward currency contracts were not designated as hedges and had maturities of less than 90 days. We had no outstanding derivative contracts as of December 31, 2017. We recognize gains and losses from our derivative contracts in our consolidated statement of operations and have recorded net losses of $3 million and $1 million for the years ended December 31, 2018 and 2017, respectively, and a net gain of $2 million for the year ended December 31, 2016, in “Interest income and other, net” on our consolidated statements of operations. Refer to “Note 7: </w:t>
      </w:r>
      <w:r>
        <w:rPr>
          <w:rFonts w:ascii="Arial" w:cs="Arial" w:eastAsia="Arial" w:hAnsi="Arial"/>
          <w:sz w:val="18"/>
          <w:szCs w:val="18"/>
          <w:i w:val="1"/>
          <w:iCs w:val="1"/>
          <w:color w:val="auto"/>
        </w:rPr>
        <w:t>Financial Instruments and 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w:t>
      </w:r>
      <w:r>
        <w:rPr>
          <w:rFonts w:ascii="Arial" w:cs="Arial" w:eastAsia="Arial" w:hAnsi="Arial"/>
          <w:sz w:val="18"/>
          <w:szCs w:val="18"/>
          <w:color w:val="auto"/>
        </w:rPr>
        <w:t>” in the notes to the consolidated financial statements in Item 8 on this Annual Report on Form 10-K for further detail on our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w:t>
      </w:r>
    </w:p>
    <w:p>
      <w:pPr>
        <w:spacing w:after="0" w:line="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we increase our operations in international markets, our exposure to potentially volatile movements in foreign currency exchange rates increases. The economic impact to us of foreign currency exchange rate movements is linked to variability in real growth, inflation, interest rates, governmental actions, and other factors. These changes, if material, could cause us to adjust our foreign currency risk strategies. For example, Brexit has caused significant volatility in currency exchange rates, especially between the U.S. dollar and the British pound. Continued uncertainty regarding Brexit may result in future exchange rate volatility. Since the terms of the United Kingdom’s exit from the European Union are uncertain, we are unable to predict the effect Brexit will have on our business and results of operations related to foreign currency and other market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180" w:type="dxa"/>
            <w:vAlign w:val="bottom"/>
            <w:gridSpan w:val="8"/>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1360" w:type="dxa"/>
            <w:vAlign w:val="bottom"/>
          </w:tcPr>
          <w:p>
            <w:pPr>
              <w:spacing w:after="0"/>
              <w:rPr>
                <w:sz w:val="20"/>
                <w:szCs w:val="20"/>
                <w:color w:val="auto"/>
              </w:rPr>
            </w:pPr>
          </w:p>
        </w:tc>
      </w:tr>
      <w:tr>
        <w:trPr>
          <w:trHeight w:val="459"/>
        </w:trPr>
        <w:tc>
          <w:tcPr>
            <w:tcW w:w="10060" w:type="dxa"/>
            <w:vAlign w:val="bottom"/>
            <w:gridSpan w:val="10"/>
          </w:tcPr>
          <w:p>
            <w:pPr>
              <w:spacing w:after="0"/>
              <w:rPr>
                <w:sz w:val="20"/>
                <w:szCs w:val="20"/>
                <w:color w:val="auto"/>
              </w:rPr>
            </w:pPr>
            <w:r>
              <w:rPr>
                <w:rFonts w:ascii="Arial" w:cs="Arial" w:eastAsia="Arial" w:hAnsi="Arial"/>
                <w:sz w:val="18"/>
                <w:szCs w:val="18"/>
                <w:color w:val="auto"/>
              </w:rPr>
              <w:t>Index to Financial Statements and Supplementary Data:</w:t>
            </w:r>
          </w:p>
        </w:tc>
        <w:tc>
          <w:tcPr>
            <w:tcW w:w="1360" w:type="dxa"/>
            <w:vAlign w:val="bottom"/>
          </w:tcPr>
          <w:p>
            <w:pPr>
              <w:spacing w:after="0"/>
              <w:rPr>
                <w:sz w:val="24"/>
                <w:szCs w:val="24"/>
                <w:color w:val="auto"/>
              </w:rPr>
            </w:pPr>
          </w:p>
        </w:tc>
      </w:tr>
      <w:tr>
        <w:trPr>
          <w:trHeight w:val="297"/>
        </w:trPr>
        <w:tc>
          <w:tcPr>
            <w:tcW w:w="10060" w:type="dxa"/>
            <w:vAlign w:val="bottom"/>
            <w:gridSpan w:val="1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440" w:type="dxa"/>
            <w:vAlign w:val="bottom"/>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68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Operations for the years ended December 31, 2018, 2017 and 2016</w:t>
              </w:r>
            </w:hyperlink>
          </w:p>
        </w:tc>
        <w:tc>
          <w:tcPr>
            <w:tcW w:w="276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196"/>
        </w:trPr>
        <w:tc>
          <w:tcPr>
            <w:tcW w:w="440" w:type="dxa"/>
            <w:vAlign w:val="bottom"/>
          </w:tcPr>
          <w:p>
            <w:pPr>
              <w:spacing w:after="0"/>
              <w:rPr>
                <w:sz w:val="17"/>
                <w:szCs w:val="17"/>
                <w:color w:val="auto"/>
              </w:rPr>
            </w:pPr>
          </w:p>
        </w:tc>
        <w:tc>
          <w:tcPr>
            <w:tcW w:w="77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Comprehensive Income for the years ended December 31, 2018, 2017 and 2016</w:t>
              </w:r>
            </w:hyperlink>
          </w:p>
        </w:tc>
        <w:tc>
          <w:tcPr>
            <w:tcW w:w="184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440" w:type="dxa"/>
            <w:vAlign w:val="bottom"/>
          </w:tcPr>
          <w:p>
            <w:pPr>
              <w:spacing w:after="0"/>
              <w:rPr>
                <w:sz w:val="17"/>
                <w:szCs w:val="17"/>
                <w:color w:val="auto"/>
              </w:rPr>
            </w:pPr>
          </w:p>
        </w:tc>
        <w:tc>
          <w:tcPr>
            <w:tcW w:w="9620" w:type="dxa"/>
            <w:vAlign w:val="bottom"/>
            <w:gridSpan w:val="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Balance Sheets as of December 31, 2018 and 201</w:t>
              </w:r>
            </w:hyperlink>
            <w:r>
              <w:rPr>
                <w:rFonts w:ascii="Arial" w:cs="Arial" w:eastAsia="Arial" w:hAnsi="Arial"/>
                <w:sz w:val="18"/>
                <w:szCs w:val="18"/>
                <w:color w:val="000000"/>
              </w:rPr>
              <w:t>7</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4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4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Changes in Stockholders’ Equity for the years ended December 31, 2018, 2017 and 2016</w:t>
              </w:r>
            </w:hyperlink>
          </w:p>
        </w:tc>
        <w:tc>
          <w:tcPr>
            <w:tcW w:w="11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440" w:type="dxa"/>
            <w:vAlign w:val="bottom"/>
          </w:tcPr>
          <w:p>
            <w:pPr>
              <w:spacing w:after="0"/>
              <w:rPr>
                <w:sz w:val="17"/>
                <w:szCs w:val="17"/>
                <w:color w:val="auto"/>
              </w:rPr>
            </w:pPr>
          </w:p>
        </w:tc>
        <w:tc>
          <w:tcPr>
            <w:tcW w:w="9620" w:type="dxa"/>
            <w:vAlign w:val="bottom"/>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Statements of Cash Flows for the years ended December 31, 2018, 2017 and 2016</w:t>
              </w:r>
            </w:hyperlink>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440" w:type="dxa"/>
            <w:vAlign w:val="bottom"/>
          </w:tcPr>
          <w:p>
            <w:pPr>
              <w:spacing w:after="0"/>
              <w:rPr>
                <w:sz w:val="17"/>
                <w:szCs w:val="17"/>
                <w:color w:val="auto"/>
              </w:rPr>
            </w:pPr>
          </w:p>
        </w:tc>
        <w:tc>
          <w:tcPr>
            <w:tcW w:w="69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Notes to Consolidated Financial Statements</w:t>
              </w:r>
            </w:hyperlink>
          </w:p>
        </w:tc>
        <w:tc>
          <w:tcPr>
            <w:tcW w:w="272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5" w:name="page66"/>
    <w:bookmarkEnd w:id="65"/>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Consolidated Financial Statements</w:t>
      </w:r>
    </w:p>
    <w:p>
      <w:pPr>
        <w:spacing w:after="0" w:line="225"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We have audited the accompanying consolidated balance sheets of TripAdvisor, Inc. and subsidiaries (the “Company”) as of December 31, 2018 and 2017, the related consolidated statements of operations, comprehensive income, changes in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in conformity with U.S. generally accepted accounting principles.</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 – Integrated Framework (2013) issued by the Committee of Sponsoring Organizations of the Treadway Commission, and our report dated February 22, 2019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97"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Year ended December 31,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Revenue (Note 4)</w:t>
            </w:r>
          </w:p>
        </w:tc>
        <w:tc>
          <w:tcPr>
            <w:tcW w:w="7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7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Cost of revenue (1)(2)</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 (2)</w:t>
            </w:r>
          </w:p>
        </w:tc>
        <w:tc>
          <w:tcPr>
            <w:tcW w:w="7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Technology and content (2)</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(2)</w:t>
            </w:r>
          </w:p>
        </w:tc>
        <w:tc>
          <w:tcPr>
            <w:tcW w:w="7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7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Interest income and other, net (Note 19)</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7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 (Note 11)</w:t>
            </w:r>
          </w:p>
        </w:tc>
        <w:tc>
          <w:tcPr>
            <w:tcW w:w="7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3"/>
        </w:trPr>
        <w:tc>
          <w:tcPr>
            <w:tcW w:w="56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7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Earnings (loss) per share attributable to common stockholders</w:t>
            </w:r>
          </w:p>
        </w:tc>
        <w:tc>
          <w:tcPr>
            <w:tcW w:w="7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(Note 5):</w:t>
            </w:r>
          </w:p>
        </w:tc>
        <w:tc>
          <w:tcPr>
            <w:tcW w:w="7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Basic</w:t>
            </w:r>
          </w:p>
        </w:tc>
        <w:tc>
          <w:tcPr>
            <w:tcW w:w="1680" w:type="dxa"/>
            <w:vAlign w:val="bottom"/>
            <w:gridSpan w:val="2"/>
          </w:tcPr>
          <w:p>
            <w:pPr>
              <w:jc w:val="right"/>
              <w:ind w:right="794"/>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0.82</w:t>
            </w:r>
          </w:p>
        </w:tc>
        <w:tc>
          <w:tcPr>
            <w:tcW w:w="140" w:type="dxa"/>
            <w:vAlign w:val="bottom"/>
          </w:tcPr>
          <w:p>
            <w:pPr>
              <w:spacing w:after="0"/>
              <w:rPr>
                <w:sz w:val="19"/>
                <w:szCs w:val="19"/>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680" w:type="dxa"/>
            <w:vAlign w:val="bottom"/>
            <w:gridSpan w:val="2"/>
            <w:shd w:val="clear" w:color="auto" w:fill="CFF0FC"/>
          </w:tcPr>
          <w:p>
            <w:pPr>
              <w:jc w:val="right"/>
              <w:ind w:right="794"/>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(0.14)</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common shares outstanding (Note 5):</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7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expense as follows:</w:t>
            </w:r>
          </w:p>
        </w:tc>
        <w:tc>
          <w:tcPr>
            <w:tcW w:w="7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Amortization of acquired technology included in</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680" w:type="dxa"/>
            <w:vAlign w:val="bottom"/>
            <w:gridSpan w:val="2"/>
          </w:tcPr>
          <w:p>
            <w:pPr>
              <w:jc w:val="right"/>
              <w:ind w:right="794"/>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website development costs included in</w:t>
            </w:r>
          </w:p>
        </w:tc>
        <w:tc>
          <w:tcPr>
            <w:tcW w:w="7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depreciation</w:t>
            </w:r>
          </w:p>
        </w:tc>
        <w:tc>
          <w:tcPr>
            <w:tcW w:w="700" w:type="dxa"/>
            <w:vAlign w:val="bottom"/>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 Includes stock-based compensation expense as follows (Note 6):</w:t>
            </w:r>
          </w:p>
        </w:tc>
        <w:tc>
          <w:tcPr>
            <w:tcW w:w="7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tcPr>
          <w:p>
            <w:pPr>
              <w:ind w:left="260"/>
              <w:spacing w:after="0"/>
              <w:rPr>
                <w:sz w:val="20"/>
                <w:szCs w:val="20"/>
                <w:color w:val="auto"/>
              </w:rPr>
            </w:pPr>
            <w:r>
              <w:rPr>
                <w:rFonts w:ascii="Arial" w:cs="Arial" w:eastAsia="Arial" w:hAnsi="Arial"/>
                <w:sz w:val="18"/>
                <w:szCs w:val="18"/>
                <w:color w:val="auto"/>
              </w:rPr>
              <w:t>Cost of revenue</w:t>
            </w:r>
          </w:p>
        </w:tc>
        <w:tc>
          <w:tcPr>
            <w:tcW w:w="1680" w:type="dxa"/>
            <w:vAlign w:val="bottom"/>
            <w:gridSpan w:val="2"/>
          </w:tcPr>
          <w:p>
            <w:pPr>
              <w:jc w:val="right"/>
              <w:ind w:right="794"/>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1680" w:type="dxa"/>
            <w:vAlign w:val="bottom"/>
            <w:gridSpan w:val="2"/>
            <w:shd w:val="clear" w:color="auto" w:fill="CFF0FC"/>
          </w:tcPr>
          <w:p>
            <w:pPr>
              <w:jc w:val="right"/>
              <w:ind w:right="794"/>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Technology and content</w:t>
            </w:r>
          </w:p>
        </w:tc>
        <w:tc>
          <w:tcPr>
            <w:tcW w:w="1680" w:type="dxa"/>
            <w:vAlign w:val="bottom"/>
            <w:gridSpan w:val="2"/>
          </w:tcPr>
          <w:p>
            <w:pPr>
              <w:jc w:val="right"/>
              <w:ind w:right="794"/>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4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680" w:type="dxa"/>
            <w:vAlign w:val="bottom"/>
            <w:gridSpan w:val="2"/>
            <w:shd w:val="clear" w:color="auto" w:fill="CFF0FC"/>
          </w:tcPr>
          <w:p>
            <w:pPr>
              <w:jc w:val="right"/>
              <w:ind w:right="794"/>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ind w:left="4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78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20" w:type="dxa"/>
            <w:vAlign w:val="bottom"/>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(1)</w:t>
            </w:r>
          </w:p>
        </w:tc>
        <w:tc>
          <w:tcPr>
            <w:tcW w:w="9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r>
      <w:tr>
        <w:trPr>
          <w:trHeight w:val="223"/>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income (loss)</w:t>
            </w:r>
          </w:p>
        </w:tc>
        <w:tc>
          <w:tcPr>
            <w:tcW w:w="9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Borders>
              <w:bottom w:val="single" w:sz="8" w:color="auto"/>
            </w:tcBorders>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left="600" w:right="20" w:hanging="592"/>
        <w:spacing w:after="0" w:line="293"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Foreign currency translation adjustments exclude income taxes due to our intention to indefinitely reinvest the earnings of our foreign subsidiaries in those operations. Refer to “Note 16: </w:t>
      </w:r>
      <w:r>
        <w:rPr>
          <w:rFonts w:ascii="Arial" w:cs="Arial" w:eastAsia="Arial" w:hAnsi="Arial"/>
          <w:sz w:val="16"/>
          <w:szCs w:val="16"/>
          <w:i w:val="1"/>
          <w:iCs w:val="1"/>
          <w:color w:val="auto"/>
        </w:rPr>
        <w:t>Stockholders’ Equity”</w:t>
      </w:r>
      <w:r>
        <w:rPr>
          <w:rFonts w:ascii="Arial" w:cs="Arial" w:eastAsia="Arial" w:hAnsi="Arial"/>
          <w:sz w:val="16"/>
          <w:szCs w:val="16"/>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 (Note 7)</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Short-term marketable securities (Note 7)</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Accounts receivable and contract assets, net of allowance for doubtful accounts of $21 and $16, respectively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(Note 2, Note 4)</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Income taxes receivable (Note 11)</w:t>
            </w:r>
          </w:p>
        </w:tc>
        <w:tc>
          <w:tcPr>
            <w:tcW w:w="22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80" w:type="dxa"/>
            <w:vAlign w:val="bottom"/>
          </w:tcPr>
          <w:p>
            <w:pPr>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915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Long-term marketable securities (Note 7)</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Property and equipment, net (Note 8)</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Intangible assets, net (Note 9)</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Goodwill (Note 9)</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 net (Note 11)</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2,167</w:t>
            </w:r>
          </w:p>
        </w:tc>
        <w:tc>
          <w:tcPr>
            <w:tcW w:w="3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merchant payables (Note 2)</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Deferred revenue (Note 4)</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 and other current liabilities (Note 12)</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8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393</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Long-term debt (Note 10)</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Deferred income taxes, net (Note 11)</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long-term liabilities (Note 13)</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3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14)</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80" w:type="dxa"/>
            <w:vAlign w:val="bottom"/>
          </w:tcPr>
          <w:p>
            <w:pPr>
              <w:spacing w:after="0"/>
              <w:rPr>
                <w:sz w:val="20"/>
                <w:szCs w:val="20"/>
                <w:color w:val="auto"/>
              </w:rPr>
            </w:pPr>
            <w:r>
              <w:rPr>
                <w:rFonts w:ascii="Arial" w:cs="Arial" w:eastAsia="Arial" w:hAnsi="Arial"/>
                <w:sz w:val="16"/>
                <w:szCs w:val="16"/>
                <w:color w:val="auto"/>
              </w:rPr>
              <w:t>Stockholders’ equity: (Note 16)</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Preferred stock, $0.001 par value</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Authorized shares: 100,000,000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and outstanding: 0 and 0</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Common stock, $0.001 par value</w:t>
            </w:r>
          </w:p>
        </w:tc>
        <w:tc>
          <w:tcPr>
            <w:tcW w:w="22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1,600,000,000</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Shares issued: 137,158,010 and 135,617,263, respectively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outstanding: 125,101,322 and 126,142,773, respectively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Class B common stock, $0.001 par value</w:t>
            </w:r>
          </w:p>
        </w:tc>
        <w:tc>
          <w:tcPr>
            <w:tcW w:w="22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400,000,000</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500"/>
              <w:spacing w:after="0"/>
              <w:rPr>
                <w:sz w:val="20"/>
                <w:szCs w:val="20"/>
                <w:color w:val="auto"/>
              </w:rPr>
            </w:pPr>
            <w:r>
              <w:rPr>
                <w:rFonts w:ascii="Arial" w:cs="Arial" w:eastAsia="Arial" w:hAnsi="Arial"/>
                <w:sz w:val="16"/>
                <w:szCs w:val="16"/>
                <w:color w:val="auto"/>
              </w:rPr>
              <w:t>Shares issued and outstanding: 12,799,999 and 12,799,999, respectively</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 income</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(62)</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7880" w:type="dxa"/>
            <w:vAlign w:val="bottom"/>
          </w:tcPr>
          <w:p>
            <w:pPr>
              <w:ind w:left="260"/>
              <w:spacing w:after="0"/>
              <w:rPr>
                <w:sz w:val="20"/>
                <w:szCs w:val="20"/>
                <w:color w:val="auto"/>
              </w:rPr>
            </w:pPr>
            <w:r>
              <w:rPr>
                <w:rFonts w:ascii="Arial" w:cs="Arial" w:eastAsia="Arial" w:hAnsi="Arial"/>
                <w:sz w:val="16"/>
                <w:szCs w:val="16"/>
                <w:color w:val="auto"/>
              </w:rPr>
              <w:t>Treasury stock-common stock, at cost, 12,056,688 and 9,474,490 shares, respectively</w:t>
            </w:r>
          </w:p>
        </w:tc>
        <w:tc>
          <w:tcPr>
            <w:tcW w:w="22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(547)</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3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88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30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other</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Class B</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paid-in</w:t>
            </w:r>
          </w:p>
        </w:tc>
        <w:tc>
          <w:tcPr>
            <w:tcW w:w="740" w:type="dxa"/>
            <w:vAlign w:val="bottom"/>
            <w:gridSpan w:val="4"/>
          </w:tcPr>
          <w:p>
            <w:pPr>
              <w:ind w:left="100"/>
              <w:spacing w:after="0"/>
              <w:rPr>
                <w:sz w:val="20"/>
                <w:szCs w:val="20"/>
                <w:color w:val="auto"/>
              </w:rPr>
            </w:pPr>
            <w:r>
              <w:rPr>
                <w:rFonts w:ascii="Arial" w:cs="Arial" w:eastAsia="Arial" w:hAnsi="Arial"/>
                <w:sz w:val="14"/>
                <w:szCs w:val="14"/>
                <w:b w:val="1"/>
                <w:bCs w:val="1"/>
                <w:color w:val="auto"/>
              </w:rPr>
              <w:t>Retained</w:t>
            </w: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3120" w:type="dxa"/>
            <w:vAlign w:val="bottom"/>
          </w:tcPr>
          <w:p>
            <w:pPr>
              <w:spacing w:after="0"/>
              <w:rPr>
                <w:sz w:val="14"/>
                <w:szCs w:val="14"/>
                <w:color w:val="auto"/>
              </w:rPr>
            </w:pPr>
          </w:p>
        </w:tc>
        <w:tc>
          <w:tcPr>
            <w:tcW w:w="126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capital</w:t>
            </w:r>
          </w:p>
        </w:tc>
        <w:tc>
          <w:tcPr>
            <w:tcW w:w="1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1"/>
              </w:rPr>
              <w:t>(loss) income</w:t>
            </w: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Total</w:t>
            </w:r>
          </w:p>
        </w:tc>
      </w:tr>
      <w:tr>
        <w:trPr>
          <w:trHeight w:val="156"/>
        </w:trPr>
        <w:tc>
          <w:tcPr>
            <w:tcW w:w="31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r>
      <w:tr>
        <w:trPr>
          <w:trHeight w:val="156"/>
        </w:trPr>
        <w:tc>
          <w:tcPr>
            <w:tcW w:w="31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December 31, 2015</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7"/>
              </w:rPr>
              <w:t>133,836,242</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66"/>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9"/>
              </w:rPr>
              <w:t>12,799,999</w:t>
            </w:r>
          </w:p>
        </w:tc>
        <w:tc>
          <w:tcPr>
            <w:tcW w:w="480" w:type="dxa"/>
            <w:vAlign w:val="bottom"/>
            <w:gridSpan w:val="2"/>
            <w:shd w:val="clear" w:color="auto" w:fill="CFF0FC"/>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FF0FC"/>
          </w:tcPr>
          <w:p>
            <w:pPr>
              <w:ind w:left="80"/>
              <w:spacing w:after="0" w:line="155" w:lineRule="exact"/>
              <w:rPr>
                <w:sz w:val="20"/>
                <w:szCs w:val="20"/>
                <w:color w:val="auto"/>
              </w:rPr>
            </w:pPr>
            <w:r>
              <w:rPr>
                <w:rFonts w:ascii="Arial" w:cs="Arial" w:eastAsia="Arial" w:hAnsi="Arial"/>
                <w:sz w:val="14"/>
                <w:szCs w:val="14"/>
                <w:b w:val="1"/>
                <w:bCs w:val="1"/>
                <w:color w:val="auto"/>
                <w:w w:val="85"/>
              </w:rPr>
              <w:t>—</w:t>
            </w:r>
          </w:p>
        </w:tc>
        <w:tc>
          <w:tcPr>
            <w:tcW w:w="300" w:type="dxa"/>
            <w:vAlign w:val="bottom"/>
            <w:gridSpan w:val="2"/>
            <w:shd w:val="clear" w:color="auto" w:fill="CFF0FC"/>
          </w:tcPr>
          <w:p>
            <w:pPr>
              <w:ind w:left="220"/>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741</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826</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(63)</w:t>
            </w:r>
          </w:p>
        </w:tc>
        <w:tc>
          <w:tcPr>
            <w:tcW w:w="9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(1,393,131)</w:t>
            </w:r>
          </w:p>
        </w:tc>
        <w:tc>
          <w:tcPr>
            <w:tcW w:w="300" w:type="dxa"/>
            <w:vAlign w:val="bottom"/>
            <w:gridSpan w:val="2"/>
            <w:shd w:val="clear" w:color="auto" w:fill="CFF0FC"/>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rPr>
              <w:t>(92)</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1,412</w:t>
            </w:r>
          </w:p>
        </w:tc>
        <w:tc>
          <w:tcPr>
            <w:tcW w:w="60" w:type="dxa"/>
            <w:vAlign w:val="bottom"/>
            <w:shd w:val="clear" w:color="auto" w:fill="CFF0FC"/>
          </w:tcPr>
          <w:p>
            <w:pPr>
              <w:spacing w:after="0"/>
              <w:rPr>
                <w:sz w:val="13"/>
                <w:szCs w:val="13"/>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Net income</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120</w:t>
            </w:r>
          </w:p>
        </w:tc>
        <w:tc>
          <w:tcPr>
            <w:tcW w:w="60" w:type="dxa"/>
            <w:vAlign w:val="bottom"/>
          </w:tcPr>
          <w:p>
            <w:pPr>
              <w:spacing w:after="0"/>
              <w:rPr>
                <w:sz w:val="14"/>
                <w:szCs w:val="14"/>
                <w:color w:val="auto"/>
              </w:rPr>
            </w:pPr>
          </w:p>
        </w:tc>
      </w:tr>
      <w:tr>
        <w:trPr>
          <w:trHeight w:val="151"/>
        </w:trPr>
        <w:tc>
          <w:tcPr>
            <w:tcW w:w="312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98"/>
              </w:rPr>
              <w:t>Cumulative effect adjustment from adoption of new</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00" w:type="dxa"/>
            <w:vAlign w:val="bottom"/>
            <w:gridSpan w:val="2"/>
            <w:shd w:val="clear" w:color="auto" w:fill="CFF0FC"/>
          </w:tcPr>
          <w:p>
            <w:pPr>
              <w:jc w:val="right"/>
              <w:ind w:right="80"/>
              <w:spacing w:after="0" w:line="151" w:lineRule="exact"/>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line="151" w:lineRule="exact"/>
              <w:rPr>
                <w:sz w:val="20"/>
                <w:szCs w:val="20"/>
                <w:color w:val="auto"/>
              </w:rPr>
            </w:pPr>
            <w:r>
              <w:rPr>
                <w:rFonts w:ascii="Arial" w:cs="Arial" w:eastAsia="Arial" w:hAnsi="Arial"/>
                <w:sz w:val="14"/>
                <w:szCs w:val="14"/>
                <w:color w:val="auto"/>
              </w:rPr>
              <w:t>(1)</w:t>
            </w:r>
          </w:p>
        </w:tc>
      </w:tr>
      <w:tr>
        <w:trPr>
          <w:trHeight w:val="149"/>
        </w:trPr>
        <w:tc>
          <w:tcPr>
            <w:tcW w:w="31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accounting guidance related to stock-based</w:t>
            </w: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59"/>
        </w:trPr>
        <w:tc>
          <w:tcPr>
            <w:tcW w:w="31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compensation</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(14)</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r>
      <w:tr>
        <w:trPr>
          <w:trHeight w:val="151"/>
        </w:trPr>
        <w:tc>
          <w:tcPr>
            <w:tcW w:w="312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Issuance of common stock related to exercise of</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59"/>
        </w:trPr>
        <w:tc>
          <w:tcPr>
            <w:tcW w:w="31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options and vesting of RSUs</w:t>
            </w:r>
          </w:p>
        </w:tc>
        <w:tc>
          <w:tcPr>
            <w:tcW w:w="80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870,225</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ind w:left="10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line="159" w:lineRule="exact"/>
              <w:rPr>
                <w:sz w:val="20"/>
                <w:szCs w:val="20"/>
                <w:color w:val="auto"/>
              </w:rPr>
            </w:pPr>
            <w:r>
              <w:rPr>
                <w:rFonts w:ascii="Arial" w:cs="Arial" w:eastAsia="Arial" w:hAnsi="Arial"/>
                <w:sz w:val="14"/>
                <w:szCs w:val="14"/>
                <w:color w:val="auto"/>
              </w:rPr>
              <w:t>7</w:t>
            </w:r>
          </w:p>
        </w:tc>
        <w:tc>
          <w:tcPr>
            <w:tcW w:w="60" w:type="dxa"/>
            <w:vAlign w:val="bottom"/>
            <w:shd w:val="clear" w:color="auto" w:fill="CFF0FC"/>
          </w:tcPr>
          <w:p>
            <w:pPr>
              <w:spacing w:after="0"/>
              <w:rPr>
                <w:sz w:val="13"/>
                <w:szCs w:val="13"/>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Repurchase of common stock (Note 16)</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(2,002,356)</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(105)</w:t>
            </w: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(105)</w:t>
            </w:r>
          </w:p>
        </w:tc>
      </w:tr>
      <w:tr>
        <w:trPr>
          <w:trHeight w:val="151"/>
        </w:trPr>
        <w:tc>
          <w:tcPr>
            <w:tcW w:w="312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w w:val="95"/>
              </w:rPr>
              <w:t>Withholding taxes on net share settlements of equity</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59"/>
        </w:trPr>
        <w:tc>
          <w:tcPr>
            <w:tcW w:w="312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awards</w:t>
            </w: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80"/>
              <w:spacing w:after="0" w:line="159" w:lineRule="exact"/>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(15)</w:t>
            </w:r>
          </w:p>
        </w:tc>
      </w:tr>
      <w:tr>
        <w:trPr>
          <w:trHeight w:val="162"/>
        </w:trPr>
        <w:tc>
          <w:tcPr>
            <w:tcW w:w="31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 (Note 6)</w:t>
            </w: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60" w:type="dxa"/>
            <w:vAlign w:val="bottom"/>
            <w:tcBorders>
              <w:bottom w:val="single" w:sz="8" w:color="CFF0FC"/>
            </w:tcBorders>
          </w:tcPr>
          <w:p>
            <w:pPr>
              <w:spacing w:after="0"/>
              <w:rPr>
                <w:sz w:val="14"/>
                <w:szCs w:val="14"/>
                <w:color w:val="auto"/>
              </w:rPr>
            </w:pPr>
          </w:p>
        </w:tc>
      </w:tr>
      <w:tr>
        <w:trPr>
          <w:trHeight w:val="156"/>
        </w:trPr>
        <w:tc>
          <w:tcPr>
            <w:tcW w:w="31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December 31, 2016</w:t>
            </w: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7"/>
              </w:rPr>
              <w:t>134,706,467</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66"/>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9"/>
              </w:rPr>
              <w:t>12,799,999</w:t>
            </w:r>
          </w:p>
        </w:tc>
        <w:tc>
          <w:tcPr>
            <w:tcW w:w="480" w:type="dxa"/>
            <w:vAlign w:val="bottom"/>
            <w:gridSpan w:val="2"/>
            <w:shd w:val="clear" w:color="auto" w:fill="CFF0FC"/>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FF0FC"/>
          </w:tcPr>
          <w:p>
            <w:pPr>
              <w:ind w:left="80"/>
              <w:spacing w:after="0" w:line="155" w:lineRule="exact"/>
              <w:rPr>
                <w:sz w:val="20"/>
                <w:szCs w:val="20"/>
                <w:color w:val="auto"/>
              </w:rPr>
            </w:pPr>
            <w:r>
              <w:rPr>
                <w:rFonts w:ascii="Arial" w:cs="Arial" w:eastAsia="Arial" w:hAnsi="Arial"/>
                <w:sz w:val="14"/>
                <w:szCs w:val="14"/>
                <w:b w:val="1"/>
                <w:bCs w:val="1"/>
                <w:color w:val="auto"/>
                <w:w w:val="85"/>
              </w:rPr>
              <w:t>—</w:t>
            </w:r>
          </w:p>
        </w:tc>
        <w:tc>
          <w:tcPr>
            <w:tcW w:w="300" w:type="dxa"/>
            <w:vAlign w:val="bottom"/>
            <w:gridSpan w:val="2"/>
            <w:shd w:val="clear" w:color="auto" w:fill="CFF0FC"/>
          </w:tcPr>
          <w:p>
            <w:pPr>
              <w:ind w:left="220"/>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831</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945</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b w:val="1"/>
                <w:bCs w:val="1"/>
                <w:color w:val="auto"/>
              </w:rPr>
              <w:t>(77)</w:t>
            </w:r>
          </w:p>
        </w:tc>
        <w:tc>
          <w:tcPr>
            <w:tcW w:w="9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b w:val="1"/>
                <w:bCs w:val="1"/>
                <w:color w:val="auto"/>
              </w:rPr>
              <w:t>(3,395,487)</w:t>
            </w:r>
          </w:p>
        </w:tc>
        <w:tc>
          <w:tcPr>
            <w:tcW w:w="300" w:type="dxa"/>
            <w:vAlign w:val="bottom"/>
            <w:gridSpan w:val="2"/>
            <w:shd w:val="clear" w:color="auto" w:fill="CFF0FC"/>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b w:val="1"/>
                <w:bCs w:val="1"/>
                <w:color w:val="auto"/>
                <w:w w:val="97"/>
              </w:rPr>
              <w:t>(197)</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1,502</w:t>
            </w:r>
          </w:p>
        </w:tc>
        <w:tc>
          <w:tcPr>
            <w:tcW w:w="60" w:type="dxa"/>
            <w:vAlign w:val="bottom"/>
            <w:shd w:val="clear" w:color="auto" w:fill="CFF0FC"/>
          </w:tcPr>
          <w:p>
            <w:pPr>
              <w:spacing w:after="0"/>
              <w:rPr>
                <w:sz w:val="13"/>
                <w:szCs w:val="13"/>
                <w:color w:val="auto"/>
              </w:rPr>
            </w:pPr>
          </w:p>
        </w:tc>
      </w:tr>
      <w:tr>
        <w:trPr>
          <w:trHeight w:val="162"/>
        </w:trPr>
        <w:tc>
          <w:tcPr>
            <w:tcW w:w="3120" w:type="dxa"/>
            <w:vAlign w:val="bottom"/>
          </w:tcPr>
          <w:p>
            <w:pPr>
              <w:spacing w:after="0"/>
              <w:rPr>
                <w:sz w:val="20"/>
                <w:szCs w:val="20"/>
                <w:color w:val="auto"/>
              </w:rPr>
            </w:pPr>
            <w:r>
              <w:rPr>
                <w:rFonts w:ascii="Arial" w:cs="Arial" w:eastAsia="Arial" w:hAnsi="Arial"/>
                <w:sz w:val="14"/>
                <w:szCs w:val="14"/>
                <w:color w:val="auto"/>
              </w:rPr>
              <w:t>Net loss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(19)</w:t>
            </w: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60" w:type="dxa"/>
            <w:vAlign w:val="bottom"/>
            <w:shd w:val="clear" w:color="auto" w:fill="CFF0FC"/>
          </w:tcPr>
          <w:p>
            <w:pPr>
              <w:spacing w:after="0"/>
              <w:rPr>
                <w:sz w:val="14"/>
                <w:szCs w:val="14"/>
                <w:color w:val="auto"/>
              </w:rPr>
            </w:pPr>
          </w:p>
        </w:tc>
      </w:tr>
      <w:tr>
        <w:trPr>
          <w:trHeight w:val="151"/>
        </w:trPr>
        <w:tc>
          <w:tcPr>
            <w:tcW w:w="3120" w:type="dxa"/>
            <w:vAlign w:val="bottom"/>
          </w:tcPr>
          <w:p>
            <w:pPr>
              <w:spacing w:after="0" w:line="151" w:lineRule="exact"/>
              <w:rPr>
                <w:sz w:val="20"/>
                <w:szCs w:val="20"/>
                <w:color w:val="auto"/>
              </w:rPr>
            </w:pPr>
            <w:r>
              <w:rPr>
                <w:rFonts w:ascii="Arial" w:cs="Arial" w:eastAsia="Arial" w:hAnsi="Arial"/>
                <w:sz w:val="14"/>
                <w:szCs w:val="14"/>
                <w:color w:val="auto"/>
              </w:rPr>
              <w:t>Issuance of common stock related to exercise of</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9"/>
        </w:trPr>
        <w:tc>
          <w:tcPr>
            <w:tcW w:w="3120" w:type="dxa"/>
            <w:vAlign w:val="bottom"/>
          </w:tcPr>
          <w:p>
            <w:pPr>
              <w:spacing w:after="0" w:line="159" w:lineRule="exact"/>
              <w:rPr>
                <w:sz w:val="20"/>
                <w:szCs w:val="20"/>
                <w:color w:val="auto"/>
              </w:rPr>
            </w:pPr>
            <w:r>
              <w:rPr>
                <w:rFonts w:ascii="Arial" w:cs="Arial" w:eastAsia="Arial" w:hAnsi="Arial"/>
                <w:sz w:val="14"/>
                <w:szCs w:val="14"/>
                <w:color w:val="auto"/>
              </w:rPr>
              <w:t>options and vesting of RSUs</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910,796</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3"/>
                <w:szCs w:val="13"/>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Repurchase of common stock (Note 16)</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(6,079,003)</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7"/>
              </w:rPr>
              <w:t>(250)</w:t>
            </w:r>
          </w:p>
        </w:tc>
        <w:tc>
          <w:tcPr>
            <w:tcW w:w="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(250)</w:t>
            </w:r>
          </w:p>
        </w:tc>
      </w:tr>
      <w:tr>
        <w:trPr>
          <w:trHeight w:val="151"/>
        </w:trPr>
        <w:tc>
          <w:tcPr>
            <w:tcW w:w="3120" w:type="dxa"/>
            <w:vAlign w:val="bottom"/>
          </w:tcPr>
          <w:p>
            <w:pPr>
              <w:spacing w:after="0" w:line="151" w:lineRule="exact"/>
              <w:rPr>
                <w:sz w:val="20"/>
                <w:szCs w:val="20"/>
                <w:color w:val="auto"/>
              </w:rPr>
            </w:pPr>
            <w:r>
              <w:rPr>
                <w:rFonts w:ascii="Arial" w:cs="Arial" w:eastAsia="Arial" w:hAnsi="Arial"/>
                <w:sz w:val="14"/>
                <w:szCs w:val="14"/>
                <w:color w:val="auto"/>
                <w:w w:val="95"/>
              </w:rPr>
              <w:t>Withholding taxes on net share settlements of equity</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9"/>
        </w:trPr>
        <w:tc>
          <w:tcPr>
            <w:tcW w:w="3120" w:type="dxa"/>
            <w:vAlign w:val="bottom"/>
          </w:tcPr>
          <w:p>
            <w:pPr>
              <w:spacing w:after="0" w:line="159" w:lineRule="exact"/>
              <w:rPr>
                <w:sz w:val="20"/>
                <w:szCs w:val="20"/>
                <w:color w:val="auto"/>
              </w:rPr>
            </w:pPr>
            <w:r>
              <w:rPr>
                <w:rFonts w:ascii="Arial" w:cs="Arial" w:eastAsia="Arial" w:hAnsi="Arial"/>
                <w:sz w:val="14"/>
                <w:szCs w:val="14"/>
                <w:color w:val="auto"/>
              </w:rPr>
              <w:t>awards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(17)</w:t>
            </w: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(Note 6)</w:t>
            </w:r>
          </w:p>
        </w:tc>
        <w:tc>
          <w:tcPr>
            <w:tcW w:w="800" w:type="dxa"/>
            <w:vAlign w:val="bottom"/>
            <w:tcBorders>
              <w:bottom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w:t>
            </w:r>
          </w:p>
        </w:tc>
        <w:tc>
          <w:tcPr>
            <w:tcW w:w="60" w:type="dxa"/>
            <w:vAlign w:val="bottom"/>
            <w:shd w:val="clear" w:color="auto" w:fill="CFF0FC"/>
          </w:tcPr>
          <w:p>
            <w:pPr>
              <w:spacing w:after="0"/>
              <w:rPr>
                <w:sz w:val="14"/>
                <w:szCs w:val="14"/>
                <w:color w:val="auto"/>
              </w:rPr>
            </w:pPr>
          </w:p>
        </w:tc>
      </w:tr>
      <w:tr>
        <w:trPr>
          <w:trHeight w:val="156"/>
        </w:trPr>
        <w:tc>
          <w:tcPr>
            <w:tcW w:w="31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December 31, 2017</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7"/>
              </w:rPr>
              <w:t>135,617,263</w:t>
            </w:r>
          </w:p>
        </w:tc>
        <w:tc>
          <w:tcPr>
            <w:tcW w:w="1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12,799,999</w:t>
            </w:r>
          </w:p>
        </w:tc>
        <w:tc>
          <w:tcPr>
            <w:tcW w:w="480" w:type="dxa"/>
            <w:vAlign w:val="bottom"/>
            <w:gridSpan w:val="2"/>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ind w:left="80"/>
              <w:spacing w:after="0" w:line="155" w:lineRule="exact"/>
              <w:rPr>
                <w:sz w:val="20"/>
                <w:szCs w:val="20"/>
                <w:color w:val="auto"/>
              </w:rPr>
            </w:pPr>
            <w:r>
              <w:rPr>
                <w:rFonts w:ascii="Arial" w:cs="Arial" w:eastAsia="Arial" w:hAnsi="Arial"/>
                <w:sz w:val="14"/>
                <w:szCs w:val="14"/>
                <w:b w:val="1"/>
                <w:bCs w:val="1"/>
                <w:color w:val="auto"/>
                <w:w w:val="85"/>
              </w:rPr>
              <w:t>—</w:t>
            </w:r>
          </w:p>
        </w:tc>
        <w:tc>
          <w:tcPr>
            <w:tcW w:w="30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926</w:t>
            </w:r>
          </w:p>
        </w:tc>
        <w:tc>
          <w:tcPr>
            <w:tcW w:w="120" w:type="dxa"/>
            <w:vAlign w:val="bottom"/>
          </w:tcPr>
          <w:p>
            <w:pPr>
              <w:spacing w:after="0"/>
              <w:rPr>
                <w:sz w:val="13"/>
                <w:szCs w:val="13"/>
                <w:color w:val="auto"/>
              </w:rPr>
            </w:pP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926</w:t>
            </w:r>
          </w:p>
        </w:tc>
        <w:tc>
          <w:tcPr>
            <w:tcW w:w="120" w:type="dxa"/>
            <w:vAlign w:val="bottom"/>
          </w:tcPr>
          <w:p>
            <w:pPr>
              <w:spacing w:after="0"/>
              <w:rPr>
                <w:sz w:val="13"/>
                <w:szCs w:val="13"/>
                <w:color w:val="auto"/>
              </w:rPr>
            </w:pPr>
          </w:p>
        </w:tc>
        <w:tc>
          <w:tcPr>
            <w:tcW w:w="24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(42)</w:t>
            </w:r>
          </w:p>
        </w:tc>
        <w:tc>
          <w:tcPr>
            <w:tcW w:w="90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(9,474,490)</w:t>
            </w:r>
          </w:p>
        </w:tc>
        <w:tc>
          <w:tcPr>
            <w:tcW w:w="300" w:type="dxa"/>
            <w:vAlign w:val="bottom"/>
            <w:gridSpan w:val="2"/>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w w:val="97"/>
              </w:rPr>
              <w:t>(447)</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1,363</w:t>
            </w:r>
          </w:p>
        </w:tc>
        <w:tc>
          <w:tcPr>
            <w:tcW w:w="60" w:type="dxa"/>
            <w:vAlign w:val="bottom"/>
          </w:tcPr>
          <w:p>
            <w:pPr>
              <w:spacing w:after="0"/>
              <w:rPr>
                <w:sz w:val="13"/>
                <w:szCs w:val="13"/>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60" w:type="dxa"/>
            <w:vAlign w:val="bottom"/>
            <w:shd w:val="clear" w:color="auto" w:fill="CFF0FC"/>
          </w:tcPr>
          <w:p>
            <w:pPr>
              <w:spacing w:after="0"/>
              <w:rPr>
                <w:sz w:val="14"/>
                <w:szCs w:val="14"/>
                <w:color w:val="auto"/>
              </w:rPr>
            </w:pPr>
          </w:p>
        </w:tc>
      </w:tr>
      <w:tr>
        <w:trPr>
          <w:trHeight w:val="151"/>
        </w:trPr>
        <w:tc>
          <w:tcPr>
            <w:tcW w:w="3120" w:type="dxa"/>
            <w:vAlign w:val="bottom"/>
          </w:tcPr>
          <w:p>
            <w:pPr>
              <w:spacing w:after="0" w:line="151" w:lineRule="exact"/>
              <w:rPr>
                <w:sz w:val="20"/>
                <w:szCs w:val="20"/>
                <w:color w:val="auto"/>
              </w:rPr>
            </w:pPr>
            <w:r>
              <w:rPr>
                <w:rFonts w:ascii="Arial" w:cs="Arial" w:eastAsia="Arial" w:hAnsi="Arial"/>
                <w:sz w:val="14"/>
                <w:szCs w:val="14"/>
                <w:color w:val="auto"/>
                <w:w w:val="98"/>
              </w:rPr>
              <w:t>Cumulative effect adjustment from adoption of new</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9"/>
        </w:trPr>
        <w:tc>
          <w:tcPr>
            <w:tcW w:w="3120" w:type="dxa"/>
            <w:vAlign w:val="bottom"/>
          </w:tcPr>
          <w:p>
            <w:pPr>
              <w:spacing w:after="0" w:line="159" w:lineRule="exact"/>
              <w:rPr>
                <w:sz w:val="20"/>
                <w:szCs w:val="20"/>
                <w:color w:val="auto"/>
              </w:rPr>
            </w:pPr>
            <w:r>
              <w:rPr>
                <w:rFonts w:ascii="Arial" w:cs="Arial" w:eastAsia="Arial" w:hAnsi="Arial"/>
                <w:sz w:val="14"/>
                <w:szCs w:val="14"/>
                <w:color w:val="auto"/>
              </w:rPr>
              <w:t>accounting guidance (Note 2)</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3"/>
                <w:szCs w:val="13"/>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w:t>
            </w: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(20)</w:t>
            </w:r>
          </w:p>
        </w:tc>
      </w:tr>
      <w:tr>
        <w:trPr>
          <w:trHeight w:val="151"/>
        </w:trPr>
        <w:tc>
          <w:tcPr>
            <w:tcW w:w="3120" w:type="dxa"/>
            <w:vAlign w:val="bottom"/>
          </w:tcPr>
          <w:p>
            <w:pPr>
              <w:spacing w:after="0" w:line="151" w:lineRule="exact"/>
              <w:rPr>
                <w:sz w:val="20"/>
                <w:szCs w:val="20"/>
                <w:color w:val="auto"/>
              </w:rPr>
            </w:pPr>
            <w:r>
              <w:rPr>
                <w:rFonts w:ascii="Arial" w:cs="Arial" w:eastAsia="Arial" w:hAnsi="Arial"/>
                <w:sz w:val="14"/>
                <w:szCs w:val="14"/>
                <w:color w:val="auto"/>
              </w:rPr>
              <w:t>Issuance of common stock related to exercise of</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9"/>
        </w:trPr>
        <w:tc>
          <w:tcPr>
            <w:tcW w:w="3120" w:type="dxa"/>
            <w:vAlign w:val="bottom"/>
          </w:tcPr>
          <w:p>
            <w:pPr>
              <w:spacing w:after="0" w:line="159" w:lineRule="exact"/>
              <w:rPr>
                <w:sz w:val="20"/>
                <w:szCs w:val="20"/>
                <w:color w:val="auto"/>
              </w:rPr>
            </w:pPr>
            <w:r>
              <w:rPr>
                <w:rFonts w:ascii="Arial" w:cs="Arial" w:eastAsia="Arial" w:hAnsi="Arial"/>
                <w:sz w:val="14"/>
                <w:szCs w:val="14"/>
                <w:color w:val="auto"/>
              </w:rPr>
              <w:t>options and vesting of RSUs</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1,540,747</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60" w:type="dxa"/>
            <w:vAlign w:val="bottom"/>
          </w:tcPr>
          <w:p>
            <w:pPr>
              <w:spacing w:after="0"/>
              <w:rPr>
                <w:sz w:val="13"/>
                <w:szCs w:val="13"/>
                <w:color w:val="auto"/>
              </w:rPr>
            </w:pP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Repurchase of common stock (Note 16)</w:t>
            </w:r>
          </w:p>
        </w:tc>
        <w:tc>
          <w:tcPr>
            <w:tcW w:w="8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(2,582,198)</w:t>
            </w:r>
          </w:p>
        </w:tc>
        <w:tc>
          <w:tcPr>
            <w:tcW w:w="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97"/>
              </w:rPr>
              <w:t>(100)</w:t>
            </w:r>
          </w:p>
        </w:tc>
        <w:tc>
          <w:tcPr>
            <w:tcW w:w="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w:t>
            </w:r>
          </w:p>
        </w:tc>
      </w:tr>
      <w:tr>
        <w:trPr>
          <w:trHeight w:val="151"/>
        </w:trPr>
        <w:tc>
          <w:tcPr>
            <w:tcW w:w="3120" w:type="dxa"/>
            <w:vAlign w:val="bottom"/>
          </w:tcPr>
          <w:p>
            <w:pPr>
              <w:spacing w:after="0" w:line="151" w:lineRule="exact"/>
              <w:rPr>
                <w:sz w:val="20"/>
                <w:szCs w:val="20"/>
                <w:color w:val="auto"/>
              </w:rPr>
            </w:pPr>
            <w:r>
              <w:rPr>
                <w:rFonts w:ascii="Arial" w:cs="Arial" w:eastAsia="Arial" w:hAnsi="Arial"/>
                <w:sz w:val="14"/>
                <w:szCs w:val="14"/>
                <w:color w:val="auto"/>
                <w:w w:val="95"/>
              </w:rPr>
              <w:t>Withholding taxes on net share settlements of equity</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9"/>
        </w:trPr>
        <w:tc>
          <w:tcPr>
            <w:tcW w:w="3120" w:type="dxa"/>
            <w:vAlign w:val="bottom"/>
          </w:tcPr>
          <w:p>
            <w:pPr>
              <w:spacing w:after="0" w:line="159" w:lineRule="exact"/>
              <w:rPr>
                <w:sz w:val="20"/>
                <w:szCs w:val="20"/>
                <w:color w:val="auto"/>
              </w:rPr>
            </w:pPr>
            <w:r>
              <w:rPr>
                <w:rFonts w:ascii="Arial" w:cs="Arial" w:eastAsia="Arial" w:hAnsi="Arial"/>
                <w:sz w:val="14"/>
                <w:szCs w:val="14"/>
                <w:color w:val="auto"/>
              </w:rPr>
              <w:t>awards</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(26)</w:t>
            </w:r>
          </w:p>
        </w:tc>
      </w:tr>
      <w:tr>
        <w:trPr>
          <w:trHeight w:val="162"/>
        </w:trPr>
        <w:tc>
          <w:tcPr>
            <w:tcW w:w="312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(Note 6)</w:t>
            </w:r>
          </w:p>
        </w:tc>
        <w:tc>
          <w:tcPr>
            <w:tcW w:w="800" w:type="dxa"/>
            <w:vAlign w:val="bottom"/>
            <w:tcBorders>
              <w:bottom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60" w:type="dxa"/>
            <w:vAlign w:val="bottom"/>
            <w:shd w:val="clear" w:color="auto" w:fill="CFF0FC"/>
          </w:tcPr>
          <w:p>
            <w:pPr>
              <w:spacing w:after="0"/>
              <w:rPr>
                <w:sz w:val="14"/>
                <w:szCs w:val="14"/>
                <w:color w:val="auto"/>
              </w:rPr>
            </w:pPr>
          </w:p>
        </w:tc>
      </w:tr>
      <w:tr>
        <w:trPr>
          <w:trHeight w:val="156"/>
        </w:trPr>
        <w:tc>
          <w:tcPr>
            <w:tcW w:w="31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December 31, 2018</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7"/>
              </w:rPr>
              <w:t>137,158,010</w:t>
            </w:r>
          </w:p>
        </w:tc>
        <w:tc>
          <w:tcPr>
            <w:tcW w:w="18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Arial" w:cs="Arial" w:eastAsia="Arial" w:hAnsi="Arial"/>
                <w:sz w:val="10"/>
                <w:szCs w:val="10"/>
                <w:b w:val="1"/>
                <w:bCs w:val="1"/>
                <w:color w:val="auto"/>
                <w:w w:val="71"/>
              </w:rPr>
              <w:t>$</w:t>
            </w:r>
          </w:p>
        </w:tc>
        <w:tc>
          <w:tcPr>
            <w:tcW w:w="4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9"/>
              </w:rPr>
              <w:t>12,799,999</w:t>
            </w:r>
          </w:p>
        </w:tc>
        <w:tc>
          <w:tcPr>
            <w:tcW w:w="480" w:type="dxa"/>
            <w:vAlign w:val="bottom"/>
            <w:gridSpan w:val="2"/>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ind w:left="80"/>
              <w:spacing w:after="0" w:line="155" w:lineRule="exact"/>
              <w:rPr>
                <w:sz w:val="20"/>
                <w:szCs w:val="20"/>
                <w:color w:val="auto"/>
              </w:rPr>
            </w:pPr>
            <w:r>
              <w:rPr>
                <w:rFonts w:ascii="Arial" w:cs="Arial" w:eastAsia="Arial" w:hAnsi="Arial"/>
                <w:sz w:val="14"/>
                <w:szCs w:val="14"/>
                <w:b w:val="1"/>
                <w:bCs w:val="1"/>
                <w:color w:val="auto"/>
                <w:w w:val="85"/>
              </w:rPr>
              <w:t>—</w:t>
            </w:r>
          </w:p>
        </w:tc>
        <w:tc>
          <w:tcPr>
            <w:tcW w:w="30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1,037</w:t>
            </w:r>
          </w:p>
        </w:tc>
        <w:tc>
          <w:tcPr>
            <w:tcW w:w="120" w:type="dxa"/>
            <w:vAlign w:val="bottom"/>
          </w:tcPr>
          <w:p>
            <w:pPr>
              <w:spacing w:after="0"/>
              <w:rPr>
                <w:sz w:val="13"/>
                <w:szCs w:val="13"/>
                <w:color w:val="auto"/>
              </w:rPr>
            </w:pP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6"/>
              </w:rPr>
              <w:t>1,043</w:t>
            </w:r>
          </w:p>
        </w:tc>
        <w:tc>
          <w:tcPr>
            <w:tcW w:w="120" w:type="dxa"/>
            <w:vAlign w:val="bottom"/>
          </w:tcPr>
          <w:p>
            <w:pPr>
              <w:spacing w:after="0"/>
              <w:rPr>
                <w:sz w:val="13"/>
                <w:szCs w:val="13"/>
                <w:color w:val="auto"/>
              </w:rPr>
            </w:pPr>
          </w:p>
        </w:tc>
        <w:tc>
          <w:tcPr>
            <w:tcW w:w="24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(62)</w:t>
            </w:r>
          </w:p>
        </w:tc>
        <w:tc>
          <w:tcPr>
            <w:tcW w:w="90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(12,056,688)</w:t>
            </w:r>
          </w:p>
        </w:tc>
        <w:tc>
          <w:tcPr>
            <w:tcW w:w="300" w:type="dxa"/>
            <w:vAlign w:val="bottom"/>
            <w:gridSpan w:val="2"/>
          </w:tcPr>
          <w:p>
            <w:pPr>
              <w:jc w:val="right"/>
              <w:ind w:right="92"/>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w w:val="97"/>
              </w:rPr>
              <w:t>(547)</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1,471</w:t>
            </w:r>
          </w:p>
        </w:tc>
        <w:tc>
          <w:tcPr>
            <w:tcW w:w="60" w:type="dxa"/>
            <w:vAlign w:val="bottom"/>
          </w:tcPr>
          <w:p>
            <w:pPr>
              <w:spacing w:after="0"/>
              <w:rPr>
                <w:sz w:val="13"/>
                <w:szCs w:val="13"/>
                <w:color w:val="auto"/>
              </w:rPr>
            </w:pPr>
          </w:p>
        </w:tc>
      </w:tr>
      <w:tr>
        <w:trPr>
          <w:trHeight w:val="20"/>
        </w:trPr>
        <w:tc>
          <w:tcPr>
            <w:tcW w:w="3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2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Operating activities:</w:t>
            </w:r>
          </w:p>
        </w:tc>
        <w:tc>
          <w:tcPr>
            <w:tcW w:w="12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20" w:type="dxa"/>
            <w:vAlign w:val="bottom"/>
          </w:tcPr>
          <w:p>
            <w:pPr>
              <w:spacing w:after="0"/>
              <w:rPr>
                <w:sz w:val="20"/>
                <w:szCs w:val="20"/>
                <w:color w:val="auto"/>
              </w:rPr>
            </w:pPr>
            <w:r>
              <w:rPr>
                <w:rFonts w:ascii="Arial" w:cs="Arial" w:eastAsia="Arial" w:hAnsi="Arial"/>
                <w:sz w:val="15"/>
                <w:szCs w:val="15"/>
                <w:color w:val="auto"/>
              </w:rPr>
              <w:t>Net income (loss)</w:t>
            </w:r>
          </w:p>
        </w:tc>
        <w:tc>
          <w:tcPr>
            <w:tcW w:w="1920" w:type="dxa"/>
            <w:vAlign w:val="bottom"/>
            <w:gridSpan w:val="2"/>
          </w:tcPr>
          <w:p>
            <w:pPr>
              <w:jc w:val="right"/>
              <w:ind w:right="488"/>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113</w:t>
            </w:r>
          </w:p>
        </w:tc>
        <w:tc>
          <w:tcPr>
            <w:tcW w:w="260" w:type="dxa"/>
            <w:vAlign w:val="bottom"/>
          </w:tcPr>
          <w:p>
            <w:pPr>
              <w:spacing w:after="0"/>
              <w:rPr>
                <w:sz w:val="15"/>
                <w:szCs w:val="15"/>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(19)</w:t>
            </w: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20" w:type="dxa"/>
            <w:vAlign w:val="bottom"/>
          </w:tcPr>
          <w:p>
            <w:pPr>
              <w:ind w:left="260"/>
              <w:spacing w:after="0" w:line="162" w:lineRule="exact"/>
              <w:rPr>
                <w:sz w:val="20"/>
                <w:szCs w:val="20"/>
                <w:color w:val="auto"/>
              </w:rPr>
            </w:pPr>
            <w:r>
              <w:rPr>
                <w:rFonts w:ascii="Arial" w:cs="Arial" w:eastAsia="Arial" w:hAnsi="Arial"/>
                <w:sz w:val="15"/>
                <w:szCs w:val="15"/>
                <w:color w:val="auto"/>
              </w:rPr>
              <w:t>Depreciation of property and equipment, including amortization of internal-use</w:t>
            </w: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360"/>
              <w:spacing w:after="0"/>
              <w:rPr>
                <w:sz w:val="20"/>
                <w:szCs w:val="20"/>
                <w:color w:val="auto"/>
              </w:rPr>
            </w:pPr>
            <w:r>
              <w:rPr>
                <w:rFonts w:ascii="Arial" w:cs="Arial" w:eastAsia="Arial" w:hAnsi="Arial"/>
                <w:sz w:val="15"/>
                <w:szCs w:val="15"/>
                <w:color w:val="auto"/>
              </w:rPr>
              <w:t>software and website development</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82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Amortization of intangible assets</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Stock-based compensation expense (Note 6)</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118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tax expense (benefit) and other, net</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2"/>
        </w:trPr>
        <w:tc>
          <w:tcPr>
            <w:tcW w:w="6620" w:type="dxa"/>
            <w:vAlign w:val="bottom"/>
          </w:tcPr>
          <w:p>
            <w:pPr>
              <w:ind w:left="260"/>
              <w:spacing w:after="0" w:line="162" w:lineRule="exact"/>
              <w:rPr>
                <w:sz w:val="20"/>
                <w:szCs w:val="20"/>
                <w:color w:val="auto"/>
              </w:rPr>
            </w:pPr>
            <w:r>
              <w:rPr>
                <w:rFonts w:ascii="Arial" w:cs="Arial" w:eastAsia="Arial" w:hAnsi="Arial"/>
                <w:sz w:val="15"/>
                <w:szCs w:val="15"/>
                <w:color w:val="auto"/>
              </w:rPr>
              <w:t>Changes in operating assets and liabilities, net of effects from acquisitions, other</w:t>
            </w: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20" w:type="dxa"/>
            <w:vAlign w:val="bottom"/>
          </w:tcPr>
          <w:p>
            <w:pPr>
              <w:ind w:left="360"/>
              <w:spacing w:after="0"/>
              <w:rPr>
                <w:sz w:val="20"/>
                <w:szCs w:val="20"/>
                <w:color w:val="auto"/>
              </w:rPr>
            </w:pPr>
            <w:r>
              <w:rPr>
                <w:rFonts w:ascii="Arial" w:cs="Arial" w:eastAsia="Arial" w:hAnsi="Arial"/>
                <w:sz w:val="15"/>
                <w:szCs w:val="15"/>
                <w:color w:val="auto"/>
              </w:rPr>
              <w:t>investments and dispositions:</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receivable, prepaid expenses and other assets</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(8)</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(36)</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76"/>
        </w:trPr>
        <w:tc>
          <w:tcPr>
            <w:tcW w:w="6620" w:type="dxa"/>
            <w:vAlign w:val="bottom"/>
          </w:tcPr>
          <w:p>
            <w:pPr>
              <w:ind w:left="500"/>
              <w:spacing w:after="0"/>
              <w:rPr>
                <w:sz w:val="20"/>
                <w:szCs w:val="20"/>
                <w:color w:val="auto"/>
              </w:rPr>
            </w:pPr>
            <w:r>
              <w:rPr>
                <w:rFonts w:ascii="Arial" w:cs="Arial" w:eastAsia="Arial" w:hAnsi="Arial"/>
                <w:sz w:val="15"/>
                <w:szCs w:val="15"/>
                <w:color w:val="auto"/>
              </w:rPr>
              <w:t>Accounts payable, accrued expenses and other liabilities</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Deferred merchant payables</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500"/>
              <w:spacing w:after="0"/>
              <w:rPr>
                <w:sz w:val="20"/>
                <w:szCs w:val="20"/>
                <w:color w:val="auto"/>
              </w:rPr>
            </w:pPr>
            <w:r>
              <w:rPr>
                <w:rFonts w:ascii="Arial" w:cs="Arial" w:eastAsia="Arial" w:hAnsi="Arial"/>
                <w:sz w:val="15"/>
                <w:szCs w:val="15"/>
                <w:color w:val="auto"/>
              </w:rPr>
              <w:t>Income tax receivables/payables, net</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13</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Deferred revenue</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line="169" w:lineRule="exact"/>
              <w:rPr>
                <w:sz w:val="20"/>
                <w:szCs w:val="20"/>
                <w:color w:val="auto"/>
              </w:rPr>
            </w:pPr>
            <w:r>
              <w:rPr>
                <w:rFonts w:ascii="Arial" w:cs="Arial" w:eastAsia="Arial" w:hAnsi="Arial"/>
                <w:sz w:val="15"/>
                <w:szCs w:val="15"/>
                <w:b w:val="1"/>
                <w:bCs w:val="1"/>
                <w:color w:val="auto"/>
              </w:rPr>
              <w:t>Net cash provided by operating activities</w:t>
            </w:r>
          </w:p>
        </w:tc>
        <w:tc>
          <w:tcPr>
            <w:tcW w:w="12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405</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238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rPr>
              <w:t>321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Investing activities:</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Capital expenditures, including internal-use software and website development</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(61)</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(64)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Acquisitions and other investments, net of cash acquired (Note 3)</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(24)</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(43)</w:t>
            </w: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Purchases of marketable securities</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(16)</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Sales of marketable securities</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Maturities of marketable securities</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investing activities, net</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(12)</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5"/>
                <w:szCs w:val="15"/>
                <w:b w:val="1"/>
                <w:bCs w:val="1"/>
                <w:color w:val="auto"/>
              </w:rPr>
              <w:t>Net cash provided by (used in) investing activities</w:t>
            </w: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(49)</w:t>
            </w:r>
          </w:p>
        </w:tc>
        <w:tc>
          <w:tcPr>
            <w:tcW w:w="200" w:type="dxa"/>
            <w:vAlign w:val="bottom"/>
          </w:tcPr>
          <w:p>
            <w:pPr>
              <w:spacing w:after="0"/>
              <w:rPr>
                <w:sz w:val="14"/>
                <w:szCs w:val="14"/>
                <w:color w:val="auto"/>
              </w:rPr>
            </w:pP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Financing activities:</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Repurchase of common stock (Note 16)</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w w:val="96"/>
              </w:rPr>
              <w:t>(100)</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2015 credit facility, net of financing costs</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Payments to 2015 credit facility</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w w:val="96"/>
              </w:rPr>
              <w:t>(235)</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(296)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Chinese credit facilities</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Payments to Chinese credit facilities</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(10)</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2016 credit facility, net of financing costs</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Payments to 2016 credit facility</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Payment of withholding taxes on net share settlements of equity awards</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(26)</w:t>
            </w: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Net cash used in financing activities</w:t>
            </w:r>
          </w:p>
        </w:tc>
        <w:tc>
          <w:tcPr>
            <w:tcW w:w="1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vMerge w:val="continue"/>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w w:val="96"/>
              </w:rPr>
              <w:t>(358)</w:t>
            </w:r>
          </w:p>
        </w:tc>
        <w:tc>
          <w:tcPr>
            <w:tcW w:w="2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(200)</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(16)</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20"/>
        </w:trPr>
        <w:tc>
          <w:tcPr>
            <w:tcW w:w="662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Net increase (decrease) in cash, cash equivalents and restricted cash</w:t>
            </w:r>
          </w:p>
        </w:tc>
        <w:tc>
          <w:tcPr>
            <w:tcW w:w="12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vMerge w:val="continue"/>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(18)</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6"/>
        </w:trPr>
        <w:tc>
          <w:tcPr>
            <w:tcW w:w="66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1280" w:type="dxa"/>
            <w:vAlign w:val="bottom"/>
            <w:tcBorders>
              <w:bottom w:val="single" w:sz="8" w:color="CFF0FC"/>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673</w:t>
            </w:r>
          </w:p>
        </w:tc>
        <w:tc>
          <w:tcPr>
            <w:tcW w:w="2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2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Cash, cash equivalents and restricted cash at end of period</w:t>
            </w:r>
          </w:p>
        </w:tc>
        <w:tc>
          <w:tcPr>
            <w:tcW w:w="1920" w:type="dxa"/>
            <w:vAlign w:val="bottom"/>
            <w:gridSpan w:val="2"/>
            <w:shd w:val="clear" w:color="auto" w:fill="CFF0FC"/>
          </w:tcPr>
          <w:p>
            <w:pPr>
              <w:jc w:val="right"/>
              <w:ind w:right="488"/>
              <w:spacing w:after="0" w:line="169" w:lineRule="exact"/>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655</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673</w:t>
            </w:r>
          </w:p>
        </w:tc>
        <w:tc>
          <w:tcPr>
            <w:tcW w:w="16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12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2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paid during the period for income taxes, net of refunds</w:t>
            </w:r>
          </w:p>
        </w:tc>
        <w:tc>
          <w:tcPr>
            <w:tcW w:w="1920" w:type="dxa"/>
            <w:vAlign w:val="bottom"/>
            <w:gridSpan w:val="2"/>
            <w:shd w:val="clear" w:color="auto" w:fill="CFF0FC"/>
          </w:tcPr>
          <w:p>
            <w:pPr>
              <w:jc w:val="right"/>
              <w:ind w:right="488"/>
              <w:spacing w:after="0"/>
              <w:rPr>
                <w:sz w:val="20"/>
                <w:szCs w:val="20"/>
                <w:color w:val="auto"/>
              </w:rPr>
            </w:pPr>
            <w:r>
              <w:rPr>
                <w:rFonts w:ascii="Arial" w:cs="Arial" w:eastAsia="Arial" w:hAnsi="Arial"/>
                <w:sz w:val="15"/>
                <w:szCs w:val="15"/>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w:t>
            </w:r>
          </w:p>
        </w:tc>
        <w:tc>
          <w:tcPr>
            <w:tcW w:w="16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tcPr>
          <w:p>
            <w:pPr>
              <w:ind w:left="260"/>
              <w:spacing w:after="0"/>
              <w:rPr>
                <w:sz w:val="20"/>
                <w:szCs w:val="20"/>
                <w:color w:val="auto"/>
              </w:rPr>
            </w:pPr>
            <w:r>
              <w:rPr>
                <w:rFonts w:ascii="Arial" w:cs="Arial" w:eastAsia="Arial" w:hAnsi="Arial"/>
                <w:sz w:val="15"/>
                <w:szCs w:val="15"/>
                <w:color w:val="auto"/>
              </w:rPr>
              <w:t>Cash paid during the period for interest</w:t>
            </w:r>
          </w:p>
        </w:tc>
        <w:tc>
          <w:tcPr>
            <w:tcW w:w="1920" w:type="dxa"/>
            <w:vAlign w:val="bottom"/>
            <w:gridSpan w:val="2"/>
          </w:tcPr>
          <w:p>
            <w:pPr>
              <w:jc w:val="right"/>
              <w:ind w:right="488"/>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8</w:t>
            </w:r>
          </w:p>
        </w:tc>
        <w:tc>
          <w:tcPr>
            <w:tcW w:w="260" w:type="dxa"/>
            <w:vAlign w:val="bottom"/>
          </w:tcPr>
          <w:p>
            <w:pPr>
              <w:spacing w:after="0"/>
              <w:rPr>
                <w:sz w:val="15"/>
                <w:szCs w:val="15"/>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2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12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20" w:type="dxa"/>
            <w:vAlign w:val="bottom"/>
          </w:tcPr>
          <w:p>
            <w:pPr>
              <w:ind w:left="260"/>
              <w:spacing w:after="0" w:line="162" w:lineRule="exact"/>
              <w:rPr>
                <w:sz w:val="20"/>
                <w:szCs w:val="20"/>
                <w:color w:val="auto"/>
              </w:rPr>
            </w:pPr>
            <w:r>
              <w:rPr>
                <w:rFonts w:ascii="Arial" w:cs="Arial" w:eastAsia="Arial" w:hAnsi="Arial"/>
                <w:sz w:val="15"/>
                <w:szCs w:val="15"/>
                <w:color w:val="auto"/>
              </w:rPr>
              <w:t>Stock-based compensation capitalized with internal-use software and website</w:t>
            </w: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620" w:type="dxa"/>
            <w:vAlign w:val="bottom"/>
          </w:tcPr>
          <w:p>
            <w:pPr>
              <w:ind w:left="360"/>
              <w:spacing w:after="0"/>
              <w:rPr>
                <w:sz w:val="20"/>
                <w:szCs w:val="20"/>
                <w:color w:val="auto"/>
              </w:rPr>
            </w:pPr>
            <w:r>
              <w:rPr>
                <w:rFonts w:ascii="Arial" w:cs="Arial" w:eastAsia="Arial" w:hAnsi="Arial"/>
                <w:sz w:val="15"/>
                <w:szCs w:val="15"/>
                <w:color w:val="auto"/>
              </w:rPr>
              <w:t>development costs</w:t>
            </w:r>
          </w:p>
        </w:tc>
        <w:tc>
          <w:tcPr>
            <w:tcW w:w="1920" w:type="dxa"/>
            <w:vAlign w:val="bottom"/>
            <w:gridSpan w:val="2"/>
          </w:tcPr>
          <w:p>
            <w:pPr>
              <w:jc w:val="right"/>
              <w:ind w:right="488"/>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13</w:t>
            </w:r>
          </w:p>
        </w:tc>
        <w:tc>
          <w:tcPr>
            <w:tcW w:w="260" w:type="dxa"/>
            <w:vAlign w:val="bottom"/>
          </w:tcPr>
          <w:p>
            <w:pPr>
              <w:spacing w:after="0"/>
              <w:rPr>
                <w:sz w:val="16"/>
                <w:szCs w:val="16"/>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13</w:t>
            </w:r>
          </w:p>
        </w:tc>
        <w:tc>
          <w:tcPr>
            <w:tcW w:w="16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jc w:val="center"/>
        <w:ind w:right="-9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 DESCRIPTION</w:t>
      </w:r>
    </w:p>
    <w:p>
      <w:pPr>
        <w:spacing w:after="0" w:line="121"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consolidated financial statements.</w:t>
      </w:r>
    </w:p>
    <w:p>
      <w:pPr>
        <w:spacing w:after="0" w:line="170"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On December 20, 2011, Expedia Group, Inc. (“Expedia”) completed a spin-off of TripAdvisor into a separate publicly traded Delaware corporation. We refer to this transaction as the “Spin-Off.” TripAdvisor’s common stock began trading on the NASDAQ as an independent public company on December 21, 2011, under the trading symbol “TRIP.”</w:t>
      </w:r>
    </w:p>
    <w:p>
      <w:pPr>
        <w:spacing w:after="0" w:line="181"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On December 11, 2012, Liberty Interactive Corporation, or Liberty, purchased an aggregate of approximately 4.8 million shares of common stock of TripAdvisor from Barry Diller, our former Chairman of the Board of Directors and Senior Executive, and certain of his affiliates. As a result, Liberty beneficially owned approximately 18.2 million shares of our common stock and 12.8 million shares of our Class B common stock.</w:t>
      </w:r>
    </w:p>
    <w:p>
      <w:pPr>
        <w:spacing w:after="0" w:line="166" w:lineRule="exact"/>
        <w:rPr>
          <w:sz w:val="20"/>
          <w:szCs w:val="20"/>
          <w:color w:val="auto"/>
        </w:rPr>
      </w:pPr>
    </w:p>
    <w:p>
      <w:pPr>
        <w:ind w:right="200" w:firstLine="598"/>
        <w:spacing w:after="0" w:line="302" w:lineRule="auto"/>
        <w:rPr>
          <w:sz w:val="20"/>
          <w:szCs w:val="20"/>
          <w:color w:val="auto"/>
        </w:rPr>
      </w:pPr>
      <w:r>
        <w:rPr>
          <w:rFonts w:ascii="Arial" w:cs="Arial" w:eastAsia="Arial" w:hAnsi="Arial"/>
          <w:sz w:val="16"/>
          <w:szCs w:val="16"/>
          <w:color w:val="auto"/>
        </w:rPr>
        <w:t>On August 27, 2014, the entire beneficial ownership of our common stock and Class B common stock held by Liberty was acquired by Liberty TripAdvisor Holdings, Inc., or LTRIP. Simultaneously, Liberty, LTRIP’s former parent company, distributed, by means of a dividend, to the holders of its Liberty Ventures common stock, Liberty’s entire equity interest in LTRIP. We refer to this transaction as the “Liberty Spin-Off”. As a result of the Liberty Spin-Off, effective August 27, 2014, LTRIP became a separate, publicly traded company holding 100% of Liberty’s interest in TripAdvisor.</w:t>
      </w:r>
    </w:p>
    <w:p>
      <w:pPr>
        <w:spacing w:after="0" w:line="154"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As a result of these transactions, as of December 31, 2018, LTRIP beneficially owned approximately 18.2 million shares of our common stock and 12.8 million shares of our Class B common stock, which constitute 14.5% of the outstanding shares of common stock and 100% of the outstanding shares of Class B common stock. Assuming the conversion of all of LTRIP’s shares of Class B common stock into common stock, LTRIP would beneficially own</w:t>
      </w:r>
    </w:p>
    <w:p>
      <w:pPr>
        <w:ind w:right="120"/>
        <w:spacing w:after="0" w:line="290" w:lineRule="auto"/>
        <w:rPr>
          <w:sz w:val="20"/>
          <w:szCs w:val="20"/>
          <w:color w:val="auto"/>
        </w:rPr>
      </w:pPr>
      <w:r>
        <w:rPr>
          <w:rFonts w:ascii="Arial" w:cs="Arial" w:eastAsia="Arial" w:hAnsi="Arial"/>
          <w:sz w:val="17"/>
          <w:szCs w:val="17"/>
          <w:color w:val="auto"/>
        </w:rPr>
        <w:t>22.5% of the outstanding common stock. Because each share of Class B common stock is entitled to ten votes per share and each share of common stock is entitled to one vote per share, LTRIP may be deemed to beneficially own equity securities representing 57.7% of our voting power.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TripAdvisor is an online travel company and our mission is to help people around the world to plan, book and experience the perfect trip. We seek to achieve our mission by providing consumers and travel partners a global platform with rich consumer-generated content, price comparison tools and online reservation and related services for destinations, accommodations, travel activities and experiences, and restaurants.</w:t>
      </w:r>
    </w:p>
    <w:p>
      <w:pPr>
        <w:spacing w:after="0" w:line="166"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TripAdvisor, Inc., by and through its subsidiaries, owns and operates a portfolio of leading online travel brands. Our flagship brand is TripAdvisor. TripAdvisor-branded websites include tripadvisor.com in the United States and localized versions of the website in 48 markets and 28 languages worldwide. TripAdvisor features approximately 730 million reviews and opinions on approximately 8.1 million places to stay, places to eat and things to do – including 1.3 million hotels, inns, B&amp;Bs and specialty lodging, 875,000 rental properties, 4.9 million restaurants and 1.0 million travel activities and experiences worldwide. We also enable consumers to compare prices and/or book a number of these travel experiences on either a TripAdvisor website or mobile app, or on the website or mobile app of one of our travel partners. In addition to the flagship TripAdvisor brand, we manage and operate the following other travel media brands, connected by the common goal of providing consumers the most comprehensive travel-planning and trip-taking resources in the travel industry: www.airfarewatchdog.com, www.bokun.io, www.bookingbuddy.com, www.cruisecritic.com, www.familyvacationcritic.com, www.flipkey.com, www.thefork.com (including www.lafourchette.com, www.eltenedor.com, and www.iens.nl), www.holidaylettings.co.uk, www.holidaywatchdog.com, www.housetrip.com, www.jetsetter.com, www.niumba.com, www.onetime.com, www.oyster.com, www.seatguru.com, www.smartertravel.com, www.tingo.com, www.vacationhomerentals.com, and www.viator.com.</w:t>
      </w: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180" w:firstLine="598"/>
        <w:spacing w:after="0" w:line="297" w:lineRule="auto"/>
        <w:rPr>
          <w:sz w:val="20"/>
          <w:szCs w:val="20"/>
          <w:color w:val="auto"/>
        </w:rPr>
      </w:pPr>
      <w:r>
        <w:rPr>
          <w:rFonts w:ascii="Arial" w:cs="Arial" w:eastAsia="Arial" w:hAnsi="Arial"/>
          <w:sz w:val="16"/>
          <w:szCs w:val="16"/>
          <w:color w:val="auto"/>
        </w:rPr>
        <w:t>Traveler expenditures in the global travel market tend to follow a seasonal pattern. As such, advertising investments made by travel partners to market to potential travelers and, therefore, our revenue and profits tend to be seasonal as well. Our financial performance tends to be seasonally highest in the second and third quarters of a year, as it is a key period for leisure travel research and trip-taking, which includes the seasonal peak in traveler hotel and rental stays, and travel activities and experiences taken, compared to the first and fourth quarters which represent seasonal low points. Further significant shifts in our business mix or adverse economic conditions could result in future seasonal patterns that are different from historical trends.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The accompanying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Additionally, certain prior period amounts have been reclassified for comparability with the current period presentation. The accompanying consolidated financial statements have been prepared in accordance with generally accepted accounting principles in the United States (“GAAP”). We believe that the assumptions underlying our consolidated financial statements are reasonable. However, these consolidated financial statements do not present our future financial position, the results of our future operations and cash flows.</w:t>
      </w:r>
    </w:p>
    <w:p>
      <w:pPr>
        <w:spacing w:after="0" w:line="70" w:lineRule="exact"/>
        <w:rPr>
          <w:sz w:val="20"/>
          <w:szCs w:val="20"/>
          <w:color w:val="auto"/>
        </w:rPr>
      </w:pPr>
    </w:p>
    <w:p>
      <w:pPr>
        <w:ind w:right="120" w:firstLine="598"/>
        <w:spacing w:after="0" w:line="279" w:lineRule="auto"/>
        <w:rPr>
          <w:sz w:val="20"/>
          <w:szCs w:val="20"/>
          <w:color w:val="auto"/>
        </w:rPr>
      </w:pPr>
      <w:r>
        <w:rPr>
          <w:rFonts w:ascii="Arial" w:cs="Arial" w:eastAsia="Arial" w:hAnsi="Arial"/>
          <w:sz w:val="17"/>
          <w:szCs w:val="17"/>
          <w:color w:val="auto"/>
        </w:rPr>
        <w:t>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financials were not material for all periods presented.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 xml:space="preserve">We use estimates and assumptions in the preparation of our consolidated financial statements in accordance with GAAP. Our estimates and assumptions affect the reported amounts of assets and liabilities and disclosure of contingent assets and liabilities as of the date of our consolidated financial statements. These estimates and assumptions also affect the reported amount of net income or loss during any period. Our actual financial results could differ significantly from these estimates. The significant estimates underlying our consolidated financial statements include: (i) recognition and recoverability of goodwill, definite-lived intangibles and other long-lived assets; and (ii) accounting for income taxes. Refer to “Note 11: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for further discussion of our significant income tax amounts included in our consolidated financial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a discussion about our revenue recognition policies and other financial disclosures.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1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Selling and marketing expenses primarily consist of direct costs, including traffic generation costs from SEM and other online traffic acquisition costs, syndication costs and affiliate program commissions, social media costs,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3" w:name="page74"/>
    <w:bookmarkEnd w:id="73"/>
    <w:p>
      <w:pPr>
        <w:ind w:right="200"/>
        <w:spacing w:after="0" w:line="264" w:lineRule="auto"/>
        <w:rPr>
          <w:sz w:val="20"/>
          <w:szCs w:val="20"/>
          <w:color w:val="auto"/>
        </w:rPr>
      </w:pPr>
      <w:r>
        <w:rPr>
          <w:rFonts w:ascii="Arial" w:cs="Arial" w:eastAsia="Arial" w:hAnsi="Arial"/>
          <w:sz w:val="18"/>
          <w:szCs w:val="18"/>
          <w:color w:val="auto"/>
        </w:rPr>
        <w:t>brand advertising, television and other offline advertising, promotions and public relations. In addition, our sales and marketing expenses consist of indirect costs such as personnel and overhead expenses, including salaries, commissions, benefits, stock-based compensation expense, and bonuses for sales, sales support, customer support and marketing employees.</w:t>
      </w:r>
    </w:p>
    <w:p>
      <w:pPr>
        <w:spacing w:after="0" w:line="73"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We incur advertising expense, which includes traffic generation costs from SEM and other online traffic costs, affiliate program commissions, display advertising, social media, and other online, and offline (primarily television) advertising expense, promotions and public relations to promote our brands. We expense the costs associated with communicating the advertisements in the period in which the advertisement takes place. We expense the production costs associated with advertisements in the period in which the advertisement first takes place. For the years ended December 31, 2018, 2017 and 2016, we recorded advertising expense of $544 million, $629 million, and $543 million, respectively, in selling and marketing expense on our consolidated statements of operations. As of December 31, 2018 and 2017, we had $2 million and $5 million, respectively, of prepaid advertising expenses included in prepaid expenses and other current assets on our consolidated balance sheets. We expect to fully expense our prepaid advertising asset of $2 million as of December 31, 2018 to the consolidated statement of operations during 2019.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17" w:lineRule="exact"/>
        <w:rPr>
          <w:sz w:val="20"/>
          <w:szCs w:val="20"/>
          <w:color w:val="auto"/>
        </w:rPr>
      </w:pPr>
    </w:p>
    <w:p>
      <w:pPr>
        <w:jc w:val="both"/>
        <w:ind w:right="180" w:firstLine="598"/>
        <w:spacing w:after="0" w:line="312" w:lineRule="auto"/>
        <w:rPr>
          <w:sz w:val="20"/>
          <w:szCs w:val="20"/>
          <w:color w:val="auto"/>
        </w:rPr>
      </w:pPr>
      <w:r>
        <w:rPr>
          <w:rFonts w:ascii="Arial" w:cs="Arial" w:eastAsia="Arial" w:hAnsi="Arial"/>
          <w:sz w:val="16"/>
          <w:szCs w:val="16"/>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costs, and consulting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exercise price for all stock options granted by us has been equal to the market price of the underlying shares of common stock at</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grant. In this regard, when making stock option awards, our practice is to determine the applicable grant date and to specify that the exercise price shall be the closing price of our common stock on the date of grant. 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85"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 estimated grant-date fair value of stock options is calculated using a Black-Scholes Merton option-pricing model (“Black-Scholes model”). The Black-Scholes model incorporates assumptions to fair value stock-based awards, which includes the risk-free rate of return, expected volatility, expected term and expected dividend yield. Our risk-free interest rate is based on the rates currently available on zero-coupon U.S. Treasury issues, in effect at the time of the grant, whose remaining maturity period most closely approximates the stock option’s expected term assumption. Our expected volatility is calculated by equally weighting the historical volatility and implied volatility on our own common stock. Historical volatility is determined using actual daily price observations of our common stock price over a period equivalent to or approximate to the expected term of our stock option grants to date. Implied volatility represents the volatility calculated from the observed prices of our actively traded options on our common stock, with remaining maturities in excess of six months and market prices approximate to the exercise prices of the stock option grant. We estimate our expected term using historical exercise behavior and expected post-vest termination data. Our expected dividend yield is zero, as we have not paid any dividends on our common stock to date and do not expect to pay any cash dividends for the foreseeable future.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4" w:name="page75"/>
    <w:bookmarkEnd w:id="74"/>
    <w:p>
      <w:pPr>
        <w:ind w:right="200" w:firstLine="598"/>
        <w:spacing w:after="0" w:line="279"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RSUs are stock awards that are granted to employees entitling the holder to shares of our common stock as the award vests.</w:t>
      </w:r>
      <w:r>
        <w:rPr>
          <w:rFonts w:ascii="Arial" w:cs="Arial" w:eastAsia="Arial" w:hAnsi="Arial"/>
          <w:sz w:val="17"/>
          <w:szCs w:val="17"/>
          <w:i w:val="1"/>
          <w:iCs w:val="1"/>
          <w:color w:val="auto"/>
        </w:rPr>
        <w:t xml:space="preserve"> </w:t>
      </w:r>
      <w:r>
        <w:rPr>
          <w:rFonts w:ascii="Arial" w:cs="Arial" w:eastAsia="Arial" w:hAnsi="Arial"/>
          <w:sz w:val="17"/>
          <w:szCs w:val="17"/>
          <w:color w:val="auto"/>
        </w:rPr>
        <w:t>RSUs are measured at fair value based on the quoted price of our common stock at the date of grant. We amortize the fair value of RSUs as stock-based compensation expense over the vesting term, which is typically four years on a straight-line basis, with the amount of compensation expense recognized at any date at least equaling the portion of the grant-date fair value of the award that is vested at that date.</w:t>
      </w:r>
    </w:p>
    <w:p>
      <w:pPr>
        <w:spacing w:after="0" w:line="171"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i w:val="1"/>
          <w:iCs w:val="1"/>
          <w:color w:val="auto"/>
        </w:rPr>
        <w:t xml:space="preserve">Performance-Based Awards. </w:t>
      </w:r>
      <w:r>
        <w:rPr>
          <w:rFonts w:ascii="Arial" w:cs="Arial" w:eastAsia="Arial" w:hAnsi="Arial"/>
          <w:sz w:val="16"/>
          <w:szCs w:val="16"/>
          <w:color w:val="auto"/>
        </w:rPr>
        <w:t>Performance-based stock options and RSUs vest upon achievement of certain company-based performance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a requisite service period. On the date of grant, the fair value of a performance-based award is calculated using the same method as our service based stock options and RSUs described above. We then assess whether it is probable that the individual performance targets would be achieved. If assessed as probable, compensation expense will be recorded for these awards over the estimated performance period. At each reporting period, we will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169"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Market-based performance RSUs, or market-based RSUs (“MSUs”), vest upon achievement of specified levels of market conditions. The fair value of our MSUs is estimated at the date of grant using a Monte-Carlo simulation model. The probabilities of the actual number of market-based performance units expected to vest and resultant actual number of shares of common stock expected to be awarded are reflected in the grant date fair values; therefore, the compensation expense for these awards will be recognized assuming the requisite service period is rendered and are not adjusted based on the actual number of awards that ultimately vest.</w:t>
      </w:r>
    </w:p>
    <w:p>
      <w:pPr>
        <w:spacing w:after="0" w:line="188"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Estimates of fair value are not intended to predict actual future events or the value ultimately realized by employees who receive these awards, and subsequent events are not indicative of the reasonableness of our original estimates of fair value. The Company accounts for forfeitures in the period in which they occur, rather than estimate expected forfeitures.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98"/>
        <w:spacing w:after="0" w:line="288" w:lineRule="auto"/>
        <w:rPr>
          <w:sz w:val="20"/>
          <w:szCs w:val="20"/>
          <w:color w:val="auto"/>
        </w:rPr>
      </w:pPr>
      <w:r>
        <w:rPr>
          <w:rFonts w:ascii="Arial" w:cs="Arial" w:eastAsia="Arial" w:hAnsi="Arial"/>
          <w:sz w:val="16"/>
          <w:szCs w:val="16"/>
          <w:color w:val="auto"/>
        </w:rPr>
        <w:t>We record income taxes under the asset and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income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 We classify deferred tax assets and liabilities as noncurrent on our consolidated balance sheet.</w:t>
      </w:r>
    </w:p>
    <w:p>
      <w:pPr>
        <w:spacing w:after="0" w:line="169"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Our cash consists of cash deposits held in global financial institutions. Our cash equivalents consist of highly liquid investments, including money market funds and marketable debt securities, with maturities of 90 days or less at the date of purchase.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Marketable Securities</w:t>
      </w:r>
    </w:p>
    <w:p>
      <w:pPr>
        <w:spacing w:after="0" w:line="23" w:lineRule="exact"/>
        <w:rPr>
          <w:sz w:val="20"/>
          <w:szCs w:val="20"/>
          <w:color w:val="auto"/>
        </w:rPr>
      </w:pPr>
    </w:p>
    <w:p>
      <w:pPr>
        <w:ind w:right="20" w:firstLine="598"/>
        <w:spacing w:after="0" w:line="252" w:lineRule="auto"/>
        <w:rPr>
          <w:sz w:val="20"/>
          <w:szCs w:val="20"/>
          <w:color w:val="auto"/>
        </w:rPr>
      </w:pPr>
      <w:r>
        <w:rPr>
          <w:rFonts w:ascii="Arial" w:cs="Arial" w:eastAsia="Arial" w:hAnsi="Arial"/>
          <w:sz w:val="18"/>
          <w:szCs w:val="18"/>
          <w:color w:val="auto"/>
        </w:rPr>
        <w:t>We classify our marketable debt securities as either short-term or long-term based on each instrument’s underlying contractual maturity date and as to whether and when we intend to sell a particular security prior to its maturity date. Marketable debt securities with maturities greater than 90 days at the date of purchase and 12 months or less remaining at the balance sheet date will be classified as short-term and marketable debt securities with maturities greater than 12 months from the balance sheet date will generally be classified as long-term. We classify our marketable equity securities, limited by policy to money market funds and mutual funds, as either a cash equivalent, short-term or long-term based on the nature of each security and its availability for use in current operations.</w:t>
      </w:r>
    </w:p>
    <w:p>
      <w:pPr>
        <w:spacing w:after="0" w:line="86"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As of December 31, 2018 and 2017, our marketable debt securities have been classified and accounted for as available-for-sale, and therefore are carried at fair value, with the unrealized gains and losses, net of taxes, reported in accumulated other comprehensive income (loss) as a component of stockholders’ equity. Fair values are determined for each individual security in the investment portfolio. We determine the appropriate classification of our marketable securities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 Realized gains and losses on the sale of marketable securities are determined by specific identification of each security’s cost basis. We may sell certain of our marketable securities prior to their stated maturities for strategic reasons including, but not limited to, anticipation of credit deterioration, liquidity, and duration management. The weighted average maturity of our total invested cash shall not exceed 18 months, and no security shall have a final maturity date greater than three years, according to our investment policy.</w:t>
      </w:r>
    </w:p>
    <w:p>
      <w:pPr>
        <w:spacing w:after="0" w:line="169"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We continually review our available for sale securities to determine whether a decline in fair value below the carrying value is other than temporary. 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it will be required to sell the investment before recovery of the investment’s cost basis. Once a decline in fair value is determined to be other than temporary, an impairment charge is recorded and a new cost basis in the investment is established. If we do not intend to sell the security, but it is probable that we will not collect all amounts due, then only the impairment due to the credit risk would be recognized in earnings and the remaining amount of the impairment would be recognized in accumulated other comprehensive loss within stockholders’ equity.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Accounts receivable are recognized when the right to consideration becomes unconditional and are recorded net of an allowance for doubtful accounts. We record accounts receivable at the invoiced amount. Our customer invoices are generally due 30 days from the time of invoicing. Collateral is not required for accounts receivable. For accounts outstanding longer than the contractual payment terms, we determine an allowance by considering a number of factors, including the length of time trade accounts receivable are past due, previous loss history, a specific customer’s ability to pay its obligations to us, and the condition of the general economy and industry as a whole.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6" w:name="page77"/>
    <w:bookmarkEnd w:id="76"/>
    <w:p>
      <w:pPr>
        <w:ind w:left="600"/>
        <w:spacing w:after="0"/>
        <w:rPr>
          <w:sz w:val="20"/>
          <w:szCs w:val="20"/>
          <w:color w:val="auto"/>
        </w:rPr>
      </w:pPr>
      <w:r>
        <w:rPr>
          <w:rFonts w:ascii="Arial" w:cs="Arial" w:eastAsia="Arial" w:hAnsi="Arial"/>
          <w:sz w:val="18"/>
          <w:szCs w:val="18"/>
          <w:color w:val="auto"/>
        </w:rPr>
        <w:t>The following table presents the changes in our allowance for doubtful accounts for the periods presented: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6"/>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7"/>
        </w:trPr>
        <w:tc>
          <w:tcPr>
            <w:tcW w:w="20" w:type="dxa"/>
            <w:vAlign w:val="bottom"/>
          </w:tcPr>
          <w:p>
            <w:pPr>
              <w:spacing w:after="0"/>
              <w:rPr>
                <w:sz w:val="22"/>
                <w:szCs w:val="22"/>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42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Balance, beginning of period</w:t>
            </w:r>
          </w:p>
        </w:tc>
        <w:tc>
          <w:tcPr>
            <w:tcW w:w="20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Charges to earnings</w:t>
            </w:r>
          </w:p>
        </w:tc>
        <w:tc>
          <w:tcPr>
            <w:tcW w:w="1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400" w:type="dxa"/>
            <w:vAlign w:val="bottom"/>
          </w:tcPr>
          <w:p>
            <w:pPr>
              <w:ind w:left="240"/>
              <w:spacing w:after="0"/>
              <w:rPr>
                <w:sz w:val="20"/>
                <w:szCs w:val="20"/>
                <w:color w:val="auto"/>
              </w:rPr>
            </w:pPr>
            <w:r>
              <w:rPr>
                <w:rFonts w:ascii="Arial" w:cs="Arial" w:eastAsia="Arial" w:hAnsi="Arial"/>
                <w:sz w:val="18"/>
                <w:szCs w:val="18"/>
                <w:color w:val="auto"/>
              </w:rPr>
              <w:t>Write-offs, net of recoveries and other</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380"/>
              <w:spacing w:after="0"/>
              <w:rPr>
                <w:sz w:val="20"/>
                <w:szCs w:val="20"/>
                <w:color w:val="auto"/>
              </w:rPr>
            </w:pPr>
            <w:r>
              <w:rPr>
                <w:rFonts w:ascii="Arial" w:cs="Arial" w:eastAsia="Arial" w:hAnsi="Arial"/>
                <w:sz w:val="18"/>
                <w:szCs w:val="18"/>
                <w:color w:val="auto"/>
              </w:rPr>
              <w:t>adjustments</w:t>
            </w: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Balance, end of period</w:t>
            </w: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 xml:space="preserve">In certain circumstances, we enter into foreign currency forward exchange contracts (“forward contracts”) to reduce, to the extent practical, our potential exposure to the effects of fluctuating foreign currency exchange rates on our cash flows denominated in foreign currencies. We account for derivative instruments that do not qualify for hedge accounting as either assets or liabilities and carry them at fair value, with any subsequent adjustments to fair value recorded in interest income and other, net on our consolidated statements of operations. Monetary assets and liabilities denominated in a currency other than the functional currency of a given subsidiary are remeasured at spot rates in effect on the balance sheet date with the effects of changes in spot rates reported in interest income and other, net on our consolidated statements of operations.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to date, have typically had maturities at inception of 90 days or less. The net cash received or paid related to our derivative instruments are classified in other investing activities in our consolidated statements of cash flows. Counterparties to forward contracts consist of major international financial institutions. We monitor our positions and the credit ratings of the counterparties involved and, by policy limits, the amount of credit exposure to any one party. We do not use derivatives for trading or speculative purposes. We had not entered into any cash flow, fair value or net investment hedges as of December 31, 2018. Refer to “Note 7: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and Fair Value Measurements” </w:t>
      </w:r>
      <w:r>
        <w:rPr>
          <w:rFonts w:ascii="Arial" w:cs="Arial" w:eastAsia="Arial" w:hAnsi="Arial"/>
          <w:sz w:val="16"/>
          <w:szCs w:val="16"/>
          <w:color w:val="auto"/>
        </w:rPr>
        <w:t>for further disclosure on our derivatives.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Including Website and Software Development Costs</w:t>
      </w:r>
    </w:p>
    <w:p>
      <w:pPr>
        <w:spacing w:after="0" w:line="117"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We record property and equipment at cost, net of accumulated depreciation. We capitalize certain costs incurred during the application development stage related to the development of websites and internal use software when it is probable the project will be completed and the software will be used as intended.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78"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We compute depreciation using the straight-line method over the estimated useful lives of the assets, which is three to five years for computer equipment, capitalized software and website development, office furniture and other equipment. We depreciate leasehold improvements using the straight-line method, over the shorter of the estimated useful life of the improvement or the remaining term of the lease.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We lease office space in many countries around the world under non-cancelable lease agreements. We generally lease our office facilities under operating lease agreements. Office facilities subject to an operating lease and the related lease payments are not recorded on our balance sheet. The terms of certain lease agreements provide for rental payments on a graduated basis, however, we recognize rent expense on a straight-line basis over the lease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7" w:name="page78"/>
    <w:bookmarkEnd w:id="77"/>
    <w:p>
      <w:pPr>
        <w:ind w:right="160"/>
        <w:spacing w:after="0" w:line="342" w:lineRule="auto"/>
        <w:rPr>
          <w:sz w:val="20"/>
          <w:szCs w:val="20"/>
          <w:color w:val="auto"/>
        </w:rPr>
      </w:pPr>
      <w:r>
        <w:rPr>
          <w:rFonts w:ascii="Arial" w:cs="Arial" w:eastAsia="Arial" w:hAnsi="Arial"/>
          <w:sz w:val="16"/>
          <w:szCs w:val="16"/>
          <w:color w:val="auto"/>
        </w:rPr>
        <w:t>period in accordance with GAAP. Any lease incentives are recognized as reductions of rental expense on a straight-line basis over the term of the lease. The lease term begins on the date we become legally obligated for the rent payments or when we take possession of the office space, whichever is earlier.</w:t>
      </w:r>
    </w:p>
    <w:p>
      <w:pPr>
        <w:spacing w:after="0" w:line="124"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establish assets and liabilities for the estimated construction costs incurred under lease arrangements where we are considered the owner for accounting purposes only, or build-to-suit leases, to the extent we are involved in the construction of structural improvements or take construction risk prior to commencement of a lease. Upon occupancy of facilities under build-to-suit leases, we assess whether these arrangements qualify for sales recognition under the sale-leaseback accounting guidance under GAAP. If we continue to be the deemed owner, for accounting purposes, the facilities are accounted for as financing obligations.</w:t>
      </w:r>
    </w:p>
    <w:p>
      <w:pPr>
        <w:spacing w:after="0" w:line="188" w:lineRule="exact"/>
        <w:rPr>
          <w:sz w:val="20"/>
          <w:szCs w:val="20"/>
          <w:color w:val="auto"/>
        </w:rPr>
      </w:pPr>
    </w:p>
    <w:p>
      <w:pPr>
        <w:jc w:val="both"/>
        <w:ind w:right="20" w:firstLine="598"/>
        <w:spacing w:after="0" w:line="259" w:lineRule="auto"/>
        <w:rPr>
          <w:sz w:val="20"/>
          <w:szCs w:val="20"/>
          <w:color w:val="auto"/>
        </w:rPr>
      </w:pPr>
      <w:r>
        <w:rPr>
          <w:rFonts w:ascii="Arial" w:cs="Arial" w:eastAsia="Arial" w:hAnsi="Arial"/>
          <w:sz w:val="18"/>
          <w:szCs w:val="18"/>
          <w:color w:val="auto"/>
        </w:rPr>
        <w:t>We also establish assets and liabilities for the present value of estimated future costs to return certain of our leased facilities to their original condition for asset retirement obligations. Such assets are depreciated over the lease period into operating expense, and the recorded liabilities are accreted to the future value of the estimated restoration costs and are included in other long-term liabilities on our consolidated balance sheet. Our asset retirement obligations were not material as of December 31, 2018 and December 31, 2017, respectively.</w:t>
      </w:r>
    </w:p>
    <w:p>
      <w:pPr>
        <w:spacing w:after="0" w:line="187" w:lineRule="exact"/>
        <w:rPr>
          <w:sz w:val="20"/>
          <w:szCs w:val="20"/>
          <w:color w:val="auto"/>
        </w:rPr>
      </w:pPr>
    </w:p>
    <w:p>
      <w:pPr>
        <w:ind w:right="460" w:firstLine="598"/>
        <w:spacing w:after="0" w:line="308" w:lineRule="auto"/>
        <w:rPr>
          <w:sz w:val="20"/>
          <w:szCs w:val="20"/>
          <w:color w:val="auto"/>
        </w:rPr>
      </w:pPr>
      <w:r>
        <w:rPr>
          <w:rFonts w:ascii="Arial" w:cs="Arial" w:eastAsia="Arial" w:hAnsi="Arial"/>
          <w:sz w:val="17"/>
          <w:szCs w:val="17"/>
          <w:color w:val="auto"/>
        </w:rPr>
        <w:t xml:space="preserve">Refer to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xml:space="preserve">,” under the section </w:t>
      </w:r>
      <w:r>
        <w:rPr>
          <w:rFonts w:ascii="Arial" w:cs="Arial" w:eastAsia="Arial" w:hAnsi="Arial"/>
          <w:sz w:val="17"/>
          <w:szCs w:val="17"/>
          <w:i w:val="1"/>
          <w:iCs w:val="1"/>
          <w:color w:val="auto"/>
        </w:rPr>
        <w:t>New Accounting Pronouncements Not Yet Adopted,</w:t>
      </w:r>
      <w:r>
        <w:rPr>
          <w:rFonts w:ascii="Arial" w:cs="Arial" w:eastAsia="Arial" w:hAnsi="Arial"/>
          <w:sz w:val="17"/>
          <w:szCs w:val="17"/>
          <w:color w:val="auto"/>
        </w:rPr>
        <w:t xml:space="preserve"> for information on the potential impact of new lease accounting guidance on our property leases which the Company will adopt on January 1, 2019</w:t>
      </w:r>
      <w:r>
        <w:rPr>
          <w:rFonts w:ascii="Arial" w:cs="Arial" w:eastAsia="Arial" w:hAnsi="Arial"/>
          <w:sz w:val="17"/>
          <w:szCs w:val="17"/>
          <w:i w:val="1"/>
          <w:iCs w:val="1"/>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40" w:firstLine="598"/>
        <w:spacing w:after="0" w:line="270" w:lineRule="auto"/>
        <w:rPr>
          <w:sz w:val="20"/>
          <w:szCs w:val="20"/>
          <w:color w:val="auto"/>
        </w:rPr>
      </w:pPr>
      <w:r>
        <w:rPr>
          <w:rFonts w:ascii="Arial" w:cs="Arial" w:eastAsia="Arial" w:hAnsi="Arial"/>
          <w:sz w:val="17"/>
          <w:szCs w:val="17"/>
          <w:color w:val="auto"/>
        </w:rPr>
        <w:t>We account for acquired businesses using the acquisition method of accounting which requires that the tangible assets and identifiable intangible assets acquired and assumed liabilities be recorded at the date of acquisition at their respective fair values. Any excess purchase price over the estimated fair value of the net tangible and intangible assets acquired is allocated to goodwill. When determining the fair values of assets acquired and liabilities assumed, management makes estimates and assumptions, especially with respect to intangible assets. Significant estimates in valuing certain intangible assets may include but are not limited to future expected cash flows from customer and supplier relationships,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Valuations are performed by management or third party valuation specialists under management's supervision, where appropriate. Any changes to provisional amounts identified during the measurement period, calculated as if the accounting had been completed as of the acquisition date, are recognized in the consolidated statement of operations in the reporting period in which the adjustment amounts are determined.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We evaluate our reporting units when changes in our operating structure occur, and if necessary, reassign goodwill using a relative fair value allocation approach.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w:t>
      </w:r>
    </w:p>
    <w:p>
      <w:pPr>
        <w:spacing w:after="0" w:line="70"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The Company has the option to qualitatively assess whether it is more likely than not that the fair value of a reporting unit is less than its carrying value. In the evaluation of goodwill for impairment, we generally first perform a qualitative assessment to determine whether it is more likely than not (i.e., a likelihood of more than 50%) that the estimated fair value of the reporting unit is less than the carrying amount. Periodically, we may choose to forgo the initial qualitative assessment and proceed directly to a quantitative analysis to assist in our annual evaluation. When assessing goodwill for impairment, our decision to perform a qualitative impairment assessment for an individual reporting unit in a given year is influenced by a number of factors, including, but not limited to the size of the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8" w:name="page79"/>
    <w:bookmarkEnd w:id="78"/>
    <w:p>
      <w:pPr>
        <w:spacing w:after="0" w:line="254" w:lineRule="auto"/>
        <w:rPr>
          <w:sz w:val="20"/>
          <w:szCs w:val="20"/>
          <w:color w:val="auto"/>
        </w:rPr>
      </w:pPr>
      <w:r>
        <w:rPr>
          <w:rFonts w:ascii="Arial" w:cs="Arial" w:eastAsia="Arial" w:hAnsi="Arial"/>
          <w:sz w:val="18"/>
          <w:szCs w:val="18"/>
          <w:color w:val="auto"/>
        </w:rPr>
        <w:t>reporting unit's goodwill, the significance of the excess of the reporting unit's estimated fair value over carrying value at the last quantitative assessment date, the amount of time in between quantitative fair value assessments from the date of acquisition to establish an updated baseline quantitative analysis, and other performance and market indicators. During a qualitative assessment, if we determine that it is not more likely than not that the implied fair value of the goodwill is less than its carrying amount, no further testing is necessary. If, however, we determine that it is more likely than not that the implied fair value of the goodwill is less than its carrying amount, we then perform a quantitative assessment and compare the estimated fair value of the reporting unit to the carrying value. If the carrying value of a reporting unit exceeds its estimated fair value, the goodwill impairment is measured using the difference between the carrying value and the fair value of the reporting unit; however, any loss recognized cannot exceed the total amount of goodwill allocated to that reporting unit.</w:t>
      </w:r>
    </w:p>
    <w:p>
      <w:pPr>
        <w:spacing w:after="0" w:line="192" w:lineRule="exact"/>
        <w:rPr>
          <w:sz w:val="20"/>
          <w:szCs w:val="20"/>
          <w:color w:val="auto"/>
        </w:rPr>
      </w:pPr>
    </w:p>
    <w:p>
      <w:pPr>
        <w:ind w:right="20" w:firstLine="598"/>
        <w:spacing w:after="0" w:line="287" w:lineRule="auto"/>
        <w:rPr>
          <w:sz w:val="20"/>
          <w:szCs w:val="20"/>
          <w:color w:val="auto"/>
        </w:rPr>
      </w:pPr>
      <w:r>
        <w:rPr>
          <w:rFonts w:ascii="Arial" w:cs="Arial" w:eastAsia="Arial" w:hAnsi="Arial"/>
          <w:sz w:val="16"/>
          <w:szCs w:val="16"/>
          <w:color w:val="auto"/>
        </w:rPr>
        <w:t>In determining the estimated fair values of reporting units in a quantitative goodwill impairment test, we generally use a blend, of the following recognized valuation methods: the income approach (discounted cash flows model) and the market valuation approach, which we believe compensates for the inherent risks of using either model on a stand-alone basis. The discounted cash flows model indicates the fair value of the reporting units based on the present value of the cash flows that we expect the reporting units to generate in the future. Our significant estimates in the discounted cash flows model include: weighted average cost of capital; long-term rate of growth and profitability of the reporting unit; income tax rates and working capital effects. The market valuation approach indicates the fair value of the business based on a comparison to comparable publicly traded firms in similar lines of business and other precedent transactions.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Valuations are performed by management or third party valuation specialists under management's supervision, where appropriate. We believe that the estimated fair values assigned to our reporting units in impairment tests are based on reasonable assumptions that marketplace participants would use.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169"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During the Company's annual goodwill impairment test during the fourth quarter of 2018, a qualitative assessment for each of our reporting units' goodwill was performed and we concluded it was not more likely than not that an impairment existed. Accordingly, we did not proceed to a quantitative assessment or recognize any impairment charges during the year ending December 31, 2018. As part of our qualitative assessment for our 2018 goodwill impairment analysis of our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current and future forecasted financial results of the reporting units, (f) comparison of our current financial performance to historical and budgeted results of the reporting units, (g) change in excess of the Company’s market capitalization over its book value, (h) changes in estimates, valuation inputs, and/or assumptions since the last quantitative analysis of the reporting units, (i) changes in the regulatory environment;</w:t>
      </w:r>
    </w:p>
    <w:p>
      <w:pPr>
        <w:spacing w:after="0" w:line="1" w:lineRule="exact"/>
        <w:rPr>
          <w:sz w:val="20"/>
          <w:szCs w:val="20"/>
          <w:color w:val="auto"/>
        </w:rPr>
      </w:pPr>
    </w:p>
    <w:p>
      <w:pPr>
        <w:ind w:right="260" w:firstLine="8"/>
        <w:spacing w:after="0" w:line="255" w:lineRule="auto"/>
        <w:tabs>
          <w:tab w:leader="none" w:pos="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strategic outlook or organizational structure and leadership of the reporting units; and (k) other relevant factors, and how these factors might impact specific performance in future periods. However, as we periodically reassess estimated future cash flows and asset fair values, changes in our estimates and assumptions may cause us to realize material impairment charges in the future.</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Intangible assets with estimable useful lives, or definite-lived intangibles, are carried at cost and are amortized on a straight-line basis over their estimated useful lives and reviewed for impairment upon certain triggering events. We routinely review the remaining estimated useful lives of definite-lived intangible assets. If we reduce the estimated useful life assumption, the remaining unamortized balance is amortized over the revised estimated useful life.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9" w:name="page80"/>
    <w:bookmarkEnd w:id="79"/>
    <w:p>
      <w:pPr>
        <w:ind w:right="20" w:firstLine="598"/>
        <w:spacing w:after="0" w:line="268" w:lineRule="auto"/>
        <w:rPr>
          <w:sz w:val="20"/>
          <w:szCs w:val="20"/>
          <w:color w:val="auto"/>
        </w:rPr>
      </w:pPr>
      <w:r>
        <w:rPr>
          <w:rFonts w:ascii="Arial" w:cs="Arial" w:eastAsia="Arial" w:hAnsi="Arial"/>
          <w:sz w:val="17"/>
          <w:szCs w:val="17"/>
          <w:color w:val="auto"/>
        </w:rPr>
        <w:t>Intangible assets that have indefinite lives are not amortized and are tested for impairment annually during the fourth quarter, or whenever events or changes in circumstances indicate that the carrying value may not be recoverable. Similar to the qualitative assessment for goodwill, we may assess qualitative factors to determine if it is more likely than not that the implied fair value of the indefinite-lived intangible asset is less than its carrying amount. If we determine that it is not more likely than not that the implied fair value of the indefinite-lived intangible asset is less than its carrying amount, no further testing is necessary. If, however, we determine that it is more likely than not that the implied fair value of the indefinite-lived intangible asset is less than its carrying amount, we compare the implied fair value of the indefinite-lived asset with its carrying amount. If the carrying amount of an individual indefinite-lived intangible asset exceeds its implied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 We base our quantitative measurement of fair value of indefinite-lived intangible assets, using the relief-from-royalty method. This method assumes that the trade name and trademarks have value to the extent that their owner is relieved of the obligation to pay royalties for the benefits received from them. This method requires us to estimate future revenues, the appropriate royalty rate and the weighted average cost of capital, however, such assumptions are inherently uncertain and actual results could differ from those estimates. The use of different assumptions, estimates or judgments could trigger the need for an impairment charge, or materially increase or decrease the amount of any such impairment charge.</w:t>
      </w:r>
    </w:p>
    <w:p>
      <w:pPr>
        <w:spacing w:after="0" w:line="185"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The carrying value of indefinite-lived intangible assets that is subject to annual assessment for impairment is $30 million at December 31, 2018 and consists of trademarks and tradenames. During the Company's annual indefinite-lived intangible impairment test during the fourth quarter of 2018, a qualitative assessment was performed. As part of our qualitative assessment we considered, amongst other factors, the amount of excess fair value of our trade names and trademarks to the carrying value of those same assets, changes in estimates, and valuation input assumptions, since our previous quantitative analysis. After considering these factors and the impact that changes in such factors would have on the inputs used in our previous quantitative assessment, we determined that it was more likely than not that our indefinite-lived intangible assets were not impaired as of December 31, 2018.</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80" w:firstLine="598"/>
        <w:spacing w:after="0" w:line="287" w:lineRule="auto"/>
        <w:rPr>
          <w:sz w:val="20"/>
          <w:szCs w:val="20"/>
          <w:color w:val="auto"/>
        </w:rPr>
      </w:pPr>
      <w:r>
        <w:rPr>
          <w:rFonts w:ascii="Arial" w:cs="Arial" w:eastAsia="Arial" w:hAnsi="Arial"/>
          <w:sz w:val="16"/>
          <w:szCs w:val="16"/>
          <w:color w:val="auto"/>
        </w:rPr>
        <w:t>We periodically review the carrying amount of our definite-lived intangible assets and other long-term assets, including property and equipment and website and internal use software, to determine whether current events or circumstances indicate that such carrying amounts may not be recoverable. 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group by determining if the carrying value of the asset group exceeds the sum of the projected undiscounted cash flows expected to result from the use and eventual disposition of the assets over the remaining economic life of the primary asset of the group. If the recoverability test indicates that the carrying value of the asset group is not recoverable, we will estimate the fair value of the asset group using appropriate valuation methodologies which would typically include an estimate of discounted cash flows, using an appropriate discount rate. Any impairment would be measured by the amount that the carrying values, of such asset groups, exceed their fair value and would be included in operating income on the consolidated statement of operations. Considerable management judgment is necessary to estimate the fair value of asset groups. Accordingly, actual results could vary significantly from such estimates. We have not identified any circumstances that would warrant an impairment charge for any recorded definite-lived intangibles or other long term assets on our consolidated balance sheet at December 31, 2018.</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Merchant Payables</w:t>
      </w:r>
    </w:p>
    <w:p>
      <w:pPr>
        <w:spacing w:after="0" w:line="117"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In our Rentals free-to-list model and our Experiences offerings, we receive cash from travelers at the time of booking and we record these amounts, net of commissions, on our consolidated balance sheets as deferred merchant payables. We pay the suppliers, or the vacation rental owners and tour providers, respectively, after the travelers’ use. Therefore, we receive cash from the traveler prior to paying the supplier and this operating cycle represents a</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0" w:name="page81"/>
    <w:bookmarkEnd w:id="80"/>
    <w:p>
      <w:pPr>
        <w:ind w:right="380"/>
        <w:spacing w:after="0" w:line="277" w:lineRule="auto"/>
        <w:rPr>
          <w:sz w:val="20"/>
          <w:szCs w:val="20"/>
          <w:color w:val="auto"/>
        </w:rPr>
      </w:pPr>
      <w:r>
        <w:rPr>
          <w:rFonts w:ascii="Arial" w:cs="Arial" w:eastAsia="Arial" w:hAnsi="Arial"/>
          <w:sz w:val="18"/>
          <w:szCs w:val="18"/>
          <w:color w:val="auto"/>
        </w:rPr>
        <w:t>working capital source or use of cash to us. Our deferred merchant payables balance was $164 million and $156 million at December 31, 2018 and 2017, respectively, on our consolidated balance sheets.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 Gains and Losses</w:t>
      </w:r>
    </w:p>
    <w:p>
      <w:pPr>
        <w:spacing w:after="0" w:line="117" w:lineRule="exact"/>
        <w:rPr>
          <w:sz w:val="20"/>
          <w:szCs w:val="20"/>
          <w:color w:val="auto"/>
        </w:rPr>
      </w:pPr>
    </w:p>
    <w:p>
      <w:pPr>
        <w:ind w:right="120" w:firstLine="598"/>
        <w:spacing w:after="0" w:line="257" w:lineRule="auto"/>
        <w:rPr>
          <w:sz w:val="20"/>
          <w:szCs w:val="20"/>
          <w:color w:val="auto"/>
        </w:rPr>
      </w:pPr>
      <w:r>
        <w:rPr>
          <w:rFonts w:ascii="Arial" w:cs="Arial" w:eastAsia="Arial" w:hAnsi="Arial"/>
          <w:sz w:val="18"/>
          <w:szCs w:val="18"/>
          <w:color w:val="auto"/>
        </w:rPr>
        <w:t>Our consolidated financial statements are reported in U.S. dollars. Certain of our subsidiaries outside of the United States use the related local currency as their functional currency and not the U.S. dollar. Therefore assets and liabilities of our foreign subsidiaries are translated at the spot rate in effect at the applicable reporting date, and the consolidated statements of operations are translated at the average exchange rates in effect during the applicable period. The resulting unrealized cumulative translation adjustment is recorded as a component of accumulated other comprehensive income (loss) in stockholders’ equity on our consolidated balance sheet.</w:t>
      </w:r>
    </w:p>
    <w:p>
      <w:pPr>
        <w:spacing w:after="0" w:line="80"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We also have subsidiaries that have transactions in foreign currencies other than their functional currency. Transactions denominated in currencies other than the functional currency are recorded based on exchange rates at the time such transactions arise. Subsequent changes in exchange rates result in transaction gains and losses which are reflected in our consolidated statements of operations as unrealized (based on the applicable period-end exchange rate) or realized upon settlement of the transactions. Accordingly, we have recorded net foreign currency exchange losses of $6 million, gains of $1 million, and losses of $6 million for the years ended December 31, 2018, 2017 and 2016, respectively, in interest income and other, net on our consolidated statement of operations. These amounts also include transaction gains and losses, both realized and unrealized from forward contracts.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and Disclosures</w:t>
      </w:r>
    </w:p>
    <w:p>
      <w:pPr>
        <w:spacing w:after="0" w:line="117"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 on either a recurring or nonrecurring basis whereby inputs, used in valuation techniques, are assigned a hierarchical level. GAAP provides the following hierarchical levels of inputs used to measure fair value:</w:t>
      </w:r>
    </w:p>
    <w:p>
      <w:pPr>
        <w:spacing w:after="0" w:line="7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600" w:right="60" w:firstLine="567"/>
        <w:spacing w:after="0" w:line="264"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sz w:val="20"/>
          <w:szCs w:val="20"/>
          <w:color w:val="auto"/>
        </w:rPr>
      </w:pPr>
    </w:p>
    <w:p>
      <w:pPr>
        <w:ind w:left="600" w:right="380" w:firstLine="567"/>
        <w:spacing w:after="0" w:line="27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Risks and Concentrations</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 xml:space="preserve">Our business is subject to certain risks and concentrations, including concentration related to dependence on our relationships with our customers. For the years ended December 31, 2018, 2017 and 2016 our two most significant travel partners, Expedia (and its subsidiaries) and Booking (and its subsidiaries), each accounted for more than 10% of our consolidated revenue and combined accounted for 37%, 43% and 46%, respectively, of our consolidated revenue, with nearly all of this revenue concentrated in our Hotel segment. In addition, refer to “Note 18: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for disclosure on our concentrations for geographic revenue and products.</w:t>
      </w:r>
    </w:p>
    <w:p>
      <w:pPr>
        <w:spacing w:after="0" w:line="80"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Financial instruments, which potentially subject us to concentration of credit risk, consist primarily of cash and cash equivalents, corporate debt securities, forward contracts, and accounts receivable. We maintain some cash and cash equivalents balances with financial institutions that are in excess of Federal Deposit Insurance Corporation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1" w:name="page82"/>
    <w:bookmarkEnd w:id="81"/>
    <w:p>
      <w:pPr>
        <w:spacing w:after="0" w:line="255" w:lineRule="auto"/>
        <w:rPr>
          <w:sz w:val="20"/>
          <w:szCs w:val="20"/>
          <w:color w:val="auto"/>
        </w:rPr>
      </w:pPr>
      <w:r>
        <w:rPr>
          <w:rFonts w:ascii="Arial" w:cs="Arial" w:eastAsia="Arial" w:hAnsi="Arial"/>
          <w:sz w:val="18"/>
          <w:szCs w:val="18"/>
          <w:color w:val="auto"/>
        </w:rPr>
        <w:t>insurance limits. Our cash and cash equivalents are primarily composed of bank account balances with financial institutions primarily denominated in U.S. dollars, Euros, British pounds, and Australian dollars, as well as, money market funds. We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are transacted with various international financial institutions with high credit standings, which to date, have typically had maturities of less than 90 days. Our overall credit risk related to accounts receivable is mitigated by the relatively short collection period.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 in the notes to the consolidated financial statements for loss contingencies that do not meet both these conditions if there is a reasonable possibility that a loss may have been incurred that would be material to the consolidated financial statements. Significant judgment may be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jc w:val="both"/>
        <w:ind w:right="80" w:firstLine="598"/>
        <w:spacing w:after="0" w:line="257" w:lineRule="auto"/>
        <w:rPr>
          <w:sz w:val="20"/>
          <w:szCs w:val="20"/>
          <w:color w:val="auto"/>
        </w:rPr>
      </w:pPr>
      <w:r>
        <w:rPr>
          <w:rFonts w:ascii="Arial" w:cs="Arial" w:eastAsia="Arial" w:hAnsi="Arial"/>
          <w:sz w:val="18"/>
          <w:szCs w:val="18"/>
          <w:color w:val="auto"/>
        </w:rPr>
        <w:t>Shares of our common stock repurchased are recorded at cost as treasury stock and result in the reduction of stockholders' equity in our consolidated balance sheet. We may reissue these treasury shares. When treasury shares are reissued, we use the average cost method for determining the cost of reissued shares. If the issuance price is higher than the cost, the excess of the issuance price over the cost is credited to additional paid-in-capital. If the issuance price is lower than the cost, the difference is first charged against any credit balance in additional paid-in-capital from the previous issuances of treasury stock and any remaining balance is charged to retained earnings.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 xml:space="preserve">Refer to “Note 5: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for a discussion about how we compute Basic EPS and Diluted EPS.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5"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In August 2018, the Financial Accounting Standards Board (“FASB”) issued new accounting guidance which require a customer in a cloud computing arrangement (i.e., hosting arrangement) that is a service contract to follow the internal-use software guidance to determine which implementation costs to capitalize as assets or expense as incurred. The accounting for the cost of the hosting component of the arrangement (i.e., service costs the customer pays for the cloud computing service) is not affected by this new guidance. This guidance is effective for fiscal years, and interim periods within those fiscal years, beginning after December 15, 2019, with early adoption permitted, including adoption in any interim period. Entities have the option to apply the guidance retrospectively or prospectively to all implementation costs incurred after the date of adoption. We are currently considering our timing of adoption and the transition application method. We are also in the process of evaluating the impact of adopting this guidance on our consolidated financial statements and related disclosures.</w:t>
      </w:r>
    </w:p>
    <w:p>
      <w:pPr>
        <w:spacing w:after="0" w:line="192" w:lineRule="exact"/>
        <w:rPr>
          <w:sz w:val="20"/>
          <w:szCs w:val="20"/>
          <w:color w:val="auto"/>
        </w:rPr>
      </w:pPr>
    </w:p>
    <w:p>
      <w:pPr>
        <w:jc w:val="both"/>
        <w:ind w:right="140" w:firstLine="598"/>
        <w:spacing w:after="0" w:line="291" w:lineRule="auto"/>
        <w:rPr>
          <w:sz w:val="20"/>
          <w:szCs w:val="20"/>
          <w:color w:val="auto"/>
        </w:rPr>
      </w:pPr>
      <w:r>
        <w:rPr>
          <w:rFonts w:ascii="Arial" w:cs="Arial" w:eastAsia="Arial" w:hAnsi="Arial"/>
          <w:sz w:val="16"/>
          <w:szCs w:val="16"/>
          <w:color w:val="auto"/>
        </w:rPr>
        <w:t>In June 2016, the FASB issued new accounting guidance on the measurement of credit losses for financial assets measured at amortized cost, which includes accounts receivable, and available-for-sale debt securities. For financial assets measured at amortized cost, this new guidance requires an entity to:</w:t>
      </w:r>
    </w:p>
    <w:p>
      <w:pPr>
        <w:jc w:val="both"/>
        <w:ind w:right="280" w:firstLine="8"/>
        <w:spacing w:after="0" w:line="295"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82" w:name="page83"/>
    <w:bookmarkEnd w:id="82"/>
    <w:p>
      <w:pPr>
        <w:spacing w:after="0" w:line="293" w:lineRule="auto"/>
        <w:rPr>
          <w:sz w:val="20"/>
          <w:szCs w:val="20"/>
          <w:color w:val="auto"/>
        </w:rPr>
      </w:pPr>
      <w:r>
        <w:rPr>
          <w:rFonts w:ascii="Arial" w:cs="Arial" w:eastAsia="Arial" w:hAnsi="Arial"/>
          <w:sz w:val="16"/>
          <w:szCs w:val="16"/>
          <w:color w:val="auto"/>
        </w:rPr>
        <w:t>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 (4) 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We are currently considering our timing of adoption and in the process of evaluating the impact of adopting this guidance on our consolidated financial statements and related disclosures.</w:t>
      </w:r>
    </w:p>
    <w:p>
      <w:pPr>
        <w:spacing w:after="0" w:line="165" w:lineRule="exact"/>
        <w:rPr>
          <w:sz w:val="20"/>
          <w:szCs w:val="20"/>
          <w:color w:val="auto"/>
        </w:rPr>
      </w:pPr>
    </w:p>
    <w:p>
      <w:pPr>
        <w:ind w:firstLine="598"/>
        <w:spacing w:after="0" w:line="269" w:lineRule="auto"/>
        <w:rPr>
          <w:sz w:val="20"/>
          <w:szCs w:val="20"/>
          <w:color w:val="auto"/>
        </w:rPr>
      </w:pPr>
      <w:r>
        <w:rPr>
          <w:rFonts w:ascii="Arial" w:cs="Arial" w:eastAsia="Arial" w:hAnsi="Arial"/>
          <w:sz w:val="17"/>
          <w:szCs w:val="17"/>
          <w:color w:val="auto"/>
        </w:rPr>
        <w:t>In February 2016, the FASB issued new guidance related to accounting for leases. The new standard amends the existing standards for lease accounting and includes the requirement for lessee recognition of right-of-use (ROU) assets and lease liabilities on the balance sheet for all leases with a term longer than twelve months, which will be initially measured at the present value of the future lease payments over the lease term. Under the new guidance, leases will be classified as either finance or operating leases, with classification affecting the pattern and presentation of expenses and cash flows on our consolidated financial statements. This guidance is effective for fiscal years, and interim periods within those fiscal years, beginning after December 15, 2018, with early adoption permitted. In July 2018, the FASB issued additional guidance on the accounting for leases which provides companies with an additional transition method, which allows companies to recognize a cumulative-effect adjustment to the opening balance of retained earnings as of the date of adoption. Under this transition method, previously presented years’ financial positions and financial results would not be adjusted. We will adopt the new standard on January 1, 2019 and use the effective date as our date of initial application based on the modified retrospective approach without adjusting the comparative periods presented. Consequently, we will not update our consolidated financial statements or provide any disclosures required under the new standard for dates and periods prior to January 1, 2019.</w:t>
      </w:r>
    </w:p>
    <w:p>
      <w:pPr>
        <w:spacing w:after="0" w:line="183" w:lineRule="exact"/>
        <w:rPr>
          <w:sz w:val="20"/>
          <w:szCs w:val="20"/>
          <w:color w:val="auto"/>
        </w:rPr>
      </w:pPr>
    </w:p>
    <w:p>
      <w:pPr>
        <w:ind w:right="80" w:firstLine="598"/>
        <w:spacing w:after="0" w:line="289" w:lineRule="auto"/>
        <w:rPr>
          <w:sz w:val="20"/>
          <w:szCs w:val="20"/>
          <w:color w:val="auto"/>
        </w:rPr>
      </w:pPr>
      <w:r>
        <w:rPr>
          <w:rFonts w:ascii="Arial" w:cs="Arial" w:eastAsia="Arial" w:hAnsi="Arial"/>
          <w:sz w:val="16"/>
          <w:szCs w:val="16"/>
          <w:color w:val="auto"/>
        </w:rPr>
        <w:t>The new guidance provides a number of optional practical expedients and exemptions available upon adoption and for ongoing accounting. We plan to elect the following practical expedients: 1) the “practical expedients package of three”, which allows us at transition to continue to maintain prior accounting conclusions under the existing guidance for leases as of the adoption date, such as whether any expired or existing contracts contain leases, the classification of leases, and the accounting treatment for initial direct costs; thereby not being required to reassess these positions upon adoption of the new standard; 2) the “short-term lease recognition exemption”, which allows us to forego recognition of ROU assets and lease liabilities on our consolidated balance sheet for leases with a lease term of twelve months or less and which also do not include an option to renew the lease term that we are reasonably certain to exercise; 3) elect by asset class as an accounting policy, to combine lease and non-lease components as a single component and subsequently account for the combined single component as the lease component; and 4) apply the portfolio approach to similar types of leases where the Company does not reasonably expect the outcome to differ materially from applying the new guidance to individual leases.</w:t>
      </w:r>
    </w:p>
    <w:p>
      <w:pPr>
        <w:spacing w:after="0" w:line="167" w:lineRule="exact"/>
        <w:rPr>
          <w:sz w:val="20"/>
          <w:szCs w:val="20"/>
          <w:color w:val="auto"/>
        </w:rPr>
      </w:pPr>
    </w:p>
    <w:p>
      <w:pPr>
        <w:ind w:right="80" w:firstLine="598"/>
        <w:spacing w:after="0" w:line="312" w:lineRule="auto"/>
        <w:rPr>
          <w:sz w:val="20"/>
          <w:szCs w:val="20"/>
          <w:color w:val="auto"/>
        </w:rPr>
      </w:pPr>
      <w:r>
        <w:rPr>
          <w:rFonts w:ascii="Arial" w:cs="Arial" w:eastAsia="Arial" w:hAnsi="Arial"/>
          <w:sz w:val="16"/>
          <w:szCs w:val="16"/>
          <w:color w:val="auto"/>
        </w:rPr>
        <w:t>In anticipation of adoption, we have updated our accounting policies to reflect the accounting rules within the new guidance and have completed the implementation of our lease accounting software to support our accounting process, financial reporting and the new financial disclosure requirements. We expect to implement certain new internal controls surrounding our lease accounting process upon the adoption of the new guidance.</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currently expect the primary effects of adoption of this new guidance to be as follows:</w:t>
      </w:r>
    </w:p>
    <w:p>
      <w:pPr>
        <w:spacing w:after="0" w:line="225" w:lineRule="exact"/>
        <w:rPr>
          <w:sz w:val="20"/>
          <w:szCs w:val="20"/>
          <w:color w:val="auto"/>
        </w:rPr>
      </w:pPr>
    </w:p>
    <w:p>
      <w:pPr>
        <w:ind w:left="880" w:right="40" w:hanging="440"/>
        <w:spacing w:after="0" w:line="255"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Office space leases. </w:t>
      </w:r>
      <w:r>
        <w:rPr>
          <w:rFonts w:ascii="Arial" w:cs="Arial" w:eastAsia="Arial" w:hAnsi="Arial"/>
          <w:sz w:val="18"/>
          <w:szCs w:val="18"/>
          <w:color w:val="auto"/>
        </w:rPr>
        <w:t>We expect our office space leases, except for our Headquarters Lease, to remain operating leases which we will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ROU assets and corresponding lease liabilities on our consolidated balance sheet under the new guidance. We expect to recognize ROU assets ranging from $70 million to $80 million and lease liabilities of approximately $85 million to $95 million based on the present value of the remaining rental payments for these office space leases as of January 1, 2019. The difference in the ROU asset and the lease liability is the result of balances already recognized related to deferred and prepaid rent balances. In addition, we do not expect our short-term lease costs, variable lease costs, primarily from rental payments that are adjusted periodically for inflation, and our initial direct costs, to be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3" w:name="page84"/>
    <w:bookmarkEnd w:id="83"/>
    <w:p>
      <w:pPr>
        <w:ind w:left="880" w:right="60" w:hanging="440"/>
        <w:spacing w:after="0" w:line="270"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Corporate headquarters lease</w:t>
      </w:r>
      <w:r>
        <w:rPr>
          <w:rFonts w:ascii="Arial" w:cs="Arial" w:eastAsia="Arial" w:hAnsi="Arial"/>
          <w:sz w:val="17"/>
          <w:szCs w:val="17"/>
          <w:color w:val="auto"/>
        </w:rPr>
        <w:t>. We are deemed the owner for accounting purposes of our corporate headquarters building under existing GAAP.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Refer to “Note 14—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for additional information on the accounting under existing GAAP for our Headquarters Lease. Upon adoption of the new guidance, we expect to derecognize amounts in property and equipment, net and other long-term liabilities on our consolidated balance sheet as of December 31, 2018 of approximately $62 million and $70 million, respectively, with the difference recorded to our opening balance of retained earnings as of the adoption date. We expect our Headquarters Lease to be classified and accounted for as a finance lease under the new guidance as of January 1, 2019. Accordingly, we expect to then recognize an ROU asset ranging from $105 million to $120 million and a lease liability of approximately $85 million to $95 million based on the initial measurement of the present value of the remaining lease payments over the remaining lease term. The difference between the ROU asset and lease liability relates to a net prepaid rent balance.</w:t>
      </w:r>
    </w:p>
    <w:p>
      <w:pPr>
        <w:spacing w:after="0" w:line="182"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We do not anticipate the income tax impact to be material to our consolidated financial statements from the adoption of this guidance. We also do not expect the adoption of this new guidance will have a material impact, either on an annual or quarterly basis, to our consolidated statement of operations and consolidated statement of cash flows on a go-forward basis. We expect to expand financial disclosure concerning leasing activity, including qualitative and quantitative disclosures.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 xml:space="preserve">In August 2018, the SEC adopted a final rule under SEC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that amends certain disclosure requirements that were redundant, duplicative, overlapping, outdated or superseded. The amendments also expanded the disclosure requirements on the analysis of stockholders' equity for interim financial statements, in which registrants must now analyze changes in stockholders’ equity, in the form of reconciliation, for the current and comparative year-to-date periods, with subtotals for each interim period, which the Company will begin applying this disclosure change in stockholders’ equity analysis in its March 31, 2019, Form 10-Q. This final rule is effective on November 5, 2018 and we assessed the impact on our consolidated financial statements disclosures to be not significant.</w:t>
      </w:r>
    </w:p>
    <w:p>
      <w:pPr>
        <w:spacing w:after="0" w:line="193" w:lineRule="exact"/>
        <w:rPr>
          <w:sz w:val="20"/>
          <w:szCs w:val="20"/>
          <w:color w:val="auto"/>
        </w:rPr>
      </w:pPr>
    </w:p>
    <w:p>
      <w:pPr>
        <w:ind w:right="60" w:firstLine="598"/>
        <w:spacing w:after="0" w:line="254" w:lineRule="auto"/>
        <w:rPr>
          <w:sz w:val="20"/>
          <w:szCs w:val="20"/>
          <w:color w:val="auto"/>
        </w:rPr>
      </w:pPr>
      <w:r>
        <w:rPr>
          <w:rFonts w:ascii="Arial" w:cs="Arial" w:eastAsia="Arial" w:hAnsi="Arial"/>
          <w:sz w:val="18"/>
          <w:szCs w:val="18"/>
          <w:color w:val="auto"/>
        </w:rPr>
        <w:t>In May 2017, the FASB issued new accounting guidance that clarifies when changes to the terms or conditions of a share-based payment award must be accounted for as modifications which will reduce diversity in practice. Under the new guidance, an entity will not apply modification accounting to a share-based payment award if the award’s fair value (or calculated value or intrinsic value, if those measurement methods are used), the award’s vesting conditions, and the award’s classification as an equity or liability instrument are the same immediately before and after the change. The guidance also states that an entity is not required to estimate the value of the award immediately before and after the change if the change does not affect any of the inputs to the model used to value the award. We adopted this guidance prospectively in the first quarter of 2018 and the adoption did not have an impact on our consolidated financial statements and related disclosures. We believe the new guidance will likely result in fewer changes to the terms of an award being accounted for as modifications.</w:t>
      </w:r>
    </w:p>
    <w:p>
      <w:pPr>
        <w:spacing w:after="0" w:line="192" w:lineRule="exact"/>
        <w:rPr>
          <w:sz w:val="20"/>
          <w:szCs w:val="20"/>
          <w:color w:val="auto"/>
        </w:rPr>
      </w:pPr>
    </w:p>
    <w:p>
      <w:pPr>
        <w:ind w:right="60" w:firstLine="598"/>
        <w:spacing w:after="0" w:line="289" w:lineRule="auto"/>
        <w:rPr>
          <w:sz w:val="20"/>
          <w:szCs w:val="20"/>
          <w:color w:val="auto"/>
        </w:rPr>
      </w:pPr>
      <w:r>
        <w:rPr>
          <w:rFonts w:ascii="Arial" w:cs="Arial" w:eastAsia="Arial" w:hAnsi="Arial"/>
          <w:sz w:val="16"/>
          <w:szCs w:val="16"/>
          <w:color w:val="auto"/>
        </w:rPr>
        <w:t>In January 2017, the FASB issued new accounting guidance to clarify the definition of a business and provide additional guidance to assist entities with evaluating whether transactions should be accounted for as asset acquisitions (or asset disposals) or business combinations (or disposals of a business). Under this new guidance, an entity first determines whether substantially all of the fair value of the assets acquired is concentrated in a single identifiable asset or a group of similar identifiable assets. If this criterion is met, the transaction should be accounted for as an asset acquisition as opposed to a business combination. This distinction is important because the accounting for an asset acquisition significantly differs from the accounting for a business combination. This new guidance eliminates the requirement to evaluate whether a market participant could replace missing elements (e.g. inputs or processes), narrows the definition of outputs and requires that a business include, at a minimum, an input and a substantive process that together significantly contribute to the ability to create outputs. We adopted this guidance in the first quarter of 2018 and it will be applied prospectively to any transactions occurring within and after the adoption date. The adoption did not have an impact on our consolidated financial statements and related disclosures.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November 2016, the FASB issued new accounting guidance on the classification and presentation of</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4" w:name="page85"/>
    <w:bookmarkEnd w:id="84"/>
    <w:p>
      <w:pPr>
        <w:ind w:right="40"/>
        <w:spacing w:after="0" w:line="255" w:lineRule="auto"/>
        <w:rPr>
          <w:sz w:val="20"/>
          <w:szCs w:val="20"/>
          <w:color w:val="auto"/>
        </w:rPr>
      </w:pPr>
      <w:r>
        <w:rPr>
          <w:rFonts w:ascii="Arial" w:cs="Arial" w:eastAsia="Arial" w:hAnsi="Arial"/>
          <w:sz w:val="18"/>
          <w:szCs w:val="18"/>
          <w:color w:val="auto"/>
        </w:rPr>
        <w:t>restricted cash in the statement of cash flows to address the diversity in practice. This new guidance requires entities to show changes in cash, cash equivalents and restricted cash on a combined basis in the statement of cash flows. In addition, this accounting guidance requires a reconciliation of the total cash, cash equivalent and restricted cash in the statement of cash flows to the related captions in the balance sheet if cash, cash equivalents and restricted cash are presented in more than one line item in the balance sheet. We adopted this guidance in the first quarter of 2018 and applied it retrospectively to all prior periods presented in the financial statements as required under the new guidance. The adoption did not have a material impact on our consolidated financial statements and related disclosures.</w:t>
      </w:r>
    </w:p>
    <w:p>
      <w:pPr>
        <w:spacing w:after="0" w:line="193"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In October 2016, the FASB issued new accounting guidance on income tax accounting associated with intra-entity transfers of assets other than inventory. This accounting update, which is part of the FASB's simplification initiative, is intended to reduce diversity in practice and the complexity of tax accounting, particularly for those transfers involving intellectual property. This new guidance requires an entity to recognize the income tax consequences of an intra-entity transfer of an asset other than inventory when the transfer occurs. We adopted this new guidance in the first quarter of 2018 on a modified retrospective basis. Accordingly, we recognized the cumulative effect of initial application of this new guidance as an adjustment to the opening balance of retained earnings, which was not material to our consolidated financial statements.</w:t>
      </w:r>
    </w:p>
    <w:p>
      <w:pPr>
        <w:spacing w:after="0" w:line="178" w:lineRule="exact"/>
        <w:rPr>
          <w:sz w:val="20"/>
          <w:szCs w:val="20"/>
          <w:color w:val="auto"/>
        </w:rPr>
      </w:pPr>
    </w:p>
    <w:p>
      <w:pPr>
        <w:ind w:right="220" w:firstLine="598"/>
        <w:spacing w:after="0" w:line="291" w:lineRule="auto"/>
        <w:rPr>
          <w:sz w:val="20"/>
          <w:szCs w:val="20"/>
          <w:color w:val="auto"/>
        </w:rPr>
      </w:pPr>
      <w:r>
        <w:rPr>
          <w:rFonts w:ascii="Arial" w:cs="Arial" w:eastAsia="Arial" w:hAnsi="Arial"/>
          <w:sz w:val="16"/>
          <w:szCs w:val="16"/>
          <w:color w:val="auto"/>
        </w:rPr>
        <w:t>In August 2016, the FASB issued new accounting guidance which clarifies how companies present and classify certain cash receipts and cash payments in the statement of cash flows. The new guidance specifically addresses the following cash flow topics in an effort to reduce diversity in practice:</w:t>
      </w:r>
    </w:p>
    <w:p>
      <w:pPr>
        <w:ind w:firstLine="8"/>
        <w:spacing w:after="0" w:line="271"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debt prepayment or debt extinguishment costs; (2) settlement of zero-coupon bonds;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We adopted this new guidance in the first quarter of 2018 retrospectively and the adoption did not have an impact on our consolidated financial statements and related disclosures.</w:t>
      </w:r>
    </w:p>
    <w:p>
      <w:pPr>
        <w:spacing w:after="0" w:line="179"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In January 2016, the FASB issued new accounting guidance which amends the standard on the recognition and measurement of financial instruments. The FASB clarified certain aspects of this guidance by issuing an update for technical corrections and improvements related to this guidance in February 2018. The guidance (1) requires an entity to measure equity investments (except those accounted for under the equity method or those that result in consolidation of the investee) at fair value with changes in fair value recognized in net income rather than accumulated other comprehensive income on the balance sheet; (2) allows an entity to elect to measure the equity investments that do not have a readily determinable fair value using a new measurement alternative which measure these equity investments at cost less impairment, if any, plus or minus changes resulting from observable price changes in orderly transactions for the identical or a similar investment of the same issuer; (3) simplifies the impairment assessment of equity investments without readily determinable fair values by requiring a qualitative assessment to identify impairment; and (4) clarifies that an entity should evaluate the need for a valuation allowance on a deferred tax asset related to available-for-sale securities in combination with the entity’s evaluation of their other deferred tax assets. We adopted this guidance in the first quarter of 2018 and elected to prospectively account for our investments in equity securities of privately-held companies that do not have a readily determinable fair value using the measurement alternative. The adoption did not have a material impact on our consolidated financial statements and related disclosures.</w:t>
      </w:r>
    </w:p>
    <w:p>
      <w:pPr>
        <w:spacing w:after="0" w:line="180" w:lineRule="exact"/>
        <w:rPr>
          <w:sz w:val="20"/>
          <w:szCs w:val="20"/>
          <w:color w:val="auto"/>
        </w:rPr>
      </w:pPr>
    </w:p>
    <w:p>
      <w:pPr>
        <w:ind w:right="140" w:firstLine="598"/>
        <w:spacing w:after="0" w:line="254" w:lineRule="auto"/>
        <w:rPr>
          <w:sz w:val="20"/>
          <w:szCs w:val="20"/>
          <w:color w:val="auto"/>
        </w:rPr>
      </w:pPr>
      <w:r>
        <w:rPr>
          <w:rFonts w:ascii="Arial" w:cs="Arial" w:eastAsia="Arial" w:hAnsi="Arial"/>
          <w:sz w:val="18"/>
          <w:szCs w:val="18"/>
          <w:color w:val="auto"/>
        </w:rPr>
        <w:t xml:space="preserve">In May 2014, the FASB issued new accounting guidance on revenue from contracts with customers, or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which replaced numerous requirements in GAAP, and provides companies with a single model for recognizing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customers. The core principle of the new standard is that a company should recognize revenue to depict the transfer of promised goods or services to customers in an amount that reflects the consideration to which the company expects to be entitled in exchange for those goods or services. This guidance also requires additional disclosures about the nature, amount, timing and uncertainty of revenue and cash flows arising from customer contracts, including significant judgments and changes in judgments and assets recognized from costs incurred to obtain or fulfill a contract. In addition, the FASB has also issued several amendments to the standard, which clarifies certain aspects of the guidance, including principal versus agent considerations and identifying performance obligations.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ind w:right="140" w:firstLine="598"/>
        <w:spacing w:after="0" w:line="259" w:lineRule="auto"/>
        <w:rPr>
          <w:sz w:val="20"/>
          <w:szCs w:val="20"/>
          <w:color w:val="auto"/>
        </w:rPr>
      </w:pPr>
      <w:r>
        <w:rPr>
          <w:rFonts w:ascii="Arial" w:cs="Arial" w:eastAsia="Arial" w:hAnsi="Arial"/>
          <w:sz w:val="18"/>
          <w:szCs w:val="18"/>
          <w:color w:val="auto"/>
        </w:rPr>
        <w:t xml:space="preserve">In the first quarter of 2018, we adopted ASC 606 under the modified retrospective method for all contracts that were not completed as of January 1, 2018. Results for reporting periods beginning after January 1, 2018 are presented under the new revenue guidance, while prior period amounts are not adjusted and continue to be reported in accordance with our previous accounting policies under the historical revenue guidance, or ASC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18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 xml:space="preserve">We evaluated each of our revenue streams and applied ASC 606 as further discussed in “Note 4: </w:t>
      </w:r>
      <w:r>
        <w:rPr>
          <w:rFonts w:ascii="Arial" w:cs="Arial" w:eastAsia="Arial" w:hAnsi="Arial"/>
          <w:sz w:val="17"/>
          <w:szCs w:val="17"/>
          <w:i w:val="1"/>
          <w:iCs w:val="1"/>
          <w:color w:val="auto"/>
        </w:rPr>
        <w:t>Revenue Recognition</w:t>
      </w:r>
      <w:r>
        <w:rPr>
          <w:rFonts w:ascii="Arial" w:cs="Arial" w:eastAsia="Arial" w:hAnsi="Arial"/>
          <w:sz w:val="17"/>
          <w:szCs w:val="17"/>
          <w:color w:val="auto"/>
        </w:rPr>
        <w:t>.” As a result of adoption of the new revenue guidance, certain revenue streams, such as our hotel instant booking revenue recorded under the consumption model which we previously recorded upon completion of the traveler stay, is now recognized upon booking. The amount of the recognized transaction price for the commission is recorded as revenue net of the impact of estimated cancellations. We also recorded an adjustment to capitalize certain costs to obtain contracts for existing arrangements as of the implementation date. We expect the adoption of this new revenue standard will not have a material impact, either on an annual or quarterly basis, to our consolidated financial statements on an ongoing basis. Our systems and internal controls were not significantly impacted as a result of the accounting changes and we have made the necessary changes to our accounting policies and internal processes to support the new revenue recognition standard, including the related disclosures.</w:t>
      </w:r>
    </w:p>
    <w:p>
      <w:pPr>
        <w:spacing w:after="0" w:line="179" w:lineRule="exact"/>
        <w:rPr>
          <w:sz w:val="20"/>
          <w:szCs w:val="20"/>
          <w:color w:val="auto"/>
        </w:rPr>
      </w:pPr>
    </w:p>
    <w:p>
      <w:pPr>
        <w:jc w:val="both"/>
        <w:ind w:right="220" w:firstLine="598"/>
        <w:spacing w:after="0" w:line="264" w:lineRule="auto"/>
        <w:rPr>
          <w:sz w:val="20"/>
          <w:szCs w:val="20"/>
          <w:color w:val="auto"/>
        </w:rPr>
      </w:pPr>
      <w:r>
        <w:rPr>
          <w:rFonts w:ascii="Arial" w:cs="Arial" w:eastAsia="Arial" w:hAnsi="Arial"/>
          <w:sz w:val="18"/>
          <w:szCs w:val="18"/>
          <w:color w:val="auto"/>
        </w:rPr>
        <w:t>We recognized the cumulative effect of initial application of ASC 606 as an adjustment to the opening balance of retained earnings. We recorded a net increase in opening retained earnings of $4 million as of January 1, 2018 due to the cumulative impact of adoption of the new revenue guidance and all other accounts were not materially impacted.</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OTHER INVESTMENTS</w:t>
      </w:r>
    </w:p>
    <w:p>
      <w:pPr>
        <w:spacing w:after="0" w:line="121"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During the years ended December 31, 2018 and 2016, we acquired businesses which were accounted for as purchases of businesses under the acquisition method. The fair value of purchase consideration has been allocated to tangible and identifiable intangible assets acquired and liabilities assumed, based on their respective fair values on the acquisition date, with the remaining amount recorded to goodwill. Acquired goodwill represents the premium we paid over the fair value of the net tangible and intangible assets acquired. We paid a premium in each of these transactions for a number of reasons, including expected operational synergies, the assembled workforces, and the future development initiatives of the assembled workforces. The results of each of these acquired businesses have been included in the consolidated financial statements beginning on the respective acquisition dates. Pro-forma results of operations for these acquisitions have not been presented as the financial impact to our consolidated financial statements, both individually and in aggregate, would not be materially different from historical results. For both the years ended December 31, 2018 and December 31, 2016 acquisition-related costs which were expensed as incurred, were not material and are included in general and administrative expenses on our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Acquisition of Business</w:t>
      </w:r>
    </w:p>
    <w:p>
      <w:pPr>
        <w:spacing w:after="0" w:line="225"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color w:val="auto"/>
        </w:rPr>
        <w:t>During the year ended December 31, 2018, we acquired one business for a purchase price and net cash consideration of $23 million. The cash consideration was paid from our U.S. cash.</w:t>
      </w:r>
    </w:p>
    <w:p>
      <w:pPr>
        <w:spacing w:after="0" w:line="170"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 purchase price consideration of $23 million was allocated to the fair value of assets acquired and liabilities assumed. The following summarizes the final allocation, in millions:</w:t>
      </w:r>
    </w:p>
    <w:p>
      <w:pPr>
        <w:sectPr>
          <w:pgSz w:w="11900" w:h="16838" w:orient="portrait"/>
          <w:cols w:equalWidth="0" w:num="1">
            <w:col w:w="11380"/>
          </w:cols>
          <w:pgMar w:left="240" w:top="557" w:right="279" w:bottom="1440" w:gutter="0" w:footer="0" w:header="0"/>
        </w:sectPr>
      </w:pPr>
    </w:p>
    <w:p>
      <w:pPr>
        <w:spacing w:after="0" w:line="33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Goodwill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-139065</wp:posOffset>
            </wp:positionV>
            <wp:extent cx="579755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Intangible assets (2)</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tax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5" w:lineRule="exact"/>
        <w:rPr>
          <w:sz w:val="20"/>
          <w:szCs w:val="20"/>
          <w:color w:val="auto"/>
        </w:rPr>
      </w:pPr>
    </w:p>
    <w:p>
      <w:pPr>
        <w:jc w:val="right"/>
        <w:ind w:right="2920"/>
        <w:spacing w:after="0"/>
        <w:rPr>
          <w:sz w:val="20"/>
          <w:szCs w:val="20"/>
          <w:color w:val="auto"/>
        </w:rPr>
      </w:pPr>
      <w:r>
        <w:rPr>
          <w:rFonts w:ascii="Arial" w:cs="Arial" w:eastAsia="Arial" w:hAnsi="Arial"/>
          <w:sz w:val="18"/>
          <w:szCs w:val="18"/>
          <w:color w:val="auto"/>
        </w:rPr>
        <w:t>Total purchase price consideration (3)</w:t>
      </w:r>
    </w:p>
    <w:p>
      <w:pPr>
        <w:spacing w:after="0" w:line="266"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Goodwill is not deductible for tax purposes.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2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Total</w:t>
            </w:r>
          </w:p>
        </w:tc>
      </w:tr>
      <w:tr>
        <w:trPr>
          <w:trHeight w:val="222"/>
        </w:trPr>
        <w:tc>
          <w:tcPr>
            <w:tcW w:w="20" w:type="dxa"/>
            <w:vAlign w:val="bottom"/>
          </w:tcPr>
          <w:p>
            <w:pPr>
              <w:spacing w:after="0"/>
              <w:rPr>
                <w:sz w:val="19"/>
                <w:szCs w:val="19"/>
                <w:color w:val="auto"/>
              </w:rPr>
            </w:pPr>
          </w:p>
        </w:tc>
        <w:tc>
          <w:tcPr>
            <w:tcW w:w="540" w:type="dxa"/>
            <w:vAlign w:val="bottom"/>
            <w:tcBorders>
              <w:top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040" w:space="720"/>
            <w:col w:w="3620"/>
          </w:cols>
          <w:pgMar w:left="240" w:top="557" w:right="279" w:bottom="1440" w:gutter="0" w:footer="0" w:header="0"/>
          <w:type w:val="continuous"/>
        </w:sect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type w:val="continuous"/>
        </w:sectPr>
      </w:pPr>
    </w:p>
    <w:bookmarkStart w:id="86" w:name="page87"/>
    <w:bookmarkEnd w:id="86"/>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Identifiable definite-lived intangible assets acquired during 2018 were comprised of supplier relationships of</w:t>
      </w:r>
    </w:p>
    <w:p>
      <w:pPr>
        <w:spacing w:after="0" w:line="23" w:lineRule="exact"/>
        <w:rPr>
          <w:rFonts w:ascii="Arial" w:cs="Arial" w:eastAsia="Arial" w:hAnsi="Arial"/>
          <w:sz w:val="18"/>
          <w:szCs w:val="18"/>
          <w:color w:val="auto"/>
        </w:rPr>
      </w:pPr>
    </w:p>
    <w:p>
      <w:pPr>
        <w:ind w:left="580" w:right="280"/>
        <w:spacing w:after="0" w:line="265" w:lineRule="auto"/>
        <w:rPr>
          <w:rFonts w:ascii="Arial" w:cs="Arial" w:eastAsia="Arial" w:hAnsi="Arial"/>
          <w:sz w:val="18"/>
          <w:szCs w:val="18"/>
          <w:color w:val="auto"/>
        </w:rPr>
      </w:pPr>
      <w:r>
        <w:rPr>
          <w:rFonts w:ascii="Arial" w:cs="Arial" w:eastAsia="Arial" w:hAnsi="Arial"/>
          <w:sz w:val="17"/>
          <w:szCs w:val="17"/>
          <w:color w:val="auto"/>
        </w:rPr>
        <w:t>$6 million with a weighted average life of 10 years and technology and other of $8 million with a weighted average life of approximately 6 years. The overall weighted-average life of the identifiable definite-lived intangible assets acquired in the purchase of this business during 2018 was 8 years, and will be amortized on a straight-line basis over the estimated useful lives from acquisition date.</w:t>
      </w:r>
    </w:p>
    <w:p>
      <w:pPr>
        <w:ind w:left="580" w:hanging="572"/>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Subject to adjustment based on indemnification obligations for general representations and warranties of certain acquired company stockholders.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 of Businesses and Other Investments</w:t>
      </w:r>
    </w:p>
    <w:p>
      <w:pPr>
        <w:spacing w:after="0" w:line="117" w:lineRule="exact"/>
        <w:rPr>
          <w:sz w:val="20"/>
          <w:szCs w:val="20"/>
          <w:color w:val="auto"/>
        </w:rPr>
      </w:pPr>
    </w:p>
    <w:p>
      <w:pPr>
        <w:ind w:firstLine="598"/>
        <w:spacing w:after="0" w:line="312" w:lineRule="auto"/>
        <w:rPr>
          <w:sz w:val="20"/>
          <w:szCs w:val="20"/>
          <w:color w:val="auto"/>
        </w:rPr>
      </w:pPr>
      <w:r>
        <w:rPr>
          <w:rFonts w:ascii="Arial" w:cs="Arial" w:eastAsia="Arial" w:hAnsi="Arial"/>
          <w:sz w:val="16"/>
          <w:szCs w:val="16"/>
          <w:color w:val="auto"/>
        </w:rPr>
        <w:t>During the year ended December 31, 2016, we completed five acquisitions of certain businesses with a total purchase price of $34 million. The Company paid net cash consideration of $29 million, which is net of $4 million of cash acquired, and includes $1 million in future holdback payments, which we currently expect to settle with Company common stock over the next two years. The cash consideration was paid primarily from our U.S. cash.</w:t>
      </w:r>
    </w:p>
    <w:p>
      <w:pPr>
        <w:spacing w:after="0" w:line="147"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aggregate purchase price consideration of $34 million was allocated to the fair value of assets acquired and liabilities assumed. The following summarizes the final allocation, in millions: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 (1)</w:t>
            </w:r>
          </w:p>
        </w:tc>
        <w:tc>
          <w:tcPr>
            <w:tcW w:w="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43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Intangible assets (2)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tangible assets (liabilities) (3)</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6600" w:type="dxa"/>
            <w:vAlign w:val="bottom"/>
          </w:tcPr>
          <w:p>
            <w:pPr>
              <w:ind w:left="240"/>
              <w:spacing w:after="0"/>
              <w:rPr>
                <w:sz w:val="20"/>
                <w:szCs w:val="20"/>
                <w:color w:val="auto"/>
              </w:rPr>
            </w:pPr>
            <w:r>
              <w:rPr>
                <w:rFonts w:ascii="Arial" w:cs="Arial" w:eastAsia="Arial" w:hAnsi="Arial"/>
                <w:sz w:val="18"/>
                <w:szCs w:val="18"/>
                <w:color w:val="auto"/>
              </w:rPr>
              <w:t>Total purchase price consideration (4)</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Goodwill is not deductible for tax purposes.</w:t>
      </w:r>
    </w:p>
    <w:p>
      <w:pPr>
        <w:spacing w:after="0" w:line="23" w:lineRule="exact"/>
        <w:rPr>
          <w:rFonts w:ascii="Arial" w:cs="Arial" w:eastAsia="Arial" w:hAnsi="Arial"/>
          <w:sz w:val="18"/>
          <w:szCs w:val="18"/>
          <w:color w:val="auto"/>
        </w:rPr>
      </w:pPr>
    </w:p>
    <w:p>
      <w:pPr>
        <w:jc w:val="both"/>
        <w:ind w:left="580" w:right="320" w:hanging="572"/>
        <w:spacing w:after="0" w:line="281"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Identifiable definite-lived intangible assets acquired during 2016 were comprised of trade names of $4 million with a weighted average life of 10 years, customer lists and supplier relationships of $4 million with a weighted average life of 6 years, subscriber relationships of $5 million with a weighted average life of approximately 7 years, and technology and other of $12 million with a weighted average life of approximately 5 years.</w:t>
      </w:r>
    </w:p>
    <w:p>
      <w:pPr>
        <w:spacing w:after="0" w:line="2" w:lineRule="exact"/>
        <w:rPr>
          <w:rFonts w:ascii="Arial" w:cs="Arial" w:eastAsia="Arial" w:hAnsi="Arial"/>
          <w:sz w:val="16"/>
          <w:szCs w:val="16"/>
          <w:color w:val="auto"/>
        </w:rPr>
      </w:pPr>
    </w:p>
    <w:p>
      <w:pPr>
        <w:ind w:left="580" w:right="180"/>
        <w:spacing w:after="0" w:line="250" w:lineRule="auto"/>
        <w:rPr>
          <w:rFonts w:ascii="Arial" w:cs="Arial" w:eastAsia="Arial" w:hAnsi="Arial"/>
          <w:sz w:val="16"/>
          <w:szCs w:val="16"/>
          <w:color w:val="auto"/>
        </w:rPr>
      </w:pPr>
      <w:r>
        <w:rPr>
          <w:rFonts w:ascii="Arial" w:cs="Arial" w:eastAsia="Arial" w:hAnsi="Arial"/>
          <w:sz w:val="18"/>
          <w:szCs w:val="18"/>
          <w:color w:val="auto"/>
        </w:rPr>
        <w:t>The overall weighted-average life of the identifiable definite-lived intangible assets acquired in the purchase of these businesses during 2016 was 6 years, and will be amortized on a straight-line basis over their estimated useful lives from acquisition date.</w:t>
      </w:r>
    </w:p>
    <w:p>
      <w:pPr>
        <w:ind w:left="580" w:right="20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Primarily includes cash acquired of $4 million, accounts receivable of $2 million, and liabilities assumed, including accrued expenses and deferred merchant payables of $3 million and $10 million, respectively, which reflect their respective fair values at acquisition.</w:t>
      </w: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Subject to adjustment based on indemnification obligations for general representations and warranties of certain acquired company stockholders.</w:t>
      </w:r>
    </w:p>
    <w:p>
      <w:pPr>
        <w:spacing w:after="0" w:line="234" w:lineRule="exact"/>
        <w:rPr>
          <w:sz w:val="20"/>
          <w:szCs w:val="20"/>
          <w:color w:val="auto"/>
        </w:rPr>
      </w:pPr>
    </w:p>
    <w:p>
      <w:pPr>
        <w:jc w:val="both"/>
        <w:ind w:right="340" w:firstLine="598"/>
        <w:spacing w:after="0" w:line="264" w:lineRule="auto"/>
        <w:rPr>
          <w:sz w:val="20"/>
          <w:szCs w:val="20"/>
          <w:color w:val="auto"/>
        </w:rPr>
      </w:pPr>
      <w:r>
        <w:rPr>
          <w:rFonts w:ascii="Arial" w:cs="Arial" w:eastAsia="Arial" w:hAnsi="Arial"/>
          <w:sz w:val="18"/>
          <w:szCs w:val="18"/>
          <w:color w:val="auto"/>
        </w:rPr>
        <w:t>During the year ended December 31, 2016, we also invested a total of $14 million in the equity securities of privately-held companies. The cash consideration was paid primarily from our non-U.S. subsidiaries. These investments were recorded to other long-term assets on our consolidated balance sheet on the investment date.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under ASC 606</w:t>
      </w:r>
    </w:p>
    <w:p>
      <w:pPr>
        <w:spacing w:after="0" w:line="229"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under ASC 606, we recognize revenue for only our commission on the arrangement. We determine revenue recognition through the following steps:</w:t>
      </w:r>
    </w:p>
    <w:p>
      <w:pPr>
        <w:spacing w:after="0" w:line="187" w:lineRule="exact"/>
        <w:rPr>
          <w:sz w:val="20"/>
          <w:szCs w:val="20"/>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7" w:name="page88"/>
    <w:bookmarkEnd w:id="87"/>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19" w:lineRule="exact"/>
        <w:rPr>
          <w:sz w:val="20"/>
          <w:szCs w:val="20"/>
          <w:color w:val="auto"/>
        </w:rPr>
      </w:pPr>
    </w:p>
    <w:p>
      <w:pPr>
        <w:ind w:right="40" w:firstLine="598"/>
        <w:spacing w:after="0" w:line="289" w:lineRule="auto"/>
        <w:rPr>
          <w:sz w:val="20"/>
          <w:szCs w:val="20"/>
          <w:color w:val="auto"/>
        </w:rPr>
      </w:pPr>
      <w:r>
        <w:rPr>
          <w:rFonts w:ascii="Arial" w:cs="Arial" w:eastAsia="Arial" w:hAnsi="Arial"/>
          <w:sz w:val="16"/>
          <w:szCs w:val="16"/>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year ended December 31, 2018 related to performance obligations satisfied in prior periods.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w:t>
      </w:r>
    </w:p>
    <w:p>
      <w:pPr>
        <w:spacing w:after="0" w:line="167" w:lineRule="exact"/>
        <w:rPr>
          <w:sz w:val="20"/>
          <w:szCs w:val="20"/>
          <w:color w:val="auto"/>
        </w:rPr>
      </w:pPr>
    </w:p>
    <w:p>
      <w:pPr>
        <w:ind w:right="20" w:firstLine="598"/>
        <w:spacing w:after="0" w:line="291" w:lineRule="auto"/>
        <w:rPr>
          <w:sz w:val="20"/>
          <w:szCs w:val="20"/>
          <w:color w:val="auto"/>
        </w:rPr>
      </w:pPr>
      <w:r>
        <w:rPr>
          <w:rFonts w:ascii="Arial" w:cs="Arial" w:eastAsia="Arial" w:hAnsi="Arial"/>
          <w:sz w:val="16"/>
          <w:szCs w:val="16"/>
          <w:color w:val="auto"/>
        </w:rPr>
        <w:t>We recognize an asset for the incremental costs of obtaining a contract with a customer if we expect the benefit of those costs to be longer than one year. Although the substantial majority of our contract costs have an amortization period of less than one year, we have determined contract costs arising from certain sales incentives have an amortization period in excess of one year given the high likelihood of contract renewal. Sales incentives are not paid upon renewal of these contracts and therefore are not commensurate with the initial sales incentive costs. Total capitalized costs to obtain a contract were approximately $2 million as of December 31, 2018. We amortize these contract costs on a straight-line basis over the estimated customer life, which is based on historical customer retention rates. Amortization expense recorded to selling and marketing during the year ended December 31, 2018 was not material. We assess such assets for impairment when events or circumstances indicate that the carrying amount may not be recoverable.</w:t>
      </w:r>
    </w:p>
    <w:p>
      <w:pPr>
        <w:spacing w:after="0" w:line="167"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The recognition of revenue may require the application of judgment related to the determination of the performance obligations, the timing of when the performance obligations are satisfied and other areas. The determination of our performance obligations does not require significant judgment given that we generally do not provide multiple services to a customer in a transaction, and the point in which control is transferred to the customer is readily determinable. In instances where we recognize revenue over time, we generally have either a subscription service that is recognized over time on a straight-line basis using the time-elapsed output method, or based on other output measures that provide a faithful depiction of the transfer of our services. When an estimate for cancellations is included in the transaction price, we base our estimate on historical cancellation rates. There have been no significant adjustments to our cancellation estimates and the cancellation estimates are not material. Taxes assessed by a government authority that are both imposed on and concurrent with a specific revenue–producing transaction, that are collected by us from a customer, are reported on a net basis, or in other words excluded from revenue on our consolidated financial statements, which is consistent with prior periods. The application of our revenue recognition policies and a description of our principal activities, organized by segment, from which we generate our revenue, are presented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Hotel Segment</w:t>
      </w:r>
    </w:p>
    <w:p>
      <w:pPr>
        <w:spacing w:after="0" w:line="221"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b w:val="1"/>
          <w:bCs w:val="1"/>
          <w:color w:val="auto"/>
        </w:rPr>
        <w:t>TripAdvisor-branded Click-based Advertising and Transaction Revenue</w:t>
      </w:r>
      <w:r>
        <w:rPr>
          <w:rFonts w:ascii="Arial" w:cs="Arial" w:eastAsia="Arial" w:hAnsi="Arial"/>
          <w:sz w:val="17"/>
          <w:szCs w:val="17"/>
          <w:color w:val="auto"/>
        </w:rPr>
        <w:t>. Our largest source of Hotel segment revenue is generated from click-based advertising on TripAdvisor-branded websites, which is primarily comprised of contextually-relevant booking links to our travel partners’ sites. Our click-based travel partners are predominantly OTAs, and direct suppliers in the hotel category. Click-based advertising is generally priced on a CPC basis, with payments from travel partners determined by the number of travelers who click on a link multiplied by the CPC rate for each specific click. CPC rates that our travel partners pay are determined in a dynamic, competitive auction process, also known as our metasearch auction.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 Transaction revenue is generated from our hotel instant booking feature, which enables hotel</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ind w:right="20"/>
        <w:spacing w:after="0" w:line="271" w:lineRule="auto"/>
        <w:rPr>
          <w:sz w:val="20"/>
          <w:szCs w:val="20"/>
          <w:color w:val="auto"/>
        </w:rPr>
      </w:pPr>
      <w:r>
        <w:rPr>
          <w:rFonts w:ascii="Arial" w:cs="Arial" w:eastAsia="Arial" w:hAnsi="Arial"/>
          <w:sz w:val="17"/>
          <w:szCs w:val="17"/>
          <w:color w:val="auto"/>
        </w:rPr>
        <w:t>shoppers to book directly with a travel partner, with the latter serving as the merchant of record for the transaction, without leaving our website. We earn a commission from our travel partners for each consumer that completes a hotel reservation on our website; based on a pre-determined commission rate. Our hotel instant booking revenue includes (i) arrangements where commissions are billable on all instant booking hotel reservations; and (ii) arrangements where the commission is billable only upon the completion of the traveler’s stay resulting from the reservation. The travel partner provides the service to the traveler and we act as an agent under ASC 606. Our performance obligation in both arrangements is complete at the time of the booking and the commission earned is recognized upon booking, as we have no post-booking service obligations. The amount of revenue recognized for commissions which are billable contingent upon a traveler stay requires an estimate of the impact of cancellations using historical cancellation rates. Contract assets are recognized at the time of booking for commissions that are billable at the time of stay.</w:t>
      </w:r>
    </w:p>
    <w:p>
      <w:pPr>
        <w:spacing w:after="0" w:line="175"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b w:val="1"/>
          <w:bCs w:val="1"/>
          <w:color w:val="auto"/>
        </w:rPr>
        <w:t>TripAdvisor-branded Display-based Advertising and Subscription Revenue</w:t>
      </w:r>
      <w:r>
        <w:rPr>
          <w:rFonts w:ascii="Arial" w:cs="Arial" w:eastAsia="Arial" w:hAnsi="Arial"/>
          <w:sz w:val="17"/>
          <w:szCs w:val="17"/>
          <w:color w:val="auto"/>
        </w:rPr>
        <w:t>. Travel partners can promote their brands in a contextually-relevant</w:t>
      </w:r>
      <w:r>
        <w:rPr>
          <w:rFonts w:ascii="Arial" w:cs="Arial" w:eastAsia="Arial" w:hAnsi="Arial"/>
          <w:sz w:val="17"/>
          <w:szCs w:val="17"/>
          <w:b w:val="1"/>
          <w:bCs w:val="1"/>
          <w:color w:val="auto"/>
        </w:rPr>
        <w:t xml:space="preserve"> </w:t>
      </w:r>
      <w:r>
        <w:rPr>
          <w:rFonts w:ascii="Arial" w:cs="Arial" w:eastAsia="Arial" w:hAnsi="Arial"/>
          <w:sz w:val="17"/>
          <w:szCs w:val="17"/>
          <w:color w:val="auto"/>
        </w:rPr>
        <w:t>manner through a variety of display-based advertising placements on our websites.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business is to display a number of advertising impressions on our websites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76"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In addition, we offer subscription-based advertising to hoteliers, owners of B&amp;Bs and other specialty lodging properties. Our performance obligation is generally to enable subscribers to advertise their businesses on our website, as well as manage and promote their website URL, email address, phone number, special offers and other information related to their business. Subscription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 advertising services are generally billed in advance of service. When prepayments are received, we recognize deferred revenue for the amount of prepayment in excess of revenue recognized until the performance obligation is satisfied.</w:t>
      </w:r>
    </w:p>
    <w:p>
      <w:pPr>
        <w:spacing w:after="0" w:line="161" w:lineRule="exact"/>
        <w:rPr>
          <w:sz w:val="20"/>
          <w:szCs w:val="20"/>
          <w:color w:val="auto"/>
        </w:rPr>
      </w:pPr>
    </w:p>
    <w:p>
      <w:pPr>
        <w:ind w:right="480" w:firstLine="598"/>
        <w:spacing w:after="0" w:line="281" w:lineRule="auto"/>
        <w:rPr>
          <w:sz w:val="20"/>
          <w:szCs w:val="20"/>
          <w:color w:val="auto"/>
        </w:rPr>
      </w:pPr>
      <w:r>
        <w:rPr>
          <w:rFonts w:ascii="Arial" w:cs="Arial" w:eastAsia="Arial" w:hAnsi="Arial"/>
          <w:sz w:val="17"/>
          <w:szCs w:val="17"/>
          <w:b w:val="1"/>
          <w:bCs w:val="1"/>
          <w:color w:val="auto"/>
        </w:rPr>
        <w:t xml:space="preserve">Other Hotel Revenue. </w:t>
      </w:r>
      <w:r>
        <w:rPr>
          <w:rFonts w:ascii="Arial" w:cs="Arial" w:eastAsia="Arial" w:hAnsi="Arial"/>
          <w:sz w:val="17"/>
          <w:szCs w:val="17"/>
          <w:color w:val="auto"/>
        </w:rPr>
        <w:t>Our other Hotel revenue primarily includes revenue from non-TripAdvisor-branded websites, such as</w:t>
      </w:r>
      <w:r>
        <w:rPr>
          <w:rFonts w:ascii="Arial" w:cs="Arial" w:eastAsia="Arial" w:hAnsi="Arial"/>
          <w:sz w:val="17"/>
          <w:szCs w:val="17"/>
          <w:b w:val="1"/>
          <w:bCs w:val="1"/>
          <w:color w:val="auto"/>
        </w:rPr>
        <w:t xml:space="preserve"> </w:t>
      </w:r>
      <w:r>
        <w:rPr>
          <w:rFonts w:ascii="Arial" w:cs="Arial" w:eastAsia="Arial" w:hAnsi="Arial"/>
          <w:sz w:val="17"/>
          <w:szCs w:val="17"/>
          <w:color w:val="auto"/>
        </w:rPr>
        <w:t>www.bookingbuddy.com, www.cruisecritic.com, www.onetime.com and www.smartertravel.com, which primarily includes click-based advertising and display-based advertising revenue. The performance obligations, timing of customer payments for these brands and methods of recognizing revenue are generally consistent with click-based advertising or display-based advertising revenue, as described above.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Non-Hotel Segment</w:t>
      </w:r>
    </w:p>
    <w:p>
      <w:pPr>
        <w:spacing w:after="0" w:line="225"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We provide information and services for consumers to research, book and experience activities and attractions in popular travel destinations both through Viator, our dedicated Experiences offering, and on our TripAdvisor website and mobile apps. We also power travel activities and experiences booking capabilities to consumers on affiliate partner websites, including some of the world’s top airlines, hotel chains, and online and offline travel agencies. We work with local tour or travel activities/experiences operators (“the supplier”) to provide our consumers with access to book tours, activities and experiences (“the activity”) in popular destinations worldwide. We generate commissions for each booking transaction we facilitate through our online reservation system. We provide post-booking service to the consumer until the time of the activity, which is the completion of the performance obligation. Revenue is recognized at the time that the activity occurs. We do not control the activity before the supplier provides the activity to our consumers and therefore act as agent for nearly all of these transactions under ASC 606. We generally collect payment from the consumer at the time of booking that includes both our commission revenue and the amount due to the supplier. Our commission revenue is recorded as deferred revenue until revenue is recognized, and the amount due to the supplier is recorded to deferred merchant payables on our consolidated balance sheet, until payment is made to the supplier after the completion of the activity. To a lesser extent, we earn commissions from third-party merchant partners, who display and promote our supplier activities 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9" w:name="page90"/>
    <w:bookmarkEnd w:id="89"/>
    <w:p>
      <w:pPr>
        <w:ind w:right="20"/>
        <w:spacing w:after="0" w:line="273" w:lineRule="auto"/>
        <w:rPr>
          <w:sz w:val="20"/>
          <w:szCs w:val="20"/>
          <w:color w:val="auto"/>
        </w:rPr>
      </w:pPr>
      <w:r>
        <w:rPr>
          <w:rFonts w:ascii="Arial" w:cs="Arial" w:eastAsia="Arial" w:hAnsi="Arial"/>
          <w:sz w:val="17"/>
          <w:szCs w:val="17"/>
          <w:color w:val="auto"/>
        </w:rPr>
        <w:t>their websites to generate bookings. In these transactions, where we are not the merchant of record, we generally invoice and receive commissions directly from the third-party merchant partners. Our performance obligation is to allow the third-party merchant partners to display and promote our supplier activities on their website and we earn a commission when consumers book and complete an activity. We do not control the service and act as an agent for these transactions under ASC 606. Our performance obligation is complete and revenue is recognized at the time of the booking, as we have no post-booking obligations. We recognize this revenue net of an estimate of the impact of cancellations using historical cancellation rates. Contract assets are recognized for commissions that are billable contingent upon completion of the activity.</w:t>
      </w:r>
    </w:p>
    <w:p>
      <w:pPr>
        <w:spacing w:after="0" w:line="178"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We also provide information and services for consumers to research and book restaurants in popular travel destinations through our dedicated restaurant reservations offering, TheFork, and on our TripAdvisor website and mobile apps. TheFork is an online restaurant booking platform operating on a number of websites (including www.lafourchette.com, www.eltenedor.com, and www.iens.nl), with a network of restaurant partners located primarily across Europe and Australia. Our bookable restaurants are available on www.thefork.com and on TripAdvisor-branded websites and mobile apps. We primarily generate transaction fees (or per seated diner fees) that are paid by restaurants for diners seated primarily from bookings through TheFork’s online reservation system. The transaction fee is recognized as revenue after the reservation is fulfilled, or as diners are seated by our restaurant customers. Revenue is billed monthly when the transaction fees are payable, which is at the time the diner is seated. To a lesser extent, we also generate subscription fees for subscription-based advertising to restaurants, access to certain online reservation management services and marketing analytic tools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w:t>
      </w:r>
    </w:p>
    <w:p>
      <w:pPr>
        <w:spacing w:after="0" w:line="180"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6"/>
          <w:szCs w:val="16"/>
          <w:color w:val="auto"/>
        </w:rPr>
        <w:t>In addition, we provide information and services for travelers to research and book vacation and short-term rental properties, including full home rentals, condominiums, villas, beach rentals, cabins and cottages. Our Rentals offering generates revenue primarily by offering individual property owners and managers the ability to list their properties on our websites and mobile apps thereby connecting homeowners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payment from the traveler at the time of booking that includes our commissions, which is recorded as deferred revenue until revenue is recognized, and the amount due to the property owner, which is recorded in deferred merchant payables on our consolidated balance sheet,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 contract period. We recognize deferred revenue for the amount of prepayment in excess of revenue recognized until the performance obligation is satisfied.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expense costs to obtain a contract as incurred, such as sales incentives, when the amortization period would have been one year or less.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0" w:name="page91"/>
    <w:bookmarkEnd w:id="90"/>
    <w:p>
      <w:pPr>
        <w:ind w:right="20" w:firstLine="598"/>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Adoption of ASC 606</w:t>
      </w:r>
    </w:p>
    <w:p>
      <w:pPr>
        <w:spacing w:after="0" w:line="337"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The impact of the new guidance was not meaningful as of and for the year ended December 31, 2018 for the consolidated statement of operations, consolidated balance sheet, and consolidated statement of cash flows,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 xml:space="preserve">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18: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our business consists of two reportable segments – Hotel and Non-Hotel. A reconciliation of disaggregated revenue to segment revenue is also included below.</w:t>
      </w:r>
    </w:p>
    <w:p>
      <w:pPr>
        <w:spacing w:after="0" w:line="181" w:lineRule="exact"/>
        <w:rPr>
          <w:sz w:val="20"/>
          <w:szCs w:val="20"/>
          <w:color w:val="auto"/>
        </w:rPr>
      </w:pPr>
    </w:p>
    <w:tbl>
      <w:tblPr>
        <w:tblLayout w:type="fixed"/>
        <w:tblInd w:w="2300" w:type="dxa"/>
        <w:tblCellMar>
          <w:top w:w="0" w:type="dxa"/>
          <w:left w:w="0" w:type="dxa"/>
          <w:bottom w:w="0" w:type="dxa"/>
          <w:right w:w="0" w:type="dxa"/>
        </w:tblCellMar>
      </w:tblPr>
      <w:tr>
        <w:trPr>
          <w:trHeight w:val="153"/>
        </w:trPr>
        <w:tc>
          <w:tcPr>
            <w:tcW w:w="4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134"/>
              <w:spacing w:after="0" w:line="153" w:lineRule="exact"/>
              <w:rPr>
                <w:sz w:val="20"/>
                <w:szCs w:val="20"/>
                <w:color w:val="auto"/>
              </w:rPr>
            </w:pPr>
            <w:r>
              <w:rPr>
                <w:rFonts w:ascii="Arial" w:cs="Arial" w:eastAsia="Arial" w:hAnsi="Arial"/>
                <w:sz w:val="14"/>
                <w:szCs w:val="14"/>
                <w:b w:val="1"/>
                <w:bCs w:val="1"/>
                <w:color w:val="auto"/>
                <w:w w:val="92"/>
              </w:rPr>
              <w:t>Year ended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Major products/revenue sources:</w:t>
            </w:r>
          </w:p>
        </w:tc>
        <w:tc>
          <w:tcPr>
            <w:tcW w:w="880" w:type="dxa"/>
            <w:vAlign w:val="bottom"/>
          </w:tcPr>
          <w:p>
            <w:pPr>
              <w:spacing w:after="0"/>
              <w:rPr>
                <w:sz w:val="14"/>
                <w:szCs w:val="1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6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5"/>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click-based advertising and</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transaction revenue</w:t>
            </w:r>
          </w:p>
        </w:tc>
        <w:tc>
          <w:tcPr>
            <w:tcW w:w="10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8"/>
                <w:szCs w:val="18"/>
                <w:color w:val="auto"/>
              </w:rPr>
              <w:t>TripAdvisor-branded display-based advertising and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color w:val="auto"/>
              </w:rPr>
              <w:t>subscription revenue</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Other hotel revenue</w:t>
            </w:r>
          </w:p>
        </w:tc>
        <w:tc>
          <w:tcPr>
            <w:tcW w:w="8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40"/>
              <w:spacing w:after="0"/>
              <w:rPr>
                <w:sz w:val="20"/>
                <w:szCs w:val="20"/>
                <w:color w:val="auto"/>
              </w:rPr>
            </w:pPr>
            <w:r>
              <w:rPr>
                <w:rFonts w:ascii="Arial" w:cs="Arial" w:eastAsia="Arial" w:hAnsi="Arial"/>
                <w:sz w:val="18"/>
                <w:szCs w:val="18"/>
                <w:color w:val="auto"/>
              </w:rPr>
              <w:t>Total Hotel Revenue (1)</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Non-Hotel Revenue (1)</w:t>
            </w:r>
          </w:p>
        </w:tc>
        <w:tc>
          <w:tcPr>
            <w:tcW w:w="8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(1) Our revenue is recognized primarily at a point in time for both our Hotel and Non-Hotel segments.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ind w:right="400" w:firstLine="598"/>
        <w:spacing w:after="0" w:line="277"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receivables and contract assets from contracts with customers (in millions):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2018</w:t>
            </w:r>
          </w:p>
        </w:tc>
        <w:tc>
          <w:tcPr>
            <w:tcW w:w="20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2017</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540" w:type="dxa"/>
            <w:vAlign w:val="bottom"/>
            <w:tcBorders>
              <w:top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Contract assets</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98"/>
        <w:spacing w:after="0" w:line="289" w:lineRule="auto"/>
        <w:rPr>
          <w:sz w:val="20"/>
          <w:szCs w:val="20"/>
          <w:color w:val="auto"/>
        </w:rPr>
      </w:pPr>
      <w:r>
        <w:rPr>
          <w:rFonts w:ascii="Arial" w:cs="Arial" w:eastAsia="Arial" w:hAnsi="Arial"/>
          <w:sz w:val="16"/>
          <w:szCs w:val="16"/>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Contract liabilities generally include payments received in advance of performance under the contract, and are realized as revenue as the performance obligation to the customer is satisfied, which we present as deferred revenue on our consolidated balance sheets. As of January 1, 2018, we had $59 million recorded as deferred revenue on our consolidated balance sheet, of which $57 million was recognized in revenue and $2 million was refunded due to cancellations by travelers during the year ended December 31, 2018. The difference between the opening and closing balances of our deferred revenue primarily results from the timing differences between when we receive customer payments and the time in which we satisfy our performance obligations. The difference between the opening and closing balances of our contract assets primarily results from the timing difference between when we satisfy our performance obligations and the time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1" w:name="page92"/>
    <w:bookmarkEnd w:id="91"/>
    <w:p>
      <w:pPr>
        <w:spacing w:after="0" w:line="277" w:lineRule="auto"/>
        <w:rPr>
          <w:sz w:val="20"/>
          <w:szCs w:val="20"/>
          <w:color w:val="auto"/>
        </w:rPr>
      </w:pPr>
      <w:r>
        <w:rPr>
          <w:rFonts w:ascii="Arial" w:cs="Arial" w:eastAsia="Arial" w:hAnsi="Arial"/>
          <w:sz w:val="18"/>
          <w:szCs w:val="18"/>
          <w:color w:val="auto"/>
        </w:rPr>
        <w:t>when the principal completes the service in the transaction. There were no significant changes in contract assets or deferred revenue during the year ended December 31, 2018 related to business combinations, impairments, cumulative catch-ups or other material adjustments.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Earnings Per Share Attributable to Common Stockholders</w:t>
      </w:r>
    </w:p>
    <w:p>
      <w:pPr>
        <w:spacing w:after="0" w:line="11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We compute basic earnings per share, or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Diluted Earnings Per Share Attributable to Common Stockholders</w:t>
      </w:r>
    </w:p>
    <w:p>
      <w:pPr>
        <w:spacing w:after="0" w:line="11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71" w:lineRule="exact"/>
        <w:rPr>
          <w:sz w:val="20"/>
          <w:szCs w:val="20"/>
          <w:color w:val="auto"/>
        </w:rPr>
      </w:pPr>
    </w:p>
    <w:p>
      <w:pPr>
        <w:jc w:val="both"/>
        <w:ind w:right="180" w:firstLine="598"/>
        <w:spacing w:after="0" w:line="286" w:lineRule="auto"/>
        <w:rPr>
          <w:sz w:val="20"/>
          <w:szCs w:val="20"/>
          <w:color w:val="auto"/>
        </w:rPr>
      </w:pPr>
      <w:r>
        <w:rPr>
          <w:rFonts w:ascii="Arial" w:cs="Arial" w:eastAsia="Arial" w:hAnsi="Arial"/>
          <w:sz w:val="17"/>
          <w:szCs w:val="17"/>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66"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color w:val="auto"/>
        </w:rPr>
        <w:t>In periods of a net loss, common equivalent shares are excluded from the calculation of Diluted EPS as their inclusion would have an antidilutive effect. Accordingly, for periods in which we report a net loss, Diluted EPS is the same as Basic EPS, since dilutive common equivalent shares are not assumed to have been issued if their effect is anti-dilutive.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2" w:name="page93"/>
    <w:bookmarkEnd w:id="92"/>
    <w:p>
      <w:pPr>
        <w:ind w:right="20" w:firstLine="598"/>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9"/>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56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183"/>
        </w:trPr>
        <w:tc>
          <w:tcPr>
            <w:tcW w:w="6740" w:type="dxa"/>
            <w:vAlign w:val="bottom"/>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6740" w:type="dxa"/>
            <w:vAlign w:val="bottom"/>
            <w:gridSpan w:val="3"/>
          </w:tcPr>
          <w:p>
            <w:pPr>
              <w:ind w:left="26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r>
      <w:tr>
        <w:trPr>
          <w:trHeight w:val="189"/>
        </w:trPr>
        <w:tc>
          <w:tcPr>
            <w:tcW w:w="674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56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6740" w:type="dxa"/>
            <w:vAlign w:val="bottom"/>
            <w:gridSpan w:val="3"/>
          </w:tcPr>
          <w:p>
            <w:pPr>
              <w:ind w:left="260"/>
              <w:spacing w:after="0"/>
              <w:rPr>
                <w:sz w:val="20"/>
                <w:szCs w:val="20"/>
                <w:color w:val="auto"/>
              </w:rPr>
            </w:pPr>
            <w:r>
              <w:rPr>
                <w:rFonts w:ascii="Arial" w:cs="Arial" w:eastAsia="Arial" w:hAnsi="Arial"/>
                <w:sz w:val="18"/>
                <w:szCs w:val="18"/>
                <w:color w:val="auto"/>
              </w:rPr>
              <w:t>Weighted average shares used to compute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40" w:type="dxa"/>
            <w:vAlign w:val="bottom"/>
            <w:gridSpan w:val="3"/>
          </w:tcPr>
          <w:p>
            <w:pPr>
              <w:ind w:left="380"/>
              <w:spacing w:after="0"/>
              <w:rPr>
                <w:sz w:val="20"/>
                <w:szCs w:val="20"/>
                <w:color w:val="auto"/>
              </w:rPr>
            </w:pPr>
            <w:r>
              <w:rPr>
                <w:rFonts w:ascii="Arial" w:cs="Arial" w:eastAsia="Arial" w:hAnsi="Arial"/>
                <w:sz w:val="18"/>
                <w:szCs w:val="18"/>
                <w:color w:val="auto"/>
              </w:rPr>
              <w:t>Basic EPS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138,116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140,445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145,443</w:t>
            </w:r>
          </w:p>
        </w:tc>
        <w:tc>
          <w:tcPr>
            <w:tcW w:w="120" w:type="dxa"/>
            <w:vAlign w:val="bottom"/>
          </w:tcPr>
          <w:p>
            <w:pPr>
              <w:spacing w:after="0"/>
              <w:rPr>
                <w:sz w:val="20"/>
                <w:szCs w:val="20"/>
                <w:color w:val="auto"/>
              </w:rPr>
            </w:pPr>
          </w:p>
        </w:tc>
      </w:tr>
      <w:tr>
        <w:trPr>
          <w:trHeight w:val="215"/>
        </w:trPr>
        <w:tc>
          <w:tcPr>
            <w:tcW w:w="67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Weighted average effect of dilutive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74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19"/>
                <w:szCs w:val="19"/>
                <w:color w:val="auto"/>
              </w:rPr>
            </w:pPr>
          </w:p>
        </w:tc>
      </w:tr>
      <w:tr>
        <w:trPr>
          <w:trHeight w:val="230"/>
        </w:trPr>
        <w:tc>
          <w:tcPr>
            <w:tcW w:w="674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RSUs/MSUs</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FF0FC"/>
          </w:tcPr>
          <w:p>
            <w:pPr>
              <w:spacing w:after="0"/>
              <w:rPr>
                <w:sz w:val="19"/>
                <w:szCs w:val="19"/>
                <w:color w:val="auto"/>
              </w:rPr>
            </w:pPr>
          </w:p>
        </w:tc>
      </w:tr>
      <w:tr>
        <w:trPr>
          <w:trHeight w:val="209"/>
        </w:trPr>
        <w:tc>
          <w:tcPr>
            <w:tcW w:w="6740" w:type="dxa"/>
            <w:vAlign w:val="bottom"/>
            <w:gridSpan w:val="3"/>
          </w:tcPr>
          <w:p>
            <w:pPr>
              <w:ind w:left="260"/>
              <w:spacing w:after="0"/>
              <w:rPr>
                <w:sz w:val="20"/>
                <w:szCs w:val="20"/>
                <w:color w:val="auto"/>
              </w:rPr>
            </w:pPr>
            <w:r>
              <w:rPr>
                <w:rFonts w:ascii="Arial" w:cs="Arial" w:eastAsia="Arial" w:hAnsi="Arial"/>
                <w:sz w:val="18"/>
                <w:szCs w:val="18"/>
                <w:color w:val="auto"/>
              </w:rPr>
              <w:t>Weighted average shares used to compute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0"/>
        </w:trPr>
        <w:tc>
          <w:tcPr>
            <w:tcW w:w="6740" w:type="dxa"/>
            <w:vAlign w:val="bottom"/>
            <w:tcBorders>
              <w:bottom w:val="single" w:sz="8" w:color="CFF0FC"/>
            </w:tcBorders>
            <w:gridSpan w:val="3"/>
          </w:tcPr>
          <w:p>
            <w:pPr>
              <w:ind w:left="380"/>
              <w:spacing w:after="0"/>
              <w:rPr>
                <w:sz w:val="20"/>
                <w:szCs w:val="20"/>
                <w:color w:val="auto"/>
              </w:rPr>
            </w:pPr>
            <w:r>
              <w:rPr>
                <w:rFonts w:ascii="Arial" w:cs="Arial" w:eastAsia="Arial" w:hAnsi="Arial"/>
                <w:sz w:val="18"/>
                <w:szCs w:val="18"/>
                <w:color w:val="auto"/>
              </w:rPr>
              <w:t>Diluted EPS</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140,375</w:t>
            </w:r>
          </w:p>
        </w:tc>
        <w:tc>
          <w:tcPr>
            <w:tcW w:w="2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140,445</w:t>
            </w:r>
          </w:p>
        </w:tc>
        <w:tc>
          <w:tcPr>
            <w:tcW w:w="26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146,893</w:t>
            </w:r>
          </w:p>
        </w:tc>
        <w:tc>
          <w:tcPr>
            <w:tcW w:w="120" w:type="dxa"/>
            <w:vAlign w:val="bottom"/>
            <w:tcBorders>
              <w:bottom w:val="single" w:sz="8" w:color="CFF0FC"/>
            </w:tcBorders>
          </w:tcPr>
          <w:p>
            <w:pPr>
              <w:spacing w:after="0"/>
              <w:rPr>
                <w:sz w:val="23"/>
                <w:szCs w:val="23"/>
                <w:color w:val="auto"/>
              </w:rPr>
            </w:pPr>
          </w:p>
        </w:tc>
      </w:tr>
      <w:tr>
        <w:trPr>
          <w:trHeight w:val="210"/>
        </w:trPr>
        <w:tc>
          <w:tcPr>
            <w:tcW w:w="6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FF0FC"/>
          </w:tcPr>
          <w:p>
            <w:pPr>
              <w:spacing w:after="0"/>
              <w:rPr>
                <w:sz w:val="18"/>
                <w:szCs w:val="18"/>
                <w:color w:val="auto"/>
              </w:rPr>
            </w:pPr>
          </w:p>
        </w:tc>
      </w:tr>
      <w:tr>
        <w:trPr>
          <w:trHeight w:val="230"/>
        </w:trPr>
        <w:tc>
          <w:tcPr>
            <w:tcW w:w="674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0.81</w:t>
            </w:r>
          </w:p>
        </w:tc>
        <w:tc>
          <w:tcPr>
            <w:tcW w:w="5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0"/>
                <w:szCs w:val="20"/>
                <w:color w:val="auto"/>
              </w:rPr>
            </w:pPr>
          </w:p>
        </w:tc>
      </w:tr>
    </w:tbl>
    <w:p>
      <w:pPr>
        <w:ind w:right="260" w:firstLine="598"/>
        <w:spacing w:after="0" w:line="271" w:lineRule="auto"/>
        <w:rPr>
          <w:sz w:val="20"/>
          <w:szCs w:val="20"/>
          <w:color w:val="auto"/>
        </w:rPr>
      </w:pPr>
      <w:r>
        <w:rPr>
          <w:rFonts w:ascii="Arial" w:cs="Arial" w:eastAsia="Arial" w:hAnsi="Arial"/>
          <w:sz w:val="17"/>
          <w:szCs w:val="17"/>
          <w:color w:val="auto"/>
        </w:rPr>
        <w:t>Potential common shares, consisting of outstanding stock options and RSUs, totaling approximately 6.2 million, 12.5 million, and 3.9 million, respectively, for the years ending December 31, 2018, 2017 and 2016, have been excluded from the calculations of Diluted EPS because their effect would have been antidilutive. In addition, potential common shares of approximately 0.5 million, 0.6 million, and 0.1 million, respectively, for the years ending December 31, 2018, 2017 and 2016, consisting of performance-based awards, for which all targets required to trigger vesting had not been achieved, were excluded from the calculation of weighted average shares used to compute Diluted EPS for those reporting periods.</w:t>
      </w:r>
    </w:p>
    <w:p>
      <w:pPr>
        <w:spacing w:after="0" w:line="178"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75" w:lineRule="exact"/>
        <w:rPr>
          <w:sz w:val="20"/>
          <w:szCs w:val="20"/>
          <w:color w:val="auto"/>
        </w:rPr>
      </w:pPr>
    </w:p>
    <w:p>
      <w:pPr>
        <w:ind w:right="5340"/>
        <w:spacing w:after="0" w:line="378" w:lineRule="auto"/>
        <w:rPr>
          <w:sz w:val="20"/>
          <w:szCs w:val="20"/>
          <w:color w:val="auto"/>
        </w:rPr>
      </w:pPr>
      <w:r>
        <w:rPr>
          <w:rFonts w:ascii="Arial" w:cs="Arial" w:eastAsia="Arial" w:hAnsi="Arial"/>
          <w:sz w:val="18"/>
          <w:szCs w:val="18"/>
          <w:b w:val="1"/>
          <w:bCs w:val="1"/>
          <w:color w:val="auto"/>
        </w:rPr>
        <w:t xml:space="preserve">NOTE 6: STOCK BASED AWARDS AND OTHER EQUITY INSTRUMENTS </w:t>
      </w:r>
      <w:r>
        <w:rPr>
          <w:rFonts w:ascii="Arial" w:cs="Arial" w:eastAsia="Arial" w:hAnsi="Arial"/>
          <w:sz w:val="18"/>
          <w:szCs w:val="18"/>
          <w:b w:val="1"/>
          <w:bCs w:val="1"/>
          <w:i w:val="1"/>
          <w:iCs w:val="1"/>
          <w:color w:val="auto"/>
        </w:rPr>
        <w:t>Stock-based Compensation Expense</w:t>
      </w:r>
    </w:p>
    <w:p>
      <w:pPr>
        <w:ind w:right="180" w:firstLine="598"/>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RSUs, on our consolidated statements of operations during the periods presented:</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488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4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center"/>
              <w:ind w:right="94"/>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4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2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Selling and marketing</w:t>
            </w: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content</w:t>
            </w:r>
          </w:p>
        </w:tc>
        <w:tc>
          <w:tcPr>
            <w:tcW w:w="1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FF0FC"/>
          </w:tcPr>
          <w:p>
            <w:pPr>
              <w:spacing w:after="0"/>
              <w:rPr>
                <w:sz w:val="19"/>
                <w:szCs w:val="19"/>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Income tax benefit from stock-based compensation</w:t>
            </w:r>
          </w:p>
        </w:tc>
        <w:tc>
          <w:tcPr>
            <w:tcW w:w="1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880" w:type="dxa"/>
            <w:vAlign w:val="bottom"/>
          </w:tcPr>
          <w:p>
            <w:pPr>
              <w:ind w:left="140"/>
              <w:spacing w:after="0"/>
              <w:rPr>
                <w:sz w:val="20"/>
                <w:szCs w:val="20"/>
                <w:color w:val="auto"/>
              </w:rPr>
            </w:pPr>
            <w:r>
              <w:rPr>
                <w:rFonts w:ascii="Arial" w:cs="Arial" w:eastAsia="Arial" w:hAnsi="Arial"/>
                <w:sz w:val="18"/>
                <w:szCs w:val="18"/>
                <w:color w:val="auto"/>
              </w:rPr>
              <w:t>expense</w:t>
            </w: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gridSpan w:val="2"/>
          </w:tcPr>
          <w:p>
            <w:pPr>
              <w:jc w:val="right"/>
              <w:ind w:right="96"/>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09"/>
        </w:trPr>
        <w:tc>
          <w:tcPr>
            <w:tcW w:w="48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 net of</w:t>
            </w:r>
          </w:p>
        </w:tc>
        <w:tc>
          <w:tcPr>
            <w:tcW w:w="120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4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 effect</w:t>
            </w:r>
          </w:p>
        </w:tc>
        <w:tc>
          <w:tcPr>
            <w:tcW w:w="202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20"/>
                <w:szCs w:val="20"/>
                <w:color w:val="auto"/>
              </w:rPr>
            </w:pPr>
          </w:p>
        </w:tc>
      </w:tr>
      <w:tr>
        <w:trPr>
          <w:trHeight w:val="20"/>
        </w:trPr>
        <w:tc>
          <w:tcPr>
            <w:tcW w:w="48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We capitalized $13 million, $13 million and $12 million of stock-based compensation expense as internal-use software and website development costs during the years ended December 31, 2018, 2017 and 2016,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Stock and Incentive Plans</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 xml:space="preserve">On December 20, 2011, our 2011 Stock and Annual Incentive Plan (the “2011 Plan”) became effective and we filed Post-Effective Amendment No. 1 on Form S-8 to Registration Statement on Form S-4 (File No. 333-178637) (the “Prior Registration Statement”) with the SEC, registering a total of 17,500,000 shares of our common stock, of which 17,400,000 shares were issuable in connection with grants of equity-based awards under our 2011 Plan (7,400,000 of which shares were originally registered on the Form S-4 and 10,000,000 of which shares were first registered on the Prior Registration Statement) and 100,000 shares were issuable under our Deferred Compensation Plan for Non-Employee Directors (refer to “Note 15: </w:t>
      </w:r>
      <w:r>
        <w:rPr>
          <w:rFonts w:ascii="Arial" w:cs="Arial" w:eastAsia="Arial" w:hAnsi="Arial"/>
          <w:sz w:val="17"/>
          <w:szCs w:val="17"/>
          <w:i w:val="1"/>
          <w:iCs w:val="1"/>
          <w:color w:val="auto"/>
        </w:rPr>
        <w:t>Employee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Plans” </w:t>
      </w:r>
      <w:r>
        <w:rPr>
          <w:rFonts w:ascii="Arial" w:cs="Arial" w:eastAsia="Arial" w:hAnsi="Arial"/>
          <w:sz w:val="17"/>
          <w:szCs w:val="17"/>
          <w:color w:val="auto"/>
        </w:rPr>
        <w:t>below for information on our Deferred Compensation Plan for Non-Employee Directors). At our annual meeting of stockholders held on June 28,</w:t>
      </w:r>
      <w:r>
        <w:rPr>
          <w:rFonts w:ascii="Arial" w:cs="Arial" w:eastAsia="Arial" w:hAnsi="Arial"/>
          <w:sz w:val="17"/>
          <w:szCs w:val="17"/>
          <w:i w:val="1"/>
          <w:iCs w:val="1"/>
          <w:color w:val="auto"/>
        </w:rPr>
        <w:t xml:space="preserve"> </w:t>
      </w:r>
      <w:r>
        <w:rPr>
          <w:rFonts w:ascii="Arial" w:cs="Arial" w:eastAsia="Arial" w:hAnsi="Arial"/>
          <w:sz w:val="17"/>
          <w:szCs w:val="17"/>
          <w:color w:val="auto"/>
        </w:rPr>
        <w:t>2013, our stockholders approved an amendment to our 2011 Plan to, among other things, increase the aggregate number of shares of common stock authorized for issuance thereunder by 15,000,000 shares.</w:t>
      </w:r>
    </w:p>
    <w:p>
      <w:pPr>
        <w:spacing w:after="0" w:line="71"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On June 21, 2018, our stockholders approved the 2018 Stock and Annual Incentive Plan (the “2018 Plan”) primarily for the purpose of providing sufficient reserves of shares of our common stock to ensure our ability to continue to provide new hires, employees and management with equity incentives. The number of shares reserved and available for issuance under the 2018 Plan is 6,000,000 plus the number of shares available for issuance (and not subject to outstanding awards) under the 2011 Plan, as of the effective date of the 2018 Plan. Both plans provide for the grant of stock options, stock appreciation rights, restricted stock, restricted stock units, and other stock-based awards to our directors, officers, employees and consultants, although no additional awards will be granted pursuant to the 2011 Plan. The summary of the material terms of both the 2018 Plan and its predecessor, the 2011 Plan, is qualified in its entirety by the full texts of the 2018 Plan and 2011 Plan previously filed.</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December 31, 2018, the total number of shares reserved for future stock-based awards under the 2018 Plan is approximately 13.5</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million shares. All shares of common stock issued in respect of the exercise of options or other equity awards have been issued from authorized, but unissued common stock.</w:t>
      </w:r>
    </w:p>
    <w:p>
      <w:pPr>
        <w:spacing w:after="0" w:line="292" w:lineRule="exact"/>
        <w:rPr>
          <w:sz w:val="20"/>
          <w:szCs w:val="20"/>
          <w:color w:val="auto"/>
        </w:rPr>
      </w:pPr>
    </w:p>
    <w:p>
      <w:pPr>
        <w:jc w:val="center"/>
        <w:ind w:right="8240"/>
        <w:spacing w:after="0"/>
        <w:rPr>
          <w:sz w:val="20"/>
          <w:szCs w:val="20"/>
          <w:color w:val="auto"/>
        </w:rPr>
      </w:pPr>
      <w:r>
        <w:rPr>
          <w:rFonts w:ascii="Arial" w:cs="Arial" w:eastAsia="Arial" w:hAnsi="Arial"/>
          <w:sz w:val="15"/>
          <w:szCs w:val="15"/>
          <w:b w:val="1"/>
          <w:bCs w:val="1"/>
          <w:i w:val="1"/>
          <w:iCs w:val="1"/>
          <w:color w:val="auto"/>
        </w:rPr>
        <w:t>Stock Based Award Activity and Valuation</w:t>
      </w:r>
    </w:p>
    <w:p>
      <w:pPr>
        <w:spacing w:after="0" w:line="152" w:lineRule="exact"/>
        <w:rPr>
          <w:sz w:val="20"/>
          <w:szCs w:val="20"/>
          <w:color w:val="auto"/>
        </w:rPr>
      </w:pPr>
    </w:p>
    <w:p>
      <w:pPr>
        <w:jc w:val="center"/>
        <w:ind w:right="8240"/>
        <w:spacing w:after="0"/>
        <w:rPr>
          <w:sz w:val="20"/>
          <w:szCs w:val="20"/>
          <w:color w:val="auto"/>
        </w:rPr>
      </w:pPr>
      <w:r>
        <w:rPr>
          <w:rFonts w:ascii="Arial" w:cs="Arial" w:eastAsia="Arial" w:hAnsi="Arial"/>
          <w:sz w:val="18"/>
          <w:szCs w:val="18"/>
          <w:i w:val="1"/>
          <w:iCs w:val="1"/>
          <w:color w:val="auto"/>
        </w:rPr>
        <w:t>2018 Stock Option Activity</w:t>
      </w:r>
    </w:p>
    <w:p>
      <w:pPr>
        <w:spacing w:after="0" w:line="117" w:lineRule="exact"/>
        <w:rPr>
          <w:sz w:val="20"/>
          <w:szCs w:val="20"/>
          <w:color w:val="auto"/>
        </w:rPr>
      </w:pPr>
    </w:p>
    <w:p>
      <w:pPr>
        <w:ind w:right="40" w:firstLine="598"/>
        <w:spacing w:after="0" w:line="342" w:lineRule="auto"/>
        <w:rPr>
          <w:sz w:val="20"/>
          <w:szCs w:val="20"/>
          <w:color w:val="auto"/>
        </w:rPr>
      </w:pPr>
      <w:r>
        <w:rPr>
          <w:rFonts w:ascii="Arial" w:cs="Arial" w:eastAsia="Arial" w:hAnsi="Arial"/>
          <w:sz w:val="16"/>
          <w:szCs w:val="16"/>
          <w:color w:val="auto"/>
        </w:rPr>
        <w:t>During the year ended December 31, 2018, we have issued 762,124 service-based non-qualified stock options under both the 2018 Plan and the 2011 Plan. Our stock options generally have a term of ten years from the date of grant and typically vest equally over a four-year requisite service period.</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94" w:name="page95"/>
    <w:bookmarkEnd w:id="94"/>
    <w:p>
      <w:pPr>
        <w:ind w:left="60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Price Per</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Contractual</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Share</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5"/>
        </w:trPr>
        <w:tc>
          <w:tcPr>
            <w:tcW w:w="5900" w:type="dxa"/>
            <w:vAlign w:val="bottom"/>
          </w:tcPr>
          <w:p>
            <w:pPr>
              <w:spacing w:after="0"/>
              <w:rPr>
                <w:sz w:val="13"/>
                <w:szCs w:val="13"/>
                <w:color w:val="auto"/>
              </w:rPr>
            </w:pPr>
          </w:p>
        </w:tc>
        <w:tc>
          <w:tcPr>
            <w:tcW w:w="13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8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Options outstanding as of December 31, 2015</w:t>
            </w:r>
          </w:p>
        </w:tc>
        <w:tc>
          <w:tcPr>
            <w:tcW w:w="1360" w:type="dxa"/>
            <w:vAlign w:val="bottom"/>
          </w:tcPr>
          <w:p>
            <w:pPr>
              <w:jc w:val="right"/>
              <w:spacing w:after="0"/>
              <w:rPr>
                <w:sz w:val="20"/>
                <w:szCs w:val="20"/>
                <w:color w:val="auto"/>
              </w:rPr>
            </w:pPr>
            <w:r>
              <w:rPr>
                <w:rFonts w:ascii="Arial" w:cs="Arial" w:eastAsia="Arial" w:hAnsi="Arial"/>
                <w:sz w:val="18"/>
                <w:szCs w:val="18"/>
                <w:color w:val="auto"/>
              </w:rPr>
              <w:t>5,720</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53.71</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63.43</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Exercised (1)</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31.58</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Cancelled or expired</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70.76</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Options outstanding as of December 31, 2016</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57.60</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Granted (2)</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40.03</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Exercised (1)</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29.37</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Cancelled or expired</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(802)</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65.13</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Options outstanding as of December 31, 2017</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52.78</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Exercised (1)</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37.26</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Cancelled or expired</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(412)</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61.46</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outstanding as of December 31, 2018</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54.00</w:t>
            </w:r>
          </w:p>
        </w:tc>
        <w:tc>
          <w:tcPr>
            <w:tcW w:w="18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as of December 31, 2018</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61.85</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Vested and expected to vest after December 31, 2018 (3)</w:t>
            </w: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54.00</w:t>
            </w:r>
          </w:p>
        </w:tc>
        <w:tc>
          <w:tcPr>
            <w:tcW w:w="18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6,041</w:t>
            </w:r>
          </w:p>
        </w:tc>
        <w:tc>
          <w:tcPr>
            <w:tcW w:w="2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right="80" w:hanging="592"/>
        <w:spacing w:after="0" w:line="268" w:lineRule="auto"/>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Inclusive of 814,635, 294,410, and 318,773 options as of December 31, 2018, 2017 and 2016, respectively, which were not converted into shares due to net share settlement in order to cover the aggregate exercise price and the required amount of employee withholding taxes. Potential shares which had been convertible under stock options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spacing w:after="0" w:line="3" w:lineRule="exact"/>
        <w:rPr>
          <w:rFonts w:ascii="Arial" w:cs="Arial" w:eastAsia="Arial" w:hAnsi="Arial"/>
          <w:sz w:val="17"/>
          <w:szCs w:val="17"/>
          <w:color w:val="auto"/>
        </w:rPr>
      </w:pPr>
    </w:p>
    <w:p>
      <w:pPr>
        <w:ind w:left="600" w:right="120" w:hanging="592"/>
        <w:spacing w:after="0" w:line="281" w:lineRule="auto"/>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Inclusive of 780,000 stock options awarded to our Chief Executive Officer and President, or CEO, during November 2017. The estimated grant-date fair value per option, using a Black-Scholes option pricing model was $17.33. These stock options shall vest in equal installments on each of August 1, 2021 and August 1, 2022, subject to the CEO’s continuous employment with, or performance of services for, the Company. The estimated grant-date fair value of this award will be amortized on a straight-line basis over the requisite service period through August 1, 2022.</w:t>
      </w:r>
    </w:p>
    <w:p>
      <w:pPr>
        <w:spacing w:after="0" w:line="2" w:lineRule="exact"/>
        <w:rPr>
          <w:rFonts w:ascii="Arial" w:cs="Arial" w:eastAsia="Arial" w:hAnsi="Arial"/>
          <w:sz w:val="16"/>
          <w:szCs w:val="16"/>
          <w:color w:val="auto"/>
        </w:rPr>
      </w:pPr>
    </w:p>
    <w:p>
      <w:pPr>
        <w:ind w:left="600" w:right="120" w:hanging="592"/>
        <w:spacing w:after="0" w:line="261"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84" w:lineRule="exact"/>
        <w:rPr>
          <w:sz w:val="20"/>
          <w:szCs w:val="20"/>
          <w:color w:val="auto"/>
        </w:rPr>
      </w:pPr>
    </w:p>
    <w:p>
      <w:pPr>
        <w:jc w:val="both"/>
        <w:ind w:right="40" w:firstLine="598"/>
        <w:spacing w:after="0" w:line="286" w:lineRule="auto"/>
        <w:rPr>
          <w:sz w:val="20"/>
          <w:szCs w:val="20"/>
          <w:color w:val="auto"/>
        </w:rPr>
      </w:pPr>
      <w:r>
        <w:rPr>
          <w:rFonts w:ascii="Arial" w:cs="Arial" w:eastAsia="Arial" w:hAnsi="Arial"/>
          <w:sz w:val="17"/>
          <w:szCs w:val="17"/>
          <w:color w:val="auto"/>
        </w:rPr>
        <w:t>Aggregate intrinsic value represents the difference between the closing stock price of our common stock and the exercise price of outstanding, in-the-money options. Our closing stock price as reported on NASDAQ as of December 31, 2018 was $53.94. The total intrinsic value of stock options exercised for the years ended December 31, 2018, 2017 and 2016 were $20 million, $8 million, and $24 million, respectively.</w:t>
      </w:r>
    </w:p>
    <w:p>
      <w:pPr>
        <w:spacing w:after="0" w:line="166" w:lineRule="exact"/>
        <w:rPr>
          <w:sz w:val="20"/>
          <w:szCs w:val="20"/>
          <w:color w:val="auto"/>
        </w:rPr>
      </w:pPr>
    </w:p>
    <w:p>
      <w:pPr>
        <w:ind w:right="680" w:firstLine="598"/>
        <w:spacing w:after="0" w:line="277"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6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4"/>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88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41.86%</w:t>
            </w:r>
          </w:p>
        </w:tc>
        <w:tc>
          <w:tcPr>
            <w:tcW w:w="1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42.14%</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41.81%</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80" w:type="dxa"/>
            <w:vAlign w:val="bottom"/>
          </w:tcPr>
          <w:p>
            <w:pPr>
              <w:spacing w:after="0"/>
              <w:rPr>
                <w:sz w:val="20"/>
                <w:szCs w:val="20"/>
                <w:color w:val="auto"/>
              </w:rPr>
            </w:pPr>
          </w:p>
        </w:tc>
        <w:tc>
          <w:tcPr>
            <w:tcW w:w="1200" w:type="dxa"/>
            <w:vAlign w:val="bottom"/>
            <w:gridSpan w:val="2"/>
          </w:tcPr>
          <w:p>
            <w:pPr>
              <w:jc w:val="right"/>
              <w:ind w:right="210"/>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c>
          <w:tcPr>
            <w:tcW w:w="1740" w:type="dxa"/>
            <w:vAlign w:val="bottom"/>
          </w:tcPr>
          <w:p>
            <w:pPr>
              <w:spacing w:after="0"/>
              <w:rPr>
                <w:sz w:val="20"/>
                <w:szCs w:val="20"/>
                <w:color w:val="auto"/>
              </w:rPr>
            </w:pPr>
          </w:p>
        </w:tc>
      </w:tr>
      <w:tr>
        <w:trPr>
          <w:trHeight w:val="674"/>
        </w:trPr>
        <w:tc>
          <w:tcPr>
            <w:tcW w:w="1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93</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5" w:name="page96"/>
    <w:bookmarkEnd w:id="95"/>
    <w:p>
      <w:pPr>
        <w:ind w:right="40" w:firstLine="598"/>
        <w:spacing w:after="0" w:line="259" w:lineRule="auto"/>
        <w:rPr>
          <w:sz w:val="20"/>
          <w:szCs w:val="20"/>
          <w:color w:val="auto"/>
        </w:rPr>
      </w:pPr>
      <w:r>
        <w:rPr>
          <w:rFonts w:ascii="Arial" w:cs="Arial" w:eastAsia="Arial" w:hAnsi="Arial"/>
          <w:sz w:val="18"/>
          <w:szCs w:val="18"/>
          <w:color w:val="auto"/>
        </w:rPr>
        <w:t>The weighted-average grant date fair value of options granted was $18.11, $16.50, and $22.95 for the years ended December 31, 2018, 2017 and 2016, respectively. The total fair value of stock options vested for the years ended December 31, 2018, 2017 and 2016 were $38 million, $40 million, and $28 million, respectively. Cash received from stock option exercises for the years ended December 31, 2018, 2017 and 2016 were $6 million, $3 million, and $7 million, respectively.</w:t>
      </w:r>
    </w:p>
    <w:p>
      <w:pPr>
        <w:spacing w:after="0" w:line="187"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On June 5, 2017, the Section 16 Committee of our Board of Directors approved an amendment to the nonqualified stock option award (the “Option”) granted on August 28, 2013 to Stephen Kaufer, the Company’s CEO. The amendment provided that the Option will expire on the tenth anniversary, instead of the seventh anniversary, of the grant date. Vesting conditions under the Option were not affected by this amendment. As a result of the modification, incremental fair value of $5 million was recognized to stock-based compensation expense on a straight-line basis over the remaining vesting term, or through August 2018, in general and administrative expense on the consolidated statement of operations.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2018 RSU Activity</w:t>
      </w:r>
    </w:p>
    <w:p>
      <w:pPr>
        <w:spacing w:after="0" w:line="225"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During the year ended December 31, 2018, we granted 3,302,689 primarily service-based RSUs under the 2018 Plan and the 2011 Plan, which typically vest over a four-year requisite service period. A summary of our RSU activity is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Grant-</w:t>
            </w: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67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RSUs</w:t>
            </w: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Date Fair</w:t>
            </w: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67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Value Per Share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155"/>
        </w:trPr>
        <w:tc>
          <w:tcPr>
            <w:tcW w:w="678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22"/>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Unvested RSUs outstanding as of December 31, 2015</w:t>
            </w:r>
          </w:p>
        </w:tc>
        <w:tc>
          <w:tcPr>
            <w:tcW w:w="1340" w:type="dxa"/>
            <w:vAlign w:val="bottom"/>
          </w:tcPr>
          <w:p>
            <w:pPr>
              <w:jc w:val="right"/>
              <w:spacing w:after="0"/>
              <w:rPr>
                <w:sz w:val="20"/>
                <w:szCs w:val="20"/>
                <w:color w:val="auto"/>
              </w:rPr>
            </w:pPr>
            <w:r>
              <w:rPr>
                <w:rFonts w:ascii="Arial" w:cs="Arial" w:eastAsia="Arial" w:hAnsi="Arial"/>
                <w:sz w:val="18"/>
                <w:szCs w:val="18"/>
                <w:color w:val="auto"/>
              </w:rPr>
              <w:t>1,750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79.02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Vested and released (1)</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Unvested RSUs outstanding as of December 31, 2016</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Granted (2)(3)</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Vested and released (1)</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(853)</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Unvested RSUs outstanding as of December 31, 2017</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48.81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Vested and released (1)</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(1,617)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(847)</w:t>
            </w: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63"/>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RSUs outstanding as of December 31, 2018</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6,640</w:t>
            </w:r>
          </w:p>
        </w:tc>
        <w:tc>
          <w:tcPr>
            <w:tcW w:w="2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44.93</w:t>
            </w:r>
          </w:p>
        </w:tc>
        <w:tc>
          <w:tcPr>
            <w:tcW w:w="26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FF0FC"/>
            </w:tcBorders>
          </w:tcPr>
          <w:p>
            <w:pPr>
              <w:spacing w:after="0"/>
              <w:rPr>
                <w:sz w:val="22"/>
                <w:szCs w:val="22"/>
                <w:color w:val="auto"/>
              </w:rPr>
            </w:pPr>
          </w:p>
        </w:tc>
      </w:tr>
      <w:tr>
        <w:trPr>
          <w:trHeight w:val="210"/>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to vest after December 31, 2018 (4)</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right="100" w:hanging="592"/>
        <w:spacing w:after="0" w:line="257"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Inclusive of 424,848, 301,932, and 173,429 RSUs as of December 31, 2018, 2017 and 2016, respectively, withheld due to net share settlement to satisfy required employee tax withholding requirements. Potential shares which had been convertible under RSUs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6" w:name="page97"/>
    <w:bookmarkEnd w:id="96"/>
    <w:p>
      <w:pPr>
        <w:ind w:left="600" w:right="60" w:hanging="592"/>
        <w:spacing w:after="0" w:line="253"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Inclusive of 426,000 service-based RSUs awarded to our CEO during November 2017. The service-based RSU award provides for vesting in two equal annual installments on each of August 1, 2021 and August 1, 2022, subject to the CEO’s continuous employment with, or performance of services for, the Company. The estimated grant-date fair value per RSU, based on the quoted price of our common stock on the date of grant, was $34.71. The estimated grant-date fair value of this award will be amortized on a straight-line basis over the requisite service period through August 1, 2022.</w:t>
      </w:r>
    </w:p>
    <w:p>
      <w:pPr>
        <w:spacing w:after="0" w:line="3" w:lineRule="exact"/>
        <w:rPr>
          <w:rFonts w:ascii="Arial" w:cs="Arial" w:eastAsia="Arial" w:hAnsi="Arial"/>
          <w:sz w:val="18"/>
          <w:szCs w:val="18"/>
          <w:color w:val="auto"/>
        </w:rPr>
      </w:pPr>
    </w:p>
    <w:p>
      <w:pPr>
        <w:ind w:left="600" w:right="100" w:hanging="592"/>
        <w:spacing w:after="0" w:line="265" w:lineRule="auto"/>
        <w:tabs>
          <w:tab w:leader="none" w:pos="645"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Excludes from the 2017 RSU grants, a performance-based RSU grant for 213,000 shares awarded to our CEO during November 2017. This award provides for vesting based on the extent to which the Company achieves certain financial and/or the CEO achieves certain strategic performance metrics relative to the targets to be established by the Company’s Compensation Committee. One quarter of these RSUs may vest and settle annually based on actual performance relative to the targets established annually for each of the four fiscal years ending December 31, 2018, December 31, 2019, December 31, 2020, and December 31, 2021. The estimated grant-date fair value per RSU will be calculated upon the establishment of annual performance targets and each tranche will be amortized on a straight-line basis over its requisite service period. At any point in time during the vesting period, the award’s expense to date will at least equal the portion of the grant-date fair value that is expected to vest at that date. Based upon actual attainment relative to the target performance metrics, the CEO has the ability to receive up to 125% of the target number originally granted, or to be issued none at all.</w:t>
      </w:r>
    </w:p>
    <w:p>
      <w:pPr>
        <w:spacing w:after="0" w:line="2" w:lineRule="exact"/>
        <w:rPr>
          <w:rFonts w:ascii="Arial" w:cs="Arial" w:eastAsia="Arial" w:hAnsi="Arial"/>
          <w:sz w:val="17"/>
          <w:szCs w:val="17"/>
          <w:color w:val="auto"/>
        </w:rPr>
      </w:pPr>
    </w:p>
    <w:p>
      <w:pPr>
        <w:ind w:left="600" w:right="100" w:hanging="592"/>
        <w:spacing w:after="0" w:line="261"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83"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A summary of our RSU activity for MSUs is presented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left="348"/>
              <w:spacing w:after="0"/>
              <w:rPr>
                <w:sz w:val="20"/>
                <w:szCs w:val="20"/>
                <w:color w:val="auto"/>
              </w:rPr>
            </w:pPr>
            <w:r>
              <w:rPr>
                <w:rFonts w:ascii="Arial" w:cs="Arial" w:eastAsia="Arial" w:hAnsi="Arial"/>
                <w:sz w:val="14"/>
                <w:szCs w:val="14"/>
                <w:b w:val="1"/>
                <w:bCs w:val="1"/>
                <w:color w:val="auto"/>
                <w:w w:val="99"/>
              </w:rPr>
              <w:t>Grant-</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6780" w:type="dxa"/>
            <w:vAlign w:val="bottom"/>
          </w:tcPr>
          <w:p>
            <w:pPr>
              <w:spacing w:after="0"/>
              <w:rPr>
                <w:sz w:val="14"/>
                <w:szCs w:val="14"/>
                <w:color w:val="auto"/>
              </w:rPr>
            </w:pPr>
          </w:p>
        </w:tc>
        <w:tc>
          <w:tcPr>
            <w:tcW w:w="1040" w:type="dxa"/>
            <w:vAlign w:val="bottom"/>
          </w:tcPr>
          <w:p>
            <w:pPr>
              <w:jc w:val="center"/>
              <w:ind w:left="188"/>
              <w:spacing w:after="0"/>
              <w:rPr>
                <w:sz w:val="20"/>
                <w:szCs w:val="20"/>
                <w:color w:val="auto"/>
              </w:rPr>
            </w:pPr>
            <w:r>
              <w:rPr>
                <w:rFonts w:ascii="Arial" w:cs="Arial" w:eastAsia="Arial" w:hAnsi="Arial"/>
                <w:sz w:val="14"/>
                <w:szCs w:val="14"/>
                <w:b w:val="1"/>
                <w:bCs w:val="1"/>
                <w:color w:val="auto"/>
                <w:w w:val="97"/>
              </w:rPr>
              <w:t>MSUs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Date Fair</w:t>
            </w: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6780" w:type="dxa"/>
            <w:vAlign w:val="bottom"/>
          </w:tcPr>
          <w:p>
            <w:pPr>
              <w:spacing w:after="0"/>
              <w:rPr>
                <w:sz w:val="14"/>
                <w:szCs w:val="14"/>
                <w:color w:val="auto"/>
              </w:rPr>
            </w:pPr>
          </w:p>
        </w:tc>
        <w:tc>
          <w:tcPr>
            <w:tcW w:w="104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Value Per Share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r>
      <w:tr>
        <w:trPr>
          <w:trHeight w:val="155"/>
        </w:trPr>
        <w:tc>
          <w:tcPr>
            <w:tcW w:w="6780" w:type="dxa"/>
            <w:vAlign w:val="bottom"/>
          </w:tcPr>
          <w:p>
            <w:pPr>
              <w:spacing w:after="0"/>
              <w:rPr>
                <w:sz w:val="13"/>
                <w:szCs w:val="13"/>
                <w:color w:val="auto"/>
              </w:rPr>
            </w:pPr>
          </w:p>
        </w:tc>
        <w:tc>
          <w:tcPr>
            <w:tcW w:w="134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2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Unvested MSUs outstanding as of December 31, 2016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 (1)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213</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30.04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Vested and released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Cancelled</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Unvested MSUs outstanding as of December 31, 2017</w:t>
            </w:r>
          </w:p>
        </w:tc>
        <w:tc>
          <w:tcPr>
            <w:tcW w:w="10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213</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Granted (2)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59.40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Vested and released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Cancelled</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Unvested MSUs outstanding as of December 31, 2018</w:t>
            </w:r>
          </w:p>
        </w:tc>
        <w:tc>
          <w:tcPr>
            <w:tcW w:w="10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284</w:t>
            </w:r>
          </w:p>
        </w:tc>
        <w:tc>
          <w:tcPr>
            <w:tcW w:w="116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37.41</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600" w:right="40" w:hanging="592"/>
        <w:spacing w:after="0" w:line="269" w:lineRule="auto"/>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213,000 market-based RSU or MSUs awarded to the Company’s CEO in November 2017. The MSU award provides for vesting based upon the Company’s total shareholder return, or TSR, performance over the period commencing January 1, 2018 through December 31, 2020 relative to the TSR performance of the Nasdaq Composite Total Return Index. Based upon actual attainment relative to the target performance metric, the CEO has the ability to receive up to 125% of the target number of MSUs originally granted, or to be issued none at all.</w:t>
      </w:r>
    </w:p>
    <w:p>
      <w:pPr>
        <w:spacing w:after="0" w:line="2" w:lineRule="exact"/>
        <w:rPr>
          <w:rFonts w:ascii="Arial" w:cs="Arial" w:eastAsia="Arial" w:hAnsi="Arial"/>
          <w:sz w:val="17"/>
          <w:szCs w:val="17"/>
          <w:color w:val="auto"/>
        </w:rPr>
      </w:pPr>
    </w:p>
    <w:p>
      <w:pPr>
        <w:ind w:left="600" w:right="60" w:hanging="592"/>
        <w:spacing w:after="0" w:line="254" w:lineRule="auto"/>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MSUs provide for vesting based upon the Company’s total shareholder return, or TSR, performance over the period commencing January 1, 2018 through December 31, 2020 relative to the TSR performance of the Nasdaq Composite Total Return Index. Based upon actual attainment relative to the target performance metric, the grantee has the ability to receive up to 200% of the target number of MSUs originally granted, or to be issued none at all. These MSUs were granted under the 2011 Plan.</w:t>
      </w:r>
    </w:p>
    <w:p>
      <w:pPr>
        <w:spacing w:after="0" w:line="190" w:lineRule="exact"/>
        <w:rPr>
          <w:sz w:val="20"/>
          <w:szCs w:val="20"/>
          <w:color w:val="auto"/>
        </w:rPr>
      </w:pPr>
    </w:p>
    <w:p>
      <w:pPr>
        <w:jc w:val="both"/>
        <w:ind w:right="240" w:firstLine="598"/>
        <w:spacing w:after="0" w:line="312" w:lineRule="auto"/>
        <w:rPr>
          <w:sz w:val="20"/>
          <w:szCs w:val="20"/>
          <w:color w:val="auto"/>
        </w:rPr>
      </w:pPr>
      <w:r>
        <w:rPr>
          <w:rFonts w:ascii="Arial" w:cs="Arial" w:eastAsia="Arial" w:hAnsi="Arial"/>
          <w:sz w:val="16"/>
          <w:szCs w:val="16"/>
          <w:color w:val="auto"/>
        </w:rPr>
        <w:t>A Monte-Carlo simulation model, which simulated the present value of the potential outcomes of future stock prices and TSR of the Company and the Nasdaq Composite Total Return Index over the performance period, was used to calculate the grant-date fair value of our MSU awards. The estimated grant-date fair value of these awards is being amortized on a straight-line basis over the requisite service period through December 31, 2020.</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A summary of our remaining unrecognized compensation expense and the weighted average remaining amortization period at December 31, 2018 related to our non-vested equity awards is presented below (in millions, except in years information):</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00" w:type="dxa"/>
            <w:vAlign w:val="bottom"/>
            <w:vMerge w:val="restart"/>
          </w:tcPr>
          <w:p>
            <w:pPr>
              <w:spacing w:after="0"/>
              <w:rPr>
                <w:sz w:val="20"/>
                <w:szCs w:val="20"/>
                <w:color w:val="auto"/>
              </w:rPr>
            </w:pPr>
            <w:r>
              <w:rPr>
                <w:rFonts w:ascii="Arial" w:cs="Arial" w:eastAsia="Arial" w:hAnsi="Arial"/>
                <w:sz w:val="18"/>
                <w:szCs w:val="18"/>
                <w:color w:val="auto"/>
              </w:rPr>
              <w:t>Unrecognized compensation expense</w:t>
            </w:r>
          </w:p>
        </w:tc>
        <w:tc>
          <w:tcPr>
            <w:tcW w:w="700" w:type="dxa"/>
            <w:vAlign w:val="bottom"/>
          </w:tcPr>
          <w:p>
            <w:pPr>
              <w:spacing w:after="0"/>
              <w:rPr>
                <w:sz w:val="14"/>
                <w:szCs w:val="14"/>
                <w:color w:val="auto"/>
              </w:rPr>
            </w:pPr>
          </w:p>
        </w:tc>
        <w:tc>
          <w:tcPr>
            <w:tcW w:w="720" w:type="dxa"/>
            <w:vAlign w:val="bottom"/>
          </w:tcPr>
          <w:p>
            <w:pPr>
              <w:jc w:val="center"/>
              <w:ind w:left="162"/>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RSUs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MSUs</w:t>
            </w:r>
          </w:p>
        </w:tc>
        <w:tc>
          <w:tcPr>
            <w:tcW w:w="0" w:type="dxa"/>
            <w:vAlign w:val="bottom"/>
          </w:tcPr>
          <w:p>
            <w:pPr>
              <w:spacing w:after="0"/>
              <w:rPr>
                <w:sz w:val="1"/>
                <w:szCs w:val="1"/>
                <w:color w:val="auto"/>
              </w:rPr>
            </w:pPr>
          </w:p>
        </w:tc>
      </w:tr>
      <w:tr>
        <w:trPr>
          <w:trHeight w:val="223"/>
        </w:trPr>
        <w:tc>
          <w:tcPr>
            <w:tcW w:w="400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Borders>
              <w:top w:val="single" w:sz="8" w:color="auto"/>
            </w:tcBorders>
          </w:tcPr>
          <w:p>
            <w:pPr>
              <w:jc w:val="right"/>
              <w:ind w:right="542"/>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37</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period remaining (in years)</w:t>
            </w:r>
          </w:p>
        </w:tc>
        <w:tc>
          <w:tcPr>
            <w:tcW w:w="7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2.8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5140"/>
        <w:spacing w:after="0" w:line="378" w:lineRule="auto"/>
        <w:rPr>
          <w:sz w:val="20"/>
          <w:szCs w:val="20"/>
          <w:color w:val="auto"/>
        </w:rPr>
      </w:pPr>
      <w:r>
        <w:rPr>
          <w:rFonts w:ascii="Arial" w:cs="Arial" w:eastAsia="Arial" w:hAnsi="Arial"/>
          <w:sz w:val="18"/>
          <w:szCs w:val="18"/>
          <w:b w:val="1"/>
          <w:bCs w:val="1"/>
          <w:color w:val="auto"/>
        </w:rPr>
        <w:t xml:space="preserve">NOTE 7: FINANCIAL INSTRUMENTS AND FAIR VALUE MEASUREMENTS </w:t>
      </w:r>
      <w:r>
        <w:rPr>
          <w:rFonts w:ascii="Arial" w:cs="Arial" w:eastAsia="Arial" w:hAnsi="Arial"/>
          <w:sz w:val="18"/>
          <w:szCs w:val="18"/>
          <w:b w:val="1"/>
          <w:bCs w:val="1"/>
          <w:i w:val="1"/>
          <w:iCs w:val="1"/>
          <w:color w:val="auto"/>
        </w:rPr>
        <w:t>Cash, Cash Equivalents, Restricted Cash and Marketable Securities</w:t>
      </w:r>
    </w:p>
    <w:p>
      <w:pPr>
        <w:jc w:val="both"/>
        <w:ind w:right="200" w:firstLine="598"/>
        <w:spacing w:after="0" w:line="264" w:lineRule="auto"/>
        <w:rPr>
          <w:sz w:val="20"/>
          <w:szCs w:val="20"/>
          <w:color w:val="auto"/>
        </w:rPr>
      </w:pPr>
      <w:r>
        <w:rPr>
          <w:rFonts w:ascii="Arial" w:cs="Arial" w:eastAsia="Arial" w:hAnsi="Arial"/>
          <w:sz w:val="18"/>
          <w:szCs w:val="18"/>
          <w:color w:val="auto"/>
        </w:rPr>
        <w:t>The following tables show our cash, cash equivalents, restricted cash and short-term and long-term available-for-sale marketable debt securities, by major security type, that are measured at fair value on a recurring basis and were categorized using the fair value hierarchy, as well as their classification on our consolidated balance sheets, as of the periods presented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91"/>
              </w:rPr>
              <w:t>December 31, 2018</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Cash, Cash</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5"/>
              </w:rPr>
              <w:t>Short-Term</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76"/>
              <w:spacing w:after="0" w:line="147" w:lineRule="exact"/>
              <w:rPr>
                <w:sz w:val="20"/>
                <w:szCs w:val="20"/>
                <w:color w:val="auto"/>
              </w:rPr>
            </w:pPr>
            <w:r>
              <w:rPr>
                <w:rFonts w:ascii="Arial" w:cs="Arial" w:eastAsia="Arial" w:hAnsi="Arial"/>
                <w:sz w:val="14"/>
                <w:szCs w:val="14"/>
                <w:b w:val="1"/>
                <w:bCs w:val="1"/>
                <w:color w:val="auto"/>
                <w:w w:val="95"/>
              </w:rPr>
              <w:t>Long-Term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14"/>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Equivalents and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Marketable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14"/>
              <w:spacing w:after="0"/>
              <w:rPr>
                <w:sz w:val="20"/>
                <w:szCs w:val="20"/>
                <w:color w:val="auto"/>
              </w:rPr>
            </w:pPr>
            <w:r>
              <w:rPr>
                <w:rFonts w:ascii="Arial" w:cs="Arial" w:eastAsia="Arial" w:hAnsi="Arial"/>
                <w:sz w:val="14"/>
                <w:szCs w:val="14"/>
                <w:b w:val="1"/>
                <w:bCs w:val="1"/>
                <w:color w:val="auto"/>
                <w:w w:val="95"/>
              </w:rPr>
              <w:t>Value (2)</w:t>
            </w:r>
          </w:p>
        </w:tc>
        <w:tc>
          <w:tcPr>
            <w:tcW w:w="22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Restricted Cash</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restricted cash (1)</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7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w w:val="91"/>
              </w:rPr>
              <w:t>December 31, 2017</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Cash, Cash</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5"/>
              </w:rPr>
              <w:t>Short-Term</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76"/>
              <w:spacing w:after="0" w:line="147" w:lineRule="exact"/>
              <w:rPr>
                <w:sz w:val="20"/>
                <w:szCs w:val="20"/>
                <w:color w:val="auto"/>
              </w:rPr>
            </w:pPr>
            <w:r>
              <w:rPr>
                <w:rFonts w:ascii="Arial" w:cs="Arial" w:eastAsia="Arial" w:hAnsi="Arial"/>
                <w:sz w:val="14"/>
                <w:szCs w:val="14"/>
                <w:b w:val="1"/>
                <w:bCs w:val="1"/>
                <w:color w:val="auto"/>
                <w:w w:val="95"/>
              </w:rPr>
              <w:t>Long-Term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14"/>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Equivalents and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Marketable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4900" w:type="dxa"/>
            <w:vAlign w:val="bottom"/>
            <w:vMerge w:val="restart"/>
          </w:tcPr>
          <w:p>
            <w:pPr>
              <w:spacing w:after="0"/>
              <w:rPr>
                <w:sz w:val="20"/>
                <w:szCs w:val="20"/>
                <w:color w:val="auto"/>
              </w:rPr>
            </w:pPr>
            <w:r>
              <w:rPr>
                <w:rFonts w:ascii="Arial" w:cs="Arial" w:eastAsia="Arial" w:hAnsi="Arial"/>
                <w:sz w:val="18"/>
                <w:szCs w:val="18"/>
                <w:color w:val="auto"/>
              </w:rPr>
              <w:t>Cash and restricted cash (1)</w:t>
            </w:r>
          </w:p>
        </w:tc>
        <w:tc>
          <w:tcPr>
            <w:tcW w:w="140" w:type="dxa"/>
            <w:vAlign w:val="bottom"/>
          </w:tcPr>
          <w:p>
            <w:pPr>
              <w:spacing w:after="0"/>
              <w:rPr>
                <w:sz w:val="14"/>
                <w:szCs w:val="14"/>
                <w:color w:val="auto"/>
              </w:rPr>
            </w:pPr>
          </w:p>
        </w:tc>
        <w:tc>
          <w:tcPr>
            <w:tcW w:w="9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14"/>
              <w:spacing w:after="0"/>
              <w:rPr>
                <w:sz w:val="20"/>
                <w:szCs w:val="20"/>
                <w:color w:val="auto"/>
              </w:rPr>
            </w:pPr>
            <w:r>
              <w:rPr>
                <w:rFonts w:ascii="Arial" w:cs="Arial" w:eastAsia="Arial" w:hAnsi="Arial"/>
                <w:sz w:val="14"/>
                <w:szCs w:val="14"/>
                <w:b w:val="1"/>
                <w:bCs w:val="1"/>
                <w:color w:val="auto"/>
                <w:w w:val="95"/>
              </w:rPr>
              <w:t>Value (2)</w:t>
            </w:r>
          </w:p>
        </w:tc>
        <w:tc>
          <w:tcPr>
            <w:tcW w:w="22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Restricted Cash</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490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Level 1:</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Level 2:</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U.S. agency securities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Subtotal</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7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40" w:right="380" w:hanging="432"/>
        <w:spacing w:after="0" w:line="266"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of December 31, 2018 and 2017, our restricted cash, which primarily consists of escrowed security deposits, was not material and is included in other long-term assets on our consolidated balance sheets.</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of December 31, 2018 and 2017, any unrealized gains or losses related to our marketable securities were not material.</w:t>
      </w:r>
    </w:p>
    <w:p>
      <w:pPr>
        <w:spacing w:after="0" w:line="118"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of purchase. The remaining maturities of our long-term marketable securities range from one to three years and our short-term marketable securities include maturities that were greater than 90 days at the date purchased and had 12 months or less remaining at December 31, 2018 and 2017,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8" w:name="page99"/>
    <w:bookmarkEnd w:id="98"/>
    <w:p>
      <w:pPr>
        <w:ind w:right="200" w:firstLine="598"/>
        <w:spacing w:after="0" w:line="293" w:lineRule="auto"/>
        <w:rPr>
          <w:sz w:val="20"/>
          <w:szCs w:val="20"/>
          <w:color w:val="auto"/>
        </w:rPr>
      </w:pPr>
      <w:r>
        <w:rPr>
          <w:rFonts w:ascii="Arial" w:cs="Arial" w:eastAsia="Arial" w:hAnsi="Arial"/>
          <w:sz w:val="16"/>
          <w:szCs w:val="16"/>
          <w:color w:val="auto"/>
        </w:rPr>
        <w:t>We classify our cash, cash equivalents, restricted cash and marketable securities within Level 1 and Level 2 as we value these financial instruments using quoted market prices (Level 1) or alternative pricing sources (Level 2). The valuation technique we used to measure the fair value of money market funds was derived from quoted prices in active markets for identical assets or liabilities. Fair values for Level 2 marketable securities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65"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There were no material realized gains or losses related to sales of our marketable securities for the years ended December 31, 2018, 2017 and 2016. We consider any unrealized loss positions in our available-for-sale marketable debt securities to be temporary in nature and do not consider any of these investments other-than-temporarily impaired as of December 31, 2018 and December 31,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We typically use derivatives, or forward contracts, to reduce the effects of foreign currency exchange rate fluctuations on our cash flows primarily for the Euro versus the U.S. Dollar. For the periods ended December 31, 2018, 2017 and 2016, our forward contracts have not been designated as hedges and have typically had maturities of less than 90 days.</w:t>
      </w:r>
    </w:p>
    <w:p>
      <w:pPr>
        <w:spacing w:after="0" w:line="73" w:lineRule="exact"/>
        <w:rPr>
          <w:sz w:val="20"/>
          <w:szCs w:val="20"/>
          <w:color w:val="auto"/>
        </w:rPr>
      </w:pPr>
    </w:p>
    <w:p>
      <w:pPr>
        <w:ind w:right="260" w:firstLine="598"/>
        <w:spacing w:after="0" w:line="302" w:lineRule="auto"/>
        <w:rPr>
          <w:sz w:val="20"/>
          <w:szCs w:val="20"/>
          <w:color w:val="auto"/>
        </w:rPr>
      </w:pPr>
      <w:r>
        <w:rPr>
          <w:rFonts w:ascii="Arial" w:cs="Arial" w:eastAsia="Arial" w:hAnsi="Arial"/>
          <w:sz w:val="16"/>
          <w:szCs w:val="16"/>
          <w:color w:val="auto"/>
        </w:rPr>
        <w:t>Our outstanding or unsettled forward contracts are carried at fair value on our consolidated balance sheets at December 31, 2018. Any gain or loss resulting from the change in fair value of our forward contracts for the years ended December 31, 2018, 2017 and 2016, has been recognized in our consolidated statement of operations in “Interest income and other, net.” We recorded a net loss of $3 million and $1 million for the years ended December 31, 2018 and 2017, respectively, and a net gain of $2 million for the year ended December 31, 2016, related to our forward contracts.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the notional principal amounts of our outstanding derivative instruments for the periods presented:</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w w:val="95"/>
              </w:rPr>
              <w:t>December 31, 2018</w:t>
            </w:r>
          </w:p>
        </w:tc>
        <w:tc>
          <w:tcPr>
            <w:tcW w:w="150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 2017</w:t>
            </w: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right"/>
              <w:ind w:right="339"/>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(1)(2)</w:t>
            </w:r>
          </w:p>
        </w:tc>
        <w:tc>
          <w:tcPr>
            <w:tcW w:w="1860" w:type="dxa"/>
            <w:vAlign w:val="bottom"/>
            <w:gridSpan w:val="2"/>
            <w:shd w:val="clear" w:color="auto" w:fill="CFF0FC"/>
          </w:tcPr>
          <w:p>
            <w:pPr>
              <w:jc w:val="right"/>
              <w:ind w:right="38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600" w:hanging="592"/>
        <w:spacing w:after="0" w:line="256" w:lineRule="auto"/>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Derivative contracts address foreign currency exchange fluctuations for the Euro versus the U.S. dollar. The Company had two outstanding derivative contracts as of December 31, 2018 and no outstanding derivative contracts as of December 31, 2017. These outstanding derivatives are not designated as hedging instruments.</w:t>
      </w:r>
    </w:p>
    <w:p>
      <w:pPr>
        <w:ind w:left="600" w:right="120" w:hanging="592"/>
        <w:spacing w:after="0" w:line="302" w:lineRule="auto"/>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fair value of our outstanding derivatives as of December 31, 2018 was not material and was reported as a liability in accrued expenses and other current liabilities on our consolidated balance sheet. We measure the fair value of our outstanding or unsettled derivatives using Level 2 fair value inputs, as we use a pricing model that takes into account the contract terms as well as current foreign currency exchange rates in active markets.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Other financial instruments not measured at fair value on a recurring basis include accounts receivable and contract assets, accounts payable, deferred merchant payables, short-term debt, accrued expenses and other current liabilities and long-term debt. The carrying amount of these financial instruments, with the exception of long-term debt, approximate their fair value because of the short maturity of these instruments as reported on our consolidated balance sheets as of December 31, 2018 and December 31, 2017, respectively. The carrying value of any long-term debt from our 2015 Credit Facility bears interest at a variable rate and therefore is also considered to approximate fair value.</w:t>
      </w:r>
    </w:p>
    <w:p>
      <w:pPr>
        <w:spacing w:after="0" w:line="173" w:lineRule="exact"/>
        <w:rPr>
          <w:sz w:val="20"/>
          <w:szCs w:val="20"/>
          <w:color w:val="auto"/>
        </w:rPr>
      </w:pPr>
    </w:p>
    <w:p>
      <w:pPr>
        <w:ind w:right="400" w:firstLine="598"/>
        <w:spacing w:after="0" w:line="279" w:lineRule="auto"/>
        <w:rPr>
          <w:sz w:val="20"/>
          <w:szCs w:val="20"/>
          <w:color w:val="auto"/>
        </w:rPr>
      </w:pPr>
      <w:r>
        <w:rPr>
          <w:rFonts w:ascii="Arial" w:cs="Arial" w:eastAsia="Arial" w:hAnsi="Arial"/>
          <w:sz w:val="17"/>
          <w:szCs w:val="17"/>
          <w:color w:val="auto"/>
        </w:rPr>
        <w:t>In addition, we hold investments in equity securities of privately-held companies that do not have a readily determinable fair value. As of both December 31, 2018 and 2017, respectively, the total carrying value of our equity investments in these privately-held companies were $12 million and are included in other long-term assets on our consolidated balance sheets. Our policy is to measure these investments at cost less impairment, if any, plus or minus changes resulting from observable price changes in orderly transactions for the identical or a similar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9" w:name="page100"/>
    <w:bookmarkEnd w:id="99"/>
    <w:p>
      <w:pPr>
        <w:ind w:right="60"/>
        <w:spacing w:after="0" w:line="276" w:lineRule="auto"/>
        <w:rPr>
          <w:sz w:val="20"/>
          <w:szCs w:val="20"/>
          <w:color w:val="auto"/>
        </w:rPr>
      </w:pPr>
      <w:r>
        <w:rPr>
          <w:rFonts w:ascii="Arial" w:cs="Arial" w:eastAsia="Arial" w:hAnsi="Arial"/>
          <w:sz w:val="17"/>
          <w:szCs w:val="17"/>
          <w:color w:val="auto"/>
        </w:rPr>
        <w:t>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to evaluate whether these investments are impaired and also monitor for any observable price changes. During the year ended December 31, 2018, we did not have any impairment loss on these equity investments. The Company recognized a loss of $2 million related to one of our equity investments during the year ended December 31, 2017 in “Interest income and other, net” on our consolidated statements of operations.</w:t>
      </w:r>
    </w:p>
    <w:p>
      <w:pPr>
        <w:spacing w:after="0" w:line="173"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Company did not have any material assets or liabilities measured at fair value on a recurring basis using Level 3 unobservable inputs at both December 31, 2018 and December 31, 2017.</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consists of the following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December 31,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2017</w:t>
            </w:r>
          </w:p>
        </w:tc>
      </w:tr>
      <w:tr>
        <w:trPr>
          <w:trHeight w:val="156"/>
        </w:trPr>
        <w:tc>
          <w:tcPr>
            <w:tcW w:w="78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300" w:type="dxa"/>
            <w:vAlign w:val="bottom"/>
            <w:tcBorders>
              <w:top w:val="single" w:sz="8" w:color="auto"/>
            </w:tcBorders>
            <w:gridSpan w:val="5"/>
          </w:tcPr>
          <w:p>
            <w:pPr>
              <w:jc w:val="right"/>
              <w:ind w:right="1272"/>
              <w:spacing w:after="0" w:line="155"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3"/>
                <w:szCs w:val="13"/>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and website development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Building (1)</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Computer equipment and purchased software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Furniture, office equipment and other</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(177)</w:t>
            </w:r>
          </w:p>
        </w:tc>
      </w:tr>
      <w:tr>
        <w:trPr>
          <w:trHeight w:val="223"/>
        </w:trPr>
        <w:tc>
          <w:tcPr>
            <w:tcW w:w="7880" w:type="dxa"/>
            <w:vAlign w:val="bottom"/>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0" w:right="140" w:hanging="592"/>
        <w:spacing w:after="0" w:line="264" w:lineRule="auto"/>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Company is deemed for accounting purposes to be the owner of its corporate headquarters building under GAAP, and depreciates the asset over its estimated useful life of 40 years on a straight-line basis. Refer to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on our corporate headquarters lease.</w:t>
      </w:r>
    </w:p>
    <w:p>
      <w:pPr>
        <w:spacing w:after="0" w:line="18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As of December 31, 2018 and December 31, 2017, the carrying value of our capitalized software and website development costs, net of accumulated amortization, was $99 million and $97 million, respectively. For the years ended December 31, 2018, 2017 and 2016, we capitalized $63 million, $65 million and $62 million, respectively, related to software and website development costs. For the years ended December 31, 2018, 2017 and 2016, we recorded amortization of capitalized software and website development costs of $59 million, $54 million and $46 million, respectively, which is included in depreciation expense on our consolidated statements of operations for those years.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INTANGIBLE ASSETS,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goodwill activity by reportable segment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940" w:type="dxa"/>
            <w:vAlign w:val="bottom"/>
          </w:tcPr>
          <w:p>
            <w:pPr>
              <w:jc w:val="right"/>
              <w:ind w:right="46"/>
              <w:spacing w:after="0"/>
              <w:rPr>
                <w:sz w:val="20"/>
                <w:szCs w:val="20"/>
                <w:color w:val="auto"/>
              </w:rPr>
            </w:pPr>
            <w:r>
              <w:rPr>
                <w:rFonts w:ascii="Arial" w:cs="Arial" w:eastAsia="Arial" w:hAnsi="Arial"/>
                <w:sz w:val="14"/>
                <w:szCs w:val="14"/>
                <w:b w:val="1"/>
                <w:bCs w:val="1"/>
                <w:color w:val="auto"/>
              </w:rPr>
              <w:t>Hotel</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Non-Hotel</w:t>
            </w:r>
          </w:p>
        </w:tc>
        <w:tc>
          <w:tcPr>
            <w:tcW w:w="18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Consolidated</w:t>
            </w:r>
          </w:p>
        </w:tc>
      </w:tr>
      <w:tr>
        <w:trPr>
          <w:trHeight w:val="223"/>
        </w:trPr>
        <w:tc>
          <w:tcPr>
            <w:tcW w:w="67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2016</w:t>
            </w: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adjustments (1)</w:t>
            </w: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2017</w:t>
            </w: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Acquisitions (2)</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adjustments (1)</w:t>
            </w:r>
          </w:p>
        </w:tc>
        <w:tc>
          <w:tcPr>
            <w:tcW w:w="9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Balance as of December 31, 2018</w:t>
            </w:r>
          </w:p>
        </w:tc>
        <w:tc>
          <w:tcPr>
            <w:tcW w:w="940" w:type="dxa"/>
            <w:vAlign w:val="bottom"/>
            <w:tcBorders>
              <w:top w:val="single" w:sz="8" w:color="auto"/>
              <w:bottom w:val="single" w:sz="8" w:color="auto"/>
            </w:tcBorders>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0" w:hanging="59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Primarily related to impact of changes in foreign currency exchange rates to goodwill.</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additions to goodwill relate to our business acquisitions. Refer to “Note 3: </w:t>
      </w:r>
      <w:r>
        <w:rPr>
          <w:rFonts w:ascii="Arial" w:cs="Arial" w:eastAsia="Arial" w:hAnsi="Arial"/>
          <w:sz w:val="17"/>
          <w:szCs w:val="17"/>
          <w:i w:val="1"/>
          <w:iCs w:val="1"/>
          <w:color w:val="auto"/>
        </w:rPr>
        <w:t>Acquisitions and Other Investments</w:t>
      </w:r>
      <w:r>
        <w:rPr>
          <w:rFonts w:ascii="Arial" w:cs="Arial" w:eastAsia="Arial" w:hAnsi="Arial"/>
          <w:sz w:val="17"/>
          <w:szCs w:val="17"/>
          <w:color w:val="auto"/>
        </w:rPr>
        <w:t>,” for further information.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0" w:name="page101"/>
    <w:bookmarkEnd w:id="100"/>
    <w:p>
      <w:pPr>
        <w:ind w:right="260" w:firstLine="598"/>
        <w:spacing w:after="0" w:line="277" w:lineRule="auto"/>
        <w:rPr>
          <w:sz w:val="20"/>
          <w:szCs w:val="20"/>
          <w:color w:val="auto"/>
        </w:rPr>
      </w:pPr>
      <w:r>
        <w:rPr>
          <w:rFonts w:ascii="Arial" w:cs="Arial" w:eastAsia="Arial" w:hAnsi="Arial"/>
          <w:sz w:val="18"/>
          <w:szCs w:val="18"/>
          <w:color w:val="auto"/>
        </w:rPr>
        <w:t>Intangible assets, which were acquired in business combinations and recorded at fair value on the date of purchase, consist of the following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480" w:type="dxa"/>
            <w:vAlign w:val="bottom"/>
          </w:tcPr>
          <w:p>
            <w:pPr>
              <w:spacing w:after="0"/>
              <w:rPr>
                <w:sz w:val="19"/>
                <w:szCs w:val="19"/>
                <w:color w:val="auto"/>
              </w:rPr>
            </w:pPr>
          </w:p>
        </w:tc>
        <w:tc>
          <w:tcPr>
            <w:tcW w:w="34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r>
      <w:tr>
        <w:trPr>
          <w:trHeight w:val="223"/>
        </w:trPr>
        <w:tc>
          <w:tcPr>
            <w:tcW w:w="5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with definite lives</w:t>
            </w:r>
          </w:p>
        </w:tc>
        <w:tc>
          <w:tcPr>
            <w:tcW w:w="3480" w:type="dxa"/>
            <w:vAlign w:val="bottom"/>
            <w:gridSpan w:val="2"/>
            <w:shd w:val="clear" w:color="auto" w:fill="CFF0FC"/>
          </w:tcPr>
          <w:p>
            <w:pPr>
              <w:jc w:val="right"/>
              <w:ind w:right="9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r>
      <w:tr>
        <w:trPr>
          <w:trHeight w:val="223"/>
        </w:trPr>
        <w:tc>
          <w:tcPr>
            <w:tcW w:w="54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Intangible assets with definite lives, net</w:t>
            </w:r>
          </w:p>
        </w:tc>
        <w:tc>
          <w:tcPr>
            <w:tcW w:w="23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assets with indefinite lives</w:t>
            </w:r>
          </w:p>
        </w:tc>
        <w:tc>
          <w:tcPr>
            <w:tcW w:w="23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FF0FC"/>
            </w:tcBorders>
          </w:tcPr>
          <w:p>
            <w:pPr>
              <w:spacing w:after="0"/>
              <w:rPr>
                <w:sz w:val="19"/>
                <w:szCs w:val="19"/>
                <w:color w:val="auto"/>
              </w:rPr>
            </w:pPr>
          </w:p>
        </w:tc>
      </w:tr>
      <w:tr>
        <w:trPr>
          <w:trHeight w:val="223"/>
        </w:trPr>
        <w:tc>
          <w:tcPr>
            <w:tcW w:w="54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3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598"/>
        <w:spacing w:after="0" w:line="286" w:lineRule="auto"/>
        <w:rPr>
          <w:sz w:val="20"/>
          <w:szCs w:val="20"/>
          <w:color w:val="auto"/>
        </w:rPr>
      </w:pPr>
      <w:r>
        <w:rPr>
          <w:rFonts w:ascii="Arial" w:cs="Arial" w:eastAsia="Arial" w:hAnsi="Arial"/>
          <w:sz w:val="17"/>
          <w:szCs w:val="17"/>
          <w:color w:val="auto"/>
        </w:rPr>
        <w:t>Amortization expense was $34 million, $32 million, and $32 million, respectively, for the years ended December 31, 2018, 2017 and 2016. Our indefinite-lived intangible assets relate to trade names and trademarks. There were no impairment charges recognized to our consolidated statement of operations during the years ended December 31, 2018, 2017 and 2016 related to our goodwill or intangible assets.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components of our intangible assets with definite lives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3"/>
              </w:rPr>
              <w:t>December 31, 2017</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70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840" w:type="dxa"/>
            <w:vAlign w:val="bottom"/>
            <w:gridSpan w:val="3"/>
          </w:tcPr>
          <w:p>
            <w:pPr>
              <w:jc w:val="center"/>
              <w:ind w:left="393"/>
              <w:spacing w:after="0"/>
              <w:rPr>
                <w:sz w:val="20"/>
                <w:szCs w:val="20"/>
                <w:color w:val="auto"/>
              </w:rPr>
            </w:pPr>
            <w:r>
              <w:rPr>
                <w:rFonts w:ascii="Arial" w:cs="Arial" w:eastAsia="Arial" w:hAnsi="Arial"/>
                <w:sz w:val="14"/>
                <w:szCs w:val="14"/>
                <w:b w:val="1"/>
                <w:bCs w:val="1"/>
                <w:color w:val="auto"/>
                <w:w w:val="95"/>
              </w:rPr>
              <w:t>Remaining Life</w:t>
            </w: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Carrying</w:t>
            </w: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Trade names and trademarks</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4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Customer lists and supplier relationships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Technology and other</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Acquisitions and Other Investments</w:t>
      </w:r>
      <w:r>
        <w:rPr>
          <w:rFonts w:ascii="Arial" w:cs="Arial" w:eastAsia="Arial" w:hAnsi="Arial"/>
          <w:sz w:val="18"/>
          <w:szCs w:val="18"/>
          <w:color w:val="auto"/>
        </w:rPr>
        <w:t>” above for a discussion of definite lived intangible assets acquired in business combinations during the years ended December 31, 2018 and 2016.</w:t>
      </w:r>
    </w:p>
    <w:p>
      <w:pPr>
        <w:spacing w:after="0" w:line="170" w:lineRule="exact"/>
        <w:rPr>
          <w:sz w:val="20"/>
          <w:szCs w:val="20"/>
          <w:color w:val="auto"/>
        </w:rPr>
      </w:pPr>
    </w:p>
    <w:p>
      <w:pPr>
        <w:ind w:right="660" w:firstLine="598"/>
        <w:spacing w:after="0" w:line="277" w:lineRule="auto"/>
        <w:rPr>
          <w:sz w:val="20"/>
          <w:szCs w:val="20"/>
          <w:color w:val="auto"/>
        </w:rPr>
      </w:pPr>
      <w:r>
        <w:rPr>
          <w:rFonts w:ascii="Arial" w:cs="Arial" w:eastAsia="Arial" w:hAnsi="Arial"/>
          <w:sz w:val="18"/>
          <w:szCs w:val="18"/>
          <w:color w:val="auto"/>
        </w:rPr>
        <w:t>Our definite-lived intangible assets are being amortized on a straight-line basis. The straight-line method of amortization is currently our best estimate, or approximates to date, the distribution of the economic use of these intangible assets.</w:t>
      </w:r>
    </w:p>
    <w:p>
      <w:pPr>
        <w:spacing w:after="0" w:line="170"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The estimated amortization expense for intangible assets with definite lives for each of the next five years, and the expense thereafter, assuming no subsequent impairment of the underlying assets or change in estimate of remaining lives, is expected to be as follows (in millions):</w:t>
      </w:r>
    </w:p>
    <w:p>
      <w:pPr>
        <w:spacing w:after="0" w:line="53"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thereafter</w:t>
            </w: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10: DEBT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Credit Facility</w:t>
      </w:r>
    </w:p>
    <w:p>
      <w:pPr>
        <w:spacing w:after="0" w:line="11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In June 2015, we entered into a five year credit agreement with a group of lenders which, among other things, provided for a $1 billion unsecured revolving credit facility (the “2015 Credit Facility”) and immediately borrowed $290 million. In May 2017, the 2015 Credit Facility was amended to, among other things, (i) increase the aggregate amount of revolving loan commitments available from $1.0 billion to $1.2 billion; and (ii) extend the maturity date of the 2015 Credit Facility from June 26, 2020 to May 12, 2022 (the “First Amendment”).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 The Company may borrow from the 2015 Credit Facility in U.S dollars, Euros and British pound.</w:t>
      </w:r>
    </w:p>
    <w:p>
      <w:pPr>
        <w:spacing w:after="0" w:line="178"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 xml:space="preserve">During the year ended December 31, 2018, we repaid all of our outstanding borrowings, or approximately $230 million, under the 2015 Credit Facility. This repayment was primarily made from a one-time cash repatriation of $325 million of foreign earnings to the United States during the year ended December 31, 2018. During the year ended December 31, 2017, we borrowed $435 million and repaid $296 million of our outstanding borrowings under the 2015 Credit Facility. These net borrowings during the year were primarily used to repurchase shares of our outstanding common stock under the Company’s repurchase program, which is described in “Note 16: </w:t>
      </w:r>
      <w:r>
        <w:rPr>
          <w:rFonts w:ascii="Arial" w:cs="Arial" w:eastAsia="Arial" w:hAnsi="Arial"/>
          <w:sz w:val="17"/>
          <w:szCs w:val="17"/>
          <w:i w:val="1"/>
          <w:iCs w:val="1"/>
          <w:color w:val="auto"/>
        </w:rPr>
        <w:t>Stockholders Equity</w:t>
      </w:r>
      <w:r>
        <w:rPr>
          <w:rFonts w:ascii="Arial" w:cs="Arial" w:eastAsia="Arial" w:hAnsi="Arial"/>
          <w:sz w:val="17"/>
          <w:szCs w:val="17"/>
          <w:color w:val="auto"/>
        </w:rPr>
        <w:t>”. During the year ended December 31, 2016, the Company borrowed $101 million and repaid $210 million of our outstanding borrowings on the 2015 Credit Facility.</w:t>
      </w:r>
    </w:p>
    <w:p>
      <w:pPr>
        <w:spacing w:after="0" w:line="178" w:lineRule="exact"/>
        <w:rPr>
          <w:sz w:val="20"/>
          <w:szCs w:val="20"/>
          <w:color w:val="auto"/>
        </w:rPr>
      </w:pPr>
    </w:p>
    <w:p>
      <w:pPr>
        <w:ind w:right="140" w:firstLine="598"/>
        <w:spacing w:after="0" w:line="291" w:lineRule="auto"/>
        <w:rPr>
          <w:sz w:val="20"/>
          <w:szCs w:val="20"/>
          <w:color w:val="auto"/>
        </w:rPr>
      </w:pPr>
      <w:r>
        <w:rPr>
          <w:rFonts w:ascii="Arial" w:cs="Arial" w:eastAsia="Arial" w:hAnsi="Arial"/>
          <w:sz w:val="16"/>
          <w:szCs w:val="16"/>
          <w:color w:val="auto"/>
        </w:rPr>
        <w:t>As of December 31, 2018, we had no outstanding borrowings and approximately $1.2 billion of borrowing capacity available under our 2015 Credit Facility. As of December 31, 2017 we had $230 million of outstanding borrowings under a one-month interest rate period or a weighted average rate of</w:t>
      </w:r>
    </w:p>
    <w:p>
      <w:pPr>
        <w:spacing w:after="0" w:line="286" w:lineRule="auto"/>
        <w:rPr>
          <w:sz w:val="20"/>
          <w:szCs w:val="20"/>
          <w:color w:val="auto"/>
        </w:rPr>
      </w:pPr>
      <w:r>
        <w:rPr>
          <w:rFonts w:ascii="Arial" w:cs="Arial" w:eastAsia="Arial" w:hAnsi="Arial"/>
          <w:sz w:val="16"/>
          <w:szCs w:val="16"/>
          <w:color w:val="auto"/>
        </w:rPr>
        <w:t>2.74% per annum. We are required to pay a quarterly commitment fee, at an applicable rate ranging from 0.15% to 0.30%, on the daily unused portion of the revolving credit facility for each fiscal quarter and additional fees in connection with the issuance of letters of credit. As of December 31, 2018, our unused revolver capacity was subject to a commitment fee of 0.15%, given the Company’s leverage ratio. The 2015 Credit Facility includes $15 million of borrowing capacity available for letters of credit and $40 million for Swingline borrowings on same-day notice. As of December 31, 2018, we had issued $3 million of outstanding letters of credit under the 2015 Credit Facility. We recorded total interest expense and commitment fees on our 2015 Credit Facility of $3 million, $6 million and $4 million for the years ended December 31, 2018, 2017 and 2016, respectively, to interest expense on our consolidated statements of operations. All unpaid interest and commitment fee amounts as of December 31, 2018 and December 31, 2017, respectively, were not material. We also incurred lender fees and debt financing costs in connection with entering into the 2015 Credit Facility and in connection with the First Amendment totaling $5 million, which were capitalized as deferred financing costs and recorded to other long-term assets on the consolidated balance sheet. As of December 31, 2018, the Company has $2 million remaining in deferred financing costs in connection with the 2015 Credit Facility. These costs are being amortized over the remaining term on a straight line basis and recorded to interest expense on our consolidated statements of operations.</w:t>
      </w:r>
    </w:p>
    <w:p>
      <w:pPr>
        <w:spacing w:after="0" w:line="167"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There is no specific repayment date prior to the maturity date for any borrowings under this credit agreement. We may voluntarily repay any outstanding borrowing under the 2015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p>
      <w:pPr>
        <w:jc w:val="both"/>
        <w:ind w:right="220"/>
        <w:spacing w:after="0" w:line="312" w:lineRule="auto"/>
        <w:rPr>
          <w:sz w:val="20"/>
          <w:szCs w:val="20"/>
          <w:color w:val="auto"/>
        </w:rPr>
      </w:pPr>
      <w:r>
        <w:rPr>
          <w:rFonts w:ascii="Arial" w:cs="Arial" w:eastAsia="Arial" w:hAnsi="Arial"/>
          <w:sz w:val="16"/>
          <w:szCs w:val="16"/>
          <w:color w:val="auto"/>
        </w:rPr>
        <w:t>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December 31, 2018 and 2017, we were in compliance with all of our debt covenants.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Credit Facility</w:t>
      </w:r>
    </w:p>
    <w:p>
      <w:pPr>
        <w:spacing w:after="0" w:line="117" w:lineRule="exact"/>
        <w:rPr>
          <w:sz w:val="20"/>
          <w:szCs w:val="20"/>
          <w:color w:val="auto"/>
        </w:rPr>
      </w:pPr>
    </w:p>
    <w:p>
      <w:pPr>
        <w:ind w:right="60" w:firstLine="598"/>
        <w:spacing w:after="0" w:line="297" w:lineRule="auto"/>
        <w:rPr>
          <w:sz w:val="20"/>
          <w:szCs w:val="20"/>
          <w:color w:val="auto"/>
        </w:rPr>
      </w:pPr>
      <w:r>
        <w:rPr>
          <w:rFonts w:ascii="Arial" w:cs="Arial" w:eastAsia="Arial" w:hAnsi="Arial"/>
          <w:sz w:val="16"/>
          <w:szCs w:val="16"/>
          <w:color w:val="auto"/>
        </w:rPr>
        <w:t>We were party to an uncommitted facility agreement which provided for a $73 million unsecured revolving credit facility (the “2016 Credit Facility”) with no specific expiration date. We initially borrowed $73 million from this uncommitted credit facility during the year ended December 31, 2016, which was used for general working capital needs of the Company primarily for partial repayment of our 2015 Credit Facility, and repaid the full amount during the year ended December 31, 2017. As of December 31, 2017, there were no outstanding borrowings under the 2016 Credit Facility. In June 2018, the Company terminated the 2016 Credit Facility. We had no outstanding borrowings under the 2016 Credit Facility at the time of termination.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addition to our 2015 Credit Facility, we maintain two credit facilities in China (jointly, the “Chinese Credit Facilities”).</w:t>
      </w:r>
    </w:p>
    <w:p>
      <w:pPr>
        <w:spacing w:after="0" w:line="225"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We are party to a $30 million, one-year revolving credit facility with Bank of America (the “Chinese Credit Facility—BOA”) that is currently subject to review on a periodic basis with no specific expiration period. Borrowings under our Chinese Credit Facility – BOA generally bear interest at a rate based on People’s Bank of China benchmark, including certain adjustments which may be made in accordance with market conditions at the time of borrowing. As of December 31, 2018 and 2017, there were no outstanding borrowings under our Chinese Credit Facility—BOA.</w:t>
      </w:r>
    </w:p>
    <w:p>
      <w:pPr>
        <w:spacing w:after="0" w:line="171"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We are also party to a RMB 70,000,000 (approximately $10 million) one-year revolving credit facility with J.P. Morgan Chase Bank (“Chinese Credit Facility-JPM”). Our Chinese Credit Facility—JPM generally bears interest at a rate based on People’s Bank of China benchmark, including certain adjustments which may be made in accordance with market conditions at the time of borrowing. During the year ended December 31, 2018 we repaid all outstanding borrowings, and as of December 31, 2018, there were no outstanding borrowings under our Chinese Credit Facility—JPM. As of December 31, 2017, we had $7 million of outstanding borrowings from the Chinese Credit Facility – JPM at a weighted average interest rate of 5.00%.</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a summary of our domestic and foreign income before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7"/>
              <w:spacing w:after="0" w:line="155"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332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25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5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540" w:type="dxa"/>
            <w:vAlign w:val="bottom"/>
            <w:vMerge w:val="restart"/>
          </w:tcPr>
          <w:p>
            <w:pPr>
              <w:jc w:val="right"/>
              <w:ind w:right="310"/>
              <w:spacing w:after="0"/>
              <w:rPr>
                <w:sz w:val="20"/>
                <w:szCs w:val="20"/>
                <w:color w:val="auto"/>
              </w:rPr>
            </w:pPr>
            <w:r>
              <w:rPr>
                <w:rFonts w:ascii="Arial" w:cs="Arial" w:eastAsia="Arial" w:hAnsi="Arial"/>
                <w:sz w:val="18"/>
                <w:szCs w:val="18"/>
                <w:color w:val="auto"/>
              </w:rPr>
              <w:t>101</w:t>
            </w: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03" w:name="page104"/>
    <w:bookmarkEnd w:id="103"/>
    <w:p>
      <w:pPr>
        <w:ind w:left="600"/>
        <w:spacing w:after="0"/>
        <w:rPr>
          <w:sz w:val="20"/>
          <w:szCs w:val="20"/>
          <w:color w:val="auto"/>
        </w:rPr>
      </w:pPr>
      <w:r>
        <w:rPr>
          <w:rFonts w:ascii="Arial" w:cs="Arial" w:eastAsia="Arial" w:hAnsi="Arial"/>
          <w:sz w:val="18"/>
          <w:szCs w:val="18"/>
          <w:color w:val="auto"/>
        </w:rPr>
        <w:t>The following table presents a summary of the components of our provision for income taxes: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7"/>
        </w:trPr>
        <w:tc>
          <w:tcPr>
            <w:tcW w:w="20" w:type="dxa"/>
            <w:vAlign w:val="bottom"/>
          </w:tcPr>
          <w:p>
            <w:pPr>
              <w:spacing w:after="0"/>
              <w:rPr>
                <w:sz w:val="22"/>
                <w:szCs w:val="22"/>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w:t>
            </w:r>
          </w:p>
        </w:tc>
        <w:tc>
          <w:tcPr>
            <w:tcW w:w="11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Federal</w:t>
            </w:r>
          </w:p>
        </w:tc>
        <w:tc>
          <w:tcPr>
            <w:tcW w:w="194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1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expense</w:t>
            </w:r>
          </w:p>
        </w:tc>
        <w:tc>
          <w:tcPr>
            <w:tcW w:w="1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FF0FC"/>
          </w:tcPr>
          <w:p>
            <w:pPr>
              <w:spacing w:after="0"/>
              <w:rPr>
                <w:sz w:val="19"/>
                <w:szCs w:val="19"/>
                <w:color w:val="auto"/>
              </w:rPr>
            </w:pPr>
          </w:p>
        </w:tc>
      </w:tr>
      <w:tr>
        <w:trPr>
          <w:trHeight w:val="250"/>
        </w:trPr>
        <w:tc>
          <w:tcPr>
            <w:tcW w:w="3960" w:type="dxa"/>
            <w:vAlign w:val="bottom"/>
            <w:gridSpan w:val="2"/>
          </w:tcPr>
          <w:p>
            <w:pPr>
              <w:spacing w:after="0"/>
              <w:rPr>
                <w:sz w:val="20"/>
                <w:szCs w:val="20"/>
                <w:color w:val="auto"/>
              </w:rPr>
            </w:pPr>
            <w:r>
              <w:rPr>
                <w:rFonts w:ascii="Arial" w:cs="Arial" w:eastAsia="Arial" w:hAnsi="Arial"/>
                <w:sz w:val="18"/>
                <w:szCs w:val="18"/>
                <w:color w:val="auto"/>
              </w:rPr>
              <w:t>Deferred income tax expense (benefit):</w:t>
            </w: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1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5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State</w:t>
            </w: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2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Deferred income tax expense (benefit):</w:t>
            </w:r>
          </w:p>
        </w:tc>
        <w:tc>
          <w:tcPr>
            <w:tcW w:w="11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Company reduced its current income tax payable by $15 million, $27 million and $21 million for the years ended December 31, 2018, 2017 and 2016, respectively, for tax deductions attributable to the exercise or settlement of the Company’s stock-based awards.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significant components of our deferred tax assets and deferred tax liabilities as of December 31, 2018 and 2017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80" w:type="dxa"/>
            <w:vAlign w:val="bottom"/>
            <w:tcBorders>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r>
      <w:tr>
        <w:trPr>
          <w:trHeight w:val="156"/>
        </w:trPr>
        <w:tc>
          <w:tcPr>
            <w:tcW w:w="6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4"/>
          </w:tcPr>
          <w:p>
            <w:pPr>
              <w:jc w:val="right"/>
              <w:ind w:right="85"/>
              <w:spacing w:after="0" w:line="155" w:lineRule="exact"/>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7"/>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tax assets:</w:t>
            </w:r>
          </w:p>
        </w:tc>
        <w:tc>
          <w:tcPr>
            <w:tcW w:w="2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140" w:type="dxa"/>
            <w:vAlign w:val="bottom"/>
            <w:gridSpan w:val="2"/>
          </w:tcPr>
          <w:p>
            <w:pPr>
              <w:jc w:val="right"/>
              <w:ind w:right="726"/>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Provision for accrued expenses</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Lease financing obligation</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Foreign advertising spend</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Deferred expense related to cost-sharing arrangement</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Interest carryforward</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9"/>
                <w:szCs w:val="19"/>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23"/>
        </w:trPr>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22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7"/>
        </w:trPr>
        <w:tc>
          <w:tcPr>
            <w:tcW w:w="61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140" w:type="dxa"/>
            <w:vAlign w:val="bottom"/>
            <w:gridSpan w:val="2"/>
            <w:shd w:val="clear" w:color="auto" w:fill="CFF0FC"/>
          </w:tcPr>
          <w:p>
            <w:pPr>
              <w:jc w:val="right"/>
              <w:ind w:right="726"/>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w:t>
            </w:r>
          </w:p>
        </w:tc>
        <w:tc>
          <w:tcPr>
            <w:tcW w:w="5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Building - corporate headquarters</w:t>
            </w:r>
          </w:p>
        </w:tc>
        <w:tc>
          <w:tcPr>
            <w:tcW w:w="2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related to cost-sharing arrangement</w:t>
            </w:r>
          </w:p>
        </w:tc>
        <w:tc>
          <w:tcPr>
            <w:tcW w:w="2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2260" w:type="dxa"/>
            <w:vAlign w:val="bottom"/>
            <w:tcBorders>
              <w:bottom w:val="single" w:sz="8" w:color="CFF0FC"/>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FF0FC"/>
            </w:tcBorders>
          </w:tcPr>
          <w:p>
            <w:pPr>
              <w:spacing w:after="0"/>
              <w:rPr>
                <w:sz w:val="19"/>
                <w:szCs w:val="19"/>
                <w:color w:val="auto"/>
              </w:rPr>
            </w:pPr>
          </w:p>
        </w:tc>
      </w:tr>
      <w:tr>
        <w:trPr>
          <w:trHeight w:val="223"/>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asset (liability)</w:t>
            </w:r>
          </w:p>
        </w:tc>
        <w:tc>
          <w:tcPr>
            <w:tcW w:w="226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At December 31, 2018, we had federal, state and foreign net operating loss carryforwards (“NOLs”) of approximately $6 million, $39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$126 million, respectively. If not utilized, the federal and state NOLs will expire at various times between 2020 and 2037 and the foreign NOLs will expire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various times between 2019 and 2028.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4" w:name="page105"/>
    <w:bookmarkEnd w:id="104"/>
    <w:p>
      <w:pPr>
        <w:jc w:val="both"/>
        <w:ind w:right="160" w:firstLine="598"/>
        <w:spacing w:after="0" w:line="257" w:lineRule="auto"/>
        <w:rPr>
          <w:sz w:val="20"/>
          <w:szCs w:val="20"/>
          <w:color w:val="auto"/>
        </w:rPr>
      </w:pPr>
      <w:r>
        <w:rPr>
          <w:rFonts w:ascii="Arial" w:cs="Arial" w:eastAsia="Arial" w:hAnsi="Arial"/>
          <w:sz w:val="18"/>
          <w:szCs w:val="18"/>
          <w:color w:val="auto"/>
        </w:rPr>
        <w:t>As of December 31, 2018, we had a valuation allowance of approximately of $57 million related to certain NOL carryforwards for which it is more likely than not, the tax benefit will not be realized. This amount represented an overall increase of $2 million over the amount recorded as of December 31, 2017. The increase is primarily related to additional foreign net operating losses, offset by releases of certain foreign valuation allowances. Except for such foreign deferred tax assets, we expect to realize all of our deferred tax assets based on a strong history of earnings in the U.S. and other jurisdictions, as well as future reversals of taxable temporary differences.</w:t>
      </w:r>
    </w:p>
    <w:p>
      <w:pPr>
        <w:spacing w:after="0" w:line="188" w:lineRule="exact"/>
        <w:rPr>
          <w:sz w:val="20"/>
          <w:szCs w:val="20"/>
          <w:color w:val="auto"/>
        </w:rPr>
      </w:pPr>
    </w:p>
    <w:p>
      <w:pPr>
        <w:ind w:right="560" w:firstLine="598"/>
        <w:spacing w:after="0" w:line="277" w:lineRule="auto"/>
        <w:rPr>
          <w:sz w:val="20"/>
          <w:szCs w:val="20"/>
          <w:color w:val="auto"/>
        </w:rPr>
      </w:pPr>
      <w:r>
        <w:rPr>
          <w:rFonts w:ascii="Arial" w:cs="Arial" w:eastAsia="Arial" w:hAnsi="Arial"/>
          <w:sz w:val="18"/>
          <w:szCs w:val="18"/>
          <w:color w:val="auto"/>
        </w:rPr>
        <w:t>A reconciliation of the provision for income taxes to the amounts computed by applying the statutory federal income tax rate to income before income taxes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52"/>
              <w:spacing w:after="0" w:line="155"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5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at the federal statutory rate</w:t>
            </w:r>
          </w:p>
        </w:tc>
        <w:tc>
          <w:tcPr>
            <w:tcW w:w="2180" w:type="dxa"/>
            <w:vAlign w:val="bottom"/>
            <w:gridSpan w:val="2"/>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gridSpan w:val="2"/>
          </w:tcPr>
          <w:p>
            <w:pPr>
              <w:jc w:val="right"/>
              <w:ind w:right="148"/>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 net of effect of federal tax benefit</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Unrecognized tax benefits and related interest</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Change in cost-sharing treatment of stock-based compensation</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FDII, GILTI and other provisions</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gridSpan w:val="2"/>
          </w:tcPr>
          <w:p>
            <w:pPr>
              <w:jc w:val="right"/>
              <w:ind w:right="148"/>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Impacts related to the 2017 Tax Act</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Research tax credit</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gridSpan w:val="2"/>
          </w:tcPr>
          <w:p>
            <w:pPr>
              <w:jc w:val="right"/>
              <w:ind w:right="148"/>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Local income tax on intercompany transaction (1)</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Executive compensation</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1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left="1200" w:right="80" w:hanging="598"/>
        <w:spacing w:after="0" w:line="278" w:lineRule="auto"/>
        <w:tabs>
          <w:tab w:leader="none" w:pos="12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During 2018, we completed an intra-entity transfer from Australia to the U.S. of certain intangible property (“IP”) rights associated with a subsidiary’s technology platform. This transfer resulted in an income tax expense for Australian tax purposes of approximately $10 million. As a result of the IP transfer, we utilized NOLs and consequently released the valuation allowance on our Australian entity.</w:t>
      </w:r>
    </w:p>
    <w:p>
      <w:pPr>
        <w:spacing w:after="0" w:line="180"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During 2011, the Singapore Economic Development Board accepted our application to receive a tax incentive under the International Headquarters Award. This incentive provides for a reduced tax rate on qualifying income of 5% as compared to Singapore’s statutory tax rate of 17% and is conditional upon our meeting certain employment and investment thresholds. This agreement has been extended until June 30, 2021 as we have met certain employment and investment thresholds. This benefit resulted in a decrease to our 2018 provision for income tax expense of $2 million.</w:t>
      </w:r>
    </w:p>
    <w:p>
      <w:pPr>
        <w:spacing w:after="0" w:line="154"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The 2017 Tax Act was signed into United States tax law on December 22, 2017. The 2017 Tax Act significantly changed the U.S. corporate income tax regime by, among other things, lowering the U.S. corporate tax rate from 35% to 21% effective January 1, 2018. The 2017 Tax Act also provided for a mandatory one-time tax on the deemed repatriation of accumulative foreign earnings of foreign subsidiaries (the “Transition Tax”), as well as prospective changes beginning in 2018, including additional limitations on executive compensation. Under GAAP, the effects of changes in income tax rates and laws are recognized in the period in which the new legislation is enacted.</w:t>
      </w:r>
    </w:p>
    <w:p>
      <w:pPr>
        <w:spacing w:after="0" w:line="188"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On December 22, 2017, the Securities and Exchange Commission issued SAB 118, which allowed us to record provisional amounts during a measurement period not to extend beyond one year of the enactment date. Accordingly, we recorded an estimate of $67 million of Transition Tax, and $6 million due to a remeasurement of our net deferred tax assets, during the year ended December 31, 2017, which reflected provisional amounts for those specific income tax effects of the 2017 Tax Act. December 22, 2018 marked the end of the measurement period for the purposes of SAB 118. During the measurement period, impacts of the law were recorded at the time a reasonable estimate for all or a portion of the effects were made, and provisional amounts were recognized and adjusted as information became available, prepared, or analyzed.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5" w:name="page106"/>
    <w:bookmarkEnd w:id="105"/>
    <w:p>
      <w:pPr>
        <w:ind w:right="60" w:firstLine="598"/>
        <w:spacing w:after="0" w:line="297" w:lineRule="auto"/>
        <w:rPr>
          <w:sz w:val="20"/>
          <w:szCs w:val="20"/>
          <w:color w:val="auto"/>
        </w:rPr>
      </w:pPr>
      <w:r>
        <w:rPr>
          <w:rFonts w:ascii="Arial" w:cs="Arial" w:eastAsia="Arial" w:hAnsi="Arial"/>
          <w:sz w:val="16"/>
          <w:szCs w:val="16"/>
          <w:color w:val="auto"/>
        </w:rPr>
        <w:t>As permitted by SAB 118, we recorded provisional estimates for the impact of the Tax Act during the year ended December 31, 2017, and have subsequently finalized our accounting analysis based on the guidance, interpretations, and data available as of December 31, 2018. During the year ended December 31, 2018, we recorded a $2 million income tax expense related to the Transition Tax, which reflects additional information that we obtained during 2018 related to uncertain tax positions, earnings and profits, foreign tax credits, and state taxes. We also recorded a $2 million benefit related to the adjustment of deferred taxes based on the income tax rate that is expected to apply when such deferred taxes are settled or realized in future periods.</w:t>
      </w:r>
    </w:p>
    <w:p>
      <w:pPr>
        <w:spacing w:after="0" w:line="158"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We are subject to additional requirements of the 2017 Tax Act during the year ended December 31, 2018. Those provisions include a deduction for foreign derived intangible income (“FDII”), a tax on global intangible low-taxed income (“GILTI”), a limitation of certain executive compensation, and other immaterial provisions. We have elected to account for GILTI as a period cost, and therefore included GILTI expense in the effective income tax rate calculation. Our 2018 effective income tax rate includes our estimates of these new provisions, with a net tax benefit of $5 million recorded during the year ended December 31, 2018. Our estimates may be revised in future periods as we obtain additional data, and as the IRS issues new guidance implementing the law changes.</w:t>
      </w:r>
    </w:p>
    <w:p>
      <w:pPr>
        <w:spacing w:after="0" w:line="193"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and have various ongoing state income tax audits. We are separately under examination by the IRS for the short-period 2011, 2012 and 2013 tax years and under an employment tax audit with the IRS for the 2013 and 2014 tax years.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December 31, 2018, no material assessments have resulted, except as noted below regarding our 2009 and 2010 IRS audit with Expedia.</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January 2017, as part of the IRS audit of Expedia, we received Notices of Proposed Adjustment from the IRS for the 2009 and 2010 tax</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years. These proposed adjustments are related to certain transfer pricing arrangements with our foreign subsidiaries, and would result in an increase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worldwide income tax expense in an estimated range of $10 million to $14 million after consideration of competent authority relief, exclusive of interest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penalties. We disagree with the proposed adjustments and we intend to defend our position through applicable administrative and, if necessary, judicial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remedies. Our policy is to review and update tax reserves as facts and circumstances change. Based on our interpretation of the regulations and available case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law, we believe the position we have taken with regard to transfer pricing with our foreign subsidiaries is sustainable. In addition to the risk of additional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2009 and 2010 transactions, if the IRS were to seek transfer pricing adjustments of a similar nature for transactions in subsequent years, we would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subject to significant additional tax liabilities.</w:t>
      </w:r>
    </w:p>
    <w:p>
      <w:pPr>
        <w:spacing w:after="0" w:line="211"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 based compensation from its inter-company cost-sharing arrangement. The IRS appealed the Court decision on February 19, 2016. At this time, the U.S. Department of the Treasury has not withdrawn the requirement from its regulations to include stock-based compensation in intercompany cost-sharing arrangements. The Company recorded a tax benefit of $3 million, $5 million and $6 million in its consolidated statements of operations for the years ended December 31, 2018, 2017 and 2016, respectively. Since the Court’s 2015 opinion, the Company has taken total income tax benefits of $15 million as of December 31, 2018. On July 24, 2018, the IRS won the appeals court case at the Ninth Circuit; however, on August 7, 2018, the Ninth Circuit withdrew its decision regarding Altera and the case was reheard. While we have taken an income tax benefit based on the Court’s 2015 opinion, as discussed above, we will continue to review the latest decisions on the case and its impact to our consolidated financial statements.</w:t>
      </w:r>
    </w:p>
    <w:p>
      <w:pPr>
        <w:spacing w:after="0" w:line="237" w:lineRule="exact"/>
        <w:rPr>
          <w:sz w:val="20"/>
          <w:szCs w:val="20"/>
          <w:color w:val="auto"/>
        </w:rPr>
      </w:pPr>
    </w:p>
    <w:p>
      <w:pPr>
        <w:ind w:right="240" w:firstLine="598"/>
        <w:spacing w:after="0" w:line="312" w:lineRule="auto"/>
        <w:rPr>
          <w:sz w:val="20"/>
          <w:szCs w:val="20"/>
          <w:color w:val="auto"/>
        </w:rPr>
      </w:pPr>
      <w:r>
        <w:rPr>
          <w:rFonts w:ascii="Arial" w:cs="Arial" w:eastAsia="Arial" w:hAnsi="Arial"/>
          <w:sz w:val="16"/>
          <w:szCs w:val="16"/>
          <w:color w:val="auto"/>
        </w:rPr>
        <w:t>Cumulative undistributed earnings of foreign subsidiaries totaled approximately $651 million as of December 31, 2018. During the year ended December 31, 2018, we made a one-time repatriation of $325 million of foreign earnings to the United States primarily to repay our remaining outstanding debt under the 2015 Credit Facility. We intend to indefinitely reinvest the remaining foreign undistributed earnings although we will continue to</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6" w:name="page107"/>
    <w:bookmarkEnd w:id="106"/>
    <w:p>
      <w:pPr>
        <w:ind w:right="60"/>
        <w:spacing w:after="0" w:line="264" w:lineRule="auto"/>
        <w:rPr>
          <w:sz w:val="20"/>
          <w:szCs w:val="20"/>
          <w:color w:val="auto"/>
        </w:rPr>
      </w:pPr>
      <w:r>
        <w:rPr>
          <w:rFonts w:ascii="Arial" w:cs="Arial" w:eastAsia="Arial" w:hAnsi="Arial"/>
          <w:sz w:val="18"/>
          <w:szCs w:val="18"/>
          <w:color w:val="auto"/>
        </w:rPr>
        <w:t>evaluate the impact of the 2017 Tax Act on our capital deployment within and outside the U.S. Should we distribute, or be treated under certain U.S. tax rules as having distributed, the earnings of foreign subsidiaries in the form of dividends or otherwise, we may be subject to U.S. income taxes or tax benefits. The amount of any unrecognized deferred income tax on this temporary difference is not material.</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beginning and ending amount of gross unrecognized tax benefits (excluding interest and penalties)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5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5"/>
              <w:spacing w:after="0" w:line="155"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55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year</w:t>
            </w:r>
          </w:p>
        </w:tc>
        <w:tc>
          <w:tcPr>
            <w:tcW w:w="2580" w:type="dxa"/>
            <w:vAlign w:val="bottom"/>
            <w:gridSpan w:val="2"/>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Increases to tax positions related to the current year</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Increases to tax positions related to the prior year</w:t>
            </w:r>
          </w:p>
        </w:tc>
        <w:tc>
          <w:tcPr>
            <w:tcW w:w="1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Reductions due to lapsed statute of limitations</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Decreases to tax positions related to the prior year</w:t>
            </w:r>
          </w:p>
        </w:tc>
        <w:tc>
          <w:tcPr>
            <w:tcW w:w="1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Settlements during current year</w:t>
            </w:r>
          </w:p>
        </w:tc>
        <w:tc>
          <w:tcPr>
            <w:tcW w:w="1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year</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As of December 31, 2018, we had $136 million of unrecognized tax benefits, net of interest, which is classified as long-term and included in other long-term liabilities and deferred income taxes, net on our consolidated balance sheet. The amount of unrecognized tax benefits, if recognized, would reduce income tax expense by $87 million, due to correlative adjustments in other tax jurisdictions. We recognize interest and penalties related to unrecognized tax benefits in income tax expense on our consolidated statement of operations. As of December 31, 2018 and 2017, total gross interest accrued was $20 million and $13 million, respectively. We do not anticipate any material changes in the next fiscal year.</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ACCRUED EXPENSES AND OTHER CURRENT LIABILITIES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156"/>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4"/>
          </w:tcPr>
          <w:p>
            <w:pPr>
              <w:jc w:val="right"/>
              <w:ind w:right="287"/>
              <w:spacing w:after="0" w:line="155" w:lineRule="exact"/>
              <w:rPr>
                <w:sz w:val="20"/>
                <w:szCs w:val="20"/>
                <w:color w:val="auto"/>
              </w:rPr>
            </w:pPr>
            <w:r>
              <w:rPr>
                <w:rFonts w:ascii="Arial" w:cs="Arial" w:eastAsia="Arial" w:hAnsi="Arial"/>
                <w:sz w:val="14"/>
                <w:szCs w:val="14"/>
                <w:b w:val="1"/>
                <w:bCs w:val="1"/>
                <w:color w:val="auto"/>
              </w:rPr>
              <w:t>(in millions)</w:t>
            </w: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salary, bonus, and related benefits</w:t>
            </w:r>
          </w:p>
        </w:tc>
        <w:tc>
          <w:tcPr>
            <w:tcW w:w="1760" w:type="dxa"/>
            <w:vAlign w:val="bottom"/>
            <w:gridSpan w:val="2"/>
            <w:shd w:val="clear" w:color="auto" w:fill="CFF0FC"/>
          </w:tcPr>
          <w:p>
            <w:pPr>
              <w:jc w:val="right"/>
              <w:ind w:right="35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taxes payable (1)</w:t>
            </w:r>
          </w:p>
        </w:tc>
        <w:tc>
          <w:tcPr>
            <w:tcW w:w="1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Current portion of debt (2)</w:t>
            </w: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9"/>
                <w:szCs w:val="19"/>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7" w:lineRule="exact"/>
        <w:rPr>
          <w:sz w:val="20"/>
          <w:szCs w:val="20"/>
          <w:color w:val="auto"/>
        </w:rPr>
      </w:pPr>
    </w:p>
    <w:p>
      <w:pPr>
        <w:ind w:left="1300" w:hanging="428"/>
        <w:spacing w:after="0"/>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Refer to “Note 11: </w:t>
      </w:r>
      <w:r>
        <w:rPr>
          <w:rFonts w:ascii="Arial" w:cs="Arial" w:eastAsia="Arial" w:hAnsi="Arial"/>
          <w:sz w:val="16"/>
          <w:szCs w:val="16"/>
          <w:i w:val="1"/>
          <w:iCs w:val="1"/>
          <w:color w:val="auto"/>
        </w:rPr>
        <w:t>Income Taxes</w:t>
      </w:r>
      <w:r>
        <w:rPr>
          <w:rFonts w:ascii="Arial" w:cs="Arial" w:eastAsia="Arial" w:hAnsi="Arial"/>
          <w:sz w:val="16"/>
          <w:szCs w:val="16"/>
          <w:color w:val="auto"/>
        </w:rPr>
        <w:t>” for additional information.</w:t>
      </w:r>
    </w:p>
    <w:p>
      <w:pPr>
        <w:spacing w:after="0" w:line="32" w:lineRule="exact"/>
        <w:rPr>
          <w:rFonts w:ascii="Arial" w:cs="Arial" w:eastAsia="Arial" w:hAnsi="Arial"/>
          <w:sz w:val="16"/>
          <w:szCs w:val="16"/>
          <w:color w:val="auto"/>
        </w:rPr>
      </w:pPr>
    </w:p>
    <w:p>
      <w:pPr>
        <w:ind w:left="1300" w:hanging="428"/>
        <w:spacing w:after="0"/>
        <w:tabs>
          <w:tab w:leader="none" w:pos="13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The amount of debt outstanding at December 31, 2017 is related to our Chinese Credit Facilities. Refer to “Note 10: </w:t>
      </w:r>
      <w:r>
        <w:rPr>
          <w:rFonts w:ascii="Arial" w:cs="Arial" w:eastAsia="Arial" w:hAnsi="Arial"/>
          <w:sz w:val="15"/>
          <w:szCs w:val="15"/>
          <w:i w:val="1"/>
          <w:iCs w:val="1"/>
          <w:color w:val="auto"/>
        </w:rPr>
        <w:t>Debt</w:t>
      </w:r>
      <w:r>
        <w:rPr>
          <w:rFonts w:ascii="Arial" w:cs="Arial" w:eastAsia="Arial" w:hAnsi="Arial"/>
          <w:sz w:val="15"/>
          <w:szCs w:val="15"/>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13: OTHER LONG-TERM LIABILITIES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long-term liabilities consisted of the following for the periods presented: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2018</w:t>
            </w:r>
          </w:p>
        </w:tc>
        <w:tc>
          <w:tcPr>
            <w:tcW w:w="20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2017</w:t>
            </w: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jc w:val="right"/>
              <w:ind w:right="279"/>
              <w:spacing w:after="0" w:line="155" w:lineRule="exact"/>
              <w:rPr>
                <w:sz w:val="20"/>
                <w:szCs w:val="20"/>
                <w:color w:val="auto"/>
              </w:rPr>
            </w:pPr>
            <w:r>
              <w:rPr>
                <w:rFonts w:ascii="Arial" w:cs="Arial" w:eastAsia="Arial" w:hAnsi="Arial"/>
                <w:sz w:val="14"/>
                <w:szCs w:val="14"/>
                <w:b w:val="1"/>
                <w:bCs w:val="1"/>
                <w:color w:val="auto"/>
              </w:rPr>
              <w:t>(in millions)</w:t>
            </w: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(1)</w:t>
            </w:r>
          </w:p>
        </w:tc>
        <w:tc>
          <w:tcPr>
            <w:tcW w:w="1980" w:type="dxa"/>
            <w:vAlign w:val="bottom"/>
            <w:gridSpan w:val="2"/>
            <w:shd w:val="clear" w:color="auto" w:fill="CFF0FC"/>
          </w:tcPr>
          <w:p>
            <w:pPr>
              <w:jc w:val="right"/>
              <w:ind w:right="35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820" w:type="dxa"/>
            <w:vAlign w:val="bottom"/>
            <w:gridSpan w:val="2"/>
            <w:shd w:val="clear" w:color="auto" w:fill="CFF0FC"/>
          </w:tcPr>
          <w:p>
            <w:pPr>
              <w:jc w:val="right"/>
              <w:ind w:right="43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Long-term income taxes payable (2)</w:t>
            </w: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Financing obligation, net of current portion (3)</w:t>
            </w:r>
          </w:p>
        </w:tc>
        <w:tc>
          <w:tcPr>
            <w:tcW w:w="14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(4)</w:t>
            </w:r>
          </w:p>
        </w:tc>
        <w:tc>
          <w:tcPr>
            <w:tcW w:w="14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5" w:lineRule="exact"/>
        <w:rPr>
          <w:sz w:val="20"/>
          <w:szCs w:val="20"/>
          <w:color w:val="auto"/>
        </w:rPr>
      </w:pPr>
    </w:p>
    <w:p>
      <w:pPr>
        <w:ind w:left="1300" w:hanging="428"/>
        <w:spacing w:after="0"/>
        <w:tabs>
          <w:tab w:leader="none" w:pos="13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Refer to “Note 11: </w:t>
      </w:r>
      <w:r>
        <w:rPr>
          <w:rFonts w:ascii="Arial" w:cs="Arial" w:eastAsia="Arial" w:hAnsi="Arial"/>
          <w:sz w:val="15"/>
          <w:szCs w:val="15"/>
          <w:i w:val="1"/>
          <w:iCs w:val="1"/>
          <w:color w:val="auto"/>
        </w:rPr>
        <w:t>Income Taxes</w:t>
      </w:r>
      <w:r>
        <w:rPr>
          <w:rFonts w:ascii="Arial" w:cs="Arial" w:eastAsia="Arial" w:hAnsi="Arial"/>
          <w:sz w:val="15"/>
          <w:szCs w:val="15"/>
          <w:color w:val="auto"/>
        </w:rPr>
        <w:t>” for additional information on our unrecognized tax benefits. Amount includes accrued interest related to this liability.</w:t>
      </w:r>
    </w:p>
    <w:p>
      <w:pPr>
        <w:spacing w:after="0" w:line="33" w:lineRule="exact"/>
        <w:rPr>
          <w:rFonts w:ascii="Arial" w:cs="Arial" w:eastAsia="Arial" w:hAnsi="Arial"/>
          <w:sz w:val="15"/>
          <w:szCs w:val="15"/>
          <w:color w:val="auto"/>
        </w:rPr>
      </w:pPr>
    </w:p>
    <w:p>
      <w:pPr>
        <w:ind w:left="1300" w:hanging="428"/>
        <w:spacing w:after="0"/>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Amount relates to the long-term portion of Transition Tax related to 2017 Tax Act. Refer to “Note 11: </w:t>
      </w:r>
      <w:r>
        <w:rPr>
          <w:rFonts w:ascii="Arial" w:cs="Arial" w:eastAsia="Arial" w:hAnsi="Arial"/>
          <w:sz w:val="16"/>
          <w:szCs w:val="16"/>
          <w:i w:val="1"/>
          <w:iCs w:val="1"/>
          <w:color w:val="auto"/>
        </w:rPr>
        <w:t>Income Taxes</w:t>
      </w:r>
      <w:r>
        <w:rPr>
          <w:rFonts w:ascii="Arial" w:cs="Arial" w:eastAsia="Arial" w:hAnsi="Arial"/>
          <w:sz w:val="16"/>
          <w:szCs w:val="16"/>
          <w:color w:val="auto"/>
        </w:rPr>
        <w:t>,” for additional information.</w:t>
      </w:r>
    </w:p>
    <w:p>
      <w:pPr>
        <w:spacing w:after="0" w:line="18" w:lineRule="exact"/>
        <w:rPr>
          <w:rFonts w:ascii="Arial" w:cs="Arial" w:eastAsia="Arial" w:hAnsi="Arial"/>
          <w:sz w:val="16"/>
          <w:szCs w:val="16"/>
          <w:color w:val="auto"/>
        </w:rPr>
      </w:pPr>
    </w:p>
    <w:p>
      <w:pPr>
        <w:ind w:left="1300" w:hanging="428"/>
        <w:spacing w:after="0"/>
        <w:tabs>
          <w:tab w:leader="none" w:pos="13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Refer to “Note 14: </w:t>
      </w:r>
      <w:r>
        <w:rPr>
          <w:rFonts w:ascii="Arial" w:cs="Arial" w:eastAsia="Arial" w:hAnsi="Arial"/>
          <w:sz w:val="15"/>
          <w:szCs w:val="15"/>
          <w:i w:val="1"/>
          <w:iCs w:val="1"/>
          <w:color w:val="auto"/>
        </w:rPr>
        <w:t>Commitments and Contingencies</w:t>
      </w:r>
      <w:r>
        <w:rPr>
          <w:rFonts w:ascii="Arial" w:cs="Arial" w:eastAsia="Arial" w:hAnsi="Arial"/>
          <w:sz w:val="15"/>
          <w:szCs w:val="15"/>
          <w:color w:val="auto"/>
        </w:rPr>
        <w:t>,” for additional information on our corporate headquarters lease and its related financing obligation.</w:t>
      </w:r>
    </w:p>
    <w:p>
      <w:pPr>
        <w:spacing w:after="0" w:line="30" w:lineRule="exact"/>
        <w:rPr>
          <w:rFonts w:ascii="Arial" w:cs="Arial" w:eastAsia="Arial" w:hAnsi="Arial"/>
          <w:sz w:val="15"/>
          <w:szCs w:val="15"/>
          <w:color w:val="auto"/>
        </w:rPr>
      </w:pPr>
    </w:p>
    <w:p>
      <w:pPr>
        <w:ind w:left="1300" w:hanging="428"/>
        <w:spacing w:after="0"/>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Amounts primarily consist of long-term deferred rent balances related to our operating leases for office space.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21"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We have material contractual obligations and commercial commitments that include office space leases, expected commitment fees on our 2015 Credit Facility, and purchase obligations, which are not accrued on the consolidated balance sheet at December 31, 2018 but we expect to require future cash outflows; as summarized in the following table: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By Period</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96"/>
              <w:spacing w:after="0" w:line="133" w:lineRule="exact"/>
              <w:rPr>
                <w:sz w:val="20"/>
                <w:szCs w:val="20"/>
                <w:color w:val="auto"/>
              </w:rPr>
            </w:pPr>
            <w:r>
              <w:rPr>
                <w:rFonts w:ascii="Arial" w:cs="Arial" w:eastAsia="Arial" w:hAnsi="Arial"/>
                <w:sz w:val="14"/>
                <w:szCs w:val="14"/>
                <w:b w:val="1"/>
                <w:bCs w:val="1"/>
                <w:color w:val="auto"/>
                <w:w w:val="88"/>
              </w:rPr>
              <w:t>Less than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 to 3 years</w:t>
            </w:r>
          </w:p>
        </w:tc>
        <w:tc>
          <w:tcPr>
            <w:tcW w:w="100" w:type="dxa"/>
            <w:vAlign w:val="bottom"/>
          </w:tcPr>
          <w:p>
            <w:pPr>
              <w:spacing w:after="0"/>
              <w:rPr>
                <w:sz w:val="11"/>
                <w:szCs w:val="11"/>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 to 5 years</w:t>
            </w:r>
          </w:p>
        </w:tc>
        <w:tc>
          <w:tcPr>
            <w:tcW w:w="100" w:type="dxa"/>
            <w:vAlign w:val="bottom"/>
          </w:tcPr>
          <w:p>
            <w:pPr>
              <w:spacing w:after="0"/>
              <w:rPr>
                <w:sz w:val="11"/>
                <w:szCs w:val="11"/>
                <w:color w:val="auto"/>
              </w:rPr>
            </w:pPr>
          </w:p>
        </w:tc>
        <w:tc>
          <w:tcPr>
            <w:tcW w:w="82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9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Property leases, net of sublease income (1)</w:t>
            </w:r>
          </w:p>
        </w:tc>
        <w:tc>
          <w:tcPr>
            <w:tcW w:w="6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193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Expected commitment fee payments on 2015 Credit Facility (2)</w:t>
            </w: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 and other (3)</w:t>
            </w:r>
          </w:p>
        </w:tc>
        <w:tc>
          <w:tcPr>
            <w:tcW w:w="6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Total (4)</w:t>
            </w:r>
          </w:p>
        </w:tc>
        <w:tc>
          <w:tcPr>
            <w:tcW w:w="620" w:type="dxa"/>
            <w:vAlign w:val="bottom"/>
            <w:tcBorders>
              <w:bottom w:val="single" w:sz="8" w:color="auto"/>
            </w:tcBorders>
          </w:tcPr>
          <w:p>
            <w:pPr>
              <w:jc w:val="right"/>
              <w:ind w:right="43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218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00" w:right="360" w:hanging="592"/>
        <w:spacing w:after="0" w:line="251"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Estimated future minimum rental payments under operating leases with non-cancelable lease terms, including our corporate headquarters lease in Needham, MA.</w:t>
      </w:r>
    </w:p>
    <w:p>
      <w:pPr>
        <w:spacing w:after="0" w:line="1" w:lineRule="exact"/>
        <w:rPr>
          <w:rFonts w:ascii="Arial" w:cs="Arial" w:eastAsia="Arial" w:hAnsi="Arial"/>
          <w:sz w:val="18"/>
          <w:szCs w:val="18"/>
          <w:color w:val="auto"/>
        </w:rPr>
      </w:pPr>
    </w:p>
    <w:p>
      <w:pPr>
        <w:ind w:left="600" w:right="80" w:hanging="592"/>
        <w:spacing w:after="0" w:line="250"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Expected commitment fee payments are based on the daily unused portion of our 2015 Credit Facility, issued letters of credit, and the effective commitment fee rate as of December 31, 2018; however, these variables could change significantly in the future. Refer to “Note 10: </w:t>
      </w:r>
      <w:r>
        <w:rPr>
          <w:rFonts w:ascii="Arial" w:cs="Arial" w:eastAsia="Arial" w:hAnsi="Arial"/>
          <w:sz w:val="18"/>
          <w:szCs w:val="18"/>
          <w:i w:val="1"/>
          <w:iCs w:val="1"/>
          <w:color w:val="auto"/>
        </w:rPr>
        <w:t>Debt</w:t>
      </w:r>
      <w:r>
        <w:rPr>
          <w:rFonts w:ascii="Arial" w:cs="Arial" w:eastAsia="Arial" w:hAnsi="Arial"/>
          <w:sz w:val="18"/>
          <w:szCs w:val="18"/>
          <w:color w:val="auto"/>
        </w:rPr>
        <w:t>” for a discussion of the 2015 Credit Facility with additional information on our available borrowing capacity and effective commitment fee as of December 31, 2018.</w:t>
      </w:r>
    </w:p>
    <w:p>
      <w:pPr>
        <w:ind w:left="600" w:right="480" w:hanging="592"/>
        <w:spacing w:after="0" w:line="250"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Estimated purchase obligations that are fixed and determinable are primarily related to telecommunication and licensing contracts, with various expiration dates through approximately December 2024. These contracts have non-cancelable terms or are cancelable only upon payment of significant penalty.</w:t>
      </w:r>
    </w:p>
    <w:p>
      <w:pPr>
        <w:spacing w:after="0" w:line="1" w:lineRule="exact"/>
        <w:rPr>
          <w:rFonts w:ascii="Arial" w:cs="Arial" w:eastAsia="Arial" w:hAnsi="Arial"/>
          <w:sz w:val="18"/>
          <w:szCs w:val="18"/>
          <w:color w:val="auto"/>
        </w:rPr>
      </w:pPr>
    </w:p>
    <w:p>
      <w:pPr>
        <w:ind w:left="600" w:hanging="592"/>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Excluded from the table was $3 million of undrawn standby letters of credit, primarily related to our property leases.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Lease Commitments</w:t>
      </w:r>
    </w:p>
    <w:p>
      <w:pPr>
        <w:spacing w:after="0" w:line="117" w:lineRule="exact"/>
        <w:rPr>
          <w:sz w:val="20"/>
          <w:szCs w:val="20"/>
          <w:color w:val="auto"/>
        </w:rPr>
      </w:pPr>
    </w:p>
    <w:p>
      <w:pPr>
        <w:ind w:right="40" w:firstLine="598"/>
        <w:spacing w:after="0" w:line="312" w:lineRule="auto"/>
        <w:rPr>
          <w:sz w:val="20"/>
          <w:szCs w:val="20"/>
          <w:color w:val="auto"/>
        </w:rPr>
      </w:pPr>
      <w:r>
        <w:rPr>
          <w:rFonts w:ascii="Arial" w:cs="Arial" w:eastAsia="Arial" w:hAnsi="Arial"/>
          <w:sz w:val="16"/>
          <w:szCs w:val="16"/>
          <w:color w:val="auto"/>
        </w:rPr>
        <w:t>We have contractual obligations in the form of operating leases for office space for which we record the related expense on a monthly basis. Certain leases contain periodic rent escalation adjustments and renewal options. Rent expense related to such leases is recorded on a straight-line basis. Excluding our corporate headquarters lease, discussed below, we lease an aggregate of approximately 450,000 square feet of office space at approximately 40</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8" w:name="page109"/>
    <w:bookmarkEnd w:id="108"/>
    <w:p>
      <w:pPr>
        <w:spacing w:after="0" w:line="255" w:lineRule="auto"/>
        <w:rPr>
          <w:sz w:val="20"/>
          <w:szCs w:val="20"/>
          <w:color w:val="auto"/>
        </w:rPr>
      </w:pPr>
      <w:r>
        <w:rPr>
          <w:rFonts w:ascii="Arial" w:cs="Arial" w:eastAsia="Arial" w:hAnsi="Arial"/>
          <w:sz w:val="18"/>
          <w:szCs w:val="18"/>
          <w:color w:val="auto"/>
        </w:rPr>
        <w:t>other locations across North America, Europe and Asia Pacific, in cities such as New York, Boston, London, Sydney, Barcelona, Paris, and Beijing, primarily for our sales offices, subsidiary headquarters, and international management teams, pursuant to leases with various expiration dates, with the latest expiring in June 2027. For the years ended December 31, 2018, 2017 and 2016, we recorded rental expense of $16 million in each year, respectively, net of sublease income of $3 million during both the years ended December 31, 2018 and 2017, respectively, and $2 million for the year ended December 31, 2016, related to these operating leases. In addition, certain of our lease agreements include rental payments which are adjusted periodically for inflation. We recognize these costs as our variable lease costs on our consolidated statement of operations, which were not material during the years ended December 31, 2018, 2017 and 2016.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Headquarters Lease</w:t>
      </w:r>
    </w:p>
    <w:p>
      <w:pPr>
        <w:spacing w:after="0" w:line="117"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In June 2013, we entered into a lease for a new corporate headquarters building. Pursuant to the corporate headquarters lease, the landlord built an approximately 280,000 square foot rental building in Needham, Massachusetts (the “Premises”), and leased the Premises to the Company as our corporate headquarters for an initial term of 15 years and 7 months or through December 2030. The Company also has an option to extend the term of the Headquarters Lease for two consecutive terms of five years each.</w:t>
      </w:r>
    </w:p>
    <w:p>
      <w:pPr>
        <w:spacing w:after="0" w:line="187" w:lineRule="exact"/>
        <w:rPr>
          <w:sz w:val="20"/>
          <w:szCs w:val="20"/>
          <w:color w:val="auto"/>
        </w:rPr>
      </w:pPr>
    </w:p>
    <w:p>
      <w:pPr>
        <w:ind w:right="120" w:firstLine="598"/>
        <w:spacing w:after="0" w:line="297" w:lineRule="auto"/>
        <w:rPr>
          <w:sz w:val="20"/>
          <w:szCs w:val="20"/>
          <w:color w:val="auto"/>
        </w:rPr>
      </w:pPr>
      <w:r>
        <w:rPr>
          <w:rFonts w:ascii="Arial" w:cs="Arial" w:eastAsia="Arial" w:hAnsi="Arial"/>
          <w:sz w:val="16"/>
          <w:szCs w:val="16"/>
          <w:color w:val="auto"/>
        </w:rPr>
        <w:t>Because we were involved in the construction project and were responsible for paying a significant portion of the costs of normal finish work and structural elements of the Premises, the Company was deemed for accounting purposes to be the owner of the Premises during the construction period under build to suit lease accounting guidance under GAAP. Therefore, the Company recorded project construction costs during the construction period incurred by the landlord as a construction-in-progress asset and a related construction financing obligation on our consolidated balance sheets. The amounts that the Company has paid or incurred for normal tenant improvements and structural improvements had also been recorded to the construction-in-progress asset.</w:t>
      </w:r>
    </w:p>
    <w:p>
      <w:pPr>
        <w:spacing w:after="0" w:line="50" w:lineRule="exact"/>
        <w:rPr>
          <w:sz w:val="20"/>
          <w:szCs w:val="20"/>
          <w:color w:val="auto"/>
        </w:rPr>
      </w:pPr>
    </w:p>
    <w:p>
      <w:pPr>
        <w:ind w:right="80" w:firstLine="598"/>
        <w:spacing w:after="0" w:line="268" w:lineRule="auto"/>
        <w:rPr>
          <w:sz w:val="20"/>
          <w:szCs w:val="20"/>
          <w:color w:val="auto"/>
        </w:rPr>
      </w:pPr>
      <w:r>
        <w:rPr>
          <w:rFonts w:ascii="Arial" w:cs="Arial" w:eastAsia="Arial" w:hAnsi="Arial"/>
          <w:sz w:val="17"/>
          <w:szCs w:val="17"/>
          <w:color w:val="auto"/>
        </w:rPr>
        <w:t>Upon completion of construction at end of the second quarter of 2015, we evaluated the construction-in-progress asset and construction financing obligation for de-recognition under the criteria for “sale-leaseback” treatment under GAAP. We concluded that we had forms of continued economic involvement in the facility, and therefore did not meet the provisions for sale-leaseback accounting. This determination was based on the Company's continuing involvement with the property in the form of non-recourse financing to the lessor. Therefore, the Headquarters Lease is accounted for as a financing obligation. Accordingly, we began depreciating the building asset over its estimated useful life and incurring interest expense related to the financing obligation imputed using the effective interest rate method. We bifurcate our lease payments pursuant to the Premises into: (i) a portion that is allocated to the building (a reduction to the financing obligation) and; (ii) a portion that is allocated to the land on which the building was constructed. The portion of the lease obligations allocated to the land is treated as an operating lease that commenced in 2013. The lease costs allocated to the land are recognized as rent expense on a straight-line basis over the term of the lease and are recorded in general and administrative expense in the consolidated statements of operations. The financing obligation is considered a long-term finance lease obligation and is recorded to other long-term liabilities on our consolidated balance sheets. In the years ended December 31 2018, 2017 and 2016, the Company recorded $7 million of interest expense in each year, respectively, $3 million of depreciation expense in each year, respectively, and $2 million of rent expense in each year in general and administrative expense, respectively, on our consolidated statements of operations related to the Premises.</w:t>
      </w:r>
    </w:p>
    <w:p>
      <w:pPr>
        <w:spacing w:after="0" w:line="188"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under the </w:t>
      </w:r>
      <w:r>
        <w:rPr>
          <w:rFonts w:ascii="Arial" w:cs="Arial" w:eastAsia="Arial" w:hAnsi="Arial"/>
          <w:sz w:val="18"/>
          <w:szCs w:val="18"/>
          <w:i w:val="1"/>
          <w:iCs w:val="1"/>
          <w:color w:val="auto"/>
        </w:rPr>
        <w:t>New Accounting Pronouncements Not Yet Adopted</w:t>
      </w:r>
      <w:r>
        <w:rPr>
          <w:rFonts w:ascii="Arial" w:cs="Arial" w:eastAsia="Arial" w:hAnsi="Arial"/>
          <w:sz w:val="18"/>
          <w:szCs w:val="18"/>
          <w:color w:val="auto"/>
        </w:rPr>
        <w:t>, for information on the potential impact of new lease accounting guidance on our property leases which the Company will adopt on January 1, 2019.</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9" w:name="page110"/>
    <w:bookmarkEnd w:id="109"/>
    <w:p>
      <w:pPr>
        <w:ind w:right="60" w:firstLine="598"/>
        <w:spacing w:after="0" w:line="258" w:lineRule="auto"/>
        <w:rPr>
          <w:sz w:val="20"/>
          <w:szCs w:val="20"/>
          <w:color w:val="auto"/>
        </w:rPr>
      </w:pPr>
      <w:r>
        <w:rPr>
          <w:rFonts w:ascii="Arial" w:cs="Arial" w:eastAsia="Arial" w:hAnsi="Arial"/>
          <w:sz w:val="18"/>
          <w:szCs w:val="18"/>
          <w:color w:val="auto"/>
        </w:rPr>
        <w:t>As of December 31, 2018, future minimum commitments under our corporate headquarters lease and other non-cancelable operating leases for office space with terms of more than one year and contractual sublease income were as follows:</w:t>
      </w:r>
    </w:p>
    <w:tbl>
      <w:tblPr>
        <w:tblLayout w:type="fixed"/>
        <w:tblInd w:w="0" w:type="dxa"/>
        <w:tblCellMar>
          <w:top w:w="0" w:type="dxa"/>
          <w:left w:w="0" w:type="dxa"/>
          <w:bottom w:w="0" w:type="dxa"/>
          <w:right w:w="0" w:type="dxa"/>
        </w:tblCellMar>
      </w:tblPr>
      <w:tr>
        <w:trPr>
          <w:trHeight w:val="141"/>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Total Lease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 Operating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Commitments</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Headquarters</w:t>
            </w: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2"/>
              </w:rPr>
              <w:t>Sublease Income</w:t>
            </w:r>
          </w:p>
        </w:tc>
        <w:tc>
          <w:tcPr>
            <w:tcW w:w="80" w:type="dxa"/>
            <w:vAlign w:val="bottom"/>
          </w:tcPr>
          <w:p>
            <w:pPr>
              <w:spacing w:after="0"/>
              <w:rPr>
                <w:sz w:val="12"/>
                <w:szCs w:val="12"/>
                <w:color w:val="auto"/>
              </w:rPr>
            </w:pPr>
          </w:p>
        </w:tc>
        <w:tc>
          <w:tcPr>
            <w:tcW w:w="13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(Net of Sublease</w:t>
            </w:r>
          </w:p>
        </w:tc>
        <w:tc>
          <w:tcPr>
            <w:tcW w:w="0" w:type="dxa"/>
            <w:vAlign w:val="bottom"/>
          </w:tcPr>
          <w:p>
            <w:pPr>
              <w:spacing w:after="0"/>
              <w:rPr>
                <w:sz w:val="1"/>
                <w:szCs w:val="1"/>
                <w:color w:val="auto"/>
              </w:rPr>
            </w:pPr>
          </w:p>
        </w:tc>
      </w:tr>
      <w:tr>
        <w:trPr>
          <w:trHeight w:val="171"/>
        </w:trPr>
        <w:tc>
          <w:tcPr>
            <w:tcW w:w="5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Lease (1)</w:t>
            </w:r>
          </w:p>
        </w:tc>
        <w:tc>
          <w:tcPr>
            <w:tcW w:w="240" w:type="dxa"/>
            <w:vAlign w:val="bottom"/>
          </w:tcPr>
          <w:p>
            <w:pPr>
              <w:spacing w:after="0"/>
              <w:rPr>
                <w:sz w:val="14"/>
                <w:szCs w:val="14"/>
                <w:color w:val="auto"/>
              </w:rPr>
            </w:pPr>
          </w:p>
        </w:tc>
        <w:tc>
          <w:tcPr>
            <w:tcW w:w="920" w:type="dxa"/>
            <w:vAlign w:val="bottom"/>
          </w:tcPr>
          <w:p>
            <w:pPr>
              <w:jc w:val="right"/>
              <w:ind w:right="294"/>
              <w:spacing w:after="0"/>
              <w:rPr>
                <w:sz w:val="20"/>
                <w:szCs w:val="20"/>
                <w:color w:val="auto"/>
              </w:rPr>
            </w:pPr>
            <w:r>
              <w:rPr>
                <w:rFonts w:ascii="Arial" w:cs="Arial" w:eastAsia="Arial" w:hAnsi="Arial"/>
                <w:sz w:val="14"/>
                <w:szCs w:val="14"/>
                <w:b w:val="1"/>
                <w:bCs w:val="1"/>
                <w:color w:val="auto"/>
              </w:rPr>
              <w:t>Leases</w:t>
            </w:r>
          </w:p>
        </w:tc>
        <w:tc>
          <w:tcPr>
            <w:tcW w:w="2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37"/>
        </w:trPr>
        <w:tc>
          <w:tcPr>
            <w:tcW w:w="5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jc w:val="right"/>
              <w:ind w:right="287"/>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4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2023</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89"/>
              </w:rPr>
              <w:t>Thereafter</w:t>
            </w: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right="420" w:hanging="592"/>
        <w:spacing w:after="0" w:line="277"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 includes an $83 million financing obligation, which we have recorded in other long-term liabilities on our consolidated balance sheet at December 31, 2018, related to our corporate headquarters lease.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As of December 31, 2018, we have issued unused letters of credit totaling approximately $3 million, primarily related to our property leases, which includes $1 million delivered to the landlord of our corporate headquarters as security deposit, which amount is subject to increase under certain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In the ordinary course of business, we are parties to regulatory and legal matters, including threats thereof, arising out of our operations. These matters may involve claims involving patent and intellectual property rights (including alleged infringement of third-party intellectual property rights), tax matters (including value-added, excise, transient occupancy and accommodation taxes), regulatory compliance (including competition and consumer matters), defamation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are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80"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We continue to accumulate cash flows, in foreign jurisdictions which we consider indefinitely reinvested, although we will continue to evaluate the impact of the 2017 Tax Act on our capital deployment within and outside the U.S. Any repatriation of funds currently held in foreign jurisdictions may result in U.S. income taxes or tax</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 xml:space="preserve">benefits. 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information on potential contingencies surrounding income taxes.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Savings Plan</w:t>
      </w:r>
    </w:p>
    <w:p>
      <w:pPr>
        <w:spacing w:after="0" w:line="117" w:lineRule="exact"/>
        <w:rPr>
          <w:sz w:val="20"/>
          <w:szCs w:val="20"/>
          <w:color w:val="auto"/>
        </w:rPr>
      </w:pPr>
    </w:p>
    <w:p>
      <w:pPr>
        <w:ind w:firstLine="598"/>
        <w:spacing w:after="0" w:line="253" w:lineRule="auto"/>
        <w:rPr>
          <w:sz w:val="20"/>
          <w:szCs w:val="20"/>
          <w:color w:val="auto"/>
        </w:rPr>
      </w:pPr>
      <w:r>
        <w:rPr>
          <w:rFonts w:ascii="Arial" w:cs="Arial" w:eastAsia="Arial" w:hAnsi="Arial"/>
          <w:sz w:val="18"/>
          <w:szCs w:val="18"/>
          <w:color w:val="auto"/>
        </w:rPr>
        <w:t>The TripAdvisor Retirement Savings Plan (the “401(k) Plan”), qualifies under Section 401(k) of the Internal Revenue Code. The 401(k) Plan allows participating employees, most of our U.S. employees, to make contributions of a specified percentage of their eligible compensation. Participating employees may contribute up to 50% of their eligible salary on a pre-tax basis, but not more than statutory limits. Employee-participants age 50 and over may also contribute an additional amount of their salary on a pre-tax tax basis up to the IRS Catch-Up Provision Limit (or “catch-up contributions”). Employees may also contribute into the 401(k) Plan on an after-tax basis up (or “Roth 401(k) contributions”) to an annual maximum of 10%. The 401(k) Plan has an automatic enrollment feature at 6% pre-tax. We match 50% of the first 6% of employee contributions to the plan for a maximum employer contribution of 3% of a participant’s eligible earnings. The catch-up contributions are not eligible for employer matching contributions. The matching contributions portion of an employee’s account, vests after two years of service. Additionally, at the end of the 401(k) Plan year, we make a discretionary matching contribution to eligible participants. This additional discretionary matching employer contribution (or “true up”) is limited to match only contributions up to 3% of eligible compensation.</w:t>
      </w:r>
    </w:p>
    <w:p>
      <w:pPr>
        <w:spacing w:after="0" w:line="195"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We also have various defined contribution plans for our international employees. Our contribution to the 401(k) Plan and our international defined contribution plans which are recorded in our consolidated statement of operations for the years ended December 31, 2018, 2017 and 2016 were $13 million, $9 million, and $9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Inc. Deferred Compensation Plan for Non-Employee Directors</w:t>
      </w:r>
    </w:p>
    <w:p>
      <w:pPr>
        <w:spacing w:after="0" w:line="117"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The Company also has a Deferred Compensation Plan for Non-Employee Directors (the “Plan”). Under the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lending rate of a financial institution selected in accordance with the terms of the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178"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Under the 2011 Plan, 100,000 shares of TripAdvisor common stock are available for issuance to non-employee directors. From the inception of the Plan through December 31, 2018, a total of 4,645 shares have been reserved for such purpose.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Inc. Executive Severance Plan and Summary Plan Description</w:t>
      </w:r>
    </w:p>
    <w:p>
      <w:pPr>
        <w:spacing w:after="0" w:line="117"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Effective August 7, 2017, the Company adopted an Executive Severance Plan and Summary Plan Description (the “Severance Plan”) applicable to certain employees of the Company and its subsidiaries. The Severance Plan formalizes and standardizes the Company’s severance practices for certain designated employees (each, a “Participant” and, collectively, the “Participants”). Participants covered by the Severance Plan generally will be eligible to receive severance benefits in the event of a termination by the Company without Cause or, under certain circumstances, by the Participant for Good Reason. The severance benefits differ if there is a termination of employment in connection with a Change in Control. The severance benefits provided pursuant to the Severance Plan are determined based on the job classification of the Participants (as reflected in internal job profile designations) and, in certain cases, their years of service with the Company.</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1" w:name="page112"/>
    <w:bookmarkEnd w:id="111"/>
    <w:p>
      <w:pPr>
        <w:ind w:right="60" w:firstLine="598"/>
        <w:spacing w:after="0" w:line="308" w:lineRule="auto"/>
        <w:rPr>
          <w:sz w:val="20"/>
          <w:szCs w:val="20"/>
          <w:color w:val="auto"/>
        </w:rPr>
      </w:pPr>
      <w:r>
        <w:rPr>
          <w:rFonts w:ascii="Arial" w:cs="Arial" w:eastAsia="Arial" w:hAnsi="Arial"/>
          <w:sz w:val="17"/>
          <w:szCs w:val="17"/>
          <w:color w:val="auto"/>
        </w:rPr>
        <w:t>Under the Severance Plan, in the event of a termination by the Company without Cause more than three months prior to a Change in Control or more than twelve months following a Change in Control, the severance benefits for the Participant generally shall consist of the following:</w:t>
      </w:r>
    </w:p>
    <w:p>
      <w:pPr>
        <w:spacing w:after="0" w:line="147"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continued payment of base salary for a period of six to eighteen months following the date of such Participant’s termination of employment; and</w:t>
      </w:r>
    </w:p>
    <w:p>
      <w:pPr>
        <w:spacing w:after="0" w:line="248"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continuation of coverage under the Company’s health insurance plan through the Company’s payment of COBRA premiums for a period of six to eighteen months following the date of such Participant’s termination of employment.</w:t>
      </w:r>
    </w:p>
    <w:p>
      <w:pPr>
        <w:spacing w:after="0" w:line="170"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Under the Severance Plan, in the event of a termination by the Company without Cause or by the Participant for Good Reason, in each case within three months prior to or twelve months following a Change in Control, the severance benefits for the Participant shall consist of the following:</w:t>
      </w:r>
    </w:p>
    <w:p>
      <w:pPr>
        <w:spacing w:after="0" w:line="147" w:lineRule="exact"/>
        <w:rPr>
          <w:sz w:val="20"/>
          <w:szCs w:val="20"/>
          <w:color w:val="auto"/>
        </w:rPr>
      </w:pPr>
    </w:p>
    <w:p>
      <w:pPr>
        <w:ind w:left="900" w:right="4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 of a lump sum amount equal to (i) twelve to twenty-four months of the Participant’s Base Salary, plus (ii) the Participant’s Target Bonus multiplied by 1, 1.5 or 2; and</w:t>
      </w:r>
    </w:p>
    <w:p>
      <w:pPr>
        <w:spacing w:after="0" w:line="17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 of a lump sum amount equal to the premiums required to continue the Participant’s medical coverage under the Company’s health insurance plan for a period of twelve to twenty-four months.</w:t>
      </w:r>
    </w:p>
    <w:p>
      <w:pPr>
        <w:spacing w:after="0" w:line="62"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The foregoing summary is qualified in its entirety by reference to the Executive Severance Plan and Summary Plan Description incorporated herein by reference as Exhibit 10.23 to this Annual Report on Form 10-K. During the year end December 31, 2018, severance recorded under the Severance Plan in our consolidated statement of operations was not material. During the year ended December 31, 2017, we recorded $1 million of severance under the Severance Plan in our consolidated statement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160" w:firstLine="598"/>
        <w:spacing w:after="0" w:line="308" w:lineRule="auto"/>
        <w:rPr>
          <w:sz w:val="20"/>
          <w:szCs w:val="20"/>
          <w:color w:val="auto"/>
        </w:rPr>
      </w:pPr>
      <w:r>
        <w:rPr>
          <w:rFonts w:ascii="Arial" w:cs="Arial" w:eastAsia="Arial" w:hAnsi="Arial"/>
          <w:sz w:val="17"/>
          <w:szCs w:val="17"/>
          <w:color w:val="auto"/>
        </w:rPr>
        <w:t>In addition to common stock, we are authorized to issue up to 100 million preferred shares, with $ 0.001 par value per share, with terms determined by our Board of Directors, without further action by our stockholders. As of December 31, 2018, no preferred shares had been issued.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Holders of TripAdvisor common stock, acting as a single class, are entitled to elect a number of directors equal to 25% percent of the total number of directors, rounded up to the next whole number, which was two directors as of December 31, 2018.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 There were 137,158,010 and 125,101,322 shares of common stock issued and outstanding, respectively, and 12,799,999 shares of Class B common stock issued and outstanding at December 31, 2018.</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Accumulated other comprehensive loss is primarily comprised of accumulated foreign currency translation adjustments, as follows for the periods presented:</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4"/>
          </w:tcPr>
          <w:p>
            <w:pPr>
              <w:ind w:left="760"/>
              <w:spacing w:after="0" w:line="155"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3"/>
                <w:szCs w:val="13"/>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Cumulative foreign currency translation</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w w:val="93"/>
              </w:rPr>
              <w:t>(42)</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accumulated other comprehensive loss (2)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7"/>
                <w:szCs w:val="17"/>
                <w:color w:val="auto"/>
                <w:w w:val="72"/>
              </w:rPr>
              <w:t>(62)</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7"/>
                <w:szCs w:val="17"/>
                <w:color w:val="auto"/>
                <w:w w:val="72"/>
              </w:rPr>
              <w:t>(42)</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right="160" w:hanging="440"/>
        <w:spacing w:after="0" w:line="258"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Due to our intention to indefinitely reinvest foreign subsidiary earnings in those operations; deferred taxes are not provided on foreign currency translation adjustments.</w:t>
      </w:r>
    </w:p>
    <w:p>
      <w:pPr>
        <w:spacing w:after="0" w:line="1" w:lineRule="exact"/>
        <w:rPr>
          <w:rFonts w:ascii="Arial" w:cs="Arial" w:eastAsia="Arial" w:hAnsi="Arial"/>
          <w:sz w:val="18"/>
          <w:szCs w:val="18"/>
          <w:color w:val="auto"/>
        </w:rPr>
      </w:pPr>
    </w:p>
    <w:p>
      <w:pPr>
        <w:ind w:left="880" w:right="380" w:hanging="440"/>
        <w:spacing w:after="0" w:line="261"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accumulated net unrealized gain (loss) on available for sale debt securities was not material as of December 31, 2018 and December 31,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333"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On February 15, 2013, our Board of Directors authorized the repurchase of $250 million of our shares of common stock under a share repurchase program. During the year ended December 31, 2016, we repurchased 2,002,356 shares of the Company’s outstanding common stock under this share repurchase program at an average cost of $52.33 per share, exclusive of fees and commissions, or $105 million in the aggregate, and completed this share repurchase program authorized by our Board of Directors.</w:t>
      </w:r>
    </w:p>
    <w:p>
      <w:pPr>
        <w:spacing w:after="0" w:line="18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On January 25, 2017, our Board of Directors authorized the repurchase of $250 million of our shares of common stock under a share repurchase program. During the year ended December 31, 2017, we repurchased a total of 6,079,003 shares of the Company’s outstanding common stock under this share repurchase program at an average share price of $41.13, exclusive of fees and commissions, or $250 million in the aggregate, and completed this share repurchase program. As of December 31, 2017, there were 9,474,490 shares of the Company’s common stock held in treasury with an aggregate cost of $447 million.</w:t>
      </w:r>
    </w:p>
    <w:p>
      <w:pPr>
        <w:spacing w:after="0" w:line="188"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On January 31, 2018, our Board of Directors authorized an additional repurchase of up to $250 million of our shares of common stock under a share repurchase program. This share repurchase program has no expiration date but may be suspended or terminated by the Board of Directors at any time. During the year ended December 31, 2018, we repurchased 2,582,198 shares of our outstanding common stock at an average share price of $38.73 per share, exclusive of fees and commissions, or $100 million in the aggregate. As of December 31, 2018, we had a remaining $150 million available to repurchase shares of our common stock under this share repurchase program. As of December 31, 2018, there were 12,056,688 shares of the Company’s common stock held in treasury with an aggregate cost of $547 million.</w:t>
      </w:r>
    </w:p>
    <w:p>
      <w:pPr>
        <w:spacing w:after="0" w:line="193"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Our Board of Directors authorized and directed management, working with the Executive Committee of our Board of Directors, to affect the share repurchase programs discussed above in compliance with applicable legal requirements.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 w:firstLine="598"/>
        <w:spacing w:after="0" w:line="342" w:lineRule="auto"/>
        <w:rPr>
          <w:sz w:val="20"/>
          <w:szCs w:val="20"/>
          <w:color w:val="auto"/>
        </w:rPr>
      </w:pPr>
      <w:r>
        <w:rPr>
          <w:rFonts w:ascii="Arial" w:cs="Arial" w:eastAsia="Arial" w:hAnsi="Arial"/>
          <w:sz w:val="16"/>
          <w:szCs w:val="16"/>
          <w:color w:val="auto"/>
        </w:rPr>
        <w:t>During the years ended December 31, 2018, 2017 and 2016, our Board of Directors did not declare any dividends on our outstanding common stock and do not expect to pay any dividends for the foreseeable future. Our ability to pay dividends is also limited by the terms of our 2015 Credit Facility.</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NOTE 17: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Expedia and TripAdvisor</w:t>
      </w:r>
    </w:p>
    <w:p>
      <w:pPr>
        <w:spacing w:after="0" w:line="11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Upon consummation of the Spin-Off, Expedia was considered a related party under GAAP based on a number of factors, including, among others, common ownership of our shares and those of Expedia. However, we no longer consider Expedia a related party. For purposes of governing certain of the ongoing relationships between us and Expedia at and after the Spin-Off, and to provide for an orderly transition, we and Expedia entered into various agreements at the time of the Spin-Off, which TripAdvisor has satisfied its obligations. However, TripAdvisor continues to be subject to certain post Spin-Off obligations under the Tax Sharing Agreement.</w:t>
      </w:r>
    </w:p>
    <w:p>
      <w:pPr>
        <w:spacing w:after="0" w:line="188"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 xml:space="preserve">Under the Tax Sharing Agreement between us and Expedia,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 The full text of the Tax Sharing Agreement is incorporated by reference in this Annual Report on Form 10-K as Exhibit 10.2. Refer to “Note 11: </w:t>
      </w:r>
      <w:r>
        <w:rPr>
          <w:rFonts w:ascii="Arial" w:cs="Arial" w:eastAsia="Arial" w:hAnsi="Arial"/>
          <w:sz w:val="17"/>
          <w:szCs w:val="17"/>
          <w:i w:val="1"/>
          <w:iCs w:val="1"/>
          <w:color w:val="auto"/>
        </w:rPr>
        <w:t>Income Taxes</w:t>
      </w:r>
      <w:r>
        <w:rPr>
          <w:rFonts w:ascii="Arial" w:cs="Arial" w:eastAsia="Arial" w:hAnsi="Arial"/>
          <w:sz w:val="17"/>
          <w:szCs w:val="17"/>
          <w:color w:val="auto"/>
        </w:rPr>
        <w:t>” above for information regarding the status of completed and ongoing IRS audits of our consolidated income tax returns with Expedia to date.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between Liberty TripAdvisor Holdings, Inc. and TripAdvisor</w:t>
      </w:r>
    </w:p>
    <w:p>
      <w:pPr>
        <w:spacing w:after="0" w:line="117"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 xml:space="preserve">We consider Liberty TripAdvisor Holdings, Inc. (“LTRIP”) a related party. As of December 31, 2018, LTRIP beneficially owned approximately 18.2 million shares of our common stock and 12.8 million shares of our Class B common stock, which constitute 14.5% of the outstanding shares of common stock and 100% of the outstanding shares of Class B common stock. Assuming the conversion of all of LTRIP’s shares of Class B common stock into common stock, LTRIP would beneficially own 22.5% of the outstanding common stock. Because each share of Class B common stock is entitled to ten votes per share and each share of common stock is entitled to one vote per share, LTRIP may be deemed to beneficially own equity securities representing 57.7% of our voting power. Refer to “Note 1: </w:t>
      </w:r>
      <w:r>
        <w:rPr>
          <w:rFonts w:ascii="Arial" w:cs="Arial" w:eastAsia="Arial" w:hAnsi="Arial"/>
          <w:sz w:val="16"/>
          <w:szCs w:val="16"/>
          <w:i w:val="1"/>
          <w:iCs w:val="1"/>
          <w:color w:val="auto"/>
        </w:rPr>
        <w:t>Organization and Business Description</w:t>
      </w:r>
      <w:r>
        <w:rPr>
          <w:rFonts w:ascii="Arial" w:cs="Arial" w:eastAsia="Arial" w:hAnsi="Arial"/>
          <w:sz w:val="16"/>
          <w:szCs w:val="16"/>
          <w:color w:val="auto"/>
        </w:rPr>
        <w:t>” above, which describes the evolution of our relationship with LTRIP.</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had no related party transactions with LTRIP during the years ended December 31, 2018, 2017 or 2016.</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AND GEOGRAPHIC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reporting structure includes two reportable segments: Hotel and Non-Hotel. Our Non-Hotel segment consists of the aggregation of three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operating segments: Experiences, Restaurants and Rentals. The nature of the services provided are summarized in “Note 4: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22"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Our operating segments are determined based on how our chief operating decision maker manages our business, regularly assesses information and evaluates performance for operating decision-making purposes, including allocation of resources. The chief operating decision maker for the Company is our CEO.</w:t>
      </w:r>
    </w:p>
    <w:p>
      <w:pPr>
        <w:spacing w:after="0" w:line="181" w:lineRule="exact"/>
        <w:rPr>
          <w:sz w:val="20"/>
          <w:szCs w:val="20"/>
          <w:color w:val="auto"/>
        </w:rPr>
      </w:pPr>
    </w:p>
    <w:p>
      <w:pPr>
        <w:ind w:right="60" w:firstLine="598"/>
        <w:spacing w:after="0" w:line="285" w:lineRule="auto"/>
        <w:rPr>
          <w:sz w:val="20"/>
          <w:szCs w:val="20"/>
          <w:color w:val="auto"/>
        </w:rPr>
      </w:pPr>
      <w:r>
        <w:rPr>
          <w:rFonts w:ascii="Arial" w:cs="Arial" w:eastAsia="Arial" w:hAnsi="Arial"/>
          <w:sz w:val="16"/>
          <w:szCs w:val="16"/>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w:t>
      </w:r>
    </w:p>
    <w:p>
      <w:pPr>
        <w:spacing w:after="0" w:line="2" w:lineRule="exact"/>
        <w:rPr>
          <w:sz w:val="20"/>
          <w:szCs w:val="20"/>
          <w:color w:val="auto"/>
        </w:rPr>
      </w:pPr>
    </w:p>
    <w:p>
      <w:pPr>
        <w:ind w:left="260" w:hanging="252"/>
        <w:spacing w:after="0"/>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depreciation of property and equipment, including amortization of internal use software and website development; (4) amortization of intangible assets;</w:t>
      </w:r>
    </w:p>
    <w:p>
      <w:pPr>
        <w:spacing w:after="0" w:line="32" w:lineRule="exact"/>
        <w:rPr>
          <w:rFonts w:ascii="Arial" w:cs="Arial" w:eastAsia="Arial" w:hAnsi="Arial"/>
          <w:sz w:val="16"/>
          <w:szCs w:val="16"/>
          <w:color w:val="auto"/>
        </w:rPr>
      </w:pPr>
    </w:p>
    <w:p>
      <w:pPr>
        <w:ind w:right="460" w:firstLine="8"/>
        <w:spacing w:after="0" w:line="261"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stock-based compensation and other stock-settled obligations; (6) goodwill, long-lived asset and intangible asset impairments; (7) legal reserves and settlements; and (8) non-recurring expenses and income. During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14" w:name="page115"/>
    <w:bookmarkEnd w:id="114"/>
    <w:p>
      <w:pPr>
        <w:ind w:right="220"/>
        <w:spacing w:after="0" w:line="276" w:lineRule="auto"/>
        <w:rPr>
          <w:sz w:val="20"/>
          <w:szCs w:val="20"/>
          <w:color w:val="auto"/>
        </w:rPr>
      </w:pPr>
      <w:r>
        <w:rPr>
          <w:rFonts w:ascii="Arial" w:cs="Arial" w:eastAsia="Arial" w:hAnsi="Arial"/>
          <w:sz w:val="17"/>
          <w:szCs w:val="17"/>
          <w:color w:val="auto"/>
        </w:rPr>
        <w:t>the fourth quarter of 2018, the Company revised its Adjusted EBITDA definition to exclude legal reserves and settlements, as the Company believes these costs are not directly tied to the core operations of our business. The Company believes that excluding these amounts better enables management and investors to compare segment financial results between periods as these costs may vary independent of business performance. This revision to our Adjusted EBITDA definition did not have a material impact to our segment financial results for any period prior to the year ended December 31, 2018, therefore no reclassifications have been made to conform the prior periods to the current period presentation.</w:t>
      </w:r>
    </w:p>
    <w:p>
      <w:pPr>
        <w:spacing w:after="0" w:line="173" w:lineRule="exact"/>
        <w:rPr>
          <w:sz w:val="20"/>
          <w:szCs w:val="20"/>
          <w:color w:val="auto"/>
        </w:rPr>
      </w:pPr>
    </w:p>
    <w:p>
      <w:pPr>
        <w:ind w:right="60" w:firstLine="598"/>
        <w:spacing w:after="0" w:line="289" w:lineRule="auto"/>
        <w:rPr>
          <w:sz w:val="20"/>
          <w:szCs w:val="20"/>
          <w:color w:val="auto"/>
        </w:rPr>
      </w:pPr>
      <w:r>
        <w:rPr>
          <w:rFonts w:ascii="Arial" w:cs="Arial" w:eastAsia="Arial" w:hAnsi="Arial"/>
          <w:sz w:val="16"/>
          <w:szCs w:val="16"/>
          <w:color w:val="auto"/>
        </w:rPr>
        <w:t>The following tables present our segment information for the years ended December 31, 2018, 2017 and 2016, and includes a reconciliation of Adjusted EBITDA to Net Income. We record depreciation of property and equipment, including amortization of internal-use software and website development, amortization of intangible assets, stock-based compensation and other stock-settled obligations, legal reserves and settlements,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chief operating decision maker does not use this information to evaluate operating segments. Accordingly, we do not regularly provide such information by segment to our chief operating decision maker. Intersegment revenue is not material and, in addition, already eliminated in the information by segment provided to our chief operating decision maker. Our consolidated general and administrative expenses, excluding stock-based compensation costs, are shared by all operating segments. Each operating segment receives an allocated charge based on the segment’s percentage of the Company’s total personnel costs.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center"/>
              <w:ind w:right="295"/>
              <w:spacing w:after="0"/>
              <w:rPr>
                <w:sz w:val="20"/>
                <w:szCs w:val="20"/>
                <w:color w:val="auto"/>
              </w:rPr>
            </w:pPr>
            <w:r>
              <w:rPr>
                <w:rFonts w:ascii="Arial" w:cs="Arial" w:eastAsia="Arial" w:hAnsi="Arial"/>
                <w:sz w:val="14"/>
                <w:szCs w:val="14"/>
                <w:b w:val="1"/>
                <w:bCs w:val="1"/>
                <w:color w:val="auto"/>
                <w:w w:val="92"/>
              </w:rPr>
              <w:t>Year ended December 31, 2018</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Hotel</w:t>
            </w:r>
          </w:p>
        </w:tc>
        <w:tc>
          <w:tcPr>
            <w:tcW w:w="380" w:type="dxa"/>
            <w:vAlign w:val="bottom"/>
          </w:tcPr>
          <w:p>
            <w:pPr>
              <w:spacing w:after="0"/>
              <w:rPr>
                <w:sz w:val="11"/>
                <w:szCs w:val="11"/>
                <w:color w:val="auto"/>
              </w:rPr>
            </w:pPr>
          </w:p>
        </w:tc>
        <w:tc>
          <w:tcPr>
            <w:tcW w:w="13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Non-Hotel</w:t>
            </w:r>
          </w:p>
        </w:tc>
        <w:tc>
          <w:tcPr>
            <w:tcW w:w="380" w:type="dxa"/>
            <w:vAlign w:val="bottom"/>
          </w:tcPr>
          <w:p>
            <w:pPr>
              <w:spacing w:after="0"/>
              <w:rPr>
                <w:sz w:val="11"/>
                <w:szCs w:val="11"/>
                <w:color w:val="auto"/>
              </w:rPr>
            </w:pPr>
          </w:p>
        </w:tc>
        <w:tc>
          <w:tcPr>
            <w:tcW w:w="1360" w:type="dxa"/>
            <w:vAlign w:val="bottom"/>
          </w:tcPr>
          <w:p>
            <w:pPr>
              <w:jc w:val="center"/>
              <w:ind w:right="335"/>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center"/>
              <w:ind w:right="335"/>
              <w:spacing w:after="0"/>
              <w:rPr>
                <w:sz w:val="20"/>
                <w:szCs w:val="20"/>
                <w:color w:val="auto"/>
              </w:rPr>
            </w:pPr>
            <w:r>
              <w:rPr>
                <w:rFonts w:ascii="Arial" w:cs="Arial" w:eastAsia="Arial" w:hAnsi="Arial"/>
                <w:sz w:val="14"/>
                <w:szCs w:val="14"/>
                <w:b w:val="1"/>
                <w:bCs w:val="1"/>
                <w:color w:val="auto"/>
                <w:w w:val="89"/>
              </w:rPr>
              <w:t>unallocated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center"/>
              <w:ind w:left="90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3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1,157</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81"/>
              <w:spacing w:after="0"/>
              <w:rPr>
                <w:sz w:val="20"/>
                <w:szCs w:val="20"/>
                <w:color w:val="auto"/>
              </w:rPr>
            </w:pPr>
            <w:r>
              <w:rPr>
                <w:rFonts w:ascii="Arial" w:cs="Arial" w:eastAsia="Arial" w:hAnsi="Arial"/>
                <w:sz w:val="18"/>
                <w:szCs w:val="18"/>
                <w:color w:val="auto"/>
              </w:rPr>
              <w:t>458</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Adjusted EBITDA (1)</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75"/>
              <w:spacing w:after="0"/>
              <w:rPr>
                <w:sz w:val="20"/>
                <w:szCs w:val="20"/>
                <w:color w:val="auto"/>
              </w:rPr>
            </w:pPr>
            <w:r>
              <w:rPr>
                <w:rFonts w:ascii="Arial" w:cs="Arial" w:eastAsia="Arial" w:hAnsi="Arial"/>
                <w:sz w:val="18"/>
                <w:szCs w:val="18"/>
                <w:color w:val="auto"/>
              </w:rPr>
              <w:t>356</w:t>
            </w:r>
          </w:p>
        </w:tc>
        <w:tc>
          <w:tcPr>
            <w:tcW w:w="380" w:type="dxa"/>
            <w:vAlign w:val="bottom"/>
          </w:tcPr>
          <w:p>
            <w:pPr>
              <w:spacing w:after="0"/>
              <w:rPr>
                <w:sz w:val="19"/>
                <w:szCs w:val="19"/>
                <w:color w:val="auto"/>
              </w:rPr>
            </w:pPr>
          </w:p>
        </w:tc>
        <w:tc>
          <w:tcPr>
            <w:tcW w:w="1340" w:type="dxa"/>
            <w:vAlign w:val="bottom"/>
          </w:tcPr>
          <w:p>
            <w:pPr>
              <w:jc w:val="right"/>
              <w:ind w:right="81"/>
              <w:spacing w:after="0"/>
              <w:rPr>
                <w:sz w:val="20"/>
                <w:szCs w:val="20"/>
                <w:color w:val="auto"/>
              </w:rPr>
            </w:pPr>
            <w:r>
              <w:rPr>
                <w:rFonts w:ascii="Arial" w:cs="Arial" w:eastAsia="Arial" w:hAnsi="Arial"/>
                <w:sz w:val="18"/>
                <w:szCs w:val="18"/>
                <w:color w:val="auto"/>
              </w:rPr>
              <w:t>66</w:t>
            </w:r>
          </w:p>
        </w:tc>
        <w:tc>
          <w:tcPr>
            <w:tcW w:w="380" w:type="dxa"/>
            <w:vAlign w:val="bottom"/>
          </w:tcPr>
          <w:p>
            <w:pPr>
              <w:spacing w:after="0"/>
              <w:rPr>
                <w:sz w:val="19"/>
                <w:szCs w:val="19"/>
                <w:color w:val="auto"/>
              </w:rPr>
            </w:pP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Legal reserves and settlements</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Other expense, net</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gridSpan w:val="3"/>
            <w:vMerge w:val="restart"/>
          </w:tcPr>
          <w:p>
            <w:pPr>
              <w:jc w:val="center"/>
              <w:ind w:right="315"/>
              <w:spacing w:after="0"/>
              <w:rPr>
                <w:sz w:val="20"/>
                <w:szCs w:val="20"/>
                <w:color w:val="auto"/>
              </w:rPr>
            </w:pPr>
            <w:r>
              <w:rPr>
                <w:rFonts w:ascii="Arial" w:cs="Arial" w:eastAsia="Arial" w:hAnsi="Arial"/>
                <w:sz w:val="14"/>
                <w:szCs w:val="14"/>
                <w:b w:val="1"/>
                <w:bCs w:val="1"/>
                <w:color w:val="auto"/>
                <w:w w:val="91"/>
              </w:rPr>
              <w:t>Year ended December 31, 2017</w:t>
            </w: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3"/>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restart"/>
          </w:tcPr>
          <w:p>
            <w:pPr>
              <w:jc w:val="right"/>
              <w:ind w:right="615"/>
              <w:spacing w:after="0"/>
              <w:rPr>
                <w:sz w:val="20"/>
                <w:szCs w:val="20"/>
                <w:color w:val="auto"/>
              </w:rPr>
            </w:pPr>
            <w:r>
              <w:rPr>
                <w:rFonts w:ascii="Arial" w:cs="Arial" w:eastAsia="Arial" w:hAnsi="Arial"/>
                <w:sz w:val="14"/>
                <w:szCs w:val="14"/>
                <w:b w:val="1"/>
                <w:bCs w:val="1"/>
                <w:color w:val="auto"/>
              </w:rPr>
              <w:t>Hotel</w:t>
            </w:r>
          </w:p>
        </w:tc>
        <w:tc>
          <w:tcPr>
            <w:tcW w:w="380" w:type="dxa"/>
            <w:vAlign w:val="bottom"/>
          </w:tcPr>
          <w:p>
            <w:pPr>
              <w:spacing w:after="0"/>
              <w:rPr>
                <w:sz w:val="11"/>
                <w:szCs w:val="11"/>
                <w:color w:val="auto"/>
              </w:rPr>
            </w:pPr>
          </w:p>
        </w:tc>
        <w:tc>
          <w:tcPr>
            <w:tcW w:w="1340" w:type="dxa"/>
            <w:vAlign w:val="bottom"/>
            <w:vMerge w:val="restart"/>
          </w:tcPr>
          <w:p>
            <w:pPr>
              <w:jc w:val="right"/>
              <w:ind w:right="481"/>
              <w:spacing w:after="0"/>
              <w:rPr>
                <w:sz w:val="20"/>
                <w:szCs w:val="20"/>
                <w:color w:val="auto"/>
              </w:rPr>
            </w:pPr>
            <w:r>
              <w:rPr>
                <w:rFonts w:ascii="Arial" w:cs="Arial" w:eastAsia="Arial" w:hAnsi="Arial"/>
                <w:sz w:val="14"/>
                <w:szCs w:val="14"/>
                <w:b w:val="1"/>
                <w:bCs w:val="1"/>
                <w:color w:val="auto"/>
              </w:rPr>
              <w:t>Non-Hotel</w:t>
            </w:r>
          </w:p>
        </w:tc>
        <w:tc>
          <w:tcPr>
            <w:tcW w:w="380" w:type="dxa"/>
            <w:vAlign w:val="bottom"/>
          </w:tcPr>
          <w:p>
            <w:pPr>
              <w:spacing w:after="0"/>
              <w:rPr>
                <w:sz w:val="11"/>
                <w:szCs w:val="11"/>
                <w:color w:val="auto"/>
              </w:rPr>
            </w:pPr>
          </w:p>
        </w:tc>
        <w:tc>
          <w:tcPr>
            <w:tcW w:w="1360" w:type="dxa"/>
            <w:vAlign w:val="bottom"/>
          </w:tcPr>
          <w:p>
            <w:pPr>
              <w:jc w:val="center"/>
              <w:ind w:right="335"/>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center"/>
              <w:ind w:right="335"/>
              <w:spacing w:after="0"/>
              <w:rPr>
                <w:sz w:val="20"/>
                <w:szCs w:val="20"/>
                <w:color w:val="auto"/>
              </w:rPr>
            </w:pPr>
            <w:r>
              <w:rPr>
                <w:rFonts w:ascii="Arial" w:cs="Arial" w:eastAsia="Arial" w:hAnsi="Arial"/>
                <w:sz w:val="14"/>
                <w:szCs w:val="14"/>
                <w:b w:val="1"/>
                <w:bCs w:val="1"/>
                <w:color w:val="auto"/>
                <w:w w:val="89"/>
              </w:rPr>
              <w:t>unallocated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center"/>
              <w:ind w:left="86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3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1,196</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360</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Adjusted EBITDA (1)</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286</w:t>
            </w:r>
          </w:p>
        </w:tc>
        <w:tc>
          <w:tcPr>
            <w:tcW w:w="380" w:type="dxa"/>
            <w:vAlign w:val="bottom"/>
          </w:tcPr>
          <w:p>
            <w:pPr>
              <w:spacing w:after="0"/>
              <w:rPr>
                <w:sz w:val="19"/>
                <w:szCs w:val="19"/>
                <w:color w:val="auto"/>
              </w:rPr>
            </w:pPr>
          </w:p>
        </w:tc>
        <w:tc>
          <w:tcPr>
            <w:tcW w:w="1340" w:type="dxa"/>
            <w:vAlign w:val="bottom"/>
          </w:tcPr>
          <w:p>
            <w:pPr>
              <w:jc w:val="right"/>
              <w:ind w:right="101"/>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9"/>
                <w:szCs w:val="19"/>
                <w:color w:val="auto"/>
              </w:rPr>
            </w:pP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Operating income</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 (2)</w:t>
            </w:r>
          </w:p>
        </w:tc>
        <w:tc>
          <w:tcPr>
            <w:tcW w:w="11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vMerge w:val="continue"/>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gridSpan w:val="2"/>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vMerge w:val="restart"/>
          </w:tcPr>
          <w:p>
            <w:pPr>
              <w:jc w:val="right"/>
              <w:ind w:right="355"/>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3"/>
          </w:tcPr>
          <w:p>
            <w:pPr>
              <w:jc w:val="center"/>
              <w:ind w:right="435"/>
              <w:spacing w:after="0"/>
              <w:rPr>
                <w:sz w:val="20"/>
                <w:szCs w:val="20"/>
                <w:color w:val="auto"/>
              </w:rPr>
            </w:pPr>
            <w:r>
              <w:rPr>
                <w:rFonts w:ascii="Arial" w:cs="Arial" w:eastAsia="Arial" w:hAnsi="Arial"/>
                <w:sz w:val="14"/>
                <w:szCs w:val="14"/>
                <w:b w:val="1"/>
                <w:bCs w:val="1"/>
                <w:color w:val="auto"/>
                <w:w w:val="92"/>
              </w:rPr>
              <w:t>Year ended December 31, 2016</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vMerge w:val="restart"/>
          </w:tcPr>
          <w:p>
            <w:pPr>
              <w:jc w:val="right"/>
              <w:ind w:right="501"/>
              <w:spacing w:after="0"/>
              <w:rPr>
                <w:sz w:val="20"/>
                <w:szCs w:val="20"/>
                <w:color w:val="auto"/>
              </w:rPr>
            </w:pPr>
            <w:r>
              <w:rPr>
                <w:rFonts w:ascii="Arial" w:cs="Arial" w:eastAsia="Arial" w:hAnsi="Arial"/>
                <w:sz w:val="14"/>
                <w:szCs w:val="14"/>
                <w:b w:val="1"/>
                <w:bCs w:val="1"/>
                <w:color w:val="auto"/>
              </w:rPr>
              <w:t>Non-Hotel</w:t>
            </w:r>
          </w:p>
        </w:tc>
        <w:tc>
          <w:tcPr>
            <w:tcW w:w="340" w:type="dxa"/>
            <w:vAlign w:val="bottom"/>
          </w:tcPr>
          <w:p>
            <w:pPr>
              <w:spacing w:after="0"/>
              <w:rPr>
                <w:sz w:val="11"/>
                <w:szCs w:val="11"/>
                <w:color w:val="auto"/>
              </w:rPr>
            </w:pPr>
          </w:p>
        </w:tc>
        <w:tc>
          <w:tcPr>
            <w:tcW w:w="1480" w:type="dxa"/>
            <w:vAlign w:val="bottom"/>
          </w:tcPr>
          <w:p>
            <w:pPr>
              <w:jc w:val="right"/>
              <w:ind w:right="475"/>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320" w:type="dxa"/>
            <w:vAlign w:val="bottom"/>
          </w:tcPr>
          <w:p>
            <w:pPr>
              <w:spacing w:after="0"/>
              <w:rPr>
                <w:sz w:val="11"/>
                <w:szCs w:val="11"/>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right"/>
              <w:ind w:right="575"/>
              <w:spacing w:after="0"/>
              <w:rPr>
                <w:sz w:val="20"/>
                <w:szCs w:val="20"/>
                <w:color w:val="auto"/>
              </w:rPr>
            </w:pPr>
            <w:r>
              <w:rPr>
                <w:rFonts w:ascii="Arial" w:cs="Arial" w:eastAsia="Arial" w:hAnsi="Arial"/>
                <w:sz w:val="14"/>
                <w:szCs w:val="14"/>
                <w:b w:val="1"/>
                <w:bCs w:val="1"/>
                <w:color w:val="auto"/>
              </w:rPr>
              <w:t>unallocated</w:t>
            </w:r>
          </w:p>
        </w:tc>
        <w:tc>
          <w:tcPr>
            <w:tcW w:w="3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2"/>
          </w:tcPr>
          <w:p>
            <w:pPr>
              <w:jc w:val="center"/>
              <w:ind w:left="881"/>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4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10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7"/>
              </w:rPr>
              <w:t>1,190</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290</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2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Adjusted EBITDA (1)</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380</w:t>
            </w:r>
          </w:p>
        </w:tc>
        <w:tc>
          <w:tcPr>
            <w:tcW w:w="400" w:type="dxa"/>
            <w:vAlign w:val="bottom"/>
          </w:tcPr>
          <w:p>
            <w:pPr>
              <w:spacing w:after="0"/>
              <w:rPr>
                <w:sz w:val="19"/>
                <w:szCs w:val="19"/>
                <w:color w:val="auto"/>
              </w:rPr>
            </w:pPr>
          </w:p>
        </w:tc>
        <w:tc>
          <w:tcPr>
            <w:tcW w:w="1360" w:type="dxa"/>
            <w:vAlign w:val="bottom"/>
          </w:tcPr>
          <w:p>
            <w:pPr>
              <w:jc w:val="right"/>
              <w:ind w:right="41"/>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9"/>
                <w:szCs w:val="19"/>
                <w:color w:val="auto"/>
              </w:rPr>
            </w:pPr>
          </w:p>
        </w:tc>
        <w:tc>
          <w:tcPr>
            <w:tcW w:w="148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1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right"/>
              <w:ind w:right="155"/>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1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00" w:right="220" w:hanging="592"/>
        <w:spacing w:after="0" w:line="230"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allocated general and administrative expenses in our Hotel segment of $77 million, $81 million and $80 million; and in our Non-Hotel segment of $50 million, $42 million and $38 million for the years ended December 31, 2018, 2017 and 2016, respectively.</w:t>
      </w:r>
    </w:p>
    <w:p>
      <w:pPr>
        <w:ind w:left="600" w:right="220" w:hanging="592"/>
        <w:spacing w:after="0" w:line="237" w:lineRule="auto"/>
        <w:tabs>
          <w:tab w:leader="none" w:pos="6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The year ended December 31, 2017 reflects $67 million of Transition Tax and $6 million of tax expense recorded due to the remeasurement of net deferred tax assets related to the 2017 Tax Act enacted on December 22, 2017. Refer to “Note 11: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for further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Geographic Information</w:t>
      </w:r>
    </w:p>
    <w:p>
      <w:pPr>
        <w:spacing w:after="0" w:line="225" w:lineRule="exact"/>
        <w:rPr>
          <w:sz w:val="20"/>
          <w:szCs w:val="20"/>
          <w:color w:val="auto"/>
        </w:rPr>
      </w:pPr>
    </w:p>
    <w:p>
      <w:pPr>
        <w:ind w:right="260" w:firstLine="598"/>
        <w:spacing w:after="0" w:line="342" w:lineRule="auto"/>
        <w:rPr>
          <w:sz w:val="20"/>
          <w:szCs w:val="20"/>
          <w:color w:val="auto"/>
        </w:rPr>
      </w:pPr>
      <w:r>
        <w:rPr>
          <w:rFonts w:ascii="Arial" w:cs="Arial" w:eastAsia="Arial" w:hAnsi="Arial"/>
          <w:sz w:val="16"/>
          <w:szCs w:val="16"/>
          <w:color w:val="auto"/>
        </w:rPr>
        <w:t>Our revenue sources within our Hotel segment, which are TripAdvisor-branded click-based and transaction revenue, TripAdvisor-branded display-based advertising and subscription revenue; and other hotel revenue, which along with our Non-Hotel revenue source, comprise our products.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revenue by source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click-based and transaction</w:t>
            </w:r>
          </w:p>
        </w:tc>
        <w:tc>
          <w:tcPr>
            <w:tcW w:w="2460" w:type="dxa"/>
            <w:vAlign w:val="bottom"/>
            <w:gridSpan w:val="2"/>
            <w:shd w:val="clear" w:color="auto" w:fill="CFF0FC"/>
          </w:tcPr>
          <w:p>
            <w:pPr>
              <w:jc w:val="right"/>
              <w:ind w:right="58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TripAdvisor-branded display-based advertising and</w:t>
            </w: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60" w:type="dxa"/>
            <w:vAlign w:val="bottom"/>
          </w:tcPr>
          <w:p>
            <w:pPr>
              <w:ind w:left="140"/>
              <w:spacing w:after="0"/>
              <w:rPr>
                <w:sz w:val="20"/>
                <w:szCs w:val="20"/>
                <w:color w:val="auto"/>
              </w:rPr>
            </w:pPr>
            <w:r>
              <w:rPr>
                <w:rFonts w:ascii="Arial" w:cs="Arial" w:eastAsia="Arial" w:hAnsi="Arial"/>
                <w:sz w:val="18"/>
                <w:szCs w:val="18"/>
                <w:color w:val="auto"/>
              </w:rPr>
              <w:t>subscription</w:t>
            </w:r>
          </w:p>
        </w:tc>
        <w:tc>
          <w:tcPr>
            <w:tcW w:w="1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hotel revenue</w:t>
            </w:r>
          </w:p>
        </w:tc>
        <w:tc>
          <w:tcPr>
            <w:tcW w:w="1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Non-hotel revenue</w:t>
            </w:r>
          </w:p>
        </w:tc>
        <w:tc>
          <w:tcPr>
            <w:tcW w:w="17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17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1,615</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20" w:type="dxa"/>
            <w:vAlign w:val="bottom"/>
            <w:vMerge w:val="restart"/>
          </w:tcPr>
          <w:p>
            <w:pPr>
              <w:jc w:val="right"/>
              <w:ind w:right="730"/>
              <w:spacing w:after="0"/>
              <w:rPr>
                <w:sz w:val="20"/>
                <w:szCs w:val="20"/>
                <w:color w:val="auto"/>
              </w:rPr>
            </w:pPr>
            <w:r>
              <w:rPr>
                <w:rFonts w:ascii="Arial" w:cs="Arial" w:eastAsia="Arial" w:hAnsi="Arial"/>
                <w:sz w:val="18"/>
                <w:szCs w:val="18"/>
                <w:color w:val="auto"/>
              </w:rPr>
              <w:t>114</w:t>
            </w: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116" w:name="page117"/>
    <w:bookmarkEnd w:id="116"/>
    <w:p>
      <w:pPr>
        <w:ind w:right="40" w:firstLine="598"/>
        <w:spacing w:after="0" w:line="255" w:lineRule="auto"/>
        <w:rPr>
          <w:sz w:val="20"/>
          <w:szCs w:val="20"/>
          <w:color w:val="auto"/>
        </w:rPr>
      </w:pPr>
      <w:r>
        <w:rPr>
          <w:rFonts w:ascii="Arial" w:cs="Arial" w:eastAsia="Arial" w:hAnsi="Arial"/>
          <w:sz w:val="18"/>
          <w:szCs w:val="18"/>
          <w:color w:val="auto"/>
        </w:rPr>
        <w:t>During the fourth quarter of 2018, the Company revised the basis in which it measures geographic revenue information to the physical location of the TripAdvisor subsidiary which generates the revenue, which is consistent with our measurement of long-lived physical assets, or property and equipment, net. This change had no effect on our consolidated financial statements. The geographic classification is independent of where the consumer resides, where the consumer is physically located while using the Company's services, or the location of the travel service provider, experience operator or restaurant. For example, a reservation made through TripAdvisor.com at a hotel in the U.S. by a consumer in the U.S. could be part of the Company's non-U.S. revenue. All prior periods have been reclassified to conform to the current period presentation. These reclassifications also had no effect on our consolidated financial statements.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36"/>
              <w:spacing w:after="0" w:line="155"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234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802</w:t>
            </w:r>
          </w:p>
        </w:tc>
        <w:tc>
          <w:tcPr>
            <w:tcW w:w="16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United Kingdom</w:t>
            </w:r>
          </w:p>
        </w:tc>
        <w:tc>
          <w:tcPr>
            <w:tcW w:w="14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All other countries</w:t>
            </w:r>
          </w:p>
        </w:tc>
        <w:tc>
          <w:tcPr>
            <w:tcW w:w="14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80" w:type="dxa"/>
            <w:vAlign w:val="bottom"/>
            <w:tcBorders>
              <w:bottom w:val="single" w:sz="8" w:color="CFF0FC"/>
            </w:tcBorders>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234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1,615</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80" w:type="dxa"/>
            <w:vAlign w:val="bottom"/>
            <w:shd w:val="clear" w:color="auto" w:fill="CFF0FC"/>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560" w:firstLine="598"/>
        <w:spacing w:after="0" w:line="277" w:lineRule="auto"/>
        <w:rPr>
          <w:sz w:val="20"/>
          <w:szCs w:val="20"/>
          <w:color w:val="auto"/>
        </w:rPr>
      </w:pPr>
      <w:r>
        <w:rPr>
          <w:rFonts w:ascii="Arial" w:cs="Arial" w:eastAsia="Arial" w:hAnsi="Arial"/>
          <w:sz w:val="18"/>
          <w:szCs w:val="18"/>
          <w:color w:val="auto"/>
        </w:rPr>
        <w:t>The Company’s property and equipment, net for the United States and all other countries based on the geographic location of the assets for the periods presented:</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740" w:type="dxa"/>
            <w:vAlign w:val="bottom"/>
          </w:tcPr>
          <w:p>
            <w:pPr>
              <w:spacing w:after="0"/>
              <w:rPr>
                <w:sz w:val="13"/>
                <w:szCs w:val="13"/>
                <w:color w:val="auto"/>
              </w:rPr>
            </w:pPr>
          </w:p>
        </w:tc>
        <w:tc>
          <w:tcPr>
            <w:tcW w:w="102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56"/>
        </w:trPr>
        <w:tc>
          <w:tcPr>
            <w:tcW w:w="4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gridSpan w:val="3"/>
          </w:tcPr>
          <w:p>
            <w:pPr>
              <w:jc w:val="right"/>
              <w:ind w:right="90"/>
              <w:spacing w:after="0" w:line="155"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57"/>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 net</w:t>
            </w:r>
          </w:p>
        </w:tc>
        <w:tc>
          <w:tcPr>
            <w:tcW w:w="10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9"/>
                <w:szCs w:val="19"/>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other countries</w:t>
            </w:r>
          </w:p>
        </w:tc>
        <w:tc>
          <w:tcPr>
            <w:tcW w:w="10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FF0FC"/>
          </w:tcPr>
          <w:p>
            <w:pPr>
              <w:spacing w:after="0"/>
              <w:rPr>
                <w:sz w:val="19"/>
                <w:szCs w:val="19"/>
                <w:color w:val="auto"/>
              </w:rPr>
            </w:pPr>
          </w:p>
        </w:tc>
      </w:tr>
      <w:tr>
        <w:trPr>
          <w:trHeight w:val="223"/>
        </w:trPr>
        <w:tc>
          <w:tcPr>
            <w:tcW w:w="4740" w:type="dxa"/>
            <w:vAlign w:val="bottom"/>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INTEREST INCOME AND OTHER,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detail of interest income and other, net,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center"/>
              <w:ind w:right="176"/>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w w:val="92"/>
              </w:rPr>
              <w:t>Net gain (loss), realized and unrealized, on foreign currency exchange and foreign</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currency derivative contracts and other, net</w:t>
            </w:r>
          </w:p>
        </w:tc>
        <w:tc>
          <w:tcPr>
            <w:tcW w:w="1260" w:type="dxa"/>
            <w:vAlign w:val="bottom"/>
            <w:gridSpan w:val="2"/>
            <w:shd w:val="clear" w:color="auto" w:fill="CFF0FC"/>
          </w:tcPr>
          <w:p>
            <w:pPr>
              <w:jc w:val="right"/>
              <w:ind w:right="9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Gain/(loss) on investment in privately-held companies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NOTE 20: QUARTERLY FINANCIAL INFORMATION (UNAUDITED)</w:t>
      </w:r>
    </w:p>
    <w:p>
      <w:pPr>
        <w:spacing w:after="0" w:line="121"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The following table presents selected unaudited financial information for the eight quarters in the period ended December 31, 2018. The results for any quarter are not necessarily indicative of future quarterly results and, accordingly, period to period comparisons should not be relied upon as an indication of future performance.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June 30</w:t>
            </w:r>
          </w:p>
        </w:tc>
        <w:tc>
          <w:tcPr>
            <w:tcW w:w="1260" w:type="dxa"/>
            <w:vAlign w:val="bottom"/>
            <w:tcBorders>
              <w:bottom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w w:val="89"/>
              </w:rPr>
              <w:t>December 31</w:t>
            </w:r>
          </w:p>
        </w:tc>
        <w:tc>
          <w:tcPr>
            <w:tcW w:w="120" w:type="dxa"/>
            <w:vAlign w:val="bottom"/>
          </w:tcPr>
          <w:p>
            <w:pPr>
              <w:spacing w:after="0"/>
              <w:rPr>
                <w:sz w:val="13"/>
                <w:szCs w:val="13"/>
                <w:color w:val="auto"/>
              </w:rPr>
            </w:pPr>
          </w:p>
        </w:tc>
      </w:tr>
      <w:tr>
        <w:trPr>
          <w:trHeight w:val="156"/>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500" w:type="dxa"/>
            <w:vAlign w:val="bottom"/>
            <w:gridSpan w:val="4"/>
          </w:tcPr>
          <w:p>
            <w:pPr>
              <w:jc w:val="right"/>
              <w:ind w:right="90"/>
              <w:spacing w:after="0" w:line="155" w:lineRule="exact"/>
              <w:rPr>
                <w:sz w:val="20"/>
                <w:szCs w:val="20"/>
                <w:color w:val="auto"/>
              </w:rPr>
            </w:pPr>
            <w:r>
              <w:rPr>
                <w:rFonts w:ascii="Arial" w:cs="Arial" w:eastAsia="Arial" w:hAnsi="Arial"/>
                <w:sz w:val="14"/>
                <w:szCs w:val="14"/>
                <w:b w:val="1"/>
                <w:bCs w:val="1"/>
                <w:color w:val="auto"/>
                <w:w w:val="99"/>
              </w:rPr>
              <w:t>(in millions, except per share data)</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7"/>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2018</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378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433</w:t>
            </w:r>
          </w:p>
        </w:tc>
        <w:tc>
          <w:tcPr>
            <w:tcW w:w="74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share (1)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0.23</w:t>
            </w:r>
          </w:p>
        </w:tc>
        <w:tc>
          <w:tcPr>
            <w:tcW w:w="740" w:type="dxa"/>
            <w:vAlign w:val="bottom"/>
            <w:shd w:val="clear" w:color="auto" w:fill="CFF0FC"/>
          </w:tcPr>
          <w:p>
            <w:pPr>
              <w:jc w:val="right"/>
              <w:ind w:right="433"/>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Diluted earnings per share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0.04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0.23</w:t>
            </w:r>
          </w:p>
        </w:tc>
        <w:tc>
          <w:tcPr>
            <w:tcW w:w="74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r>
      <w:tr>
        <w:trPr>
          <w:trHeight w:val="257"/>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2017</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424</w:t>
            </w:r>
          </w:p>
        </w:tc>
        <w:tc>
          <w:tcPr>
            <w:tcW w:w="74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439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Net income (loss) (2)</w:t>
            </w:r>
          </w:p>
        </w:tc>
        <w:tc>
          <w:tcPr>
            <w:tcW w:w="1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(loss) per share (1)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0.19</w:t>
            </w:r>
          </w:p>
        </w:tc>
        <w:tc>
          <w:tcPr>
            <w:tcW w:w="740" w:type="dxa"/>
            <w:vAlign w:val="bottom"/>
            <w:shd w:val="clear" w:color="auto" w:fill="CFF0FC"/>
          </w:tcPr>
          <w:p>
            <w:pPr>
              <w:jc w:val="right"/>
              <w:ind w:right="433"/>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(0.60)</w:t>
            </w: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Diluted earnings (loss) per share (1)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0.09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0.19</w:t>
            </w:r>
          </w:p>
        </w:tc>
        <w:tc>
          <w:tcPr>
            <w:tcW w:w="740" w:type="dxa"/>
            <w:vAlign w:val="bottom"/>
          </w:tcPr>
          <w:p>
            <w:pPr>
              <w:jc w:val="right"/>
              <w:ind w:right="433"/>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(0.60)</w:t>
            </w:r>
          </w:p>
        </w:tc>
      </w:tr>
    </w:tbl>
    <w:p>
      <w:pPr>
        <w:spacing w:after="0" w:line="201" w:lineRule="exact"/>
        <w:rPr>
          <w:sz w:val="20"/>
          <w:szCs w:val="20"/>
          <w:color w:val="auto"/>
        </w:rPr>
      </w:pPr>
    </w:p>
    <w:p>
      <w:pPr>
        <w:ind w:left="380" w:right="3360" w:hanging="372"/>
        <w:spacing w:after="0" w:line="258"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Earnings per share is computed independently for each of the quarters presented. Therefore, the sum of the quarterly earnings per share may not equal the total computed for the year.</w:t>
      </w:r>
    </w:p>
    <w:p>
      <w:pPr>
        <w:spacing w:after="0" w:line="1" w:lineRule="exact"/>
        <w:rPr>
          <w:rFonts w:ascii="Arial" w:cs="Arial" w:eastAsia="Arial" w:hAnsi="Arial"/>
          <w:sz w:val="18"/>
          <w:szCs w:val="18"/>
          <w:color w:val="auto"/>
        </w:rPr>
      </w:pPr>
    </w:p>
    <w:p>
      <w:pPr>
        <w:ind w:left="380" w:right="3160" w:hanging="372"/>
        <w:spacing w:after="0" w:line="255"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During the fourth quarter of 2017, we recognized $67 million of Transition Tax and $6 million of tax expense recorded for the remeasurement of our net deferred tax assets related to the 2017 Tax Act enacted on December 22, 2017. Refer to “Note 11: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98"/>
        <w:spacing w:after="0" w:line="254" w:lineRule="auto"/>
        <w:rPr>
          <w:sz w:val="20"/>
          <w:szCs w:val="20"/>
          <w:color w:val="auto"/>
        </w:rPr>
      </w:pPr>
      <w:r>
        <w:rPr>
          <w:rFonts w:ascii="Arial" w:cs="Arial" w:eastAsia="Arial" w:hAnsi="Arial"/>
          <w:sz w:val="18"/>
          <w:szCs w:val="18"/>
          <w:color w:val="auto"/>
        </w:rPr>
        <w:t>As of December 31, 2018,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December 31, 2018,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December 31, 2018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 with accounting principles generally accepted in the United States of America. Under the supervision and with the participation of the Company’s management, including the Chief Executive Officer and President and the Chief Financial Officer, the Company conducted an evaluation of the effectiveness of our internal control over financial reporting based on the criteria for effective internal control over financial reporting described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w:t>
      </w:r>
    </w:p>
    <w:p>
      <w:pPr>
        <w:spacing w:after="0" w:line="165"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The Company’s management evaluated the effectiveness of the Company’s internal control over financial reporting as of December 31, 2018. Pursuant to Exchange Act Rule 13a-15(d) or 15d-15(d), management has concluded that, as of December 31, 2018, our internal control over financial reporting was effective. Management has reviewed its assessment with the Audit Committee. KPMG LLP, an independent registered public accounting firm, has audited the effectiveness of our internal control over financial reporting as of December 31, 2018, as stated in their report which is included below.</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color w:val="auto"/>
        </w:rPr>
        <w:t>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19" w:name="page120"/>
    <w:bookmarkEnd w:id="119"/>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Opinion on Internal Control Over Financial Reporting</w:t>
      </w:r>
    </w:p>
    <w:p>
      <w:pPr>
        <w:spacing w:after="0" w:line="104"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have audited TripAdvisor, Inc. and subsidiaries’ (the “Company”) internal control over financial reporting as of December 31, 2018,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2018, based on criteria established in Internal Control – Integrated Framework (2013) issued by the Committee of Sponsoring Organizations of the Treadway Commission.</w:t>
      </w:r>
    </w:p>
    <w:p>
      <w:pPr>
        <w:spacing w:after="0" w:line="114"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income, changes in stockholders’ equity, and cash flows for each of the years in the three-year period ended December 31, 2018, and the related notes (collectively, the consolidated financial statements), and our report dated February 22, 2019 expressed an unqualified opinion on those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Definition and Limitations of Internal Control Over Financial Reporting</w:t>
      </w:r>
    </w:p>
    <w:p>
      <w:pPr>
        <w:spacing w:after="0" w:line="10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0" w:name="page121"/>
    <w:bookmarkEnd w:id="120"/>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121" w:name="page122"/>
    <w:bookmarkEnd w:id="121"/>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2019 Proxy Statement, which proxy statement will be filed with the Securities and Exchange Commission not later than 120 days after the close of our fiscal year ended December 31, 2018.</w:t>
      </w:r>
    </w:p>
    <w:p>
      <w:pPr>
        <w:spacing w:after="0" w:line="35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2019 Proxy Statement, which proxy statement will be filed with the Securities and Exchange Commission not later than 120 days after the close of our fiscal year ended December 31, 2018.</w:t>
      </w:r>
    </w:p>
    <w:p>
      <w:pPr>
        <w:spacing w:after="0" w:line="35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3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2019 Proxy Statement, which proxy statement will be filed with the Securities and Exchange Commission not later than 120 days after the close of our fiscal year ended December 31, 2018.</w:t>
      </w:r>
    </w:p>
    <w:p>
      <w:pPr>
        <w:spacing w:after="0" w:line="35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2019 Proxy Statement, which proxy statement will be filed with the Securities and Exchange Commission not later than 120 days after the close of our fiscal year ended December 31, 2018.</w:t>
      </w:r>
    </w:p>
    <w:p>
      <w:pPr>
        <w:spacing w:after="0" w:line="35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under this item is incorporated herein by reference to our 2019 Proxy Statement, which proxy statement will be filed with the Securities and Exchange Commission not later than 120 days after the close of our fiscal year ended December 31, 2018.</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The following is filed as part of this Annual Report on Form 10-K:</w:t>
      </w:r>
    </w:p>
    <w:p>
      <w:pPr>
        <w:spacing w:after="0" w:line="117" w:lineRule="exact"/>
        <w:rPr>
          <w:sz w:val="20"/>
          <w:szCs w:val="20"/>
          <w:color w:val="auto"/>
        </w:rPr>
      </w:pPr>
    </w:p>
    <w:p>
      <w:pPr>
        <w:ind w:left="1800" w:right="100" w:hanging="603"/>
        <w:spacing w:after="0" w:line="277" w:lineRule="auto"/>
        <w:tabs>
          <w:tab w:leader="none" w:pos="18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consolidated financial statements and report of independent registered public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firms required by this item are included in Part II, Item 8.</w:t>
      </w:r>
    </w:p>
    <w:p>
      <w:pPr>
        <w:spacing w:after="0" w:line="62" w:lineRule="exact"/>
        <w:rPr>
          <w:sz w:val="20"/>
          <w:szCs w:val="20"/>
          <w:color w:val="auto"/>
        </w:rPr>
      </w:pPr>
    </w:p>
    <w:p>
      <w:pPr>
        <w:ind w:left="1200" w:right="120"/>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shown either in the consolidated financial statements or in the notes thereto.</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122" w:name="page123"/>
    <w:bookmarkEnd w:id="122"/>
    <w:p>
      <w:pPr>
        <w:ind w:left="600"/>
        <w:spacing w:after="0"/>
        <w:rPr>
          <w:sz w:val="20"/>
          <w:szCs w:val="20"/>
          <w:color w:val="auto"/>
        </w:rPr>
      </w:pPr>
      <w:r>
        <w:rPr>
          <w:rFonts w:ascii="Arial" w:cs="Arial" w:eastAsia="Arial" w:hAnsi="Arial"/>
          <w:sz w:val="18"/>
          <w:szCs w:val="18"/>
          <w:color w:val="auto"/>
        </w:rPr>
        <w:t>(b)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w w:val="99"/>
              </w:rPr>
              <w:t>Exhibit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2"/>
              </w:rPr>
              <w:t>Filed</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color w:val="auto"/>
                <w:w w:val="94"/>
              </w:rPr>
              <w:t>Incorporated by Reference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Filing</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center"/>
              <w:ind w:right="132"/>
              <w:spacing w:after="0" w:line="123" w:lineRule="exact"/>
              <w:rPr>
                <w:sz w:val="20"/>
                <w:szCs w:val="20"/>
                <w:color w:val="auto"/>
              </w:rPr>
            </w:pPr>
            <w:r>
              <w:rPr>
                <w:rFonts w:ascii="Arial" w:cs="Arial" w:eastAsia="Arial" w:hAnsi="Arial"/>
                <w:sz w:val="14"/>
                <w:szCs w:val="14"/>
                <w:color w:val="auto"/>
                <w:w w:val="99"/>
              </w:rPr>
              <w:t>Exhibit</w:t>
            </w: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No.</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gridSpan w:val="28"/>
          </w:tcPr>
          <w:p>
            <w:pPr>
              <w:ind w:left="440"/>
              <w:spacing w:after="0"/>
              <w:rPr>
                <w:sz w:val="20"/>
                <w:szCs w:val="20"/>
                <w:color w:val="auto"/>
              </w:rPr>
            </w:pPr>
            <w:r>
              <w:rPr>
                <w:rFonts w:ascii="Arial" w:cs="Arial" w:eastAsia="Arial" w:hAnsi="Arial"/>
                <w:sz w:val="14"/>
                <w:szCs w:val="14"/>
                <w:color w:val="auto"/>
              </w:rPr>
              <w:t>Exhibit Description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Herewith</w:t>
            </w:r>
          </w:p>
        </w:tc>
        <w:tc>
          <w:tcPr>
            <w:tcW w:w="860" w:type="dxa"/>
            <w:vAlign w:val="bottom"/>
            <w:gridSpan w:val="3"/>
          </w:tcPr>
          <w:p>
            <w:pPr>
              <w:ind w:left="180"/>
              <w:spacing w:after="0"/>
              <w:rPr>
                <w:sz w:val="20"/>
                <w:szCs w:val="20"/>
                <w:color w:val="auto"/>
              </w:rPr>
            </w:pPr>
            <w:r>
              <w:rPr>
                <w:rFonts w:ascii="Arial" w:cs="Arial" w:eastAsia="Arial" w:hAnsi="Arial"/>
                <w:sz w:val="14"/>
                <w:szCs w:val="14"/>
                <w:color w:val="auto"/>
              </w:rPr>
              <w:t>Form</w:t>
            </w:r>
          </w:p>
        </w:tc>
        <w:tc>
          <w:tcPr>
            <w:tcW w:w="2020" w:type="dxa"/>
            <w:vAlign w:val="bottom"/>
            <w:gridSpan w:val="3"/>
          </w:tcPr>
          <w:p>
            <w:pPr>
              <w:ind w:left="360"/>
              <w:spacing w:after="0"/>
              <w:rPr>
                <w:sz w:val="20"/>
                <w:szCs w:val="20"/>
                <w:color w:val="auto"/>
              </w:rPr>
            </w:pPr>
            <w:r>
              <w:rPr>
                <w:rFonts w:ascii="Arial" w:cs="Arial" w:eastAsia="Arial" w:hAnsi="Arial"/>
                <w:sz w:val="14"/>
                <w:szCs w:val="14"/>
                <w:color w:val="auto"/>
              </w:rPr>
              <w:t>SEC File No.</w:t>
            </w:r>
          </w:p>
        </w:tc>
        <w:tc>
          <w:tcPr>
            <w:tcW w:w="900" w:type="dxa"/>
            <w:vAlign w:val="bottom"/>
            <w:gridSpan w:val="2"/>
          </w:tcPr>
          <w:p>
            <w:pPr>
              <w:jc w:val="center"/>
              <w:ind w:right="360"/>
              <w:spacing w:after="0"/>
              <w:rPr>
                <w:sz w:val="20"/>
                <w:szCs w:val="20"/>
                <w:color w:val="auto"/>
              </w:rPr>
            </w:pPr>
            <w:r>
              <w:rPr>
                <w:rFonts w:ascii="Arial" w:cs="Arial" w:eastAsia="Arial" w:hAnsi="Arial"/>
                <w:sz w:val="14"/>
                <w:szCs w:val="14"/>
                <w:color w:val="auto"/>
              </w:rPr>
              <w:t>No.</w:t>
            </w:r>
          </w:p>
        </w:tc>
        <w:tc>
          <w:tcPr>
            <w:tcW w:w="1080" w:type="dxa"/>
            <w:vAlign w:val="bottom"/>
          </w:tcPr>
          <w:p>
            <w:pPr>
              <w:jc w:val="center"/>
              <w:spacing w:after="0"/>
              <w:rPr>
                <w:sz w:val="20"/>
                <w:szCs w:val="20"/>
                <w:color w:val="auto"/>
              </w:rPr>
            </w:pPr>
            <w:r>
              <w:rPr>
                <w:rFonts w:ascii="Arial" w:cs="Arial" w:eastAsia="Arial" w:hAnsi="Arial"/>
                <w:sz w:val="14"/>
                <w:szCs w:val="14"/>
                <w:color w:val="auto"/>
                <w:w w:val="94"/>
              </w:rPr>
              <w:t>Date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100" w:type="dxa"/>
            <w:vAlign w:val="bottom"/>
            <w:tcBorders>
              <w:top w:val="single" w:sz="8" w:color="auto"/>
              <w:bottom w:val="single" w:sz="8" w:color="0000EE"/>
            </w:tcBorders>
            <w:gridSpan w:val="17"/>
          </w:tcPr>
          <w:p>
            <w:pPr>
              <w:spacing w:after="0" w:line="170"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Restated Certificate of Incorporation of TripAdvisor, Inc.</w:t>
              </w:r>
            </w:hyperlink>
          </w:p>
        </w:tc>
        <w:tc>
          <w:tcPr>
            <w:tcW w:w="680" w:type="dxa"/>
            <w:vAlign w:val="bottom"/>
            <w:tcBorders>
              <w:top w:val="single" w:sz="8" w:color="auto"/>
            </w:tcBorders>
            <w:gridSpan w:val="15"/>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center"/>
              <w:ind w:right="52"/>
              <w:spacing w:after="0" w:line="170"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4"/>
                <w:szCs w:val="14"/>
                <w:color w:val="auto"/>
              </w:rPr>
            </w:pPr>
          </w:p>
        </w:tc>
        <w:tc>
          <w:tcPr>
            <w:tcW w:w="10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12/27/11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7"/>
                <w:szCs w:val="17"/>
                <w:color w:val="auto"/>
              </w:rPr>
            </w:pPr>
          </w:p>
        </w:tc>
        <w:tc>
          <w:tcPr>
            <w:tcW w:w="4800" w:type="dxa"/>
            <w:vAlign w:val="bottom"/>
            <w:gridSpan w:val="33"/>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Amended and Restated Bylaws of TripAdvisor, Inc.</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8"/>
              </w:rPr>
              <w:t>12/27/11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3.3</w:t>
            </w:r>
          </w:p>
        </w:tc>
        <w:tc>
          <w:tcPr>
            <w:tcW w:w="60" w:type="dxa"/>
            <w:vAlign w:val="bottom"/>
          </w:tcPr>
          <w:p>
            <w:pPr>
              <w:spacing w:after="0"/>
              <w:rPr>
                <w:sz w:val="17"/>
                <w:szCs w:val="17"/>
                <w:color w:val="auto"/>
              </w:rPr>
            </w:pPr>
          </w:p>
        </w:tc>
        <w:tc>
          <w:tcPr>
            <w:tcW w:w="38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Amended No. 1 to Amended and Restated Bylaws of</w:t>
              </w:r>
            </w:hyperlink>
          </w:p>
        </w:tc>
        <w:tc>
          <w:tcPr>
            <w:tcW w:w="98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2/12/13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TripAdvisor, Inc.</w:t>
              </w:r>
            </w:hyperlink>
          </w:p>
        </w:tc>
        <w:tc>
          <w:tcPr>
            <w:tcW w:w="3560" w:type="dxa"/>
            <w:vAlign w:val="bottom"/>
            <w:gridSpan w:val="29"/>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4.1</w:t>
            </w:r>
          </w:p>
        </w:tc>
        <w:tc>
          <w:tcPr>
            <w:tcW w:w="60" w:type="dxa"/>
            <w:vAlign w:val="bottom"/>
          </w:tcPr>
          <w:p>
            <w:pPr>
              <w:spacing w:after="0"/>
              <w:rPr>
                <w:sz w:val="17"/>
                <w:szCs w:val="17"/>
                <w:color w:val="auto"/>
              </w:rPr>
            </w:pPr>
          </w:p>
        </w:tc>
        <w:tc>
          <w:tcPr>
            <w:tcW w:w="4800" w:type="dxa"/>
            <w:vAlign w:val="bottom"/>
            <w:gridSpan w:val="33"/>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Specimen TripAdvisor, Inc. Common Stock Certificate</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3"/>
              </w:rPr>
              <w:t>S-4/A</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333-175828-01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87"/>
              </w:rPr>
              <w:t>4.6</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8"/>
              </w:rPr>
              <w:t>10/24/11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7"/>
                <w:szCs w:val="17"/>
                <w:color w:val="auto"/>
              </w:rPr>
            </w:pPr>
          </w:p>
        </w:tc>
        <w:tc>
          <w:tcPr>
            <w:tcW w:w="4800" w:type="dxa"/>
            <w:vAlign w:val="bottom"/>
            <w:gridSpan w:val="33"/>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Governance Agreement, by and among TripAdvisor, Inc., Liberty</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8"/>
              </w:rPr>
              <w:t>12/27/11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Interactive Corporation and Barry Diller, dated as of</w:t>
              </w:r>
            </w:hyperlink>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152">
              <w:r>
                <w:rPr>
                  <w:rFonts w:ascii="Arial" w:cs="Arial" w:eastAsia="Arial" w:hAnsi="Arial"/>
                  <w:sz w:val="18"/>
                  <w:szCs w:val="18"/>
                  <w:color w:val="0000EE"/>
                  <w:w w:val="87"/>
                </w:rPr>
                <w:t>December 20, 2011</w:t>
              </w:r>
            </w:hyperlink>
          </w:p>
        </w:tc>
        <w:tc>
          <w:tcPr>
            <w:tcW w:w="2360" w:type="dxa"/>
            <w:vAlign w:val="bottom"/>
            <w:tcBorders>
              <w:top w:val="single" w:sz="8" w:color="0000EE"/>
            </w:tcBorders>
            <w:gridSpan w:val="8"/>
          </w:tcPr>
          <w:p>
            <w:pPr>
              <w:spacing w:after="0"/>
              <w:rPr>
                <w:sz w:val="17"/>
                <w:szCs w:val="17"/>
                <w:color w:val="auto"/>
              </w:rPr>
            </w:pPr>
          </w:p>
        </w:tc>
        <w:tc>
          <w:tcPr>
            <w:tcW w:w="104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c>
          <w:tcPr>
            <w:tcW w:w="44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Tax Sharing Agreement by and between TripAdvisor, Inc. and</w:t>
              </w:r>
            </w:hyperlink>
          </w:p>
        </w:tc>
        <w:tc>
          <w:tcPr>
            <w:tcW w:w="32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85"/>
              </w:rPr>
              <w:t>10.2</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8"/>
              </w:rPr>
              <w:t>12/27/11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gridSpan w:val="33"/>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Expedia, Inc., dated as of December 20, 2011</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7"/>
                <w:szCs w:val="17"/>
                <w:color w:val="auto"/>
              </w:rPr>
            </w:pPr>
          </w:p>
        </w:tc>
        <w:tc>
          <w:tcPr>
            <w:tcW w:w="46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Amended and Restated TripAdvisor, Inc. 2011 Stock and Annual</w:t>
              </w:r>
            </w:hyperlink>
          </w:p>
        </w:tc>
        <w:tc>
          <w:tcPr>
            <w:tcW w:w="1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4"/>
              </w:rPr>
              <w:t>10-Q</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11/8/16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gridSpan w:val="33"/>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Incentive Plan</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10.4+</w:t>
            </w:r>
          </w:p>
        </w:tc>
        <w:tc>
          <w:tcPr>
            <w:tcW w:w="60" w:type="dxa"/>
            <w:vAlign w:val="bottom"/>
          </w:tcPr>
          <w:p>
            <w:pPr>
              <w:spacing w:after="0"/>
              <w:rPr>
                <w:sz w:val="17"/>
                <w:szCs w:val="17"/>
                <w:color w:val="auto"/>
              </w:rPr>
            </w:pPr>
          </w:p>
        </w:tc>
        <w:tc>
          <w:tcPr>
            <w:tcW w:w="40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TripAdvisor, Inc. 2018 Stock and Annual Incentive Plan</w:t>
              </w:r>
            </w:hyperlink>
          </w:p>
        </w:tc>
        <w:tc>
          <w:tcPr>
            <w:tcW w:w="740" w:type="dxa"/>
            <w:vAlign w:val="bottom"/>
            <w:gridSpan w:val="16"/>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4"/>
              </w:rPr>
              <w:t>10-Q</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8/1/18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4800" w:type="dxa"/>
            <w:vAlign w:val="bottom"/>
            <w:gridSpan w:val="33"/>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TripAdvisor, Inc. Deferred Compensation Plan for Non-Employee</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2"/>
              </w:rPr>
              <w:t>S-8</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1"/>
              </w:rPr>
              <w:t>333-178637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87"/>
              </w:rPr>
              <w:t>4.6</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8"/>
              </w:rPr>
              <w:t>12/20/11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Directors</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7"/>
                <w:szCs w:val="17"/>
                <w:color w:val="auto"/>
              </w:rPr>
            </w:pPr>
          </w:p>
        </w:tc>
        <w:tc>
          <w:tcPr>
            <w:tcW w:w="4800" w:type="dxa"/>
            <w:vAlign w:val="bottom"/>
            <w:gridSpan w:val="33"/>
          </w:tcPr>
          <w:p>
            <w:pPr>
              <w:spacing w:after="0" w:line="196" w:lineRule="exact"/>
              <w:rPr>
                <w:rFonts w:ascii="Arial" w:cs="Arial" w:eastAsia="Arial" w:hAnsi="Arial"/>
                <w:sz w:val="18"/>
                <w:szCs w:val="18"/>
                <w:color w:val="0000EE"/>
                <w:w w:val="93"/>
              </w:rPr>
            </w:pPr>
            <w:hyperlink r:id="rId157">
              <w:r>
                <w:rPr>
                  <w:rFonts w:ascii="Arial" w:cs="Arial" w:eastAsia="Arial" w:hAnsi="Arial"/>
                  <w:sz w:val="18"/>
                  <w:szCs w:val="18"/>
                  <w:color w:val="0000EE"/>
                  <w:w w:val="93"/>
                </w:rPr>
                <w:t>Corporate Headquarters Lease with Normandy Gap-V Needham</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4"/>
              </w:rPr>
              <w:t>10-Q</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7/24/13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Building 3, LLC, as landlord, dated as of June 20, 2013</w:t>
              </w:r>
            </w:hyperlink>
          </w:p>
        </w:tc>
        <w:tc>
          <w:tcPr>
            <w:tcW w:w="620" w:type="dxa"/>
            <w:vAlign w:val="bottom"/>
            <w:tcBorders>
              <w:top w:val="single" w:sz="8" w:color="0000EE"/>
            </w:tcBorders>
            <w:gridSpan w:val="11"/>
          </w:tcPr>
          <w:p>
            <w:pPr>
              <w:spacing w:after="0"/>
              <w:rPr>
                <w:sz w:val="17"/>
                <w:szCs w:val="17"/>
                <w:color w:val="auto"/>
              </w:rPr>
            </w:pPr>
          </w:p>
        </w:tc>
        <w:tc>
          <w:tcPr>
            <w:tcW w:w="1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7"/>
                <w:szCs w:val="17"/>
                <w:color w:val="auto"/>
              </w:rPr>
            </w:pPr>
          </w:p>
        </w:tc>
        <w:tc>
          <w:tcPr>
            <w:tcW w:w="4800" w:type="dxa"/>
            <w:vAlign w:val="bottom"/>
            <w:gridSpan w:val="33"/>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Guaranty dated June 20, 2013 by TripAdvisor, Inc. for the benefit</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4"/>
              </w:rPr>
              <w:t>10-Q</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85"/>
              </w:rPr>
              <w:t>10.2</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7/24/13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158">
              <w:r>
                <w:rPr>
                  <w:rFonts w:ascii="Arial" w:cs="Arial" w:eastAsia="Arial" w:hAnsi="Arial"/>
                  <w:sz w:val="18"/>
                  <w:szCs w:val="18"/>
                  <w:color w:val="0000EE"/>
                  <w:w w:val="92"/>
                </w:rPr>
                <w:t>of Normandy Gap-V Needham Building 3, LLC, as landlord</w:t>
              </w:r>
            </w:hyperlink>
          </w:p>
        </w:tc>
        <w:tc>
          <w:tcPr>
            <w:tcW w:w="360" w:type="dxa"/>
            <w:vAlign w:val="bottom"/>
            <w:tcBorders>
              <w:top w:val="single" w:sz="8" w:color="0000EE"/>
            </w:tcBorders>
            <w:gridSpan w:val="11"/>
          </w:tcPr>
          <w:p>
            <w:pPr>
              <w:spacing w:after="0"/>
              <w:rPr>
                <w:sz w:val="17"/>
                <w:szCs w:val="17"/>
                <w:color w:val="auto"/>
              </w:rPr>
            </w:pPr>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10.8+</w:t>
            </w:r>
          </w:p>
        </w:tc>
        <w:tc>
          <w:tcPr>
            <w:tcW w:w="60" w:type="dxa"/>
            <w:vAlign w:val="bottom"/>
          </w:tcPr>
          <w:p>
            <w:pPr>
              <w:spacing w:after="0"/>
              <w:rPr>
                <w:sz w:val="17"/>
                <w:szCs w:val="17"/>
                <w:color w:val="auto"/>
              </w:rPr>
            </w:pPr>
          </w:p>
        </w:tc>
        <w:tc>
          <w:tcPr>
            <w:tcW w:w="440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Employment Agreement between TripAdvisor LLC and Seth</w:t>
              </w:r>
            </w:hyperlink>
          </w:p>
        </w:tc>
        <w:tc>
          <w:tcPr>
            <w:tcW w:w="40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5/23/16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gridSpan w:val="33"/>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Kalvert, effective as of May 19, 2016</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gridSpan w:val="2"/>
          </w:tcPr>
          <w:p>
            <w:pPr>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4"/>
                <w:szCs w:val="24"/>
                <w:color w:val="auto"/>
              </w:rPr>
            </w:pPr>
          </w:p>
        </w:tc>
        <w:tc>
          <w:tcPr>
            <w:tcW w:w="5740" w:type="dxa"/>
            <w:vAlign w:val="bottom"/>
            <w:gridSpan w:val="37"/>
          </w:tcPr>
          <w:p>
            <w:pPr>
              <w:spacing w:after="0"/>
              <w:rPr>
                <w:rFonts w:ascii="Arial" w:cs="Arial" w:eastAsia="Arial" w:hAnsi="Arial"/>
                <w:sz w:val="18"/>
                <w:szCs w:val="18"/>
                <w:color w:val="0000EE"/>
              </w:rPr>
            </w:pPr>
            <w:hyperlink r:id="rId160">
              <w:r>
                <w:rPr>
                  <w:rFonts w:ascii="Arial" w:cs="Arial" w:eastAsia="Arial" w:hAnsi="Arial"/>
                  <w:sz w:val="18"/>
                  <w:szCs w:val="18"/>
                  <w:color w:val="0000EE"/>
                </w:rPr>
                <w:t>Amendment  to  Employment  Agreement  between  TripAdvisor</w:t>
              </w:r>
            </w:hyperlink>
          </w:p>
        </w:tc>
        <w:tc>
          <w:tcPr>
            <w:tcW w:w="86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10-K</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color w:val="auto"/>
                <w:w w:val="85"/>
              </w:rPr>
              <w:t>10.8</w:t>
            </w:r>
          </w:p>
        </w:tc>
        <w:tc>
          <w:tcPr>
            <w:tcW w:w="1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2/21/18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LLC and Seth Kalvert, dated as of February 19, 2018</w:t>
              </w:r>
            </w:hyperlink>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7"/>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10.10+</w:t>
            </w:r>
          </w:p>
        </w:tc>
        <w:tc>
          <w:tcPr>
            <w:tcW w:w="60" w:type="dxa"/>
            <w:vAlign w:val="bottom"/>
          </w:tcPr>
          <w:p>
            <w:pPr>
              <w:spacing w:after="0"/>
              <w:rPr>
                <w:sz w:val="17"/>
                <w:szCs w:val="17"/>
                <w:color w:val="auto"/>
              </w:rPr>
            </w:pPr>
          </w:p>
        </w:tc>
        <w:tc>
          <w:tcPr>
            <w:tcW w:w="46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Employment Agreement between TripAdvisor LLC and Stephen</w:t>
              </w:r>
            </w:hyperlink>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4"/>
              </w:rPr>
              <w:t>10-Q</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85"/>
              </w:rPr>
              <w:t>10.3</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5/6/14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Kaufer, effective as of March 31, 2014</w:t>
              </w:r>
            </w:hyperlink>
          </w:p>
        </w:tc>
        <w:tc>
          <w:tcPr>
            <w:tcW w:w="202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10.11+</w:t>
            </w:r>
          </w:p>
        </w:tc>
        <w:tc>
          <w:tcPr>
            <w:tcW w:w="60" w:type="dxa"/>
            <w:vAlign w:val="bottom"/>
          </w:tcPr>
          <w:p>
            <w:pPr>
              <w:spacing w:after="0"/>
              <w:rPr>
                <w:sz w:val="17"/>
                <w:szCs w:val="17"/>
                <w:color w:val="auto"/>
              </w:rPr>
            </w:pPr>
          </w:p>
        </w:tc>
        <w:tc>
          <w:tcPr>
            <w:tcW w:w="446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Amendment to Employment Agreement between TripAdvisor</w:t>
              </w:r>
            </w:hyperlink>
          </w:p>
        </w:tc>
        <w:tc>
          <w:tcPr>
            <w:tcW w:w="34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9"/>
              </w:rPr>
              <w:t>10-K</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93"/>
              </w:rPr>
              <w:t>10.10</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2/21/18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gridSpan w:val="33"/>
          </w:tcPr>
          <w:p>
            <w:pPr>
              <w:spacing w:after="0" w:line="196" w:lineRule="exact"/>
              <w:rPr>
                <w:rFonts w:ascii="Arial" w:cs="Arial" w:eastAsia="Arial" w:hAnsi="Arial"/>
                <w:sz w:val="18"/>
                <w:szCs w:val="18"/>
                <w:color w:val="0000EE"/>
                <w:w w:val="99"/>
              </w:rPr>
            </w:pPr>
            <w:hyperlink r:id="rId162">
              <w:r>
                <w:rPr>
                  <w:rFonts w:ascii="Arial" w:cs="Arial" w:eastAsia="Arial" w:hAnsi="Arial"/>
                  <w:sz w:val="18"/>
                  <w:szCs w:val="18"/>
                  <w:color w:val="0000EE"/>
                  <w:w w:val="99"/>
                </w:rPr>
                <w:t>LLC and Stephen Kaufer, effective as of November 28, 2017</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10.12+</w:t>
            </w:r>
          </w:p>
        </w:tc>
        <w:tc>
          <w:tcPr>
            <w:tcW w:w="60" w:type="dxa"/>
            <w:vAlign w:val="bottom"/>
          </w:tcPr>
          <w:p>
            <w:pPr>
              <w:spacing w:after="0"/>
              <w:rPr>
                <w:sz w:val="17"/>
                <w:szCs w:val="17"/>
                <w:color w:val="auto"/>
              </w:rPr>
            </w:pPr>
          </w:p>
        </w:tc>
        <w:tc>
          <w:tcPr>
            <w:tcW w:w="4800" w:type="dxa"/>
            <w:vAlign w:val="bottom"/>
            <w:gridSpan w:val="33"/>
          </w:tcPr>
          <w:p>
            <w:pPr>
              <w:spacing w:after="0" w:line="196" w:lineRule="exact"/>
              <w:rPr>
                <w:rFonts w:ascii="Arial" w:cs="Arial" w:eastAsia="Arial" w:hAnsi="Arial"/>
                <w:sz w:val="18"/>
                <w:szCs w:val="18"/>
                <w:color w:val="0000EE"/>
                <w:w w:val="95"/>
              </w:rPr>
            </w:pPr>
            <w:hyperlink r:id="rId163">
              <w:r>
                <w:rPr>
                  <w:rFonts w:ascii="Arial" w:cs="Arial" w:eastAsia="Arial" w:hAnsi="Arial"/>
                  <w:sz w:val="18"/>
                  <w:szCs w:val="18"/>
                  <w:color w:val="0000EE"/>
                  <w:w w:val="95"/>
                </w:rPr>
                <w:t>Amended and Restated Option Agreement dated June 5, 2017</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40"/>
              <w:spacing w:after="0" w:line="196" w:lineRule="exact"/>
              <w:rPr>
                <w:sz w:val="20"/>
                <w:szCs w:val="20"/>
                <w:color w:val="auto"/>
              </w:rPr>
            </w:pPr>
            <w:r>
              <w:rPr>
                <w:rFonts w:ascii="Arial" w:cs="Arial" w:eastAsia="Arial" w:hAnsi="Arial"/>
                <w:sz w:val="18"/>
                <w:szCs w:val="18"/>
                <w:color w:val="auto"/>
                <w:w w:val="99"/>
              </w:rPr>
              <w:t>8-K</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6/8/17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between Stephen Kaufer and TripAdvisor, Inc</w:t>
              </w:r>
              <w:r>
                <w:rPr>
                  <w:rFonts w:ascii="Arial" w:cs="Arial" w:eastAsia="Arial" w:hAnsi="Arial"/>
                  <w:sz w:val="18"/>
                  <w:szCs w:val="18"/>
                  <w:color w:val="000000"/>
                </w:rPr>
                <w:t>.</w:t>
              </w:r>
            </w:hyperlink>
          </w:p>
        </w:tc>
        <w:tc>
          <w:tcPr>
            <w:tcW w:w="3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8"/>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10.13+</w:t>
            </w:r>
          </w:p>
        </w:tc>
        <w:tc>
          <w:tcPr>
            <w:tcW w:w="60" w:type="dxa"/>
            <w:vAlign w:val="bottom"/>
          </w:tcPr>
          <w:p>
            <w:pPr>
              <w:spacing w:after="0"/>
              <w:rPr>
                <w:sz w:val="17"/>
                <w:szCs w:val="17"/>
                <w:color w:val="auto"/>
              </w:rPr>
            </w:pPr>
          </w:p>
        </w:tc>
        <w:tc>
          <w:tcPr>
            <w:tcW w:w="456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64">
              <w:r>
                <w:rPr>
                  <w:rFonts w:ascii="Arial" w:cs="Arial" w:eastAsia="Arial" w:hAnsi="Arial"/>
                  <w:sz w:val="18"/>
                  <w:szCs w:val="18"/>
                  <w:color w:val="0000EE"/>
                  <w:w w:val="89"/>
                </w:rPr>
                <w:t>Stock Option Agreement (time-based) between Stephen Kaufer</w:t>
              </w:r>
            </w:hyperlink>
          </w:p>
        </w:tc>
        <w:tc>
          <w:tcPr>
            <w:tcW w:w="24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9"/>
              </w:rPr>
              <w:t>10-K</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93"/>
              </w:rPr>
              <w:t>10.12</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2/21/18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and TripAdvisor, Inc. dated November 28, 2017</w:t>
              </w:r>
            </w:hyperlink>
          </w:p>
        </w:tc>
        <w:tc>
          <w:tcPr>
            <w:tcW w:w="134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10.14+</w:t>
            </w:r>
          </w:p>
        </w:tc>
        <w:tc>
          <w:tcPr>
            <w:tcW w:w="60" w:type="dxa"/>
            <w:vAlign w:val="bottom"/>
          </w:tcPr>
          <w:p>
            <w:pPr>
              <w:spacing w:after="0"/>
              <w:rPr>
                <w:sz w:val="17"/>
                <w:szCs w:val="17"/>
                <w:color w:val="auto"/>
              </w:rPr>
            </w:pPr>
          </w:p>
        </w:tc>
        <w:tc>
          <w:tcPr>
            <w:tcW w:w="42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RSU Agreement (time-based) between Stephen Kaufer and</w:t>
              </w:r>
            </w:hyperlink>
          </w:p>
        </w:tc>
        <w:tc>
          <w:tcPr>
            <w:tcW w:w="54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9"/>
              </w:rPr>
              <w:t>10-K</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2/21/18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0" w:type="dxa"/>
            <w:vAlign w:val="bottom"/>
            <w:gridSpan w:val="33"/>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TripAdvisor, Inc. dated November 28, 2017</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gridSpan w:val="8"/>
            <w:shd w:val="clear" w:color="auto" w:fill="0000EE"/>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640" w:type="dxa"/>
            <w:vAlign w:val="bottom"/>
            <w:gridSpan w:val="1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10.15+</w:t>
            </w:r>
          </w:p>
        </w:tc>
        <w:tc>
          <w:tcPr>
            <w:tcW w:w="60" w:type="dxa"/>
            <w:vAlign w:val="bottom"/>
          </w:tcPr>
          <w:p>
            <w:pPr>
              <w:spacing w:after="0"/>
              <w:rPr>
                <w:sz w:val="17"/>
                <w:szCs w:val="17"/>
                <w:color w:val="auto"/>
              </w:rPr>
            </w:pPr>
          </w:p>
        </w:tc>
        <w:tc>
          <w:tcPr>
            <w:tcW w:w="4800" w:type="dxa"/>
            <w:vAlign w:val="bottom"/>
            <w:gridSpan w:val="33"/>
          </w:tcPr>
          <w:p>
            <w:pPr>
              <w:spacing w:after="0" w:line="196" w:lineRule="exact"/>
              <w:rPr>
                <w:rFonts w:ascii="Arial" w:cs="Arial" w:eastAsia="Arial" w:hAnsi="Arial"/>
                <w:sz w:val="18"/>
                <w:szCs w:val="18"/>
                <w:color w:val="0000EE"/>
                <w:w w:val="91"/>
              </w:rPr>
            </w:pPr>
            <w:hyperlink r:id="rId166">
              <w:r>
                <w:rPr>
                  <w:rFonts w:ascii="Arial" w:cs="Arial" w:eastAsia="Arial" w:hAnsi="Arial"/>
                  <w:sz w:val="18"/>
                  <w:szCs w:val="18"/>
                  <w:color w:val="0000EE"/>
                  <w:w w:val="91"/>
                </w:rPr>
                <w:t>RSU Agreement (performance based (market)) between Stephen</w:t>
              </w:r>
            </w:hyperlink>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20"/>
              <w:spacing w:after="0" w:line="196" w:lineRule="exact"/>
              <w:rPr>
                <w:sz w:val="20"/>
                <w:szCs w:val="20"/>
                <w:color w:val="auto"/>
              </w:rPr>
            </w:pPr>
            <w:r>
              <w:rPr>
                <w:rFonts w:ascii="Arial" w:cs="Arial" w:eastAsia="Arial" w:hAnsi="Arial"/>
                <w:sz w:val="18"/>
                <w:szCs w:val="18"/>
                <w:color w:val="auto"/>
                <w:w w:val="99"/>
              </w:rPr>
              <w:t>10-K</w:t>
            </w:r>
          </w:p>
        </w:tc>
        <w:tc>
          <w:tcPr>
            <w:tcW w:w="17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center"/>
              <w:ind w:right="52"/>
              <w:spacing w:after="0" w:line="196" w:lineRule="exact"/>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2/21/18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Kaufer and TripAdvisor, Inc. dated November 28, 2017</w:t>
              </w:r>
            </w:hyperlink>
          </w:p>
        </w:tc>
        <w:tc>
          <w:tcPr>
            <w:tcW w:w="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jc w:val="right"/>
              <w:ind w:right="528"/>
              <w:spacing w:after="0"/>
              <w:rPr>
                <w:sz w:val="20"/>
                <w:szCs w:val="20"/>
                <w:color w:val="auto"/>
              </w:rPr>
            </w:pPr>
            <w:r>
              <w:rPr>
                <w:rFonts w:ascii="Arial" w:cs="Arial" w:eastAsia="Arial" w:hAnsi="Arial"/>
                <w:sz w:val="18"/>
                <w:szCs w:val="18"/>
                <w:color w:val="auto"/>
                <w:w w:val="86"/>
              </w:rPr>
              <w:t>121</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23" w:name="page124"/>
    <w:bookmarkEnd w:id="123"/>
    <w:tbl>
      <w:tblPr>
        <w:tblLayout w:type="fixed"/>
        <w:tblInd w:w="160" w:type="dxa"/>
        <w:tblCellMar>
          <w:top w:w="0" w:type="dxa"/>
          <w:left w:w="0" w:type="dxa"/>
          <w:bottom w:w="0" w:type="dxa"/>
          <w:right w:w="0" w:type="dxa"/>
        </w:tblCellMar>
      </w:tblPr>
      <w:tr>
        <w:trPr>
          <w:trHeight w:val="167"/>
        </w:trPr>
        <w:tc>
          <w:tcPr>
            <w:tcW w:w="1500" w:type="dxa"/>
            <w:vAlign w:val="bottom"/>
            <w:vMerge w:val="restart"/>
          </w:tcPr>
          <w:p>
            <w:pPr>
              <w:jc w:val="center"/>
              <w:ind w:right="1008"/>
              <w:spacing w:after="0"/>
              <w:rPr>
                <w:sz w:val="20"/>
                <w:szCs w:val="20"/>
                <w:color w:val="auto"/>
              </w:rPr>
            </w:pPr>
            <w:r>
              <w:rPr>
                <w:rFonts w:ascii="Arial" w:cs="Arial" w:eastAsia="Arial" w:hAnsi="Arial"/>
                <w:sz w:val="14"/>
                <w:szCs w:val="14"/>
                <w:color w:val="auto"/>
                <w:w w:val="99"/>
              </w:rPr>
              <w:t>Exhibit</w:t>
            </w:r>
          </w:p>
        </w:tc>
        <w:tc>
          <w:tcPr>
            <w:tcW w:w="3300" w:type="dxa"/>
            <w:vAlign w:val="bottom"/>
          </w:tcPr>
          <w:p>
            <w:pPr>
              <w:spacing w:after="0"/>
              <w:rPr>
                <w:sz w:val="14"/>
                <w:szCs w:val="14"/>
                <w:color w:val="auto"/>
              </w:rPr>
            </w:pPr>
          </w:p>
        </w:tc>
        <w:tc>
          <w:tcPr>
            <w:tcW w:w="1780" w:type="dxa"/>
            <w:vAlign w:val="bottom"/>
            <w:vMerge w:val="restart"/>
          </w:tcPr>
          <w:p>
            <w:pPr>
              <w:jc w:val="center"/>
              <w:ind w:left="808"/>
              <w:spacing w:after="0"/>
              <w:rPr>
                <w:sz w:val="20"/>
                <w:szCs w:val="20"/>
                <w:color w:val="auto"/>
              </w:rPr>
            </w:pPr>
            <w:r>
              <w:rPr>
                <w:rFonts w:ascii="Arial" w:cs="Arial" w:eastAsia="Arial" w:hAnsi="Arial"/>
                <w:sz w:val="14"/>
                <w:szCs w:val="14"/>
                <w:color w:val="auto"/>
                <w:w w:val="98"/>
              </w:rPr>
              <w:t>Filed</w:t>
            </w:r>
          </w:p>
        </w:tc>
        <w:tc>
          <w:tcPr>
            <w:tcW w:w="760" w:type="dxa"/>
            <w:vAlign w:val="bottom"/>
          </w:tcPr>
          <w:p>
            <w:pPr>
              <w:spacing w:after="0"/>
              <w:rPr>
                <w:sz w:val="14"/>
                <w:szCs w:val="14"/>
                <w:color w:val="auto"/>
              </w:rPr>
            </w:pPr>
          </w:p>
        </w:tc>
        <w:tc>
          <w:tcPr>
            <w:tcW w:w="26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rPr>
              <w:t>Incorporated by Reference</w:t>
            </w:r>
          </w:p>
        </w:tc>
        <w:tc>
          <w:tcPr>
            <w:tcW w:w="860" w:type="dxa"/>
            <w:vAlign w:val="bottom"/>
            <w:vMerge w:val="restart"/>
          </w:tcPr>
          <w:p>
            <w:pPr>
              <w:jc w:val="center"/>
              <w:ind w:left="448"/>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3"/>
        </w:trPr>
        <w:tc>
          <w:tcPr>
            <w:tcW w:w="1500" w:type="dxa"/>
            <w:vAlign w:val="bottom"/>
            <w:vMerge w:val="continue"/>
          </w:tcPr>
          <w:p>
            <w:pPr>
              <w:spacing w:after="0"/>
              <w:rPr>
                <w:sz w:val="10"/>
                <w:szCs w:val="10"/>
                <w:color w:val="auto"/>
              </w:rPr>
            </w:pPr>
          </w:p>
        </w:tc>
        <w:tc>
          <w:tcPr>
            <w:tcW w:w="33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60" w:type="dxa"/>
            <w:vAlign w:val="bottom"/>
          </w:tcPr>
          <w:p>
            <w:pPr>
              <w:jc w:val="center"/>
              <w:ind w:left="48"/>
              <w:spacing w:after="0" w:line="123" w:lineRule="exact"/>
              <w:rPr>
                <w:sz w:val="20"/>
                <w:szCs w:val="20"/>
                <w:color w:val="auto"/>
              </w:rPr>
            </w:pPr>
            <w:r>
              <w:rPr>
                <w:rFonts w:ascii="Arial" w:cs="Arial" w:eastAsia="Arial" w:hAnsi="Arial"/>
                <w:sz w:val="14"/>
                <w:szCs w:val="14"/>
                <w:color w:val="auto"/>
                <w:w w:val="99"/>
              </w:rPr>
              <w:t>Exhibit</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500" w:type="dxa"/>
            <w:vAlign w:val="bottom"/>
          </w:tcPr>
          <w:p>
            <w:pPr>
              <w:jc w:val="center"/>
              <w:ind w:right="1008"/>
              <w:spacing w:after="0"/>
              <w:rPr>
                <w:sz w:val="20"/>
                <w:szCs w:val="20"/>
                <w:color w:val="auto"/>
              </w:rPr>
            </w:pPr>
            <w:r>
              <w:rPr>
                <w:rFonts w:ascii="Arial" w:cs="Arial" w:eastAsia="Arial" w:hAnsi="Arial"/>
                <w:sz w:val="14"/>
                <w:szCs w:val="14"/>
                <w:color w:val="auto"/>
              </w:rPr>
              <w:t>No.</w:t>
            </w:r>
          </w:p>
        </w:tc>
        <w:tc>
          <w:tcPr>
            <w:tcW w:w="3300" w:type="dxa"/>
            <w:vAlign w:val="bottom"/>
          </w:tcPr>
          <w:p>
            <w:pPr>
              <w:ind w:left="1100"/>
              <w:spacing w:after="0"/>
              <w:rPr>
                <w:sz w:val="20"/>
                <w:szCs w:val="20"/>
                <w:color w:val="auto"/>
              </w:rPr>
            </w:pPr>
            <w:r>
              <w:rPr>
                <w:rFonts w:ascii="Arial" w:cs="Arial" w:eastAsia="Arial" w:hAnsi="Arial"/>
                <w:sz w:val="14"/>
                <w:szCs w:val="14"/>
                <w:color w:val="auto"/>
              </w:rPr>
              <w:t>Exhibit Description</w:t>
            </w:r>
          </w:p>
        </w:tc>
        <w:tc>
          <w:tcPr>
            <w:tcW w:w="1780" w:type="dxa"/>
            <w:vAlign w:val="bottom"/>
          </w:tcPr>
          <w:p>
            <w:pPr>
              <w:jc w:val="center"/>
              <w:ind w:left="808"/>
              <w:spacing w:after="0"/>
              <w:rPr>
                <w:sz w:val="20"/>
                <w:szCs w:val="20"/>
                <w:color w:val="auto"/>
              </w:rPr>
            </w:pPr>
            <w:r>
              <w:rPr>
                <w:rFonts w:ascii="Arial" w:cs="Arial" w:eastAsia="Arial" w:hAnsi="Arial"/>
                <w:sz w:val="14"/>
                <w:szCs w:val="14"/>
                <w:color w:val="auto"/>
                <w:w w:val="97"/>
              </w:rPr>
              <w:t>Herewith</w:t>
            </w:r>
          </w:p>
        </w:tc>
        <w:tc>
          <w:tcPr>
            <w:tcW w:w="760" w:type="dxa"/>
            <w:vAlign w:val="bottom"/>
          </w:tcPr>
          <w:p>
            <w:pPr>
              <w:ind w:left="160"/>
              <w:spacing w:after="0"/>
              <w:rPr>
                <w:sz w:val="20"/>
                <w:szCs w:val="20"/>
                <w:color w:val="auto"/>
              </w:rPr>
            </w:pPr>
            <w:r>
              <w:rPr>
                <w:rFonts w:ascii="Arial" w:cs="Arial" w:eastAsia="Arial" w:hAnsi="Arial"/>
                <w:sz w:val="14"/>
                <w:szCs w:val="14"/>
                <w:color w:val="auto"/>
              </w:rPr>
              <w:t>Form</w:t>
            </w:r>
          </w:p>
        </w:tc>
        <w:tc>
          <w:tcPr>
            <w:tcW w:w="1560" w:type="dxa"/>
            <w:vAlign w:val="bottom"/>
          </w:tcPr>
          <w:p>
            <w:pPr>
              <w:ind w:left="420"/>
              <w:spacing w:after="0"/>
              <w:rPr>
                <w:sz w:val="20"/>
                <w:szCs w:val="20"/>
                <w:color w:val="auto"/>
              </w:rPr>
            </w:pPr>
            <w:r>
              <w:rPr>
                <w:rFonts w:ascii="Arial" w:cs="Arial" w:eastAsia="Arial" w:hAnsi="Arial"/>
                <w:sz w:val="14"/>
                <w:szCs w:val="14"/>
                <w:color w:val="auto"/>
              </w:rPr>
              <w:t>SEC File No.</w:t>
            </w:r>
          </w:p>
        </w:tc>
        <w:tc>
          <w:tcPr>
            <w:tcW w:w="1060" w:type="dxa"/>
            <w:vAlign w:val="bottom"/>
          </w:tcPr>
          <w:p>
            <w:pPr>
              <w:jc w:val="center"/>
              <w:ind w:left="48"/>
              <w:spacing w:after="0"/>
              <w:rPr>
                <w:sz w:val="20"/>
                <w:szCs w:val="20"/>
                <w:color w:val="auto"/>
              </w:rPr>
            </w:pPr>
            <w:r>
              <w:rPr>
                <w:rFonts w:ascii="Arial" w:cs="Arial" w:eastAsia="Arial" w:hAnsi="Arial"/>
                <w:sz w:val="14"/>
                <w:szCs w:val="14"/>
                <w:color w:val="auto"/>
              </w:rPr>
              <w:t>No.</w:t>
            </w:r>
          </w:p>
        </w:tc>
        <w:tc>
          <w:tcPr>
            <w:tcW w:w="860" w:type="dxa"/>
            <w:vAlign w:val="bottom"/>
          </w:tcPr>
          <w:p>
            <w:pPr>
              <w:jc w:val="center"/>
              <w:ind w:left="448"/>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2449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p>
      <w:pPr>
        <w:ind w:left="800" w:right="180" w:hanging="782"/>
        <w:spacing w:after="0" w:line="255"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70">
        <w:r>
          <w:rPr>
            <w:rFonts w:ascii="Arial" w:cs="Arial" w:eastAsia="Arial" w:hAnsi="Arial"/>
            <w:sz w:val="18"/>
            <w:szCs w:val="18"/>
            <w:u w:val="single" w:color="auto"/>
            <w:color w:val="0000EE"/>
          </w:rPr>
          <w:t>RSU Agreement (performance based (financial and strategic))</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between Stephen Kaufer and TripAdvisor, Inc. dated November 28,</w:t>
        </w:r>
      </w:hyperlink>
      <w:r>
        <w:rPr>
          <w:rFonts w:ascii="Arial" w:cs="Arial" w:eastAsia="Arial" w:hAnsi="Arial"/>
          <w:sz w:val="18"/>
          <w:szCs w:val="18"/>
          <w:u w:val="single" w:color="auto"/>
          <w:color w:val="0000EE"/>
        </w:rPr>
        <w:t xml:space="preserve"> </w:t>
      </w:r>
      <w:hyperlink r:id="rId170">
        <w:r>
          <w:rPr>
            <w:rFonts w:ascii="Arial" w:cs="Arial" w:eastAsia="Arial" w:hAnsi="Arial"/>
            <w:sz w:val="18"/>
            <w:szCs w:val="18"/>
            <w:u w:val="single" w:color="auto"/>
            <w:color w:val="0000EE"/>
          </w:rPr>
          <w:t>2017</w:t>
        </w:r>
      </w:hyperlink>
    </w:p>
    <w:p>
      <w:pPr>
        <w:spacing w:after="0" w:line="2" w:lineRule="exact"/>
        <w:rPr>
          <w:rFonts w:ascii="Arial" w:cs="Arial" w:eastAsia="Arial" w:hAnsi="Arial"/>
          <w:sz w:val="18"/>
          <w:szCs w:val="18"/>
          <w:u w:val="single" w:color="auto"/>
          <w:color w:val="0000EE"/>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171">
        <w:r>
          <w:rPr>
            <w:rFonts w:ascii="Arial" w:cs="Arial" w:eastAsia="Arial" w:hAnsi="Arial"/>
            <w:sz w:val="16"/>
            <w:szCs w:val="16"/>
            <w:u w:val="single" w:color="auto"/>
            <w:color w:val="0000EE"/>
          </w:rPr>
          <w:t>Viator, Inc. 2010 Stock Incentive Plan</w:t>
        </w:r>
      </w:hyperlink>
    </w:p>
    <w:p>
      <w:pPr>
        <w:spacing w:after="0" w:line="9" w:lineRule="exact"/>
        <w:rPr>
          <w:rFonts w:ascii="Arial" w:cs="Arial" w:eastAsia="Arial" w:hAnsi="Arial"/>
          <w:sz w:val="18"/>
          <w:szCs w:val="18"/>
          <w:u w:val="single" w:color="auto"/>
          <w:color w:val="0000EE"/>
        </w:rPr>
      </w:pPr>
    </w:p>
    <w:p>
      <w:pPr>
        <w:ind w:left="800" w:right="260" w:hanging="782"/>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72">
        <w:r>
          <w:rPr>
            <w:rFonts w:ascii="Arial" w:cs="Arial" w:eastAsia="Arial" w:hAnsi="Arial"/>
            <w:sz w:val="18"/>
            <w:szCs w:val="18"/>
            <w:u w:val="single" w:color="auto"/>
            <w:color w:val="0000EE"/>
          </w:rPr>
          <w:t>Offer Letter dated May 9, 2017, between TripAdvisor Limited and</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Dermot Halpin</w:t>
        </w:r>
      </w:hyperlink>
    </w:p>
    <w:p>
      <w:pPr>
        <w:spacing w:after="0" w:line="1" w:lineRule="exact"/>
        <w:rPr>
          <w:sz w:val="20"/>
          <w:szCs w:val="20"/>
          <w:color w:val="auto"/>
        </w:rPr>
      </w:pPr>
    </w:p>
    <w:p>
      <w:pPr>
        <w:ind w:left="800" w:hanging="782"/>
        <w:spacing w:after="0" w:line="265" w:lineRule="auto"/>
        <w:tabs>
          <w:tab w:leader="none" w:pos="780" w:val="left"/>
        </w:tabs>
        <w:rPr>
          <w:rFonts w:ascii="Arial" w:cs="Arial" w:eastAsia="Arial" w:hAnsi="Arial"/>
          <w:sz w:val="17"/>
          <w:szCs w:val="17"/>
          <w:u w:val="single" w:color="auto"/>
          <w:color w:val="0000EE"/>
        </w:rPr>
      </w:pPr>
      <w:r>
        <w:rPr>
          <w:rFonts w:ascii="Arial" w:cs="Arial" w:eastAsia="Arial" w:hAnsi="Arial"/>
          <w:sz w:val="18"/>
          <w:szCs w:val="18"/>
          <w:color w:val="auto"/>
        </w:rPr>
        <w:t>10.19</w:t>
      </w:r>
      <w:r>
        <w:rPr>
          <w:sz w:val="20"/>
          <w:szCs w:val="20"/>
          <w:color w:val="auto"/>
        </w:rPr>
        <w:tab/>
      </w:r>
      <w:hyperlink r:id="rId173">
        <w:r>
          <w:rPr>
            <w:rFonts w:ascii="Arial" w:cs="Arial" w:eastAsia="Arial" w:hAnsi="Arial"/>
            <w:sz w:val="17"/>
            <w:szCs w:val="17"/>
            <w:u w:val="single" w:color="auto"/>
            <w:color w:val="0000EE"/>
          </w:rPr>
          <w:t>Credit Agreement dated as of June 26, 2015 by and among</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TripAdvisor, Inc., TripAdvisor Holdings, LLC, TripAdvisor LLC,</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JPMorgan Chase Bank, N.A., as Administrative Agent; J.P. Morgan</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Europe Limited, as London Agent; Morgan Stanley Bank, N.A.; Bank</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of America, N.A.; BNP Paribas; SunTrust Bank; Wells Fargo Bank,</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National Association; Royal Bank of Canada; Barclays Bank PLC;</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U.S. Bank National Association; Citibank, N.A.; The Bank of Tokyo-</w:t>
        </w:r>
      </w:hyperlink>
      <w:hyperlink r:id="rId173">
        <w:r>
          <w:rPr>
            <w:rFonts w:ascii="Arial" w:cs="Arial" w:eastAsia="Arial" w:hAnsi="Arial"/>
            <w:sz w:val="17"/>
            <w:szCs w:val="17"/>
            <w:u w:val="single" w:color="auto"/>
            <w:color w:val="0000EE"/>
          </w:rPr>
          <w:t>Mitsubishi UFJ, Ltd.; Goldman Sachs Bank USA; and Deutsche</w:t>
        </w:r>
      </w:hyperlink>
      <w:r>
        <w:rPr>
          <w:rFonts w:ascii="Arial" w:cs="Arial" w:eastAsia="Arial" w:hAnsi="Arial"/>
          <w:sz w:val="17"/>
          <w:szCs w:val="17"/>
          <w:u w:val="single" w:color="auto"/>
          <w:color w:val="0000EE"/>
        </w:rPr>
        <w:t xml:space="preserve"> </w:t>
      </w:r>
      <w:hyperlink r:id="rId173">
        <w:r>
          <w:rPr>
            <w:rFonts w:ascii="Arial" w:cs="Arial" w:eastAsia="Arial" w:hAnsi="Arial"/>
            <w:sz w:val="17"/>
            <w:szCs w:val="17"/>
            <w:u w:val="single" w:color="auto"/>
            <w:color w:val="0000EE"/>
          </w:rPr>
          <w:t>Bank AG New York Branch</w:t>
        </w:r>
      </w:hyperlink>
    </w:p>
    <w:p>
      <w:pPr>
        <w:spacing w:after="0" w:line="2" w:lineRule="exact"/>
        <w:rPr>
          <w:rFonts w:ascii="Arial" w:cs="Arial" w:eastAsia="Arial" w:hAnsi="Arial"/>
          <w:sz w:val="17"/>
          <w:szCs w:val="17"/>
          <w:u w:val="single" w:color="auto"/>
          <w:color w:val="0000EE"/>
        </w:rPr>
      </w:pPr>
    </w:p>
    <w:p>
      <w:pPr>
        <w:ind w:left="800" w:right="20" w:hanging="782"/>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74">
        <w:r>
          <w:rPr>
            <w:rFonts w:ascii="Arial" w:cs="Arial" w:eastAsia="Arial" w:hAnsi="Arial"/>
            <w:sz w:val="18"/>
            <w:szCs w:val="18"/>
            <w:u w:val="single" w:color="auto"/>
            <w:color w:val="0000EE"/>
          </w:rPr>
          <w:t>First Amendment, dated as of May 12, 2017, by and among</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TripAdvisor, Inc., TripAdvisor Holdings, LLC, TripAdvisor LLC and</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other Subsidiary Loan Parties party thereto, the Lenders party thereto,</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JPMorgan Chase Bank, N.A., as administrative agent, and J.P.Morgan</w:t>
        </w:r>
      </w:hyperlink>
      <w:r>
        <w:rPr>
          <w:rFonts w:ascii="Arial" w:cs="Arial" w:eastAsia="Arial" w:hAnsi="Arial"/>
          <w:sz w:val="18"/>
          <w:szCs w:val="18"/>
          <w:u w:val="single" w:color="auto"/>
          <w:color w:val="0000EE"/>
        </w:rPr>
        <w:t xml:space="preserve"> </w:t>
      </w:r>
      <w:hyperlink r:id="rId174">
        <w:r>
          <w:rPr>
            <w:rFonts w:ascii="Arial" w:cs="Arial" w:eastAsia="Arial" w:hAnsi="Arial"/>
            <w:sz w:val="18"/>
            <w:szCs w:val="18"/>
            <w:u w:val="single" w:color="auto"/>
            <w:color w:val="0000EE"/>
          </w:rPr>
          <w:t>Europe Limited, as London Agent</w:t>
        </w:r>
      </w:hyperlink>
    </w:p>
    <w:p>
      <w:pPr>
        <w:spacing w:after="0" w:line="2" w:lineRule="exact"/>
        <w:rPr>
          <w:rFonts w:ascii="Arial" w:cs="Arial" w:eastAsia="Arial" w:hAnsi="Arial"/>
          <w:sz w:val="18"/>
          <w:szCs w:val="18"/>
          <w:u w:val="single" w:color="auto"/>
          <w:color w:val="0000EE"/>
        </w:rPr>
      </w:pPr>
    </w:p>
    <w:p>
      <w:pPr>
        <w:ind w:left="800" w:right="500" w:hanging="782"/>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75">
        <w:r>
          <w:rPr>
            <w:rFonts w:ascii="Arial" w:cs="Arial" w:eastAsia="Arial" w:hAnsi="Arial"/>
            <w:sz w:val="18"/>
            <w:szCs w:val="18"/>
            <w:u w:val="single" w:color="auto"/>
            <w:color w:val="0000EE"/>
          </w:rPr>
          <w:t>Employment Agreement, dated as of October 6, 2015, between</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TripAdvisor, LLC and Ernst Teunissen</w:t>
        </w:r>
      </w:hyperlink>
    </w:p>
    <w:p>
      <w:pPr>
        <w:spacing w:after="0" w:line="1"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176">
        <w:r>
          <w:rPr>
            <w:rFonts w:ascii="Arial" w:cs="Arial" w:eastAsia="Arial" w:hAnsi="Arial"/>
            <w:sz w:val="16"/>
            <w:szCs w:val="16"/>
            <w:u w:val="single" w:color="auto"/>
            <w:color w:val="0000EE"/>
          </w:rPr>
          <w:t>Amendment to Employment Agreement, dated as of November 28,</w:t>
        </w:r>
      </w:hyperlink>
    </w:p>
    <w:p>
      <w:pPr>
        <w:spacing w:after="0" w:line="9" w:lineRule="exact"/>
        <w:rPr>
          <w:sz w:val="20"/>
          <w:szCs w:val="20"/>
          <w:color w:val="auto"/>
        </w:rPr>
      </w:pPr>
    </w:p>
    <w:p>
      <w:pPr>
        <w:ind w:left="800"/>
        <w:spacing w:after="0"/>
        <w:rPr>
          <w:rFonts w:ascii="Arial" w:cs="Arial" w:eastAsia="Arial" w:hAnsi="Arial"/>
          <w:sz w:val="18"/>
          <w:szCs w:val="18"/>
          <w:u w:val="single" w:color="auto"/>
          <w:color w:val="0000EE"/>
        </w:rPr>
      </w:pPr>
      <w:hyperlink r:id="rId176">
        <w:r>
          <w:rPr>
            <w:rFonts w:ascii="Arial" w:cs="Arial" w:eastAsia="Arial" w:hAnsi="Arial"/>
            <w:sz w:val="18"/>
            <w:szCs w:val="18"/>
            <w:u w:val="single" w:color="auto"/>
            <w:color w:val="0000EE"/>
          </w:rPr>
          <w:t>2017, between TripAdvisor, LLC and Ernst Teunissen</w:t>
        </w:r>
      </w:hyperlink>
    </w:p>
    <w:p>
      <w:pPr>
        <w:spacing w:after="0" w:line="9"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177">
        <w:r>
          <w:rPr>
            <w:rFonts w:ascii="Arial" w:cs="Arial" w:eastAsia="Arial" w:hAnsi="Arial"/>
            <w:sz w:val="16"/>
            <w:szCs w:val="16"/>
            <w:u w:val="single" w:color="auto"/>
            <w:color w:val="0000EE"/>
          </w:rPr>
          <w:t>Executive Severance Plan and Summary Plan Description</w:t>
        </w:r>
      </w:hyperlink>
    </w:p>
    <w:p>
      <w:pPr>
        <w:spacing w:after="0" w:line="9" w:lineRule="exact"/>
        <w:rPr>
          <w:sz w:val="20"/>
          <w:szCs w:val="20"/>
          <w:color w:val="auto"/>
        </w:rPr>
      </w:pPr>
    </w:p>
    <w:p>
      <w:pPr>
        <w:ind w:left="800" w:right="400" w:hanging="782"/>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78">
        <w:r>
          <w:rPr>
            <w:rFonts w:ascii="Arial" w:cs="Arial" w:eastAsia="Arial" w:hAnsi="Arial"/>
            <w:sz w:val="18"/>
            <w:szCs w:val="18"/>
            <w:u w:val="single" w:color="auto"/>
            <w:color w:val="0000EE"/>
          </w:rPr>
          <w:t>Form of TripAdvisor Media Group Master Advertising Insertion</w:t>
        </w:r>
      </w:hyperlink>
      <w:r>
        <w:rPr>
          <w:rFonts w:ascii="Arial" w:cs="Arial" w:eastAsia="Arial" w:hAnsi="Arial"/>
          <w:sz w:val="18"/>
          <w:szCs w:val="18"/>
          <w:u w:val="single" w:color="auto"/>
          <w:color w:val="0000EE"/>
        </w:rPr>
        <w:t xml:space="preserve"> </w:t>
      </w:r>
      <w:hyperlink r:id="rId178">
        <w:r>
          <w:rPr>
            <w:rFonts w:ascii="Arial" w:cs="Arial" w:eastAsia="Arial" w:hAnsi="Arial"/>
            <w:sz w:val="18"/>
            <w:szCs w:val="18"/>
            <w:u w:val="single" w:color="auto"/>
            <w:color w:val="0000EE"/>
          </w:rPr>
          <w:t>Order</w:t>
        </w:r>
      </w:hyperlink>
    </w:p>
    <w:p>
      <w:pPr>
        <w:spacing w:after="0" w:line="1"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r:id="rId179">
        <w:r>
          <w:rPr>
            <w:rFonts w:ascii="Arial" w:cs="Arial" w:eastAsia="Arial" w:hAnsi="Arial"/>
            <w:sz w:val="16"/>
            <w:szCs w:val="16"/>
            <w:u w:val="single" w:color="auto"/>
            <w:color w:val="0000EE"/>
          </w:rPr>
          <w:t>Form of Option Agreement (Domestic)</w:t>
        </w:r>
      </w:hyperlink>
    </w:p>
    <w:p>
      <w:pPr>
        <w:spacing w:after="0" w:line="9"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10.26+</w:t>
      </w:r>
      <w:r>
        <w:rPr>
          <w:sz w:val="20"/>
          <w:szCs w:val="20"/>
          <w:color w:val="auto"/>
        </w:rPr>
        <w:tab/>
      </w:r>
      <w:hyperlink r:id="rId180">
        <w:r>
          <w:rPr>
            <w:rFonts w:ascii="Arial" w:cs="Arial" w:eastAsia="Arial" w:hAnsi="Arial"/>
            <w:sz w:val="16"/>
            <w:szCs w:val="16"/>
            <w:u w:val="single" w:color="auto"/>
            <w:color w:val="0000EE"/>
          </w:rPr>
          <w:t>Form of Option Agreement (International)</w:t>
        </w:r>
      </w:hyperlink>
    </w:p>
    <w:p>
      <w:pPr>
        <w:spacing w:after="0" w:line="9"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10.27+</w:t>
      </w:r>
      <w:r>
        <w:rPr>
          <w:sz w:val="20"/>
          <w:szCs w:val="20"/>
          <w:color w:val="auto"/>
        </w:rPr>
        <w:tab/>
      </w:r>
      <w:hyperlink r:id="rId181">
        <w:r>
          <w:rPr>
            <w:rFonts w:ascii="Arial" w:cs="Arial" w:eastAsia="Arial" w:hAnsi="Arial"/>
            <w:sz w:val="16"/>
            <w:szCs w:val="16"/>
            <w:u w:val="single" w:color="auto"/>
            <w:color w:val="0000EE"/>
          </w:rPr>
          <w:t>Form of Restricted Stock Unit Agreement (Domestic)</w:t>
        </w:r>
      </w:hyperlink>
    </w:p>
    <w:p>
      <w:pPr>
        <w:spacing w:after="0" w:line="9"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182">
        <w:r>
          <w:rPr>
            <w:rFonts w:ascii="Arial" w:cs="Arial" w:eastAsia="Arial" w:hAnsi="Arial"/>
            <w:sz w:val="16"/>
            <w:szCs w:val="16"/>
            <w:u w:val="single" w:color="auto"/>
            <w:color w:val="0000EE"/>
          </w:rPr>
          <w:t>Form of Restricted Stock Unit Agreement (International)</w:t>
        </w:r>
      </w:hyperlink>
    </w:p>
    <w:p>
      <w:pPr>
        <w:spacing w:after="0" w:line="9"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10.29+</w:t>
      </w:r>
      <w:r>
        <w:rPr>
          <w:sz w:val="20"/>
          <w:szCs w:val="20"/>
          <w:color w:val="auto"/>
        </w:rPr>
        <w:tab/>
      </w:r>
      <w:hyperlink r:id="rId183">
        <w:r>
          <w:rPr>
            <w:rFonts w:ascii="Arial" w:cs="Arial" w:eastAsia="Arial" w:hAnsi="Arial"/>
            <w:sz w:val="16"/>
            <w:szCs w:val="16"/>
            <w:u w:val="single" w:color="auto"/>
            <w:color w:val="0000EE"/>
          </w:rPr>
          <w:t>Form of Restricted Stock Unit Agreement (French)</w:t>
        </w:r>
      </w:hyperlink>
    </w:p>
    <w:p>
      <w:pPr>
        <w:spacing w:after="0" w:line="9" w:lineRule="exact"/>
        <w:rPr>
          <w:sz w:val="20"/>
          <w:szCs w:val="20"/>
          <w:color w:val="auto"/>
        </w:rPr>
      </w:pPr>
    </w:p>
    <w:p>
      <w:pPr>
        <w:ind w:left="800" w:right="520" w:hanging="782"/>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84">
        <w:r>
          <w:rPr>
            <w:rFonts w:ascii="Arial" w:cs="Arial" w:eastAsia="Arial" w:hAnsi="Arial"/>
            <w:sz w:val="18"/>
            <w:szCs w:val="18"/>
            <w:u w:val="single" w:color="auto"/>
            <w:color w:val="0000EE"/>
          </w:rPr>
          <w:t>Form of Restricted Stock Unit Agreement (Performance Based</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Domestic)</w:t>
        </w:r>
      </w:hyperlink>
    </w:p>
    <w:p>
      <w:pPr>
        <w:spacing w:after="0" w:line="1" w:lineRule="exact"/>
        <w:rPr>
          <w:sz w:val="20"/>
          <w:szCs w:val="20"/>
          <w:color w:val="auto"/>
        </w:rPr>
      </w:pPr>
    </w:p>
    <w:p>
      <w:pPr>
        <w:ind w:left="800" w:right="520" w:hanging="782"/>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85">
        <w:r>
          <w:rPr>
            <w:rFonts w:ascii="Arial" w:cs="Arial" w:eastAsia="Arial" w:hAnsi="Arial"/>
            <w:sz w:val="18"/>
            <w:szCs w:val="18"/>
            <w:u w:val="single" w:color="auto"/>
            <w:color w:val="0000EE"/>
          </w:rPr>
          <w:t>Form of Restricted Stock Unit Agreement (Performance Based</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French)</w:t>
        </w:r>
      </w:hyperlink>
    </w:p>
    <w:p>
      <w:pPr>
        <w:spacing w:after="0" w:line="1"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10.32+</w:t>
      </w:r>
      <w:r>
        <w:rPr>
          <w:sz w:val="20"/>
          <w:szCs w:val="20"/>
          <w:color w:val="auto"/>
        </w:rPr>
        <w:tab/>
      </w:r>
      <w:hyperlink r:id="rId186">
        <w:r>
          <w:rPr>
            <w:rFonts w:ascii="Arial" w:cs="Arial" w:eastAsia="Arial" w:hAnsi="Arial"/>
            <w:sz w:val="16"/>
            <w:szCs w:val="16"/>
            <w:u w:val="single" w:color="auto"/>
            <w:color w:val="0000EE"/>
          </w:rPr>
          <w:t>Form of Restricted Stock Unit Agreement (Non-Employee Directors)</w:t>
        </w:r>
      </w:hyperlink>
    </w:p>
    <w:p>
      <w:pPr>
        <w:spacing w:after="0" w:line="211"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127">
        <w:r>
          <w:rPr>
            <w:rFonts w:ascii="Arial" w:cs="Arial" w:eastAsia="Arial" w:hAnsi="Arial"/>
            <w:sz w:val="16"/>
            <w:szCs w:val="16"/>
            <w:u w:val="single" w:color="auto"/>
            <w:color w:val="0000EE"/>
          </w:rPr>
          <w:t>Subsidiaries of the Registrant</w:t>
        </w:r>
      </w:hyperlink>
    </w:p>
    <w:p>
      <w:pPr>
        <w:spacing w:after="0" w:line="23" w:lineRule="exact"/>
        <w:rPr>
          <w:sz w:val="20"/>
          <w:szCs w:val="20"/>
          <w:color w:val="auto"/>
        </w:rPr>
      </w:pPr>
    </w:p>
    <w:p>
      <w:pPr>
        <w:ind w:left="800" w:right="120" w:hanging="782"/>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23.1</w:t>
      </w:r>
      <w:r>
        <w:rPr>
          <w:sz w:val="20"/>
          <w:szCs w:val="20"/>
          <w:color w:val="auto"/>
        </w:rPr>
        <w:tab/>
      </w:r>
      <w:hyperlink w:anchor="page129">
        <w:r>
          <w:rPr>
            <w:rFonts w:ascii="Arial" w:cs="Arial" w:eastAsia="Arial" w:hAnsi="Arial"/>
            <w:sz w:val="18"/>
            <w:szCs w:val="18"/>
            <w:u w:val="single" w:color="auto"/>
            <w:color w:val="0000EE"/>
          </w:rPr>
          <w:t>Consent of KPMG, LLP, Independent Registered Public Accounting</w:t>
        </w:r>
      </w:hyperlink>
      <w:r>
        <w:rPr>
          <w:rFonts w:ascii="Arial" w:cs="Arial" w:eastAsia="Arial" w:hAnsi="Arial"/>
          <w:sz w:val="18"/>
          <w:szCs w:val="18"/>
          <w:u w:val="single" w:color="auto"/>
          <w:color w:val="0000EE"/>
        </w:rPr>
        <w:t xml:space="preserve"> </w:t>
      </w:r>
      <w:hyperlink w:anchor="page129">
        <w:r>
          <w:rPr>
            <w:rFonts w:ascii="Arial" w:cs="Arial" w:eastAsia="Arial" w:hAnsi="Arial"/>
            <w:sz w:val="18"/>
            <w:szCs w:val="18"/>
            <w:u w:val="single" w:color="auto"/>
            <w:color w:val="0000EE"/>
          </w:rPr>
          <w:t>Firm</w:t>
        </w:r>
      </w:hyperlink>
    </w:p>
    <w:p>
      <w:pPr>
        <w:spacing w:after="0" w:line="1"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126">
        <w:r>
          <w:rPr>
            <w:rFonts w:ascii="Arial" w:cs="Arial" w:eastAsia="Arial" w:hAnsi="Arial"/>
            <w:sz w:val="16"/>
            <w:szCs w:val="16"/>
            <w:u w:val="single" w:color="auto"/>
            <w:color w:val="0000EE"/>
          </w:rPr>
          <w:t>Power of Attorney (included in signature page)</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00" w:type="dxa"/>
        <w:tblCellMar>
          <w:top w:w="0" w:type="dxa"/>
          <w:left w:w="0" w:type="dxa"/>
          <w:bottom w:w="0" w:type="dxa"/>
          <w:right w:w="0" w:type="dxa"/>
        </w:tblCellMar>
      </w:tblPr>
      <w:tr>
        <w:trPr>
          <w:trHeight w:val="230"/>
        </w:trPr>
        <w:tc>
          <w:tcPr>
            <w:tcW w:w="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10-K</w:t>
            </w:r>
          </w:p>
        </w:tc>
        <w:tc>
          <w:tcPr>
            <w:tcW w:w="200" w:type="dxa"/>
            <w:vAlign w:val="bottom"/>
          </w:tcPr>
          <w:p>
            <w:pPr>
              <w:spacing w:after="0"/>
              <w:rPr>
                <w:sz w:val="20"/>
                <w:szCs w:val="20"/>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20"/>
                <w:szCs w:val="20"/>
                <w:color w:val="auto"/>
              </w:rPr>
            </w:pPr>
          </w:p>
        </w:tc>
        <w:tc>
          <w:tcPr>
            <w:tcW w:w="94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8"/>
              </w:rPr>
              <w:t>10.15</w:t>
            </w:r>
          </w:p>
        </w:tc>
        <w:tc>
          <w:tcPr>
            <w:tcW w:w="1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2/21/18</w:t>
            </w:r>
          </w:p>
        </w:tc>
      </w:tr>
      <w:tr>
        <w:trPr>
          <w:trHeight w:val="613"/>
        </w:trPr>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S-8</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333-198726</w:t>
            </w:r>
          </w:p>
        </w:tc>
        <w:tc>
          <w:tcPr>
            <w:tcW w:w="80" w:type="dxa"/>
            <w:vAlign w:val="bottom"/>
          </w:tcPr>
          <w:p>
            <w:pPr>
              <w:spacing w:after="0"/>
              <w:rPr>
                <w:sz w:val="24"/>
                <w:szCs w:val="24"/>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9/12/14</w:t>
            </w:r>
          </w:p>
        </w:tc>
      </w:tr>
      <w:tr>
        <w:trPr>
          <w:trHeight w:val="230"/>
        </w:trPr>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10-Q</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20"/>
                <w:szCs w:val="20"/>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5/9/17</w:t>
            </w:r>
          </w:p>
        </w:tc>
      </w:tr>
      <w:tr>
        <w:trPr>
          <w:trHeight w:val="432"/>
        </w:trPr>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001-35362</w:t>
            </w:r>
          </w:p>
        </w:tc>
        <w:tc>
          <w:tcPr>
            <w:tcW w:w="80" w:type="dxa"/>
            <w:vAlign w:val="bottom"/>
          </w:tcPr>
          <w:p>
            <w:pPr>
              <w:spacing w:after="0"/>
              <w:rPr>
                <w:sz w:val="24"/>
                <w:szCs w:val="24"/>
                <w:color w:val="auto"/>
              </w:rPr>
            </w:pPr>
          </w:p>
        </w:tc>
        <w:tc>
          <w:tcPr>
            <w:tcW w:w="94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6/30/15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240"/>
        <w:spacing w:after="0"/>
        <w:tabs>
          <w:tab w:leader="none" w:pos="3360" w:val="left"/>
          <w:tab w:leader="none" w:pos="1800" w:val="left"/>
          <w:tab w:leader="none" w:pos="7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001-35362</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5/15/17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80" w:type="dxa"/>
            <w:vAlign w:val="bottom"/>
          </w:tcPr>
          <w:p>
            <w:pPr>
              <w:jc w:val="center"/>
              <w:ind w:left="250"/>
              <w:spacing w:after="0"/>
              <w:rPr>
                <w:sz w:val="20"/>
                <w:szCs w:val="20"/>
                <w:color w:val="auto"/>
              </w:rPr>
            </w:pPr>
            <w:r>
              <w:rPr>
                <w:rFonts w:ascii="Arial" w:cs="Arial" w:eastAsia="Arial" w:hAnsi="Arial"/>
                <w:sz w:val="18"/>
                <w:szCs w:val="18"/>
                <w:color w:val="auto"/>
                <w:w w:val="89"/>
              </w:rPr>
              <w:t>10/8/15</w:t>
            </w:r>
          </w:p>
        </w:tc>
      </w:tr>
      <w:tr>
        <w:trPr>
          <w:trHeight w:val="432"/>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880" w:type="dxa"/>
            <w:vAlign w:val="bottom"/>
          </w:tcPr>
          <w:p>
            <w:pPr>
              <w:jc w:val="center"/>
              <w:ind w:left="250"/>
              <w:spacing w:after="0"/>
              <w:rPr>
                <w:sz w:val="20"/>
                <w:szCs w:val="20"/>
                <w:color w:val="auto"/>
              </w:rPr>
            </w:pPr>
            <w:r>
              <w:rPr>
                <w:rFonts w:ascii="Arial" w:cs="Arial" w:eastAsia="Arial" w:hAnsi="Arial"/>
                <w:sz w:val="18"/>
                <w:szCs w:val="18"/>
                <w:color w:val="auto"/>
                <w:w w:val="89"/>
              </w:rPr>
              <w:t>2/21/18</w:t>
            </w:r>
          </w:p>
        </w:tc>
      </w:tr>
      <w:tr>
        <w:trPr>
          <w:trHeight w:val="418"/>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80" w:type="dxa"/>
            <w:vAlign w:val="bottom"/>
          </w:tcPr>
          <w:p>
            <w:pPr>
              <w:jc w:val="center"/>
              <w:ind w:left="250"/>
              <w:spacing w:after="0"/>
              <w:rPr>
                <w:sz w:val="20"/>
                <w:szCs w:val="20"/>
                <w:color w:val="auto"/>
              </w:rPr>
            </w:pPr>
            <w:r>
              <w:rPr>
                <w:rFonts w:ascii="Arial" w:cs="Arial" w:eastAsia="Arial" w:hAnsi="Arial"/>
                <w:sz w:val="18"/>
                <w:szCs w:val="18"/>
                <w:color w:val="auto"/>
                <w:w w:val="91"/>
              </w:rPr>
              <w:t>8/8/17</w:t>
            </w:r>
          </w:p>
        </w:tc>
      </w:tr>
      <w:tr>
        <w:trPr>
          <w:trHeight w:val="230"/>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880" w:type="dxa"/>
            <w:vAlign w:val="bottom"/>
          </w:tcPr>
          <w:p>
            <w:pPr>
              <w:jc w:val="center"/>
              <w:ind w:left="250"/>
              <w:spacing w:after="0"/>
              <w:rPr>
                <w:sz w:val="20"/>
                <w:szCs w:val="20"/>
                <w:color w:val="auto"/>
              </w:rPr>
            </w:pPr>
            <w:r>
              <w:rPr>
                <w:rFonts w:ascii="Arial" w:cs="Arial" w:eastAsia="Arial" w:hAnsi="Arial"/>
                <w:sz w:val="18"/>
                <w:szCs w:val="18"/>
                <w:color w:val="auto"/>
                <w:w w:val="89"/>
              </w:rPr>
              <w:t>2/21/18</w:t>
            </w:r>
          </w:p>
        </w:tc>
      </w:tr>
      <w:tr>
        <w:trPr>
          <w:trHeight w:val="418"/>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80" w:type="dxa"/>
            <w:vAlign w:val="bottom"/>
          </w:tcPr>
          <w:p>
            <w:pPr>
              <w:jc w:val="center"/>
              <w:ind w:left="250"/>
              <w:spacing w:after="0"/>
              <w:rPr>
                <w:sz w:val="20"/>
                <w:szCs w:val="20"/>
                <w:color w:val="auto"/>
              </w:rPr>
            </w:pPr>
            <w:r>
              <w:rPr>
                <w:rFonts w:ascii="Arial" w:cs="Arial" w:eastAsia="Arial" w:hAnsi="Arial"/>
                <w:sz w:val="18"/>
                <w:szCs w:val="18"/>
                <w:color w:val="auto"/>
                <w:w w:val="91"/>
              </w:rPr>
              <w:t>5/8/18</w:t>
            </w:r>
          </w:p>
        </w:tc>
      </w:tr>
      <w:tr>
        <w:trPr>
          <w:trHeight w:val="216"/>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80" w:type="dxa"/>
            <w:vAlign w:val="bottom"/>
          </w:tcPr>
          <w:p>
            <w:pPr>
              <w:jc w:val="center"/>
              <w:ind w:left="250"/>
              <w:spacing w:after="0"/>
              <w:rPr>
                <w:sz w:val="20"/>
                <w:szCs w:val="20"/>
                <w:color w:val="auto"/>
              </w:rPr>
            </w:pPr>
            <w:r>
              <w:rPr>
                <w:rFonts w:ascii="Arial" w:cs="Arial" w:eastAsia="Arial" w:hAnsi="Arial"/>
                <w:sz w:val="18"/>
                <w:szCs w:val="18"/>
                <w:color w:val="auto"/>
                <w:w w:val="91"/>
              </w:rPr>
              <w:t>5/8/18</w:t>
            </w:r>
          </w:p>
        </w:tc>
      </w:tr>
      <w:tr>
        <w:trPr>
          <w:trHeight w:val="216"/>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80" w:type="dxa"/>
            <w:vAlign w:val="bottom"/>
          </w:tcPr>
          <w:p>
            <w:pPr>
              <w:jc w:val="center"/>
              <w:ind w:left="250"/>
              <w:spacing w:after="0"/>
              <w:rPr>
                <w:sz w:val="20"/>
                <w:szCs w:val="20"/>
                <w:color w:val="auto"/>
              </w:rPr>
            </w:pPr>
            <w:r>
              <w:rPr>
                <w:rFonts w:ascii="Arial" w:cs="Arial" w:eastAsia="Arial" w:hAnsi="Arial"/>
                <w:sz w:val="18"/>
                <w:szCs w:val="18"/>
                <w:color w:val="auto"/>
                <w:w w:val="91"/>
              </w:rPr>
              <w:t>5/8/18</w:t>
            </w:r>
          </w:p>
        </w:tc>
      </w:tr>
      <w:tr>
        <w:trPr>
          <w:trHeight w:val="216"/>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80" w:type="dxa"/>
            <w:vAlign w:val="bottom"/>
          </w:tcPr>
          <w:p>
            <w:pPr>
              <w:jc w:val="center"/>
              <w:ind w:left="250"/>
              <w:spacing w:after="0"/>
              <w:rPr>
                <w:sz w:val="20"/>
                <w:szCs w:val="20"/>
                <w:color w:val="auto"/>
              </w:rPr>
            </w:pPr>
            <w:r>
              <w:rPr>
                <w:rFonts w:ascii="Arial" w:cs="Arial" w:eastAsia="Arial" w:hAnsi="Arial"/>
                <w:sz w:val="18"/>
                <w:szCs w:val="18"/>
                <w:color w:val="auto"/>
                <w:w w:val="91"/>
              </w:rPr>
              <w:t>5/8/18</w:t>
            </w:r>
          </w:p>
        </w:tc>
      </w:tr>
      <w:tr>
        <w:trPr>
          <w:trHeight w:val="216"/>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880" w:type="dxa"/>
            <w:vAlign w:val="bottom"/>
          </w:tcPr>
          <w:p>
            <w:pPr>
              <w:jc w:val="center"/>
              <w:ind w:left="250"/>
              <w:spacing w:after="0"/>
              <w:rPr>
                <w:sz w:val="20"/>
                <w:szCs w:val="20"/>
                <w:color w:val="auto"/>
              </w:rPr>
            </w:pPr>
            <w:r>
              <w:rPr>
                <w:rFonts w:ascii="Arial" w:cs="Arial" w:eastAsia="Arial" w:hAnsi="Arial"/>
                <w:sz w:val="18"/>
                <w:szCs w:val="18"/>
                <w:color w:val="auto"/>
                <w:w w:val="91"/>
              </w:rPr>
              <w:t>5/8/18</w:t>
            </w:r>
          </w:p>
        </w:tc>
      </w:tr>
      <w:tr>
        <w:trPr>
          <w:trHeight w:val="230"/>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880" w:type="dxa"/>
            <w:vAlign w:val="bottom"/>
          </w:tcPr>
          <w:p>
            <w:pPr>
              <w:jc w:val="center"/>
              <w:ind w:left="250"/>
              <w:spacing w:after="0"/>
              <w:rPr>
                <w:sz w:val="20"/>
                <w:szCs w:val="20"/>
                <w:color w:val="auto"/>
              </w:rPr>
            </w:pPr>
            <w:r>
              <w:rPr>
                <w:rFonts w:ascii="Arial" w:cs="Arial" w:eastAsia="Arial" w:hAnsi="Arial"/>
                <w:sz w:val="18"/>
                <w:szCs w:val="18"/>
                <w:color w:val="auto"/>
                <w:w w:val="91"/>
              </w:rPr>
              <w:t>5/8/18</w:t>
            </w:r>
          </w:p>
        </w:tc>
      </w:tr>
      <w:tr>
        <w:trPr>
          <w:trHeight w:val="432"/>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880" w:type="dxa"/>
            <w:vAlign w:val="bottom"/>
          </w:tcPr>
          <w:p>
            <w:pPr>
              <w:jc w:val="center"/>
              <w:ind w:left="250"/>
              <w:spacing w:after="0"/>
              <w:rPr>
                <w:sz w:val="20"/>
                <w:szCs w:val="20"/>
                <w:color w:val="auto"/>
              </w:rPr>
            </w:pPr>
            <w:r>
              <w:rPr>
                <w:rFonts w:ascii="Arial" w:cs="Arial" w:eastAsia="Arial" w:hAnsi="Arial"/>
                <w:sz w:val="18"/>
                <w:szCs w:val="18"/>
                <w:color w:val="auto"/>
                <w:w w:val="91"/>
              </w:rPr>
              <w:t>5/8/18</w:t>
            </w:r>
          </w:p>
        </w:tc>
      </w:tr>
      <w:tr>
        <w:trPr>
          <w:trHeight w:val="432"/>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001-35362</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80" w:type="dxa"/>
            <w:vAlign w:val="bottom"/>
          </w:tcPr>
          <w:p>
            <w:pPr>
              <w:jc w:val="center"/>
              <w:ind w:left="250"/>
              <w:spacing w:after="0"/>
              <w:rPr>
                <w:sz w:val="20"/>
                <w:szCs w:val="20"/>
                <w:color w:val="auto"/>
              </w:rPr>
            </w:pPr>
            <w:r>
              <w:rPr>
                <w:rFonts w:ascii="Arial" w:cs="Arial" w:eastAsia="Arial" w:hAnsi="Arial"/>
                <w:sz w:val="18"/>
                <w:szCs w:val="18"/>
                <w:color w:val="auto"/>
                <w:w w:val="91"/>
              </w:rPr>
              <w:t>8/1/18</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64" w:lineRule="exact"/>
        <w:rPr>
          <w:sz w:val="20"/>
          <w:szCs w:val="20"/>
          <w:color w:val="auto"/>
        </w:rPr>
      </w:pPr>
    </w:p>
    <w:p>
      <w:pPr>
        <w:sectPr>
          <w:pgSz w:w="11900" w:h="16838" w:orient="portrait"/>
          <w:cols w:equalWidth="0" w:num="2">
            <w:col w:w="5840" w:space="400"/>
            <w:col w:w="5120"/>
          </w:cols>
          <w:pgMar w:left="240" w:top="337" w:right="299" w:bottom="1440" w:gutter="0" w:footer="0" w:header="0"/>
          <w:type w:val="continuous"/>
        </w:sect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Exhibit</w:t>
            </w: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Filed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gridSpan w:val="4"/>
          </w:tcPr>
          <w:p>
            <w:pPr>
              <w:ind w:left="360"/>
              <w:spacing w:after="0"/>
              <w:rPr>
                <w:sz w:val="20"/>
                <w:szCs w:val="20"/>
                <w:color w:val="auto"/>
              </w:rPr>
            </w:pPr>
            <w:r>
              <w:rPr>
                <w:rFonts w:ascii="Arial" w:cs="Arial" w:eastAsia="Arial" w:hAnsi="Arial"/>
                <w:sz w:val="14"/>
                <w:szCs w:val="14"/>
                <w:color w:val="auto"/>
              </w:rPr>
              <w:t>Incorporated by Reference</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Filing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Exhibit</w:t>
            </w:r>
          </w:p>
        </w:tc>
        <w:tc>
          <w:tcPr>
            <w:tcW w:w="1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color w:val="auto"/>
              </w:rPr>
              <w:t>No.</w:t>
            </w:r>
          </w:p>
        </w:tc>
        <w:tc>
          <w:tcPr>
            <w:tcW w:w="5100" w:type="dxa"/>
            <w:vAlign w:val="bottom"/>
            <w:gridSpan w:val="7"/>
          </w:tcPr>
          <w:p>
            <w:pPr>
              <w:ind w:left="1960"/>
              <w:spacing w:after="0"/>
              <w:rPr>
                <w:sz w:val="20"/>
                <w:szCs w:val="20"/>
                <w:color w:val="auto"/>
              </w:rPr>
            </w:pPr>
            <w:r>
              <w:rPr>
                <w:rFonts w:ascii="Arial" w:cs="Arial" w:eastAsia="Arial" w:hAnsi="Arial"/>
                <w:sz w:val="14"/>
                <w:szCs w:val="14"/>
                <w:color w:val="auto"/>
              </w:rPr>
              <w:t>Exhibit Description</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Herewith</w:t>
            </w:r>
          </w:p>
        </w:tc>
        <w:tc>
          <w:tcPr>
            <w:tcW w:w="820" w:type="dxa"/>
            <w:vAlign w:val="bottom"/>
            <w:gridSpan w:val="3"/>
          </w:tcPr>
          <w:p>
            <w:pPr>
              <w:ind w:left="160"/>
              <w:spacing w:after="0"/>
              <w:rPr>
                <w:sz w:val="20"/>
                <w:szCs w:val="20"/>
                <w:color w:val="auto"/>
              </w:rPr>
            </w:pPr>
            <w:r>
              <w:rPr>
                <w:rFonts w:ascii="Arial" w:cs="Arial" w:eastAsia="Arial" w:hAnsi="Arial"/>
                <w:sz w:val="14"/>
                <w:szCs w:val="14"/>
                <w:color w:val="auto"/>
              </w:rPr>
              <w:t>Form</w:t>
            </w:r>
          </w:p>
        </w:tc>
        <w:tc>
          <w:tcPr>
            <w:tcW w:w="1620" w:type="dxa"/>
            <w:vAlign w:val="bottom"/>
            <w:gridSpan w:val="2"/>
          </w:tcPr>
          <w:p>
            <w:pPr>
              <w:ind w:left="360"/>
              <w:spacing w:after="0"/>
              <w:rPr>
                <w:sz w:val="20"/>
                <w:szCs w:val="20"/>
                <w:color w:val="auto"/>
              </w:rPr>
            </w:pPr>
            <w:r>
              <w:rPr>
                <w:rFonts w:ascii="Arial" w:cs="Arial" w:eastAsia="Arial" w:hAnsi="Arial"/>
                <w:sz w:val="14"/>
                <w:szCs w:val="14"/>
                <w:color w:val="auto"/>
              </w:rPr>
              <w:t>SEC File No.</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color w:val="auto"/>
              </w:rPr>
              <w:t>No.</w:t>
            </w:r>
          </w:p>
        </w:tc>
        <w:tc>
          <w:tcPr>
            <w:tcW w:w="110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4"/>
                <w:szCs w:val="14"/>
                <w:color w:val="auto"/>
              </w:rPr>
            </w:pPr>
          </w:p>
        </w:tc>
        <w:tc>
          <w:tcPr>
            <w:tcW w:w="4920" w:type="dxa"/>
            <w:vAlign w:val="bottom"/>
            <w:tcBorders>
              <w:top w:val="single" w:sz="8" w:color="auto"/>
              <w:bottom w:val="single" w:sz="8" w:color="0000EE"/>
            </w:tcBorders>
            <w:gridSpan w:val="5"/>
          </w:tcPr>
          <w:p>
            <w:pPr>
              <w:spacing w:after="0" w:line="170" w:lineRule="exact"/>
              <w:rPr>
                <w:rFonts w:ascii="Arial" w:cs="Arial" w:eastAsia="Arial" w:hAnsi="Arial"/>
                <w:sz w:val="18"/>
                <w:szCs w:val="18"/>
                <w:color w:val="0000EE"/>
                <w:w w:val="92"/>
              </w:rPr>
            </w:pPr>
            <w:hyperlink w:anchor="page130">
              <w:r>
                <w:rPr>
                  <w:rFonts w:ascii="Arial" w:cs="Arial" w:eastAsia="Arial" w:hAnsi="Arial"/>
                  <w:sz w:val="18"/>
                  <w:szCs w:val="18"/>
                  <w:color w:val="0000EE"/>
                  <w:w w:val="92"/>
                </w:rPr>
                <w:t>Certification of the Chief Executive Officer Pursuant to Section 302</w:t>
              </w:r>
            </w:hyperlink>
          </w:p>
        </w:tc>
        <w:tc>
          <w:tcPr>
            <w:tcW w:w="1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X</w:t>
            </w:r>
          </w:p>
        </w:tc>
        <w:tc>
          <w:tcPr>
            <w:tcW w:w="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00" w:type="dxa"/>
            <w:vAlign w:val="bottom"/>
            <w:gridSpan w:val="7"/>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of the Sarbanes-Oxley Act of 2002</w:t>
              </w:r>
            </w:hyperlink>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80" w:type="dxa"/>
            <w:vAlign w:val="bottom"/>
          </w:tcPr>
          <w:p>
            <w:pPr>
              <w:spacing w:after="0"/>
              <w:rPr>
                <w:sz w:val="17"/>
                <w:szCs w:val="17"/>
                <w:color w:val="auto"/>
              </w:rPr>
            </w:pPr>
          </w:p>
        </w:tc>
        <w:tc>
          <w:tcPr>
            <w:tcW w:w="5100" w:type="dxa"/>
            <w:vAlign w:val="bottom"/>
            <w:gridSpan w:val="7"/>
          </w:tcPr>
          <w:p>
            <w:pPr>
              <w:spacing w:after="0" w:line="196" w:lineRule="exact"/>
              <w:rPr>
                <w:rFonts w:ascii="Arial" w:cs="Arial" w:eastAsia="Arial" w:hAnsi="Arial"/>
                <w:sz w:val="18"/>
                <w:szCs w:val="18"/>
                <w:color w:val="0000EE"/>
                <w:w w:val="97"/>
              </w:rPr>
            </w:pPr>
            <w:hyperlink w:anchor="page131">
              <w:r>
                <w:rPr>
                  <w:rFonts w:ascii="Arial" w:cs="Arial" w:eastAsia="Arial" w:hAnsi="Arial"/>
                  <w:sz w:val="18"/>
                  <w:szCs w:val="18"/>
                  <w:color w:val="0000EE"/>
                  <w:w w:val="97"/>
                </w:rPr>
                <w:t>Certification of the Chief Financial Officer pursuant Section 302 of</w:t>
              </w:r>
            </w:hyperlink>
          </w:p>
        </w:tc>
        <w:tc>
          <w:tcPr>
            <w:tcW w:w="84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31">
              <w:r>
                <w:rPr>
                  <w:rFonts w:ascii="Arial" w:cs="Arial" w:eastAsia="Arial" w:hAnsi="Arial"/>
                  <w:sz w:val="18"/>
                  <w:szCs w:val="18"/>
                  <w:color w:val="0000EE"/>
                  <w:w w:val="90"/>
                </w:rPr>
                <w:t>the Sarbanes-Oxley Act of 2002</w:t>
              </w:r>
            </w:hyperlink>
          </w:p>
        </w:tc>
        <w:tc>
          <w:tcPr>
            <w:tcW w:w="2520" w:type="dxa"/>
            <w:vAlign w:val="bottom"/>
            <w:tcBorders>
              <w:top w:val="single" w:sz="8" w:color="0000EE"/>
            </w:tcBorders>
            <w:gridSpan w:val="2"/>
          </w:tcPr>
          <w:p>
            <w:pPr>
              <w:spacing w:after="0"/>
              <w:rPr>
                <w:sz w:val="17"/>
                <w:szCs w:val="17"/>
                <w:color w:val="auto"/>
              </w:rPr>
            </w:pPr>
          </w:p>
        </w:tc>
        <w:tc>
          <w:tcPr>
            <w:tcW w:w="260" w:type="dxa"/>
            <w:vAlign w:val="bottom"/>
            <w:gridSpan w:val="4"/>
          </w:tcPr>
          <w:p>
            <w:pPr>
              <w:spacing w:after="0"/>
              <w:rPr>
                <w:sz w:val="17"/>
                <w:szCs w:val="17"/>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80" w:type="dxa"/>
            <w:vAlign w:val="bottom"/>
          </w:tcPr>
          <w:p>
            <w:pPr>
              <w:spacing w:after="0"/>
              <w:rPr>
                <w:sz w:val="17"/>
                <w:szCs w:val="17"/>
                <w:color w:val="auto"/>
              </w:rPr>
            </w:pPr>
          </w:p>
        </w:tc>
        <w:tc>
          <w:tcPr>
            <w:tcW w:w="49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32">
              <w:r>
                <w:rPr>
                  <w:rFonts w:ascii="Arial" w:cs="Arial" w:eastAsia="Arial" w:hAnsi="Arial"/>
                  <w:sz w:val="18"/>
                  <w:szCs w:val="18"/>
                  <w:color w:val="0000EE"/>
                  <w:w w:val="92"/>
                </w:rPr>
                <w:t>Certification of the Chief Executive Officer pursuant Section 906 of</w:t>
              </w:r>
            </w:hyperlink>
          </w:p>
        </w:tc>
        <w:tc>
          <w:tcPr>
            <w:tcW w:w="200" w:type="dxa"/>
            <w:vAlign w:val="bottom"/>
            <w:gridSpan w:val="3"/>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the Sarbanes-Oxley Act of 2002</w:t>
              </w:r>
            </w:hyperlink>
          </w:p>
        </w:tc>
        <w:tc>
          <w:tcPr>
            <w:tcW w:w="2780" w:type="dxa"/>
            <w:vAlign w:val="bottom"/>
            <w:gridSpan w:val="6"/>
          </w:tcPr>
          <w:p>
            <w:pPr>
              <w:spacing w:after="0"/>
              <w:rPr>
                <w:sz w:val="17"/>
                <w:szCs w:val="17"/>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80" w:type="dxa"/>
            <w:vAlign w:val="bottom"/>
          </w:tcPr>
          <w:p>
            <w:pPr>
              <w:spacing w:after="0"/>
              <w:rPr>
                <w:sz w:val="17"/>
                <w:szCs w:val="17"/>
                <w:color w:val="auto"/>
              </w:rPr>
            </w:pPr>
          </w:p>
        </w:tc>
        <w:tc>
          <w:tcPr>
            <w:tcW w:w="5100" w:type="dxa"/>
            <w:vAlign w:val="bottom"/>
            <w:gridSpan w:val="7"/>
          </w:tcPr>
          <w:p>
            <w:pPr>
              <w:spacing w:after="0" w:line="196" w:lineRule="exact"/>
              <w:rPr>
                <w:rFonts w:ascii="Arial" w:cs="Arial" w:eastAsia="Arial" w:hAnsi="Arial"/>
                <w:sz w:val="18"/>
                <w:szCs w:val="18"/>
                <w:color w:val="0000EE"/>
                <w:w w:val="97"/>
              </w:rPr>
            </w:pPr>
            <w:hyperlink w:anchor="page133">
              <w:r>
                <w:rPr>
                  <w:rFonts w:ascii="Arial" w:cs="Arial" w:eastAsia="Arial" w:hAnsi="Arial"/>
                  <w:sz w:val="18"/>
                  <w:szCs w:val="18"/>
                  <w:color w:val="0000EE"/>
                  <w:w w:val="97"/>
                </w:rPr>
                <w:t>Certification of the Chief Financial Officer pursuant Section 906 of</w:t>
              </w:r>
            </w:hyperlink>
          </w:p>
        </w:tc>
        <w:tc>
          <w:tcPr>
            <w:tcW w:w="84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the Sarbanes-Oxley Act of 2002</w:t>
              </w:r>
            </w:hyperlink>
          </w:p>
        </w:tc>
        <w:tc>
          <w:tcPr>
            <w:tcW w:w="2520" w:type="dxa"/>
            <w:vAlign w:val="bottom"/>
            <w:tcBorders>
              <w:top w:val="single" w:sz="8" w:color="0000EE"/>
            </w:tcBorders>
            <w:gridSpan w:val="2"/>
          </w:tcPr>
          <w:p>
            <w:pPr>
              <w:spacing w:after="0"/>
              <w:rPr>
                <w:sz w:val="17"/>
                <w:szCs w:val="17"/>
                <w:color w:val="auto"/>
              </w:rPr>
            </w:pPr>
          </w:p>
        </w:tc>
        <w:tc>
          <w:tcPr>
            <w:tcW w:w="260" w:type="dxa"/>
            <w:vAlign w:val="bottom"/>
            <w:gridSpan w:val="4"/>
          </w:tcPr>
          <w:p>
            <w:pPr>
              <w:spacing w:after="0"/>
              <w:rPr>
                <w:sz w:val="17"/>
                <w:szCs w:val="17"/>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X</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5100" w:type="dxa"/>
            <w:vAlign w:val="bottom"/>
            <w:gridSpan w:val="7"/>
          </w:tcPr>
          <w:p>
            <w:pPr>
              <w:spacing w:after="0"/>
              <w:rPr>
                <w:sz w:val="20"/>
                <w:szCs w:val="20"/>
                <w:color w:val="auto"/>
              </w:rPr>
            </w:pPr>
            <w:r>
              <w:rPr>
                <w:rFonts w:ascii="Arial" w:cs="Arial" w:eastAsia="Arial" w:hAnsi="Arial"/>
                <w:sz w:val="18"/>
                <w:szCs w:val="18"/>
                <w:color w:val="auto"/>
              </w:rPr>
              <w:t>The following financial statements from the Company’s Annual</w:t>
            </w:r>
          </w:p>
        </w:tc>
        <w:tc>
          <w:tcPr>
            <w:tcW w:w="84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100" w:type="dxa"/>
            <w:vAlign w:val="bottom"/>
            <w:gridSpan w:val="7"/>
          </w:tcPr>
          <w:p>
            <w:pPr>
              <w:spacing w:after="0"/>
              <w:rPr>
                <w:sz w:val="20"/>
                <w:szCs w:val="20"/>
                <w:color w:val="auto"/>
              </w:rPr>
            </w:pPr>
            <w:r>
              <w:rPr>
                <w:rFonts w:ascii="Arial" w:cs="Arial" w:eastAsia="Arial" w:hAnsi="Arial"/>
                <w:sz w:val="18"/>
                <w:szCs w:val="18"/>
                <w:color w:val="auto"/>
              </w:rPr>
              <w:t>Report on Form 10-K for the year ended December 31, 2018,</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00" w:type="dxa"/>
            <w:vAlign w:val="bottom"/>
            <w:gridSpan w:val="7"/>
          </w:tcPr>
          <w:p>
            <w:pPr>
              <w:spacing w:after="0"/>
              <w:rPr>
                <w:sz w:val="20"/>
                <w:szCs w:val="20"/>
                <w:color w:val="auto"/>
              </w:rPr>
            </w:pPr>
            <w:r>
              <w:rPr>
                <w:rFonts w:ascii="Arial" w:cs="Arial" w:eastAsia="Arial" w:hAnsi="Arial"/>
                <w:sz w:val="18"/>
                <w:szCs w:val="18"/>
                <w:color w:val="auto"/>
                <w:w w:val="97"/>
              </w:rPr>
              <w:t>formatted in XBRL: (i) Consolidated Statements of Operations, (ii)</w:t>
            </w: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00"/>
        <w:spacing w:after="0"/>
        <w:rPr>
          <w:sz w:val="20"/>
          <w:szCs w:val="20"/>
          <w:color w:val="auto"/>
        </w:rPr>
      </w:pPr>
      <w:r>
        <w:rPr>
          <w:rFonts w:ascii="Arial" w:cs="Arial" w:eastAsia="Arial" w:hAnsi="Arial"/>
          <w:sz w:val="18"/>
          <w:szCs w:val="18"/>
          <w:color w:val="auto"/>
        </w:rPr>
        <w:t>Consolidated Statements of Comprehensive Income, (iii)</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Consolidated Balance Sheets, (iv) Consolidated Statements of</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Changes in Stockholders’ Equity, (v) Consolidated Statements of</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Cash Flows, and (vi) 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Indicates a management contract or a compensatory plan, contract or arrangement.</w:t>
      </w:r>
    </w:p>
    <w:p>
      <w:pPr>
        <w:spacing w:after="0" w:line="200" w:lineRule="exact"/>
        <w:rPr>
          <w:sz w:val="20"/>
          <w:szCs w:val="20"/>
          <w:color w:val="auto"/>
        </w:rPr>
      </w:pPr>
    </w:p>
    <w:p>
      <w:pPr>
        <w:spacing w:after="0" w:line="224"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Pursuant to the requirements of the Section 13 or 15(d) of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TRIPADVISOR, INC.</w:t>
      </w:r>
    </w:p>
    <w:p>
      <w:pPr>
        <w:spacing w:after="0" w:line="252" w:lineRule="exact"/>
        <w:rPr>
          <w:sz w:val="20"/>
          <w:szCs w:val="20"/>
          <w:color w:val="auto"/>
        </w:rPr>
      </w:pPr>
    </w:p>
    <w:p>
      <w:pPr>
        <w:ind w:left="7320"/>
        <w:spacing w:after="0"/>
        <w:tabs>
          <w:tab w:leader="none" w:pos="7800" w:val="left"/>
        </w:tabs>
        <w:rPr>
          <w:sz w:val="20"/>
          <w:szCs w:val="20"/>
          <w:color w:val="auto"/>
        </w:rPr>
      </w:pPr>
      <w:r>
        <w:rPr>
          <w:rFonts w:ascii="Arial" w:cs="Arial" w:eastAsia="Arial" w:hAnsi="Arial"/>
          <w:sz w:val="18"/>
          <w:szCs w:val="18"/>
          <w:color w:val="auto"/>
        </w:rPr>
        <w:t>By:</w:t>
        <w:tab/>
        <w:t>/s/ STEPHEN KAUFER</w:t>
      </w:r>
    </w:p>
    <w:p>
      <w:pPr>
        <w:spacing w:after="0" w:line="23" w:lineRule="exact"/>
        <w:rPr>
          <w:sz w:val="20"/>
          <w:szCs w:val="20"/>
          <w:color w:val="auto"/>
        </w:rPr>
      </w:pPr>
    </w:p>
    <w:p>
      <w:pPr>
        <w:spacing w:after="0"/>
        <w:tabs>
          <w:tab w:leader="none" w:pos="7800" w:val="left"/>
        </w:tabs>
        <w:rPr>
          <w:sz w:val="20"/>
          <w:szCs w:val="20"/>
          <w:color w:val="auto"/>
        </w:rPr>
      </w:pPr>
      <w:r>
        <w:rPr>
          <w:rFonts w:ascii="Arial" w:cs="Arial" w:eastAsia="Arial" w:hAnsi="Arial"/>
          <w:sz w:val="18"/>
          <w:szCs w:val="18"/>
          <w:color w:val="auto"/>
        </w:rPr>
        <w:t>February 22, 2019</w:t>
      </w:r>
      <w:r>
        <w:rPr>
          <w:sz w:val="20"/>
          <w:szCs w:val="20"/>
          <w:color w:val="auto"/>
        </w:rPr>
        <w:tab/>
      </w:r>
      <w:r>
        <w:rPr>
          <w:rFonts w:ascii="Arial" w:cs="Arial" w:eastAsia="Arial" w:hAnsi="Arial"/>
          <w:sz w:val="16"/>
          <w:szCs w:val="16"/>
          <w:color w:val="auto"/>
        </w:rPr>
        <w:t>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-130810</wp:posOffset>
            </wp:positionV>
            <wp:extent cx="22898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Executive Officer and President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60" w:firstLine="598"/>
        <w:spacing w:after="0" w:line="302" w:lineRule="auto"/>
        <w:rPr>
          <w:sz w:val="20"/>
          <w:szCs w:val="20"/>
          <w:color w:val="auto"/>
        </w:rPr>
      </w:pPr>
      <w:r>
        <w:rPr>
          <w:rFonts w:ascii="Arial" w:cs="Arial" w:eastAsia="Arial" w:hAnsi="Arial"/>
          <w:sz w:val="16"/>
          <w:szCs w:val="16"/>
          <w:color w:val="auto"/>
        </w:rPr>
        <w:t>We, the undersigned officers and directors of TripAdvisor, Inc., hereby severally constitute and appoint Stephen Kaufer and Ernst Teunissen,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as amended, and all requirements of the Securities and Exchange Commission.</w:t>
      </w:r>
    </w:p>
    <w:p>
      <w:pPr>
        <w:spacing w:after="0" w:line="154" w:lineRule="exact"/>
        <w:rPr>
          <w:sz w:val="20"/>
          <w:szCs w:val="20"/>
          <w:color w:val="auto"/>
        </w:rPr>
      </w:pPr>
    </w:p>
    <w:p>
      <w:pPr>
        <w:ind w:right="380" w:firstLine="598"/>
        <w:spacing w:after="0" w:line="25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22, 2019.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4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Signature</w:t>
            </w:r>
          </w:p>
        </w:tc>
        <w:tc>
          <w:tcPr>
            <w:tcW w:w="1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3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c>
          <w:tcPr>
            <w:tcW w:w="1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Chief Executive Officer, President and Director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Stephen Kaufer</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37"/>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c>
          <w:tcPr>
            <w:tcW w:w="1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Ernst Teunissen</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337"/>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NOEL WATSON</w:t>
            </w:r>
          </w:p>
        </w:tc>
        <w:tc>
          <w:tcPr>
            <w:tcW w:w="1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Noel Watson</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337"/>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B. MAFFEI</w:t>
            </w:r>
          </w:p>
        </w:tc>
        <w:tc>
          <w:tcPr>
            <w:tcW w:w="1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r>
      <w:tr>
        <w:trPr>
          <w:trHeight w:val="264"/>
        </w:trPr>
        <w:tc>
          <w:tcPr>
            <w:tcW w:w="4340" w:type="dxa"/>
            <w:vAlign w:val="bottom"/>
          </w:tcPr>
          <w:p>
            <w:pPr>
              <w:spacing w:after="0"/>
              <w:rPr>
                <w:sz w:val="20"/>
                <w:szCs w:val="20"/>
                <w:color w:val="auto"/>
              </w:rPr>
            </w:pPr>
            <w:r>
              <w:rPr>
                <w:rFonts w:ascii="Arial" w:cs="Arial" w:eastAsia="Arial" w:hAnsi="Arial"/>
                <w:sz w:val="18"/>
                <w:szCs w:val="18"/>
                <w:color w:val="auto"/>
              </w:rPr>
              <w:t>Gregory B. Maffei</w:t>
            </w: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0" w:type="dxa"/>
            <w:vAlign w:val="bottom"/>
          </w:tcPr>
          <w:p>
            <w:pPr>
              <w:spacing w:after="0"/>
              <w:rPr>
                <w:sz w:val="22"/>
                <w:szCs w:val="22"/>
                <w:color w:val="auto"/>
              </w:rPr>
            </w:pPr>
          </w:p>
        </w:tc>
      </w:tr>
      <w:tr>
        <w:trPr>
          <w:trHeight w:val="378"/>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C. HOAG</w:t>
            </w:r>
          </w:p>
        </w:tc>
        <w:tc>
          <w:tcPr>
            <w:tcW w:w="1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Jay C. Hoag</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7"/>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DIPCHAND V. NISHAR</w:t>
            </w:r>
          </w:p>
        </w:tc>
        <w:tc>
          <w:tcPr>
            <w:tcW w:w="1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Dipchand V. Nishar</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7"/>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PHILIPS</w:t>
            </w:r>
          </w:p>
        </w:tc>
        <w:tc>
          <w:tcPr>
            <w:tcW w:w="1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Jeremy Philips</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7"/>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SPENCER M. RASCOFF</w:t>
            </w:r>
          </w:p>
        </w:tc>
        <w:tc>
          <w:tcPr>
            <w:tcW w:w="1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Spencer M. Rascoff</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337"/>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E. ROSENTHALER</w:t>
            </w:r>
          </w:p>
        </w:tc>
        <w:tc>
          <w:tcPr>
            <w:tcW w:w="1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50"/>
        </w:trPr>
        <w:tc>
          <w:tcPr>
            <w:tcW w:w="4340" w:type="dxa"/>
            <w:vAlign w:val="bottom"/>
          </w:tcPr>
          <w:p>
            <w:pPr>
              <w:spacing w:after="0"/>
              <w:rPr>
                <w:sz w:val="20"/>
                <w:szCs w:val="20"/>
                <w:color w:val="auto"/>
              </w:rPr>
            </w:pPr>
            <w:r>
              <w:rPr>
                <w:rFonts w:ascii="Arial" w:cs="Arial" w:eastAsia="Arial" w:hAnsi="Arial"/>
                <w:sz w:val="18"/>
                <w:szCs w:val="18"/>
                <w:color w:val="auto"/>
              </w:rPr>
              <w:t>Albert E. Rosenthaler</w:t>
            </w: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351"/>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 WIESENTHAL</w:t>
            </w:r>
          </w:p>
        </w:tc>
        <w:tc>
          <w:tcPr>
            <w:tcW w:w="12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Robert S. Wiesenthal</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891"/>
        </w:trPr>
        <w:tc>
          <w:tcPr>
            <w:tcW w:w="4340" w:type="dxa"/>
            <w:vAlign w:val="bottom"/>
          </w:tcPr>
          <w:p>
            <w:pPr>
              <w:spacing w:after="0"/>
              <w:rPr>
                <w:sz w:val="24"/>
                <w:szCs w:val="24"/>
                <w:color w:val="auto"/>
              </w:rPr>
            </w:pPr>
          </w:p>
        </w:tc>
        <w:tc>
          <w:tcPr>
            <w:tcW w:w="7080" w:type="dxa"/>
            <w:vAlign w:val="bottom"/>
            <w:gridSpan w:val="3"/>
          </w:tcPr>
          <w:p>
            <w:pPr>
              <w:jc w:val="right"/>
              <w:ind w:right="5491"/>
              <w:spacing w:after="0"/>
              <w:rPr>
                <w:sz w:val="20"/>
                <w:szCs w:val="20"/>
                <w:color w:val="auto"/>
              </w:rPr>
            </w:pPr>
            <w:r>
              <w:rPr>
                <w:rFonts w:ascii="Arial" w:cs="Arial" w:eastAsia="Arial" w:hAnsi="Arial"/>
                <w:sz w:val="18"/>
                <w:szCs w:val="18"/>
                <w:color w:val="auto"/>
              </w:rPr>
              <w:t>124</w:t>
            </w:r>
          </w:p>
        </w:tc>
      </w:tr>
    </w:tbl>
    <w:p>
      <w:pPr>
        <w:sectPr>
          <w:pgSz w:w="11900" w:h="16838" w:orient="portrait"/>
          <w:cols w:equalWidth="0" w:num="1">
            <w:col w:w="11420"/>
          </w:cols>
          <w:pgMar w:left="240" w:top="337" w:right="2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ind w:left="760"/>
              <w:spacing w:after="0"/>
              <w:rPr>
                <w:sz w:val="20"/>
                <w:szCs w:val="20"/>
                <w:color w:val="auto"/>
              </w:rPr>
            </w:pPr>
            <w:r>
              <w:rPr>
                <w:rFonts w:ascii="Arial" w:cs="Arial" w:eastAsia="Arial" w:hAnsi="Arial"/>
                <w:sz w:val="18"/>
                <w:szCs w:val="18"/>
                <w:b w:val="1"/>
                <w:bCs w:val="1"/>
                <w:color w:val="auto"/>
                <w:w w:val="93"/>
              </w:rPr>
              <w:t>Exhibit 21.1</w:t>
            </w:r>
          </w:p>
        </w:tc>
      </w:tr>
      <w:tr>
        <w:trPr>
          <w:trHeight w:val="432"/>
        </w:trPr>
        <w:tc>
          <w:tcPr>
            <w:tcW w:w="20" w:type="dxa"/>
            <w:vAlign w:val="bottom"/>
          </w:tcPr>
          <w:p>
            <w:pPr>
              <w:spacing w:after="0"/>
              <w:rPr>
                <w:sz w:val="24"/>
                <w:szCs w:val="24"/>
                <w:color w:val="auto"/>
              </w:rPr>
            </w:pPr>
          </w:p>
        </w:tc>
        <w:tc>
          <w:tcPr>
            <w:tcW w:w="9580" w:type="dxa"/>
            <w:vAlign w:val="bottom"/>
            <w:gridSpan w:val="2"/>
          </w:tcPr>
          <w:p>
            <w:pPr>
              <w:ind w:left="4560"/>
              <w:spacing w:after="0"/>
              <w:rPr>
                <w:sz w:val="20"/>
                <w:szCs w:val="20"/>
                <w:color w:val="auto"/>
              </w:rPr>
            </w:pPr>
            <w:r>
              <w:rPr>
                <w:rFonts w:ascii="Arial" w:cs="Arial" w:eastAsia="Arial" w:hAnsi="Arial"/>
                <w:sz w:val="18"/>
                <w:szCs w:val="18"/>
                <w:b w:val="1"/>
                <w:bCs w:val="1"/>
                <w:color w:val="auto"/>
              </w:rPr>
              <w:t>Subsidiaries of the Registrant</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DOMESTIC</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7"/>
        </w:trPr>
        <w:tc>
          <w:tcPr>
            <w:tcW w:w="2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Jurisdiction of</w:t>
            </w:r>
          </w:p>
        </w:tc>
      </w:tr>
      <w:tr>
        <w:trPr>
          <w:trHeight w:val="234"/>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Entity</w:t>
            </w:r>
          </w:p>
        </w:tc>
        <w:tc>
          <w:tcPr>
            <w:tcW w:w="120" w:type="dxa"/>
            <w:vAlign w:val="bottom"/>
          </w:tcPr>
          <w:p>
            <w:pPr>
              <w:spacing w:after="0"/>
              <w:rPr>
                <w:sz w:val="20"/>
                <w:szCs w:val="20"/>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Formation</w:t>
            </w:r>
          </w:p>
        </w:tc>
      </w:tr>
      <w:tr>
        <w:trPr>
          <w:trHeight w:val="209"/>
        </w:trPr>
        <w:tc>
          <w:tcPr>
            <w:tcW w:w="20" w:type="dxa"/>
            <w:vAlign w:val="bottom"/>
          </w:tcPr>
          <w:p>
            <w:pPr>
              <w:spacing w:after="0"/>
              <w:rPr>
                <w:sz w:val="18"/>
                <w:szCs w:val="18"/>
                <w:color w:val="auto"/>
              </w:rPr>
            </w:pPr>
          </w:p>
        </w:tc>
        <w:tc>
          <w:tcPr>
            <w:tcW w:w="9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TripAdvisor Holdings, LLC</w:t>
            </w: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FlipKey,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640"/>
              <w:spacing w:after="0"/>
              <w:rPr>
                <w:sz w:val="20"/>
                <w:szCs w:val="20"/>
                <w:color w:val="auto"/>
              </w:rPr>
            </w:pPr>
            <w:r>
              <w:rPr>
                <w:rFonts w:ascii="Arial" w:cs="Arial" w:eastAsia="Arial" w:hAnsi="Arial"/>
                <w:sz w:val="18"/>
                <w:szCs w:val="18"/>
                <w:color w:val="auto"/>
              </w:rPr>
              <w:t>Vacation Home Rentals,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Global Motion Media,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Oyster Travel Corporation</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Smarter Travel Media 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NV</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640"/>
              <w:spacing w:after="0"/>
              <w:rPr>
                <w:sz w:val="20"/>
                <w:szCs w:val="20"/>
                <w:color w:val="auto"/>
              </w:rPr>
            </w:pPr>
            <w:r>
              <w:rPr>
                <w:rFonts w:ascii="Arial" w:cs="Arial" w:eastAsia="Arial" w:hAnsi="Arial"/>
                <w:sz w:val="18"/>
                <w:szCs w:val="18"/>
                <w:color w:val="auto"/>
              </w:rPr>
              <w:t>Jetsetter,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Viator,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The Independent Traveler,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NJ</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APAC Holdings Corp.</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660"/>
              <w:spacing w:after="0"/>
              <w:rPr>
                <w:sz w:val="20"/>
                <w:szCs w:val="20"/>
                <w:color w:val="auto"/>
              </w:rPr>
            </w:pPr>
            <w:r>
              <w:rPr>
                <w:rFonts w:ascii="Arial" w:cs="Arial" w:eastAsia="Arial" w:hAnsi="Arial"/>
                <w:sz w:val="18"/>
                <w:szCs w:val="18"/>
                <w:color w:val="auto"/>
              </w:rPr>
              <w:t>TripAdvisor GP1 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660"/>
              <w:spacing w:after="0"/>
              <w:rPr>
                <w:sz w:val="20"/>
                <w:szCs w:val="20"/>
                <w:color w:val="auto"/>
              </w:rPr>
            </w:pPr>
            <w:r>
              <w:rPr>
                <w:rFonts w:ascii="Arial" w:cs="Arial" w:eastAsia="Arial" w:hAnsi="Arial"/>
                <w:sz w:val="18"/>
                <w:szCs w:val="18"/>
                <w:color w:val="auto"/>
              </w:rPr>
              <w:t>TripAdvisor GP2 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660"/>
              <w:spacing w:after="0"/>
              <w:rPr>
                <w:sz w:val="20"/>
                <w:szCs w:val="20"/>
                <w:color w:val="auto"/>
              </w:rPr>
            </w:pPr>
            <w:r>
              <w:rPr>
                <w:rFonts w:ascii="Arial" w:cs="Arial" w:eastAsia="Arial" w:hAnsi="Arial"/>
                <w:sz w:val="18"/>
                <w:szCs w:val="18"/>
                <w:color w:val="auto"/>
              </w:rPr>
              <w:t>TripAdvisor Finance 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660"/>
              <w:spacing w:after="0"/>
              <w:rPr>
                <w:sz w:val="20"/>
                <w:szCs w:val="20"/>
                <w:color w:val="auto"/>
              </w:rPr>
            </w:pPr>
            <w:r>
              <w:rPr>
                <w:rFonts w:ascii="Arial" w:cs="Arial" w:eastAsia="Arial" w:hAnsi="Arial"/>
                <w:sz w:val="18"/>
                <w:szCs w:val="18"/>
                <w:color w:val="auto"/>
              </w:rPr>
              <w:t>TripAdvisor LP2 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230"/>
        </w:trPr>
        <w:tc>
          <w:tcPr>
            <w:tcW w:w="20" w:type="dxa"/>
            <w:vAlign w:val="bottom"/>
          </w:tcPr>
          <w:p>
            <w:pPr>
              <w:spacing w:after="0"/>
              <w:rPr>
                <w:sz w:val="19"/>
                <w:szCs w:val="19"/>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Securities Corporation</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MA</w:t>
            </w:r>
          </w:p>
        </w:tc>
      </w:tr>
      <w:tr>
        <w:trPr>
          <w:trHeight w:val="230"/>
        </w:trPr>
        <w:tc>
          <w:tcPr>
            <w:tcW w:w="20" w:type="dxa"/>
            <w:vAlign w:val="bottom"/>
          </w:tcPr>
          <w:p>
            <w:pPr>
              <w:spacing w:after="0"/>
              <w:rPr>
                <w:sz w:val="20"/>
                <w:szCs w:val="20"/>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CityMaps, Inc.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DE</w:t>
            </w:r>
          </w:p>
        </w:tc>
      </w:tr>
      <w:tr>
        <w:trPr>
          <w:trHeight w:val="540"/>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INTERNATIONAL</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Jurisdiction of</w:t>
            </w:r>
          </w:p>
        </w:tc>
      </w:tr>
      <w:tr>
        <w:trPr>
          <w:trHeight w:val="234"/>
        </w:trPr>
        <w:tc>
          <w:tcPr>
            <w:tcW w:w="9600" w:type="dxa"/>
            <w:vAlign w:val="bottom"/>
            <w:gridSpan w:val="3"/>
          </w:tcPr>
          <w:p>
            <w:pPr>
              <w:spacing w:after="0"/>
              <w:rPr>
                <w:sz w:val="20"/>
                <w:szCs w:val="20"/>
                <w:color w:val="auto"/>
              </w:rPr>
            </w:pPr>
            <w:r>
              <w:rPr>
                <w:rFonts w:ascii="Arial" w:cs="Arial" w:eastAsia="Arial" w:hAnsi="Arial"/>
                <w:sz w:val="18"/>
                <w:szCs w:val="18"/>
                <w:b w:val="1"/>
                <w:bCs w:val="1"/>
                <w:color w:val="auto"/>
              </w:rPr>
              <w:t>Entity</w:t>
            </w:r>
          </w:p>
        </w:tc>
        <w:tc>
          <w:tcPr>
            <w:tcW w:w="120" w:type="dxa"/>
            <w:vAlign w:val="bottom"/>
          </w:tcPr>
          <w:p>
            <w:pPr>
              <w:spacing w:after="0"/>
              <w:rPr>
                <w:sz w:val="20"/>
                <w:szCs w:val="20"/>
                <w:color w:val="auto"/>
              </w:rPr>
            </w:pPr>
          </w:p>
        </w:tc>
        <w:tc>
          <w:tcPr>
            <w:tcW w:w="17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Formation</w:t>
            </w:r>
          </w:p>
        </w:tc>
      </w:tr>
      <w:tr>
        <w:trPr>
          <w:trHeight w:val="195"/>
        </w:trPr>
        <w:tc>
          <w:tcPr>
            <w:tcW w:w="20" w:type="dxa"/>
            <w:vAlign w:val="bottom"/>
          </w:tcPr>
          <w:p>
            <w:pPr>
              <w:spacing w:after="0"/>
              <w:rPr>
                <w:sz w:val="16"/>
                <w:szCs w:val="16"/>
                <w:color w:val="auto"/>
              </w:rPr>
            </w:pPr>
          </w:p>
        </w:tc>
        <w:tc>
          <w:tcPr>
            <w:tcW w:w="9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TripAdvisor UK1 LP</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6"/>
                <w:szCs w:val="16"/>
                <w:color w:val="auto"/>
              </w:rPr>
            </w:pP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TripAdvisor UK2 LP</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Bokun ehf</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Iceland</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220"/>
              <w:spacing w:after="0"/>
              <w:rPr>
                <w:sz w:val="20"/>
                <w:szCs w:val="20"/>
                <w:color w:val="auto"/>
              </w:rPr>
            </w:pPr>
            <w:r>
              <w:rPr>
                <w:rFonts w:ascii="Arial" w:cs="Arial" w:eastAsia="Arial" w:hAnsi="Arial"/>
                <w:sz w:val="18"/>
                <w:szCs w:val="18"/>
                <w:color w:val="auto"/>
              </w:rPr>
              <w:t>Bokun Payment Services ehf.</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Iceland</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220"/>
              <w:spacing w:after="0"/>
              <w:rPr>
                <w:sz w:val="20"/>
                <w:szCs w:val="20"/>
                <w:color w:val="auto"/>
              </w:rPr>
            </w:pPr>
            <w:r>
              <w:rPr>
                <w:rFonts w:ascii="Arial" w:cs="Arial" w:eastAsia="Arial" w:hAnsi="Arial"/>
                <w:sz w:val="18"/>
                <w:szCs w:val="18"/>
                <w:color w:val="auto"/>
              </w:rPr>
              <w:t>Bokun International ehf.</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Iceland</w:t>
            </w: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Viator Systems Pty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Australia</w:t>
            </w: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Viator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TripAdvisor Canada Corp.</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Canada</w:t>
            </w: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TripAdvisor Travel India Private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India</w:t>
            </w: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TripAdvisor (Barbados) Srl</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Barbados</w:t>
            </w: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TripAdvisor Cayman Holdings II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Cayman</w:t>
            </w:r>
          </w:p>
        </w:tc>
      </w:tr>
      <w:tr>
        <w:trPr>
          <w:trHeight w:val="216"/>
        </w:trPr>
        <w:tc>
          <w:tcPr>
            <w:tcW w:w="9600" w:type="dxa"/>
            <w:vAlign w:val="bottom"/>
            <w:gridSpan w:val="3"/>
          </w:tcPr>
          <w:p>
            <w:pPr>
              <w:spacing w:after="0"/>
              <w:rPr>
                <w:sz w:val="20"/>
                <w:szCs w:val="20"/>
                <w:color w:val="auto"/>
              </w:rPr>
            </w:pPr>
            <w:r>
              <w:rPr>
                <w:rFonts w:ascii="Arial" w:cs="Arial" w:eastAsia="Arial" w:hAnsi="Arial"/>
                <w:sz w:val="18"/>
                <w:szCs w:val="18"/>
                <w:color w:val="auto"/>
              </w:rPr>
              <w:t>TripAdvisor UK Holdco, Ltd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Holiday Lettings (Holdings) Ltd.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640"/>
              <w:spacing w:after="0"/>
              <w:rPr>
                <w:sz w:val="20"/>
                <w:szCs w:val="20"/>
                <w:color w:val="auto"/>
              </w:rPr>
            </w:pPr>
            <w:r>
              <w:rPr>
                <w:rFonts w:ascii="Arial" w:cs="Arial" w:eastAsia="Arial" w:hAnsi="Arial"/>
                <w:sz w:val="18"/>
                <w:szCs w:val="18"/>
                <w:color w:val="auto"/>
              </w:rPr>
              <w:t>Holiday Lettings Ltd.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780"/>
              <w:spacing w:after="0"/>
              <w:rPr>
                <w:sz w:val="20"/>
                <w:szCs w:val="20"/>
                <w:color w:val="auto"/>
              </w:rPr>
            </w:pPr>
            <w:r>
              <w:rPr>
                <w:rFonts w:ascii="Arial" w:cs="Arial" w:eastAsia="Arial" w:hAnsi="Arial"/>
                <w:sz w:val="18"/>
                <w:szCs w:val="18"/>
                <w:color w:val="auto"/>
              </w:rPr>
              <w:t>HouseTrip SA</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Switzerland</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1000"/>
              <w:spacing w:after="0"/>
              <w:rPr>
                <w:sz w:val="20"/>
                <w:szCs w:val="20"/>
                <w:color w:val="auto"/>
              </w:rPr>
            </w:pPr>
            <w:r>
              <w:rPr>
                <w:rFonts w:ascii="Arial" w:cs="Arial" w:eastAsia="Arial" w:hAnsi="Arial"/>
                <w:sz w:val="18"/>
                <w:szCs w:val="18"/>
                <w:color w:val="auto"/>
              </w:rPr>
              <w:t>HouseTrip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1000"/>
              <w:spacing w:after="0"/>
              <w:rPr>
                <w:sz w:val="20"/>
                <w:szCs w:val="20"/>
                <w:color w:val="auto"/>
              </w:rPr>
            </w:pPr>
            <w:r>
              <w:rPr>
                <w:rFonts w:ascii="Arial" w:cs="Arial" w:eastAsia="Arial" w:hAnsi="Arial"/>
                <w:sz w:val="18"/>
                <w:szCs w:val="18"/>
                <w:color w:val="auto"/>
              </w:rPr>
              <w:t>Tortoise Software Limited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Australia Pty. Ltd.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GmbH</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Germany</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France SAS</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France</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Italy Srl</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Italy</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420"/>
              <w:spacing w:after="0"/>
              <w:rPr>
                <w:sz w:val="20"/>
                <w:szCs w:val="20"/>
                <w:color w:val="auto"/>
              </w:rPr>
            </w:pPr>
            <w:r>
              <w:rPr>
                <w:rFonts w:ascii="Arial" w:cs="Arial" w:eastAsia="Arial" w:hAnsi="Arial"/>
                <w:sz w:val="18"/>
                <w:szCs w:val="18"/>
                <w:color w:val="auto"/>
              </w:rPr>
              <w:t>TripAdvisor Spain S.L.</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Spain</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Guia de Apartamentos Niumba, S.L.</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Spain</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Argentina SRL</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Argentina</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Portugal, Unipessoal Lda</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Portugal</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Consultoria Em Publicidade de Viagens e Turismo Ltda.</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Brazil</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Ireland Ltd</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Ireland</w:t>
            </w:r>
          </w:p>
        </w:tc>
      </w:tr>
      <w:tr>
        <w:trPr>
          <w:trHeight w:val="216"/>
        </w:trPr>
        <w:tc>
          <w:tcPr>
            <w:tcW w:w="20" w:type="dxa"/>
            <w:vAlign w:val="bottom"/>
          </w:tcPr>
          <w:p>
            <w:pPr>
              <w:spacing w:after="0"/>
              <w:rPr>
                <w:sz w:val="18"/>
                <w:szCs w:val="18"/>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FZ-LLC</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Dubai</w:t>
            </w:r>
          </w:p>
        </w:tc>
      </w:tr>
      <w:tr>
        <w:trPr>
          <w:trHeight w:val="230"/>
        </w:trPr>
        <w:tc>
          <w:tcPr>
            <w:tcW w:w="20" w:type="dxa"/>
            <w:vAlign w:val="bottom"/>
          </w:tcPr>
          <w:p>
            <w:pPr>
              <w:spacing w:after="0"/>
              <w:rPr>
                <w:sz w:val="20"/>
                <w:szCs w:val="20"/>
                <w:color w:val="auto"/>
              </w:rPr>
            </w:pPr>
          </w:p>
        </w:tc>
        <w:tc>
          <w:tcPr>
            <w:tcW w:w="9580" w:type="dxa"/>
            <w:vAlign w:val="bottom"/>
            <w:gridSpan w:val="2"/>
          </w:tcPr>
          <w:p>
            <w:pPr>
              <w:ind w:left="200"/>
              <w:spacing w:after="0"/>
              <w:rPr>
                <w:sz w:val="20"/>
                <w:szCs w:val="20"/>
                <w:color w:val="auto"/>
              </w:rPr>
            </w:pPr>
            <w:r>
              <w:rPr>
                <w:rFonts w:ascii="Arial" w:cs="Arial" w:eastAsia="Arial" w:hAnsi="Arial"/>
                <w:sz w:val="18"/>
                <w:szCs w:val="18"/>
                <w:color w:val="auto"/>
              </w:rPr>
              <w:t>TripAdvisor LF Holdings (France) SAS</w:t>
            </w:r>
          </w:p>
        </w:tc>
        <w:tc>
          <w:tcPr>
            <w:tcW w:w="1840" w:type="dxa"/>
            <w:vAlign w:val="bottom"/>
            <w:gridSpan w:val="3"/>
          </w:tcPr>
          <w:p>
            <w:pPr>
              <w:ind w:left="120"/>
              <w:spacing w:after="0"/>
              <w:rPr>
                <w:sz w:val="20"/>
                <w:szCs w:val="20"/>
                <w:color w:val="auto"/>
              </w:rPr>
            </w:pPr>
            <w:r>
              <w:rPr>
                <w:rFonts w:ascii="Arial" w:cs="Arial" w:eastAsia="Arial" w:hAnsi="Arial"/>
                <w:sz w:val="18"/>
                <w:szCs w:val="18"/>
                <w:color w:val="auto"/>
              </w:rPr>
              <w:t>France</w:t>
            </w:r>
          </w:p>
        </w:tc>
      </w:tr>
      <w:tr>
        <w:trPr>
          <w:trHeight w:val="115"/>
        </w:trPr>
        <w:tc>
          <w:tcPr>
            <w:tcW w:w="20" w:type="dxa"/>
            <w:vAlign w:val="bottom"/>
          </w:tcPr>
          <w:p>
            <w:pPr>
              <w:spacing w:after="0"/>
              <w:rPr>
                <w:sz w:val="10"/>
                <w:szCs w:val="10"/>
                <w:color w:val="auto"/>
              </w:rPr>
            </w:pPr>
          </w:p>
        </w:tc>
        <w:tc>
          <w:tcPr>
            <w:tcW w:w="9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8"/>
              </w:rPr>
              <w:t>Jurisdiction of</w:t>
            </w:r>
          </w:p>
        </w:tc>
      </w:tr>
      <w:tr>
        <w:trPr>
          <w:trHeight w:val="234"/>
        </w:trPr>
        <w:tc>
          <w:tcPr>
            <w:tcW w:w="9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Entity</w:t>
            </w:r>
          </w:p>
        </w:tc>
        <w:tc>
          <w:tcPr>
            <w:tcW w:w="24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Formation</w:t>
            </w:r>
          </w:p>
        </w:tc>
      </w:tr>
      <w:tr>
        <w:trPr>
          <w:trHeight w:val="411"/>
        </w:trPr>
        <w:tc>
          <w:tcPr>
            <w:tcW w:w="9480" w:type="dxa"/>
            <w:vAlign w:val="bottom"/>
          </w:tcPr>
          <w:p>
            <w:pPr>
              <w:ind w:left="220"/>
              <w:spacing w:after="0"/>
              <w:rPr>
                <w:sz w:val="20"/>
                <w:szCs w:val="20"/>
                <w:color w:val="auto"/>
              </w:rPr>
            </w:pPr>
            <w:r>
              <w:rPr>
                <w:rFonts w:ascii="Arial" w:cs="Arial" w:eastAsia="Arial" w:hAnsi="Arial"/>
                <w:sz w:val="18"/>
                <w:szCs w:val="18"/>
                <w:color w:val="auto"/>
              </w:rPr>
              <w:t>TA LF Australia Pty Limited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Australia</w:t>
            </w: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Dimmi Pty Ltd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Australia</w:t>
            </w:r>
          </w:p>
        </w:tc>
      </w:tr>
      <w:tr>
        <w:trPr>
          <w:trHeight w:val="216"/>
        </w:trPr>
        <w:tc>
          <w:tcPr>
            <w:tcW w:w="9480" w:type="dxa"/>
            <w:vAlign w:val="bottom"/>
          </w:tcPr>
          <w:p>
            <w:pPr>
              <w:ind w:left="220"/>
              <w:spacing w:after="0"/>
              <w:rPr>
                <w:sz w:val="20"/>
                <w:szCs w:val="20"/>
                <w:color w:val="auto"/>
              </w:rPr>
            </w:pPr>
            <w:r>
              <w:rPr>
                <w:rFonts w:ascii="Arial" w:cs="Arial" w:eastAsia="Arial" w:hAnsi="Arial"/>
                <w:sz w:val="18"/>
                <w:szCs w:val="18"/>
                <w:color w:val="auto"/>
              </w:rPr>
              <w:t>BestTables Marketing e Servicos de Restauracao S.A.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Portugal</w:t>
            </w: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BestTables Brasil Internet Servicos de Informacao e Technologia Ltda.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Brazil</w:t>
            </w: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BestTables II Portugal, Unipessoal Lda.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Portugal</w:t>
            </w:r>
          </w:p>
        </w:tc>
      </w:tr>
      <w:tr>
        <w:trPr>
          <w:trHeight w:val="216"/>
        </w:trPr>
        <w:tc>
          <w:tcPr>
            <w:tcW w:w="9480" w:type="dxa"/>
            <w:vAlign w:val="bottom"/>
          </w:tcPr>
          <w:p>
            <w:pPr>
              <w:ind w:left="220"/>
              <w:spacing w:after="0"/>
              <w:rPr>
                <w:sz w:val="20"/>
                <w:szCs w:val="20"/>
                <w:color w:val="auto"/>
              </w:rPr>
            </w:pPr>
            <w:r>
              <w:rPr>
                <w:rFonts w:ascii="Arial" w:cs="Arial" w:eastAsia="Arial" w:hAnsi="Arial"/>
                <w:sz w:val="18"/>
                <w:szCs w:val="18"/>
                <w:color w:val="auto"/>
              </w:rPr>
              <w:t>La Fourchette SAS</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France</w:t>
            </w:r>
          </w:p>
        </w:tc>
      </w:tr>
      <w:tr>
        <w:trPr>
          <w:trHeight w:val="216"/>
        </w:trPr>
        <w:tc>
          <w:tcPr>
            <w:tcW w:w="9480" w:type="dxa"/>
            <w:vAlign w:val="bottom"/>
          </w:tcPr>
          <w:p>
            <w:pPr>
              <w:ind w:left="460"/>
              <w:spacing w:after="0"/>
              <w:rPr>
                <w:sz w:val="20"/>
                <w:szCs w:val="20"/>
                <w:color w:val="auto"/>
              </w:rPr>
            </w:pPr>
            <w:r>
              <w:rPr>
                <w:rFonts w:ascii="Arial" w:cs="Arial" w:eastAsia="Arial" w:hAnsi="Arial"/>
                <w:sz w:val="18"/>
                <w:szCs w:val="18"/>
                <w:color w:val="auto"/>
              </w:rPr>
              <w:t>La Fourchette Espana S.L.</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Spain</w:t>
            </w:r>
          </w:p>
        </w:tc>
      </w:tr>
      <w:tr>
        <w:trPr>
          <w:trHeight w:val="216"/>
        </w:trPr>
        <w:tc>
          <w:tcPr>
            <w:tcW w:w="9480" w:type="dxa"/>
            <w:vAlign w:val="bottom"/>
          </w:tcPr>
          <w:p>
            <w:pPr>
              <w:ind w:left="460"/>
              <w:spacing w:after="0"/>
              <w:rPr>
                <w:sz w:val="20"/>
                <w:szCs w:val="20"/>
                <w:color w:val="auto"/>
              </w:rPr>
            </w:pPr>
            <w:r>
              <w:rPr>
                <w:rFonts w:ascii="Arial" w:cs="Arial" w:eastAsia="Arial" w:hAnsi="Arial"/>
                <w:sz w:val="18"/>
                <w:szCs w:val="18"/>
                <w:color w:val="auto"/>
              </w:rPr>
              <w:t>Sneat SAS</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France</w:t>
            </w:r>
          </w:p>
        </w:tc>
      </w:tr>
      <w:tr>
        <w:trPr>
          <w:trHeight w:val="216"/>
        </w:trPr>
        <w:tc>
          <w:tcPr>
            <w:tcW w:w="9480" w:type="dxa"/>
            <w:vAlign w:val="bottom"/>
          </w:tcPr>
          <w:p>
            <w:pPr>
              <w:ind w:left="460"/>
              <w:spacing w:after="0"/>
              <w:rPr>
                <w:sz w:val="20"/>
                <w:szCs w:val="20"/>
                <w:color w:val="auto"/>
              </w:rPr>
            </w:pPr>
            <w:r>
              <w:rPr>
                <w:rFonts w:ascii="Arial" w:cs="Arial" w:eastAsia="Arial" w:hAnsi="Arial"/>
                <w:sz w:val="18"/>
                <w:szCs w:val="18"/>
                <w:color w:val="auto"/>
              </w:rPr>
              <w:t>LaFourchette Swiss SA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Switzerland</w:t>
            </w:r>
          </w:p>
        </w:tc>
      </w:tr>
      <w:tr>
        <w:trPr>
          <w:trHeight w:val="216"/>
        </w:trPr>
        <w:tc>
          <w:tcPr>
            <w:tcW w:w="9480" w:type="dxa"/>
            <w:vAlign w:val="bottom"/>
          </w:tcPr>
          <w:p>
            <w:pPr>
              <w:ind w:left="220"/>
              <w:spacing w:after="0"/>
              <w:rPr>
                <w:sz w:val="20"/>
                <w:szCs w:val="20"/>
                <w:color w:val="auto"/>
              </w:rPr>
            </w:pPr>
            <w:r>
              <w:rPr>
                <w:rFonts w:ascii="Arial" w:cs="Arial" w:eastAsia="Arial" w:hAnsi="Arial"/>
                <w:sz w:val="18"/>
                <w:szCs w:val="18"/>
                <w:color w:val="auto"/>
              </w:rPr>
              <w:t>La Fourchette (Belgium) SA</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Belgium</w:t>
            </w:r>
          </w:p>
        </w:tc>
      </w:tr>
      <w:tr>
        <w:trPr>
          <w:trHeight w:val="216"/>
        </w:trPr>
        <w:tc>
          <w:tcPr>
            <w:tcW w:w="9480" w:type="dxa"/>
            <w:vAlign w:val="bottom"/>
          </w:tcPr>
          <w:p>
            <w:pPr>
              <w:ind w:left="220"/>
              <w:spacing w:after="0"/>
              <w:rPr>
                <w:sz w:val="20"/>
                <w:szCs w:val="20"/>
                <w:color w:val="auto"/>
              </w:rPr>
            </w:pPr>
            <w:r>
              <w:rPr>
                <w:rFonts w:ascii="Arial" w:cs="Arial" w:eastAsia="Arial" w:hAnsi="Arial"/>
                <w:sz w:val="18"/>
                <w:szCs w:val="18"/>
                <w:color w:val="auto"/>
              </w:rPr>
              <w:t>La Fourchette Elektronik Iletisim Tanitim Pazarlama Sanayi Ve Ticaret Anonim Sirketi</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Turkey</w:t>
            </w:r>
          </w:p>
        </w:tc>
      </w:tr>
      <w:tr>
        <w:trPr>
          <w:trHeight w:val="216"/>
        </w:trPr>
        <w:tc>
          <w:tcPr>
            <w:tcW w:w="9480" w:type="dxa"/>
            <w:vAlign w:val="bottom"/>
          </w:tcPr>
          <w:p>
            <w:pPr>
              <w:ind w:left="220"/>
              <w:spacing w:after="0"/>
              <w:rPr>
                <w:sz w:val="20"/>
                <w:szCs w:val="20"/>
                <w:color w:val="auto"/>
              </w:rPr>
            </w:pPr>
            <w:r>
              <w:rPr>
                <w:rFonts w:ascii="Arial" w:cs="Arial" w:eastAsia="Arial" w:hAnsi="Arial"/>
                <w:sz w:val="18"/>
                <w:szCs w:val="18"/>
                <w:color w:val="auto"/>
              </w:rPr>
              <w:t>La Fourchette Netherlands B.V.</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The Netherlands</w:t>
            </w:r>
          </w:p>
        </w:tc>
      </w:tr>
      <w:tr>
        <w:trPr>
          <w:trHeight w:val="216"/>
        </w:trPr>
        <w:tc>
          <w:tcPr>
            <w:tcW w:w="9480" w:type="dxa"/>
            <w:vAlign w:val="bottom"/>
          </w:tcPr>
          <w:p>
            <w:pPr>
              <w:ind w:left="460"/>
              <w:spacing w:after="0"/>
              <w:rPr>
                <w:sz w:val="20"/>
                <w:szCs w:val="20"/>
                <w:color w:val="auto"/>
              </w:rPr>
            </w:pPr>
            <w:r>
              <w:rPr>
                <w:rFonts w:ascii="Arial" w:cs="Arial" w:eastAsia="Arial" w:hAnsi="Arial"/>
                <w:sz w:val="18"/>
                <w:szCs w:val="18"/>
                <w:color w:val="auto"/>
              </w:rPr>
              <w:t>IENS Independent Index B.V.</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The Netherlands</w:t>
            </w:r>
          </w:p>
        </w:tc>
      </w:tr>
      <w:tr>
        <w:trPr>
          <w:trHeight w:val="216"/>
        </w:trPr>
        <w:tc>
          <w:tcPr>
            <w:tcW w:w="9480" w:type="dxa"/>
            <w:vAlign w:val="bottom"/>
          </w:tcPr>
          <w:p>
            <w:pPr>
              <w:ind w:left="460"/>
              <w:spacing w:after="0"/>
              <w:rPr>
                <w:sz w:val="20"/>
                <w:szCs w:val="20"/>
                <w:color w:val="auto"/>
              </w:rPr>
            </w:pPr>
            <w:r>
              <w:rPr>
                <w:rFonts w:ascii="Arial" w:cs="Arial" w:eastAsia="Arial" w:hAnsi="Arial"/>
                <w:sz w:val="18"/>
                <w:szCs w:val="18"/>
                <w:color w:val="auto"/>
              </w:rPr>
              <w:t>LaFourchette (Italy) SRL</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Italy</w:t>
            </w:r>
          </w:p>
        </w:tc>
      </w:tr>
      <w:tr>
        <w:trPr>
          <w:trHeight w:val="216"/>
        </w:trPr>
        <w:tc>
          <w:tcPr>
            <w:tcW w:w="9480" w:type="dxa"/>
            <w:vAlign w:val="bottom"/>
          </w:tcPr>
          <w:p>
            <w:pPr>
              <w:ind w:left="220"/>
              <w:spacing w:after="0"/>
              <w:rPr>
                <w:sz w:val="20"/>
                <w:szCs w:val="20"/>
                <w:color w:val="auto"/>
              </w:rPr>
            </w:pPr>
            <w:r>
              <w:rPr>
                <w:rFonts w:ascii="Arial" w:cs="Arial" w:eastAsia="Arial" w:hAnsi="Arial"/>
                <w:sz w:val="18"/>
                <w:szCs w:val="18"/>
                <w:color w:val="auto"/>
              </w:rPr>
              <w:t>LaFourchette Sweden AB</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Sweden</w:t>
            </w:r>
          </w:p>
        </w:tc>
      </w:tr>
      <w:tr>
        <w:trPr>
          <w:trHeight w:val="216"/>
        </w:trPr>
        <w:tc>
          <w:tcPr>
            <w:tcW w:w="9480" w:type="dxa"/>
            <w:vAlign w:val="bottom"/>
          </w:tcPr>
          <w:p>
            <w:pPr>
              <w:ind w:left="220"/>
              <w:spacing w:after="0"/>
              <w:rPr>
                <w:sz w:val="20"/>
                <w:szCs w:val="20"/>
                <w:color w:val="auto"/>
              </w:rPr>
            </w:pPr>
            <w:r>
              <w:rPr>
                <w:rFonts w:ascii="Arial" w:cs="Arial" w:eastAsia="Arial" w:hAnsi="Arial"/>
                <w:sz w:val="18"/>
                <w:szCs w:val="18"/>
                <w:color w:val="auto"/>
              </w:rPr>
              <w:t>La Fourchette (UK) Ltd.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United Kingdom</w:t>
            </w:r>
          </w:p>
        </w:tc>
      </w:tr>
      <w:tr>
        <w:trPr>
          <w:trHeight w:val="216"/>
        </w:trPr>
        <w:tc>
          <w:tcPr>
            <w:tcW w:w="9480" w:type="dxa"/>
            <w:vAlign w:val="bottom"/>
          </w:tcPr>
          <w:p>
            <w:pPr>
              <w:ind w:left="220"/>
              <w:spacing w:after="0"/>
              <w:rPr>
                <w:sz w:val="20"/>
                <w:szCs w:val="20"/>
                <w:color w:val="auto"/>
              </w:rPr>
            </w:pPr>
            <w:r>
              <w:rPr>
                <w:rFonts w:ascii="Arial" w:cs="Arial" w:eastAsia="Arial" w:hAnsi="Arial"/>
                <w:sz w:val="18"/>
                <w:szCs w:val="18"/>
                <w:color w:val="auto"/>
              </w:rPr>
              <w:t>TripAdvisor K.K.</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Japan</w:t>
            </w:r>
          </w:p>
        </w:tc>
      </w:tr>
      <w:tr>
        <w:trPr>
          <w:trHeight w:val="216"/>
        </w:trPr>
        <w:tc>
          <w:tcPr>
            <w:tcW w:w="9480" w:type="dxa"/>
            <w:vAlign w:val="bottom"/>
          </w:tcPr>
          <w:p>
            <w:pPr>
              <w:ind w:left="220"/>
              <w:spacing w:after="0"/>
              <w:rPr>
                <w:sz w:val="20"/>
                <w:szCs w:val="20"/>
                <w:color w:val="auto"/>
              </w:rPr>
            </w:pPr>
            <w:r>
              <w:rPr>
                <w:rFonts w:ascii="Arial" w:cs="Arial" w:eastAsia="Arial" w:hAnsi="Arial"/>
                <w:sz w:val="18"/>
                <w:szCs w:val="18"/>
                <w:color w:val="auto"/>
              </w:rPr>
              <w:t>TripAdvisor Singapore Private Limited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Singapore</w:t>
            </w: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TripAdvisor Korea Co., Ltd.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Korea</w:t>
            </w: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TripAdvisor Hong Kong Limited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Hong Kong</w:t>
            </w: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TripAdvisor China Cayman Holdings Limited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Cayman</w:t>
            </w:r>
          </w:p>
        </w:tc>
      </w:tr>
      <w:tr>
        <w:trPr>
          <w:trHeight w:val="216"/>
        </w:trPr>
        <w:tc>
          <w:tcPr>
            <w:tcW w:w="9480" w:type="dxa"/>
            <w:vAlign w:val="bottom"/>
          </w:tcPr>
          <w:p>
            <w:pPr>
              <w:ind w:left="660"/>
              <w:spacing w:after="0"/>
              <w:rPr>
                <w:sz w:val="20"/>
                <w:szCs w:val="20"/>
                <w:color w:val="auto"/>
              </w:rPr>
            </w:pPr>
            <w:r>
              <w:rPr>
                <w:rFonts w:ascii="Arial" w:cs="Arial" w:eastAsia="Arial" w:hAnsi="Arial"/>
                <w:sz w:val="18"/>
                <w:szCs w:val="18"/>
                <w:color w:val="auto"/>
              </w:rPr>
              <w:t>TripAdvisor Consulting Service (Beijing) Co. Ltd</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China</w:t>
            </w:r>
          </w:p>
        </w:tc>
      </w:tr>
      <w:tr>
        <w:trPr>
          <w:trHeight w:val="216"/>
        </w:trPr>
        <w:tc>
          <w:tcPr>
            <w:tcW w:w="9480" w:type="dxa"/>
            <w:vAlign w:val="bottom"/>
          </w:tcPr>
          <w:p>
            <w:pPr>
              <w:ind w:left="880"/>
              <w:spacing w:after="0"/>
              <w:rPr>
                <w:sz w:val="20"/>
                <w:szCs w:val="20"/>
                <w:color w:val="auto"/>
              </w:rPr>
            </w:pPr>
            <w:r>
              <w:rPr>
                <w:rFonts w:ascii="Arial" w:cs="Arial" w:eastAsia="Arial" w:hAnsi="Arial"/>
                <w:sz w:val="18"/>
                <w:szCs w:val="18"/>
                <w:color w:val="auto"/>
              </w:rPr>
              <w:t>Tuqu Net Information Technology (Beijing) Co., Ltd. (beneficial ownership)</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China</w:t>
            </w:r>
          </w:p>
        </w:tc>
      </w:tr>
      <w:tr>
        <w:trPr>
          <w:trHeight w:val="230"/>
        </w:trPr>
        <w:tc>
          <w:tcPr>
            <w:tcW w:w="9480" w:type="dxa"/>
            <w:vAlign w:val="bottom"/>
          </w:tcPr>
          <w:p>
            <w:pPr>
              <w:ind w:left="880"/>
              <w:spacing w:after="0"/>
              <w:rPr>
                <w:sz w:val="20"/>
                <w:szCs w:val="20"/>
                <w:color w:val="auto"/>
              </w:rPr>
            </w:pPr>
            <w:r>
              <w:rPr>
                <w:rFonts w:ascii="Arial" w:cs="Arial" w:eastAsia="Arial" w:hAnsi="Arial"/>
                <w:sz w:val="18"/>
                <w:szCs w:val="18"/>
                <w:color w:val="auto"/>
              </w:rPr>
              <w:t>Beijing Tuqu International Travel Service Co., Ltd. (beneficial ownership)</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211"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We consent to the incorporation by reference in the registration statement (No. 333-178637, 333-190384, 333-198726 and 333-226749) on Form S-8 of TripAdvisor, Inc. of our reports dated February 22, 2019, with respect to the consolidated balance sheets of TripAdvisor, Inc. and subsidiaries as of December 31, 2018 and 2017, and the related consolidated statements of operations, comprehensive income, changes in stockholders’ equity, and cash flows for each of the years in the three-year period ended December 31, 2018, and the related notes (collectively, the “consolidated financial statements”), and the effectiveness of internal control over financial reporting as of December 31, 2018, which reports appear in the December 31, 2018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TripAdvisor, Inc.</w:t>
      </w:r>
    </w:p>
    <w:p>
      <w:pPr>
        <w:spacing w:after="0" w:line="20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ectPr>
          <w:pgSz w:w="11900" w:h="16838" w:orient="portrait"/>
          <w:cols w:equalWidth="0" w:num="1">
            <w:col w:w="11420"/>
          </w:cols>
          <w:pgMar w:left="240" w:top="121" w:right="239" w:bottom="1440" w:gutter="0" w:footer="0" w:header="0"/>
        </w:sectPr>
      </w:pPr>
    </w:p>
    <w:bookmarkStart w:id="129" w:name="page130"/>
    <w:bookmarkEnd w:id="129"/>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Stephen Kaufer, Chief Executive Officer and President of TripAdvisor, Inc., certify that:</w:t>
      </w:r>
    </w:p>
    <w:p>
      <w:pPr>
        <w:spacing w:after="0" w:line="225" w:lineRule="exact"/>
        <w:rPr>
          <w:sz w:val="20"/>
          <w:szCs w:val="20"/>
          <w:color w:val="auto"/>
        </w:rPr>
      </w:pPr>
    </w:p>
    <w:p>
      <w:pPr>
        <w:ind w:left="600" w:hanging="592"/>
        <w:spacing w:after="0"/>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00" w:right="340" w:hanging="592"/>
        <w:spacing w:after="0" w:line="264" w:lineRule="auto"/>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00" w:right="320" w:hanging="598"/>
        <w:spacing w:after="0" w:line="264"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00" w:hanging="598"/>
        <w:spacing w:after="0" w:line="264"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40" w:hanging="592"/>
        <w:spacing w:after="0" w:line="308" w:lineRule="auto"/>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00" w:right="420" w:hanging="598"/>
        <w:spacing w:after="0" w:line="277" w:lineRule="auto"/>
        <w:tabs>
          <w:tab w:leader="none" w:pos="12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February 22, 2019</w:t>
            </w:r>
          </w:p>
        </w:tc>
        <w:tc>
          <w:tcPr>
            <w:tcW w:w="7700" w:type="dxa"/>
            <w:vAlign w:val="bottom"/>
            <w:gridSpan w:val="2"/>
          </w:tcPr>
          <w:p>
            <w:pPr>
              <w:ind w:left="1940"/>
              <w:spacing w:after="0"/>
              <w:rPr>
                <w:sz w:val="20"/>
                <w:szCs w:val="20"/>
                <w:color w:val="auto"/>
              </w:rPr>
            </w:pPr>
            <w:r>
              <w:rPr>
                <w:rFonts w:ascii="Arial" w:cs="Arial" w:eastAsia="Arial" w:hAnsi="Arial"/>
                <w:sz w:val="18"/>
                <w:szCs w:val="18"/>
                <w:color w:val="auto"/>
              </w:rPr>
              <w:t>/s/ STEPHEN KAUFER</w:t>
            </w:r>
          </w:p>
        </w:tc>
      </w:tr>
      <w:tr>
        <w:trPr>
          <w:trHeight w:val="195"/>
        </w:trPr>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7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3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760" w:type="dxa"/>
            <w:vAlign w:val="bottom"/>
          </w:tcPr>
          <w:p>
            <w:pPr>
              <w:ind w:left="200"/>
              <w:spacing w:after="0"/>
              <w:rPr>
                <w:sz w:val="20"/>
                <w:szCs w:val="20"/>
                <w:color w:val="auto"/>
              </w:rPr>
            </w:pPr>
            <w:r>
              <w:rPr>
                <w:rFonts w:ascii="Arial" w:cs="Arial" w:eastAsia="Arial" w:hAnsi="Arial"/>
                <w:sz w:val="18"/>
                <w:szCs w:val="18"/>
                <w:i w:val="1"/>
                <w:iCs w:val="1"/>
                <w:color w:val="auto"/>
              </w:rPr>
              <w:t>Chief Executive Officer and President</w:t>
            </w:r>
          </w:p>
        </w:tc>
      </w:tr>
    </w:tbl>
    <w:p>
      <w:pPr>
        <w:sectPr>
          <w:pgSz w:w="11900" w:h="16838" w:orient="portrait"/>
          <w:cols w:equalWidth="0" w:num="1">
            <w:col w:w="11420"/>
          </w:cols>
          <w:pgMar w:left="240" w:top="121" w:right="239" w:bottom="1440" w:gutter="0" w:footer="0" w:header="0"/>
        </w:sectPr>
      </w:pPr>
    </w:p>
    <w:bookmarkStart w:id="130" w:name="page131"/>
    <w:bookmarkEnd w:id="130"/>
    <w:p>
      <w:pPr>
        <w:ind w:left="104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225" w:lineRule="exact"/>
        <w:rPr>
          <w:sz w:val="20"/>
          <w:szCs w:val="20"/>
          <w:color w:val="auto"/>
        </w:rPr>
      </w:pPr>
    </w:p>
    <w:p>
      <w:pPr>
        <w:ind w:left="600" w:hanging="592"/>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00" w:right="340" w:hanging="592"/>
        <w:spacing w:after="0" w:line="264"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00" w:right="320" w:hanging="598"/>
        <w:spacing w:after="0" w:line="264" w:lineRule="auto"/>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00" w:hanging="598"/>
        <w:spacing w:after="0" w:line="264" w:lineRule="auto"/>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40" w:hanging="592"/>
        <w:spacing w:after="0" w:line="308" w:lineRule="auto"/>
        <w:tabs>
          <w:tab w:leader="none" w:pos="6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00" w:right="420" w:hanging="598"/>
        <w:spacing w:after="0" w:line="277" w:lineRule="auto"/>
        <w:tabs>
          <w:tab w:leader="none" w:pos="1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February 22, 2019</w:t>
            </w:r>
          </w:p>
        </w:tc>
        <w:tc>
          <w:tcPr>
            <w:tcW w:w="7700" w:type="dxa"/>
            <w:vAlign w:val="bottom"/>
            <w:gridSpan w:val="2"/>
          </w:tcPr>
          <w:p>
            <w:pPr>
              <w:ind w:left="1940"/>
              <w:spacing w:after="0"/>
              <w:rPr>
                <w:sz w:val="20"/>
                <w:szCs w:val="20"/>
                <w:color w:val="auto"/>
              </w:rPr>
            </w:pPr>
            <w:r>
              <w:rPr>
                <w:rFonts w:ascii="Arial" w:cs="Arial" w:eastAsia="Arial" w:hAnsi="Arial"/>
                <w:sz w:val="18"/>
                <w:szCs w:val="18"/>
                <w:color w:val="auto"/>
              </w:rPr>
              <w:t>/s/ ERNST TEUNISSEN</w:t>
            </w:r>
          </w:p>
        </w:tc>
      </w:tr>
      <w:tr>
        <w:trPr>
          <w:trHeight w:val="195"/>
        </w:trPr>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76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37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760" w:type="dxa"/>
            <w:vAlign w:val="bottom"/>
          </w:tcPr>
          <w:p>
            <w:pPr>
              <w:ind w:left="20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2018, as filed with the Securities and Exchange Commission on the date hereof (the “Report”), I, Stephen Kaufer, Chief Executive Officer and President of the Company, certify, pursuant to Section 906 of the Sarbanes-Oxley Act of 2002, 18 U.S.C. Section 1350, that:</w:t>
      </w:r>
    </w:p>
    <w:p>
      <w:pPr>
        <w:spacing w:after="0" w:line="181" w:lineRule="exact"/>
        <w:rPr>
          <w:sz w:val="20"/>
          <w:szCs w:val="20"/>
          <w:color w:val="auto"/>
        </w:rPr>
      </w:pPr>
    </w:p>
    <w:p>
      <w:pPr>
        <w:ind w:left="600" w:right="120" w:hanging="592"/>
        <w:spacing w:after="0" w:line="277"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Date: February 22, 2019</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58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Chief Executive Officer and President</w:t>
            </w:r>
          </w:p>
        </w:tc>
      </w:tr>
    </w:tbl>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2018, as filed with the Securities and Exchange Commission on the date hereof (the “Report”), I, Ernst Teunissen, Chief Financial Officer of the Company, certify, pursuant to Section 906 of the Sarbanes-Oxley Act of 2002, 18 U.S.C. Section 1350, that:</w:t>
      </w:r>
    </w:p>
    <w:p>
      <w:pPr>
        <w:spacing w:after="0" w:line="181" w:lineRule="exact"/>
        <w:rPr>
          <w:sz w:val="20"/>
          <w:szCs w:val="20"/>
          <w:color w:val="auto"/>
        </w:rPr>
      </w:pPr>
    </w:p>
    <w:p>
      <w:pPr>
        <w:ind w:left="600" w:right="120" w:hanging="592"/>
        <w:spacing w:after="0" w:line="277"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20" w:type="dxa"/>
            <w:vAlign w:val="bottom"/>
          </w:tcPr>
          <w:p>
            <w:pPr>
              <w:spacing w:after="0"/>
              <w:rPr>
                <w:sz w:val="20"/>
                <w:szCs w:val="20"/>
                <w:color w:val="auto"/>
              </w:rPr>
            </w:pPr>
            <w:r>
              <w:rPr>
                <w:rFonts w:ascii="Arial" w:cs="Arial" w:eastAsia="Arial" w:hAnsi="Arial"/>
                <w:sz w:val="18"/>
                <w:szCs w:val="18"/>
                <w:color w:val="auto"/>
              </w:rPr>
              <w:t>Date: February 22, 2019</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ERNST TEUNISSEN</w:t>
            </w:r>
          </w:p>
        </w:tc>
      </w:tr>
      <w:tr>
        <w:trPr>
          <w:trHeight w:val="195"/>
        </w:trPr>
        <w:tc>
          <w:tcPr>
            <w:tcW w:w="582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58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4"/>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4"/>
    </w:lvl>
  </w:abstractNum>
  <w:abstractNum w:abstractNumId="22">
    <w:nsid w:val="725A06FB"/>
    <w:multiLevelType w:val="hybridMultilevel"/>
    <w:lvl w:ilvl="0">
      <w:lvlJc w:val="left"/>
      <w:lvlText w:val="(%1)"/>
      <w:numFmt w:val="decimal"/>
      <w:start w:val="3"/>
    </w:lvl>
  </w:abstractNum>
  <w:abstractNum w:abstractNumId="23">
    <w:nsid w:val="2CD89A32"/>
    <w:multiLevelType w:val="hybridMultilevel"/>
    <w:lvl w:ilvl="0">
      <w:lvlJc w:val="left"/>
      <w:lvlText w:val="(%1)"/>
      <w:numFmt w:val="decimal"/>
      <w:start w:val="5"/>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lowerLetter"/>
      <w:start w:val="10"/>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lowerLetter"/>
      <w:start w:val="10"/>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decimal"/>
      <w:start w:val="2"/>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4"/>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2"/>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3"/>
    </w:lvl>
  </w:abstractNum>
  <w:abstractNum w:abstractNumId="57">
    <w:nsid w:val="3F6AB60F"/>
    <w:multiLevelType w:val="hybridMultilevel"/>
    <w:lvl w:ilvl="0">
      <w:lvlJc w:val="left"/>
      <w:lvlText w:val="(%1)"/>
      <w:numFmt w:val="decimal"/>
      <w:start w:val="5"/>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48" Type="http://schemas.openxmlformats.org/officeDocument/2006/relationships/hyperlink" Target="http://www.sec.gov/Archives/edgar/data/1526520/000119312511352247/d270719dex31.htm" TargetMode="External"/><Relationship Id="rId149" Type="http://schemas.openxmlformats.org/officeDocument/2006/relationships/hyperlink" Target="http://www.sec.gov/Archives/edgar/data/1526520/000119312511352247/d270719dex32.htm" TargetMode="External"/><Relationship Id="rId150" Type="http://schemas.openxmlformats.org/officeDocument/2006/relationships/hyperlink" Target="http://www.sec.gov/Archives/edgar/data/1526520/000119312513051925/d482592dex31.htm" TargetMode="External"/><Relationship Id="rId151" Type="http://schemas.openxmlformats.org/officeDocument/2006/relationships/hyperlink" Target="http://www.sec.gov/Archives/edgar/data/1324424/000119312511277905/d211678dex46.htm" TargetMode="External"/><Relationship Id="rId152" Type="http://schemas.openxmlformats.org/officeDocument/2006/relationships/hyperlink" Target="http://www.sec.gov/Archives/edgar/data/1526520/000119312511352247/d270719dex101.htm" TargetMode="External"/><Relationship Id="rId153" Type="http://schemas.openxmlformats.org/officeDocument/2006/relationships/hyperlink" Target="http://www.sec.gov/Archives/edgar/data/1526520/000119312511352247/d270719dex102.htm" TargetMode="External"/><Relationship Id="rId154" Type="http://schemas.openxmlformats.org/officeDocument/2006/relationships/hyperlink" Target="http://www.sec.gov/Archives/edgar/data/1526520/000156459016028323/trip-ex101_769.htm" TargetMode="External"/><Relationship Id="rId155" Type="http://schemas.openxmlformats.org/officeDocument/2006/relationships/hyperlink" Target="http://www.sec.gov/Archives/edgar/data/1526520/000156459018018438/trip-ex101_278.htm" TargetMode="External"/><Relationship Id="rId156" Type="http://schemas.openxmlformats.org/officeDocument/2006/relationships/hyperlink" Target="http://www.sec.gov/Archives/edgar/data/1526520/000119312511347224/d271461dex46.htm" TargetMode="External"/><Relationship Id="rId157" Type="http://schemas.openxmlformats.org/officeDocument/2006/relationships/hyperlink" Target="http://www.sec.gov/Archives/edgar/data/1526520/000119312513300521/d548543dex101.htm" TargetMode="External"/><Relationship Id="rId158" Type="http://schemas.openxmlformats.org/officeDocument/2006/relationships/hyperlink" Target="http://www.sec.gov/Archives/edgar/data/1526520/000119312513300521/d548543dex102.htm" TargetMode="External"/><Relationship Id="rId159" Type="http://schemas.openxmlformats.org/officeDocument/2006/relationships/hyperlink" Target="http://www.sec.gov/Archives/edgar/data/1526520/000119312516599160/d199565dex101.htm" TargetMode="External"/><Relationship Id="rId160" Type="http://schemas.openxmlformats.org/officeDocument/2006/relationships/hyperlink" Target="http://www.sec.gov/Archives/edgar/data/1526520/000156459018002664/trip-ex108_286.htm" TargetMode="External"/><Relationship Id="rId161" Type="http://schemas.openxmlformats.org/officeDocument/2006/relationships/hyperlink" Target="http://www.sec.gov/Archives/edgar/data/1526520/000156459014001822/trip-ex10_20140331242.htm" TargetMode="External"/><Relationship Id="rId162" Type="http://schemas.openxmlformats.org/officeDocument/2006/relationships/hyperlink" Target="http://www.sec.gov/Archives/edgar/data/1526520/000156459018002664/trip-ex1010_284.htm" TargetMode="External"/><Relationship Id="rId163" Type="http://schemas.openxmlformats.org/officeDocument/2006/relationships/hyperlink" Target="http://www.sec.gov/Archives/edgar/data/1526520/000119312517198515/d411542dex101.htm" TargetMode="External"/><Relationship Id="rId164" Type="http://schemas.openxmlformats.org/officeDocument/2006/relationships/hyperlink" Target="http://www.sec.gov/Archives/edgar/data/1526520/000156459018002664/trip-ex1012_285.htm" TargetMode="External"/><Relationship Id="rId165" Type="http://schemas.openxmlformats.org/officeDocument/2006/relationships/hyperlink" Target="http://www.sec.gov/Archives/edgar/data/1526520/000156459018002664/trip-ex1013_289.htm" TargetMode="External"/><Relationship Id="rId166" Type="http://schemas.openxmlformats.org/officeDocument/2006/relationships/hyperlink" Target="http://www.sec.gov/Archives/edgar/data/1526520/000156459018002664/trip-ex1014_290.htm" TargetMode="External"/><Relationship Id="rId170" Type="http://schemas.openxmlformats.org/officeDocument/2006/relationships/hyperlink" Target="http://www.sec.gov/Archives/edgar/data/1526520/000156459018002664/trip-ex1015_291.htm" TargetMode="External"/><Relationship Id="rId171" Type="http://schemas.openxmlformats.org/officeDocument/2006/relationships/hyperlink" Target="http://www.sec.gov/Archives/edgar/data/1526520/000119312514340478/d756838dex991.htm" TargetMode="External"/><Relationship Id="rId172" Type="http://schemas.openxmlformats.org/officeDocument/2006/relationships/hyperlink" Target="http://www.sec.gov/Archives/edgar/data/1526520/000156459017009918/trip-ex101_967.htm" TargetMode="External"/><Relationship Id="rId173" Type="http://schemas.openxmlformats.org/officeDocument/2006/relationships/hyperlink" Target="http://www.sec.gov/Archives/edgar/data/1526520/000119312515241292/d947932dex101.htm" TargetMode="External"/><Relationship Id="rId174" Type="http://schemas.openxmlformats.org/officeDocument/2006/relationships/hyperlink" Target="http://www.sec.gov/Archives/edgar/data/1526520/000119312517170835/d393402dex101.htm" TargetMode="External"/><Relationship Id="rId175" Type="http://schemas.openxmlformats.org/officeDocument/2006/relationships/hyperlink" Target="http://www.sec.gov/Archives/edgar/data/1526520/000119312515340346/d10829dex101.htm" TargetMode="External"/><Relationship Id="rId176" Type="http://schemas.openxmlformats.org/officeDocument/2006/relationships/hyperlink" Target="http://www.sec.gov/Archives/edgar/data/1526520/000156459018002664/trip-ex1021_288.htm" TargetMode="External"/><Relationship Id="rId177" Type="http://schemas.openxmlformats.org/officeDocument/2006/relationships/hyperlink" Target="http://www.sec.gov/Archives/edgar/data/1526520/000156459017016506/trip-ex104_676.htm" TargetMode="External"/><Relationship Id="rId178" Type="http://schemas.openxmlformats.org/officeDocument/2006/relationships/hyperlink" Target="http://www.sec.gov/Archives/edgar/data/1526520/000156459018002664/trip-ex1023_287.htm" TargetMode="External"/><Relationship Id="rId179" Type="http://schemas.openxmlformats.org/officeDocument/2006/relationships/hyperlink" Target="http://www.sec.gov/Archives/edgar/data/1526520/000156459018011803/trip-ex101_73.htm" TargetMode="External"/><Relationship Id="rId180" Type="http://schemas.openxmlformats.org/officeDocument/2006/relationships/hyperlink" Target="http://www.sec.gov/Archives/edgar/data/1526520/000156459018011803/trip-ex102_74.htm" TargetMode="External"/><Relationship Id="rId181" Type="http://schemas.openxmlformats.org/officeDocument/2006/relationships/hyperlink" Target="http://www.sec.gov/Archives/edgar/data/1526520/000156459018011803/trip-ex103_75.htm" TargetMode="External"/><Relationship Id="rId182" Type="http://schemas.openxmlformats.org/officeDocument/2006/relationships/hyperlink" Target="http://www.sec.gov/Archives/edgar/data/1526520/000156459018011803/trip-ex104_76.htm" TargetMode="External"/><Relationship Id="rId183" Type="http://schemas.openxmlformats.org/officeDocument/2006/relationships/hyperlink" Target="http://www.sec.gov/Archives/edgar/data/1526520/000156459018011803/trip-ex105_77.htm" TargetMode="External"/><Relationship Id="rId184" Type="http://schemas.openxmlformats.org/officeDocument/2006/relationships/hyperlink" Target="http://www.sec.gov/Archives/edgar/data/1526520/000156459018011803/trip-ex106_78.htm" TargetMode="External"/><Relationship Id="rId185" Type="http://schemas.openxmlformats.org/officeDocument/2006/relationships/hyperlink" Target="http://www.sec.gov/Archives/edgar/data/1526520/000156459018011803/trip-ex107_79.htm" TargetMode="External"/><Relationship Id="rId186" Type="http://schemas.openxmlformats.org/officeDocument/2006/relationships/hyperlink" Target="http://www.sec.gov/Archives/edgar/data/1526520/000156459018018438/trip-ex102_1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2019-12-28T16:00:53Z</dcterms:created>
  <dcterms:modified xsi:type="dcterms:W3CDTF">2019-12-28T16:00:53Z</dcterms:modified>
</cp:coreProperties>
</file>