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SECURITIES AND EXCHANGE COMMISSION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115570</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152400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3" w:lineRule="exact"/>
        <w:rPr>
          <w:sz w:val="24"/>
          <w:szCs w:val="24"/>
          <w:color w:val="auto"/>
        </w:rPr>
      </w:pPr>
    </w:p>
    <w:p>
      <w:pPr>
        <w:ind w:left="520" w:right="320" w:hanging="512"/>
        <w:spacing w:after="0" w:line="268" w:lineRule="auto"/>
        <w:tabs>
          <w:tab w:leader="none" w:pos="442"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ind w:left="520" w:right="300" w:hanging="512"/>
        <w:spacing w:after="0"/>
        <w:tabs>
          <w:tab w:leader="none" w:pos="442"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p>
      <w:pPr>
        <w:ind w:left="3380"/>
        <w:spacing w:after="0"/>
        <w:tabs>
          <w:tab w:leader="none" w:pos="66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57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001-35362</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-294640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115570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p>
      <w:pPr>
        <w:spacing w:after="0" w:line="380"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020" w:space="720"/>
            <w:col w:w="2500"/>
          </w:cols>
          <w:pgMar w:left="320" w:top="408" w:right="339" w:bottom="1440" w:gutter="0" w:footer="0" w:header="0"/>
          <w:type w:val="continuous"/>
        </w:sectPr>
      </w:pPr>
    </w:p>
    <w:p>
      <w:pPr>
        <w:spacing w:after="0" w:line="11" w:lineRule="exact"/>
        <w:rPr>
          <w:sz w:val="24"/>
          <w:szCs w:val="24"/>
          <w:color w:val="auto"/>
        </w:rPr>
      </w:pPr>
    </w:p>
    <w:p>
      <w:pPr>
        <w:ind w:left="2600"/>
        <w:spacing w:after="0"/>
        <w:rPr>
          <w:sz w:val="20"/>
          <w:szCs w:val="20"/>
          <w:color w:val="auto"/>
        </w:rPr>
      </w:pPr>
      <w:r>
        <w:rPr>
          <w:rFonts w:ascii="Arial" w:cs="Arial" w:eastAsia="Arial" w:hAnsi="Arial"/>
          <w:sz w:val="13"/>
          <w:szCs w:val="13"/>
          <w:b w:val="1"/>
          <w:bCs w:val="1"/>
          <w:color w:val="auto"/>
        </w:rPr>
        <w:t>(State or other jurisdiction of</w:t>
      </w:r>
    </w:p>
    <w:p>
      <w:pPr>
        <w:ind w:left="25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900" w:space="720"/>
            <w:col w:w="2620"/>
          </w:cols>
          <w:pgMar w:left="320" w:top="408" w:right="339" w:bottom="1440" w:gutter="0" w:footer="0" w:header="0"/>
          <w:type w:val="continuous"/>
        </w:sectPr>
      </w:pPr>
    </w:p>
    <w:p>
      <w:pPr>
        <w:ind w:left="5080"/>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2"/>
          <w:szCs w:val="12"/>
          <w:b w:val="1"/>
          <w:bCs w:val="1"/>
          <w:color w:val="auto"/>
        </w:rPr>
        <w:t>st</w:t>
      </w:r>
      <w:r>
        <w:rPr>
          <w:rFonts w:ascii="Arial" w:cs="Arial" w:eastAsia="Arial" w:hAnsi="Arial"/>
          <w:sz w:val="18"/>
          <w:szCs w:val="18"/>
          <w:b w:val="1"/>
          <w:bCs w:val="1"/>
          <w:color w:val="auto"/>
        </w:rPr>
        <w:t xml:space="preserve"> Avenue</w:t>
      </w:r>
    </w:p>
    <w:p>
      <w:pPr>
        <w:spacing w:after="0" w:line="9" w:lineRule="exact"/>
        <w:rPr>
          <w:sz w:val="24"/>
          <w:szCs w:val="24"/>
          <w:color w:val="auto"/>
        </w:rPr>
      </w:pPr>
    </w:p>
    <w:p>
      <w:pPr>
        <w:ind w:left="4800"/>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240"/>
          </w:cols>
          <w:pgMar w:left="320" w:top="408" w:right="339" w:bottom="1440" w:gutter="0" w:footer="0" w:header="0"/>
          <w:type w:val="continuous"/>
        </w:sectPr>
      </w:pP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1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59" w:lineRule="exact"/>
        <w:rPr>
          <w:sz w:val="24"/>
          <w:szCs w:val="24"/>
          <w:color w:val="auto"/>
        </w:rPr>
      </w:pPr>
    </w:p>
    <w:tbl>
      <w:tblPr>
        <w:tblLayout w:type="fixed"/>
        <w:tblInd w:w="590" w:type="dxa"/>
        <w:tblCellMar>
          <w:top w:w="0" w:type="dxa"/>
          <w:left w:w="0" w:type="dxa"/>
          <w:bottom w:w="0" w:type="dxa"/>
          <w:right w:w="0" w:type="dxa"/>
        </w:tblCellMar>
      </w:tblPr>
      <w:tr>
        <w:trPr>
          <w:trHeight w:val="236"/>
        </w:trPr>
        <w:tc>
          <w:tcPr>
            <w:tcW w:w="2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79"/>
        </w:trPr>
        <w:tc>
          <w:tcPr>
            <w:tcW w:w="254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1"/>
              </w:rPr>
              <w:t>Common stock</w:t>
            </w:r>
          </w:p>
        </w:tc>
        <w:tc>
          <w:tcPr>
            <w:tcW w:w="252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3"/>
              </w:rPr>
              <w:t>TRIP</w:t>
            </w:r>
          </w:p>
        </w:tc>
        <w:tc>
          <w:tcPr>
            <w:tcW w:w="484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86"/>
              </w:rPr>
              <w:t>Nasdaq</w:t>
            </w:r>
          </w:p>
        </w:tc>
      </w:tr>
    </w:tbl>
    <w:p>
      <w:pPr>
        <w:spacing w:after="0" w:line="85" w:lineRule="exact"/>
        <w:rPr>
          <w:sz w:val="24"/>
          <w:szCs w:val="24"/>
          <w:color w:val="auto"/>
        </w:rPr>
      </w:pPr>
    </w:p>
    <w:p>
      <w:pPr>
        <w:ind w:right="20" w:firstLine="509"/>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firstLine="509"/>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60" w:firstLine="59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2" w:lineRule="exact"/>
        <w:rPr>
          <w:sz w:val="24"/>
          <w:szCs w:val="24"/>
          <w:color w:val="auto"/>
        </w:rPr>
      </w:pPr>
    </w:p>
    <w:p>
      <w:pPr>
        <w:ind w:right="500" w:firstLine="59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7920" w:type="dxa"/>
            <w:vAlign w:val="bottom"/>
            <w:gridSpan w:val="3"/>
          </w:tcPr>
          <w:p>
            <w:pPr>
              <w:ind w:left="50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28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372"/>
        </w:trPr>
        <w:tc>
          <w:tcPr>
            <w:tcW w:w="20" w:type="dxa"/>
            <w:vAlign w:val="bottom"/>
          </w:tcPr>
          <w:p>
            <w:pPr>
              <w:spacing w:after="0"/>
              <w:rPr>
                <w:sz w:val="24"/>
                <w:szCs w:val="24"/>
                <w:color w:val="auto"/>
              </w:rPr>
            </w:pPr>
          </w:p>
        </w:tc>
        <w:tc>
          <w:tcPr>
            <w:tcW w:w="7920" w:type="dxa"/>
            <w:vAlign w:val="bottom"/>
            <w:gridSpan w:val="3"/>
          </w:tcPr>
          <w:p>
            <w:pPr>
              <w:jc w:val="center"/>
              <w:ind w:right="960"/>
              <w:spacing w:after="0"/>
              <w:rPr>
                <w:sz w:val="20"/>
                <w:szCs w:val="20"/>
                <w:color w:val="auto"/>
              </w:rPr>
            </w:pPr>
            <w:r>
              <w:rPr>
                <w:rFonts w:ascii="Arial" w:cs="Arial" w:eastAsia="Arial" w:hAnsi="Arial"/>
                <w:sz w:val="14"/>
                <w:szCs w:val="14"/>
                <w:color w:val="auto"/>
                <w:w w:val="91"/>
              </w:rPr>
              <w:t>Class</w:t>
            </w:r>
          </w:p>
        </w:tc>
        <w:tc>
          <w:tcPr>
            <w:tcW w:w="3280" w:type="dxa"/>
            <w:vAlign w:val="bottom"/>
          </w:tcPr>
          <w:p>
            <w:pPr>
              <w:jc w:val="center"/>
              <w:ind w:right="717"/>
              <w:spacing w:after="0"/>
              <w:rPr>
                <w:sz w:val="20"/>
                <w:szCs w:val="20"/>
                <w:color w:val="auto"/>
              </w:rPr>
            </w:pPr>
            <w:r>
              <w:rPr>
                <w:rFonts w:ascii="Arial" w:cs="Arial" w:eastAsia="Arial" w:hAnsi="Arial"/>
                <w:sz w:val="14"/>
                <w:szCs w:val="14"/>
                <w:color w:val="auto"/>
                <w:w w:val="91"/>
              </w:rPr>
              <w:t>Outstanding Shares at November 1, 2022</w:t>
            </w:r>
          </w:p>
        </w:tc>
        <w:tc>
          <w:tcPr>
            <w:tcW w:w="2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69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8"/>
                <w:szCs w:val="18"/>
                <w:color w:val="auto"/>
                <w:w w:val="89"/>
              </w:rPr>
              <w:t>Common Stock, $0.001 par value per share</w:t>
            </w:r>
          </w:p>
        </w:tc>
        <w:tc>
          <w:tcPr>
            <w:tcW w:w="14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tcPr>
          <w:p>
            <w:pPr>
              <w:jc w:val="center"/>
              <w:ind w:right="717"/>
              <w:spacing w:after="0" w:line="175" w:lineRule="exact"/>
              <w:rPr>
                <w:sz w:val="20"/>
                <w:szCs w:val="20"/>
                <w:color w:val="auto"/>
              </w:rPr>
            </w:pPr>
            <w:r>
              <w:rPr>
                <w:rFonts w:ascii="Arial" w:cs="Arial" w:eastAsia="Arial" w:hAnsi="Arial"/>
                <w:sz w:val="18"/>
                <w:szCs w:val="18"/>
                <w:color w:val="auto"/>
                <w:w w:val="87"/>
              </w:rPr>
              <w:t>127,786,062 shares</w:t>
            </w:r>
          </w:p>
        </w:tc>
        <w:tc>
          <w:tcPr>
            <w:tcW w:w="2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7920" w:type="dxa"/>
            <w:vAlign w:val="bottom"/>
            <w:gridSpan w:val="3"/>
          </w:tcPr>
          <w:p>
            <w:pPr>
              <w:jc w:val="center"/>
              <w:ind w:right="960"/>
              <w:spacing w:after="0"/>
              <w:rPr>
                <w:sz w:val="20"/>
                <w:szCs w:val="20"/>
                <w:color w:val="auto"/>
              </w:rPr>
            </w:pPr>
            <w:r>
              <w:rPr>
                <w:rFonts w:ascii="Arial" w:cs="Arial" w:eastAsia="Arial" w:hAnsi="Arial"/>
                <w:sz w:val="18"/>
                <w:szCs w:val="18"/>
                <w:color w:val="auto"/>
                <w:w w:val="89"/>
              </w:rPr>
              <w:t>Class B common stock, $0.001 par value per share</w:t>
            </w:r>
          </w:p>
        </w:tc>
        <w:tc>
          <w:tcPr>
            <w:tcW w:w="3280" w:type="dxa"/>
            <w:vAlign w:val="bottom"/>
          </w:tcPr>
          <w:p>
            <w:pPr>
              <w:jc w:val="center"/>
              <w:ind w:right="73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69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38"/>
        </w:trPr>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type w:val="continuous"/>
        </w:sectPr>
      </w:pPr>
    </w:p>
    <w:bookmarkStart w:id="1" w:name="page2"/>
    <w:bookmarkEnd w:id="1"/>
    <w:p>
      <w:pPr>
        <w:ind w:left="4940"/>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Form 10-Q</w:t>
      </w:r>
    </w:p>
    <w:p>
      <w:pPr>
        <w:jc w:val="center"/>
        <w:ind w:right="60"/>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5"/>
        </w:trPr>
        <w:tc>
          <w:tcPr>
            <w:tcW w:w="1086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0860" w:type="dxa"/>
            <w:vAlign w:val="bottom"/>
            <w:gridSpan w:val="20"/>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10860" w:type="dxa"/>
            <w:vAlign w:val="bottom"/>
            <w:gridSpan w:val="20"/>
          </w:tcPr>
          <w:p>
            <w:pPr>
              <w:spacing w:after="0"/>
              <w:rPr>
                <w:sz w:val="20"/>
                <w:szCs w:val="20"/>
                <w:color w:val="auto"/>
              </w:rPr>
            </w:pPr>
            <w:r>
              <w:rPr>
                <w:rFonts w:ascii="Arial" w:cs="Arial" w:eastAsia="Arial" w:hAnsi="Arial"/>
                <w:sz w:val="18"/>
                <w:szCs w:val="18"/>
                <w:color w:val="auto"/>
              </w:rPr>
              <w:t>Item 1. Unaudited Condensed Consolidated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460" w:type="dxa"/>
            <w:vAlign w:val="bottom"/>
          </w:tcPr>
          <w:p>
            <w:pPr>
              <w:spacing w:after="0"/>
              <w:rPr>
                <w:sz w:val="24"/>
                <w:szCs w:val="24"/>
                <w:color w:val="auto"/>
              </w:rPr>
            </w:pPr>
          </w:p>
        </w:tc>
        <w:tc>
          <w:tcPr>
            <w:tcW w:w="10400" w:type="dxa"/>
            <w:vAlign w:val="bottom"/>
            <w:gridSpan w:val="19"/>
          </w:tcPr>
          <w:p>
            <w:pPr>
              <w:spacing w:after="0"/>
              <w:rPr>
                <w:sz w:val="20"/>
                <w:szCs w:val="20"/>
                <w:color w:val="auto"/>
              </w:rPr>
            </w:pPr>
            <w:r>
              <w:rPr>
                <w:rFonts w:ascii="Arial" w:cs="Arial" w:eastAsia="Arial" w:hAnsi="Arial"/>
                <w:sz w:val="18"/>
                <w:szCs w:val="18"/>
                <w:color w:val="0000FF"/>
                <w:w w:val="98"/>
              </w:rPr>
              <w:t>Unaudited Condensed Consolidated Statements of Operations for the Three and Nine Months Ended September 30, 2022 and 2021</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vMerge w:val="restart"/>
          </w:tcPr>
          <w:p>
            <w:pPr>
              <w:jc w:val="right"/>
              <w:ind w:right="40"/>
              <w:spacing w:after="0" w:line="202" w:lineRule="exact"/>
              <w:rPr>
                <w:sz w:val="20"/>
                <w:szCs w:val="20"/>
                <w:color w:val="auto"/>
              </w:rPr>
            </w:pPr>
            <w:r>
              <w:rPr>
                <w:rFonts w:ascii="Arial" w:cs="Arial" w:eastAsia="Arial" w:hAnsi="Arial"/>
                <w:sz w:val="18"/>
                <w:szCs w:val="18"/>
                <w:color w:val="0000FF"/>
                <w:w w:val="96"/>
              </w:rPr>
              <w:t>30, 2022</w:t>
            </w:r>
          </w:p>
        </w:tc>
        <w:tc>
          <w:tcPr>
            <w:tcW w:w="24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 w:type="dxa"/>
            <w:vAlign w:val="bottom"/>
          </w:tcPr>
          <w:p>
            <w:pPr>
              <w:spacing w:after="0"/>
              <w:rPr>
                <w:sz w:val="15"/>
                <w:szCs w:val="15"/>
                <w:color w:val="auto"/>
              </w:rPr>
            </w:pPr>
          </w:p>
        </w:tc>
        <w:tc>
          <w:tcPr>
            <w:tcW w:w="9420" w:type="dxa"/>
            <w:vAlign w:val="bottom"/>
            <w:gridSpan w:val="16"/>
          </w:tcPr>
          <w:p>
            <w:pPr>
              <w:spacing w:after="0" w:line="182" w:lineRule="exact"/>
              <w:rPr>
                <w:sz w:val="20"/>
                <w:szCs w:val="20"/>
                <w:color w:val="auto"/>
              </w:rPr>
            </w:pPr>
            <w:r>
              <w:rPr>
                <w:rFonts w:ascii="Arial" w:cs="Arial" w:eastAsia="Arial" w:hAnsi="Arial"/>
                <w:sz w:val="18"/>
                <w:szCs w:val="18"/>
                <w:color w:val="0000FF"/>
                <w:w w:val="88"/>
              </w:rPr>
              <w:t>Unaudited Condensed Consolidated Statements of Comprehensive Income (Loss) for the Three and Nine Months Ended September</w:t>
            </w:r>
          </w:p>
        </w:tc>
        <w:tc>
          <w:tcPr>
            <w:tcW w:w="74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1016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and 2021</w:t>
            </w: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10400" w:type="dxa"/>
            <w:vAlign w:val="bottom"/>
            <w:gridSpan w:val="19"/>
          </w:tcPr>
          <w:p>
            <w:pPr>
              <w:spacing w:after="0"/>
              <w:rPr>
                <w:sz w:val="20"/>
                <w:szCs w:val="20"/>
                <w:color w:val="auto"/>
              </w:rPr>
            </w:pPr>
            <w:r>
              <w:rPr>
                <w:rFonts w:ascii="Arial" w:cs="Arial" w:eastAsia="Arial" w:hAnsi="Arial"/>
                <w:sz w:val="18"/>
                <w:szCs w:val="18"/>
                <w:color w:val="0000FF"/>
              </w:rPr>
              <w:t>Unaudited Condensed Consolidated Balance Sheets at September 30, 2022 and December 31, 2021</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 w:type="dxa"/>
            <w:vAlign w:val="bottom"/>
          </w:tcPr>
          <w:p>
            <w:pPr>
              <w:spacing w:after="0"/>
              <w:rPr>
                <w:sz w:val="15"/>
                <w:szCs w:val="15"/>
                <w:color w:val="auto"/>
              </w:rPr>
            </w:pPr>
          </w:p>
        </w:tc>
        <w:tc>
          <w:tcPr>
            <w:tcW w:w="10400" w:type="dxa"/>
            <w:vAlign w:val="bottom"/>
            <w:gridSpan w:val="19"/>
          </w:tcPr>
          <w:p>
            <w:pPr>
              <w:spacing w:after="0" w:line="182" w:lineRule="exact"/>
              <w:rPr>
                <w:sz w:val="20"/>
                <w:szCs w:val="20"/>
                <w:color w:val="auto"/>
              </w:rPr>
            </w:pPr>
            <w:r>
              <w:rPr>
                <w:rFonts w:ascii="Arial" w:cs="Arial" w:eastAsia="Arial" w:hAnsi="Arial"/>
                <w:sz w:val="18"/>
                <w:szCs w:val="18"/>
                <w:color w:val="0000FF"/>
                <w:w w:val="94"/>
              </w:rPr>
              <w:t>Unaudited Condensed Consolidated Statements of Changes in Stockholders’ Equity for the Three and Nine Months Ended September 30,</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460" w:type="dxa"/>
            <w:vAlign w:val="bottom"/>
          </w:tcPr>
          <w:p>
            <w:pPr>
              <w:spacing w:after="0"/>
              <w:rPr>
                <w:sz w:val="14"/>
                <w:szCs w:val="14"/>
                <w:color w:val="auto"/>
              </w:rPr>
            </w:pPr>
          </w:p>
        </w:tc>
        <w:tc>
          <w:tcPr>
            <w:tcW w:w="992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2022 and 2021</w:t>
            </w:r>
          </w:p>
        </w:tc>
        <w:tc>
          <w:tcPr>
            <w:tcW w:w="480" w:type="dxa"/>
            <w:vAlign w:val="bottom"/>
            <w:gridSpan w:val="2"/>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10400" w:type="dxa"/>
            <w:vAlign w:val="bottom"/>
            <w:gridSpan w:val="19"/>
          </w:tcPr>
          <w:p>
            <w:pPr>
              <w:spacing w:after="0"/>
              <w:rPr>
                <w:sz w:val="20"/>
                <w:szCs w:val="20"/>
                <w:color w:val="auto"/>
              </w:rPr>
            </w:pPr>
            <w:r>
              <w:rPr>
                <w:rFonts w:ascii="Arial" w:cs="Arial" w:eastAsia="Arial" w:hAnsi="Arial"/>
                <w:sz w:val="18"/>
                <w:szCs w:val="18"/>
                <w:color w:val="0000FF"/>
              </w:rPr>
              <w:t>Unaudited Condensed Consolidated Statements of Cash Flows for the Nine Months Ended September 30, 2022 and 2021</w:t>
            </w: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60" w:type="dxa"/>
            <w:vAlign w:val="bottom"/>
          </w:tcPr>
          <w:p>
            <w:pPr>
              <w:spacing w:after="0"/>
              <w:rPr>
                <w:sz w:val="24"/>
                <w:szCs w:val="24"/>
                <w:color w:val="auto"/>
              </w:rPr>
            </w:pPr>
          </w:p>
        </w:tc>
        <w:tc>
          <w:tcPr>
            <w:tcW w:w="10400" w:type="dxa"/>
            <w:vAlign w:val="bottom"/>
            <w:gridSpan w:val="19"/>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86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1"/>
        </w:trPr>
        <w:tc>
          <w:tcPr>
            <w:tcW w:w="486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1"/>
              </w:rPr>
              <w:t>Item 3. 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3860" w:type="dxa"/>
            <w:vAlign w:val="bottom"/>
            <w:gridSpan w:val="6"/>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71"/>
        </w:trPr>
        <w:tc>
          <w:tcPr>
            <w:tcW w:w="10860" w:type="dxa"/>
            <w:vAlign w:val="bottom"/>
            <w:gridSpan w:val="20"/>
          </w:tcPr>
          <w:p>
            <w:pPr>
              <w:spacing w:after="0"/>
              <w:rPr>
                <w:sz w:val="20"/>
                <w:szCs w:val="20"/>
                <w:color w:val="auto"/>
              </w:rPr>
            </w:pPr>
            <w:r>
              <w:rPr>
                <w:rFonts w:ascii="Arial" w:cs="Arial" w:eastAsia="Arial" w:hAnsi="Arial"/>
                <w:sz w:val="18"/>
                <w:szCs w:val="18"/>
                <w:color w:val="0000FF"/>
              </w:rPr>
              <w:t>Item 4. Controls and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412"/>
        </w:trPr>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Part II—Other Information</w:t>
            </w:r>
          </w:p>
        </w:tc>
        <w:tc>
          <w:tcPr>
            <w:tcW w:w="854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860" w:type="dxa"/>
            <w:vAlign w:val="bottom"/>
            <w:gridSpan w:val="20"/>
          </w:tcPr>
          <w:p>
            <w:pPr>
              <w:spacing w:after="0"/>
              <w:rPr>
                <w:sz w:val="20"/>
                <w:szCs w:val="20"/>
                <w:color w:val="auto"/>
              </w:rPr>
            </w:pPr>
            <w:r>
              <w:rPr>
                <w:rFonts w:ascii="Arial" w:cs="Arial" w:eastAsia="Arial" w:hAnsi="Arial"/>
                <w:sz w:val="18"/>
                <w:szCs w:val="18"/>
                <w:color w:val="0000FF"/>
              </w:rPr>
              <w:t>Item 1. 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71"/>
        </w:trPr>
        <w:tc>
          <w:tcPr>
            <w:tcW w:w="18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Item 1A. Risk Factors</w:t>
            </w:r>
          </w:p>
        </w:tc>
        <w:tc>
          <w:tcPr>
            <w:tcW w:w="898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90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Item 2. Unregistered Sales of Equity Securities and Use of Proceeds</w:t>
            </w:r>
          </w:p>
        </w:tc>
        <w:tc>
          <w:tcPr>
            <w:tcW w:w="596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71"/>
        </w:trPr>
        <w:tc>
          <w:tcPr>
            <w:tcW w:w="288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Item 3. Defaults Upon Senior Securities</w:t>
            </w:r>
          </w:p>
        </w:tc>
        <w:tc>
          <w:tcPr>
            <w:tcW w:w="798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71"/>
        </w:trPr>
        <w:tc>
          <w:tcPr>
            <w:tcW w:w="10860" w:type="dxa"/>
            <w:vAlign w:val="bottom"/>
            <w:gridSpan w:val="20"/>
          </w:tcPr>
          <w:p>
            <w:pPr>
              <w:spacing w:after="0"/>
              <w:rPr>
                <w:sz w:val="20"/>
                <w:szCs w:val="20"/>
                <w:color w:val="auto"/>
              </w:rPr>
            </w:pPr>
            <w:r>
              <w:rPr>
                <w:rFonts w:ascii="Arial" w:cs="Arial" w:eastAsia="Arial" w:hAnsi="Arial"/>
                <w:sz w:val="18"/>
                <w:szCs w:val="18"/>
                <w:color w:val="0000FF"/>
              </w:rPr>
              <w:t>Item 4. Mine Safety Disclosures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71"/>
        </w:trPr>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Item 5. Other Information</w:t>
            </w:r>
          </w:p>
        </w:tc>
        <w:tc>
          <w:tcPr>
            <w:tcW w:w="854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71"/>
        </w:trPr>
        <w:tc>
          <w:tcPr>
            <w:tcW w:w="116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Item 6. Exhibits</w:t>
            </w:r>
          </w:p>
        </w:tc>
        <w:tc>
          <w:tcPr>
            <w:tcW w:w="700" w:type="dxa"/>
            <w:vAlign w:val="bottom"/>
            <w:tcBorders>
              <w:top w:val="single" w:sz="8" w:color="0000FF"/>
            </w:tcBorders>
            <w:gridSpan w:val="3"/>
          </w:tcPr>
          <w:p>
            <w:pPr>
              <w:spacing w:after="0"/>
              <w:rPr>
                <w:sz w:val="24"/>
                <w:szCs w:val="24"/>
                <w:color w:val="auto"/>
              </w:rPr>
            </w:pPr>
          </w:p>
        </w:tc>
        <w:tc>
          <w:tcPr>
            <w:tcW w:w="900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71"/>
        </w:trPr>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1010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184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2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5"/>
          </w:tcPr>
          <w:p>
            <w:pPr>
              <w:jc w:val="right"/>
              <w:ind w:right="64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640" w:type="dxa"/>
            <w:vAlign w:val="bottom"/>
            <w:vMerge w:val="restart"/>
          </w:tcPr>
          <w:p>
            <w:pPr>
              <w:ind w:left="20"/>
              <w:spacing w:after="0"/>
              <w:rPr>
                <w:sz w:val="20"/>
                <w:szCs w:val="20"/>
                <w:color w:val="auto"/>
              </w:rPr>
            </w:pPr>
            <w:r>
              <w:rPr>
                <w:rFonts w:ascii="Arial" w:cs="Arial" w:eastAsia="Arial" w:hAnsi="Arial"/>
                <w:sz w:val="18"/>
                <w:szCs w:val="18"/>
                <w:color w:val="auto"/>
              </w:rPr>
              <w:t>Revenue (Note 3)</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vMerge w:val="continue"/>
          </w:tcPr>
          <w:p>
            <w:pPr>
              <w:spacing w:after="0"/>
              <w:rPr>
                <w:sz w:val="18"/>
                <w:szCs w:val="18"/>
                <w:color w:val="auto"/>
              </w:rPr>
            </w:pP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459</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1,138</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64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w w:val="95"/>
              </w:rPr>
              <w:t>Cost of revenue (1) (exclusive of depreciation and amortization as shown separately</w:t>
            </w:r>
          </w:p>
        </w:tc>
        <w:tc>
          <w:tcPr>
            <w:tcW w:w="6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below)</w:t>
            </w:r>
          </w:p>
        </w:tc>
        <w:tc>
          <w:tcPr>
            <w:tcW w:w="62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Selling and marketing (1)</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and content (1)</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General and administrative (1)</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389</w:t>
            </w:r>
          </w:p>
        </w:tc>
        <w:tc>
          <w:tcPr>
            <w:tcW w:w="26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(11 )</w:t>
            </w:r>
          </w:p>
        </w:tc>
        <w:tc>
          <w:tcPr>
            <w:tcW w:w="6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(33 )</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 (expense), net</w:t>
            </w:r>
          </w:p>
        </w:tc>
        <w:tc>
          <w:tcPr>
            <w:tcW w:w="6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(1 )</w:t>
            </w:r>
          </w:p>
        </w:tc>
        <w:tc>
          <w:tcPr>
            <w:tcW w:w="6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(4 )</w:t>
            </w:r>
          </w:p>
        </w:tc>
        <w:tc>
          <w:tcPr>
            <w:tcW w:w="2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6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6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(30 )</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(Provision) benefit for income taxes (Note 9)</w:t>
            </w:r>
          </w:p>
        </w:tc>
        <w:tc>
          <w:tcPr>
            <w:tcW w:w="6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(37 )</w:t>
            </w:r>
          </w:p>
        </w:tc>
        <w:tc>
          <w:tcPr>
            <w:tcW w:w="6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(61 )</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620" w:type="dxa"/>
            <w:vAlign w:val="bottom"/>
            <w:tcBorders>
              <w:top w:val="single" w:sz="8" w:color="auto"/>
              <w:bottom w:val="single" w:sz="8" w:color="auto"/>
            </w:tcBorders>
            <w:shd w:val="clear" w:color="auto" w:fill="CFF0FC"/>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jc w:val="right"/>
              <w:ind w:right="43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(loss) per share attributable to common stockholders (Note 13):</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0.18</w:t>
            </w:r>
          </w:p>
        </w:tc>
        <w:tc>
          <w:tcPr>
            <w:tcW w:w="26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0.01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62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0.17</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0.01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(0.87 )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(Note 13):</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140</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146</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8"/>
                <w:szCs w:val="18"/>
                <w:color w:val="auto"/>
              </w:rPr>
              <w:t>(1) Includes stock-based compensation expense as follows (Note 11):</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w:t>
            </w:r>
          </w:p>
        </w:tc>
        <w:tc>
          <w:tcPr>
            <w:tcW w:w="62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Technology and content</w:t>
            </w:r>
          </w:p>
        </w:tc>
        <w:tc>
          <w:tcPr>
            <w:tcW w:w="62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2"/>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jc w:val="right"/>
              <w:ind w:right="434"/>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4825365</wp:posOffset>
            </wp:positionH>
            <wp:positionV relativeFrom="paragraph">
              <wp:posOffset>-3227705</wp:posOffset>
            </wp:positionV>
            <wp:extent cx="7683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-3227705</wp:posOffset>
            </wp:positionV>
            <wp:extent cx="6858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-3227705</wp:posOffset>
            </wp:positionV>
            <wp:extent cx="6858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-3227705</wp:posOffset>
            </wp:positionV>
            <wp:extent cx="6858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-2388870</wp:posOffset>
            </wp:positionV>
            <wp:extent cx="7683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-2388870</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-2388870</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-2388870</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-1815465</wp:posOffset>
            </wp:positionV>
            <wp:extent cx="2312035"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2035" cy="162560"/>
                    </a:xfrm>
                    <a:prstGeom prst="rect">
                      <a:avLst/>
                    </a:prstGeom>
                    <a:noFill/>
                  </pic:spPr>
                </pic:pic>
              </a:graphicData>
            </a:graphic>
          </wp:anchor>
        </w:drawing>
      </w:r>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4740"/>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9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8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rPr>
              <w:t>Nine months ended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3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38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496"/>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5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45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(119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 net of tax (1)</w:t>
            </w:r>
          </w:p>
        </w:tc>
        <w:tc>
          <w:tcPr>
            <w:tcW w:w="6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(24 )</w:t>
            </w:r>
          </w:p>
        </w:tc>
        <w:tc>
          <w:tcPr>
            <w:tcW w:w="7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7"/>
              </w:rPr>
              <w:t>(10 )</w:t>
            </w:r>
          </w:p>
        </w:tc>
        <w:tc>
          <w:tcPr>
            <w:tcW w:w="6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(52 )</w:t>
            </w:r>
          </w:p>
        </w:tc>
        <w:tc>
          <w:tcPr>
            <w:tcW w:w="6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(19 )</w:t>
            </w:r>
          </w:p>
        </w:tc>
      </w:tr>
      <w:tr>
        <w:trPr>
          <w:trHeight w:val="216"/>
        </w:trPr>
        <w:tc>
          <w:tcPr>
            <w:tcW w:w="6380" w:type="dxa"/>
            <w:vAlign w:val="bottom"/>
          </w:tcPr>
          <w:p>
            <w:pPr>
              <w:ind w:left="200"/>
              <w:spacing w:after="0"/>
              <w:rPr>
                <w:sz w:val="20"/>
                <w:szCs w:val="20"/>
                <w:color w:val="auto"/>
              </w:rPr>
            </w:pPr>
            <w:r>
              <w:rPr>
                <w:rFonts w:ascii="Arial" w:cs="Arial" w:eastAsia="Arial" w:hAnsi="Arial"/>
                <w:sz w:val="18"/>
                <w:szCs w:val="18"/>
                <w:color w:val="auto"/>
              </w:rPr>
              <w:t>Reclassification adjustments included in net income (loss), net of tax</w:t>
            </w:r>
          </w:p>
        </w:tc>
        <w:tc>
          <w:tcPr>
            <w:tcW w:w="680" w:type="dxa"/>
            <w:vAlign w:val="bottom"/>
          </w:tcPr>
          <w:p>
            <w:pPr>
              <w:spacing w:after="0"/>
              <w:rPr>
                <w:sz w:val="18"/>
                <w:szCs w:val="18"/>
                <w:color w:val="auto"/>
              </w:rPr>
            </w:pP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09"/>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38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680" w:type="dxa"/>
            <w:vAlign w:val="bottom"/>
          </w:tcPr>
          <w:p>
            <w:pPr>
              <w:jc w:val="right"/>
              <w:ind w:right="49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700" w:type="dxa"/>
            <w:vAlign w:val="bottom"/>
          </w:tcPr>
          <w:p>
            <w:pPr>
              <w:jc w:val="right"/>
              <w:ind w:right="49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(7 )</w:t>
            </w:r>
          </w:p>
        </w:tc>
        <w:tc>
          <w:tcPr>
            <w:tcW w:w="660" w:type="dxa"/>
            <w:vAlign w:val="bottom"/>
          </w:tcPr>
          <w:p>
            <w:pPr>
              <w:jc w:val="right"/>
              <w:ind w:right="459"/>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1"/>
              <w:spacing w:after="0"/>
              <w:rPr>
                <w:sz w:val="20"/>
                <w:szCs w:val="20"/>
                <w:color w:val="auto"/>
              </w:rPr>
            </w:pPr>
            <w:r>
              <w:rPr>
                <w:rFonts w:ascii="Arial" w:cs="Arial" w:eastAsia="Arial" w:hAnsi="Arial"/>
                <w:sz w:val="18"/>
                <w:szCs w:val="18"/>
                <w:color w:val="auto"/>
              </w:rPr>
              <w:t>(30 )</w:t>
            </w:r>
          </w:p>
        </w:tc>
        <w:tc>
          <w:tcPr>
            <w:tcW w:w="640" w:type="dxa"/>
            <w:vAlign w:val="bottom"/>
          </w:tcPr>
          <w:p>
            <w:pPr>
              <w:jc w:val="right"/>
              <w:ind w:right="456"/>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4"/>
              </w:rPr>
              <w:t>(136 )</w:t>
            </w:r>
          </w:p>
        </w:tc>
      </w:tr>
      <w:tr>
        <w:trPr>
          <w:trHeight w:val="20"/>
        </w:trPr>
        <w:tc>
          <w:tcPr>
            <w:tcW w:w="6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4697095</wp:posOffset>
            </wp:positionH>
            <wp:positionV relativeFrom="paragraph">
              <wp:posOffset>-170815</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-170815</wp:posOffset>
            </wp:positionV>
            <wp:extent cx="685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26" w:lineRule="exact"/>
        <w:rPr>
          <w:sz w:val="20"/>
          <w:szCs w:val="20"/>
          <w:color w:val="auto"/>
        </w:rPr>
      </w:pPr>
    </w:p>
    <w:p>
      <w:pPr>
        <w:ind w:left="560"/>
        <w:spacing w:after="0"/>
        <w:tabs>
          <w:tab w:leader="none" w:pos="8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Deferred income tax liabilities related to these amounts are not material.</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4" w:name="page5"/>
    <w:bookmarkEnd w:id="4"/>
    <w:p>
      <w:pPr>
        <w:ind w:left="4740"/>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UNAUDITED 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 (Note 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FF0FC"/>
          </w:tcPr>
          <w:p>
            <w:pPr>
              <w:spacing w:after="0"/>
              <w:rPr>
                <w:sz w:val="18"/>
                <w:szCs w:val="18"/>
                <w:color w:val="auto"/>
              </w:rPr>
            </w:pPr>
          </w:p>
        </w:tc>
      </w:tr>
      <w:tr>
        <w:trPr>
          <w:trHeight w:val="174"/>
        </w:trPr>
        <w:tc>
          <w:tcPr>
            <w:tcW w:w="7900" w:type="dxa"/>
            <w:vAlign w:val="bottom"/>
          </w:tcPr>
          <w:p>
            <w:pPr>
              <w:ind w:left="200"/>
              <w:spacing w:after="0" w:line="175" w:lineRule="exact"/>
              <w:rPr>
                <w:sz w:val="20"/>
                <w:szCs w:val="20"/>
                <w:color w:val="auto"/>
              </w:rPr>
            </w:pPr>
            <w:r>
              <w:rPr>
                <w:rFonts w:ascii="Arial" w:cs="Arial" w:eastAsia="Arial" w:hAnsi="Arial"/>
                <w:sz w:val="18"/>
                <w:szCs w:val="18"/>
                <w:color w:val="auto"/>
                <w:w w:val="93"/>
              </w:rPr>
              <w:t>Accounts receivable and contract assets, net of allowance for credit losses of $28 and $28, respectively</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7900" w:type="dxa"/>
            <w:vAlign w:val="bottom"/>
          </w:tcPr>
          <w:p>
            <w:pPr>
              <w:ind w:left="200"/>
              <w:spacing w:after="0"/>
              <w:rPr>
                <w:sz w:val="20"/>
                <w:szCs w:val="20"/>
                <w:color w:val="auto"/>
              </w:rPr>
            </w:pPr>
            <w:r>
              <w:rPr>
                <w:rFonts w:ascii="Arial" w:cs="Arial" w:eastAsia="Arial" w:hAnsi="Arial"/>
                <w:sz w:val="18"/>
                <w:szCs w:val="18"/>
                <w:color w:val="auto"/>
              </w:rPr>
              <w:t>(Note 3)</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 receivable (Note 9)</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0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Property and equipment, net of accumulated depreciation of $512 and $460, respectively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Intangible assets, net of accumulated amortization of $197 and $202, respectively</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 (Note 5)</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Non-marketable investments (Note 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Other long-term assets, net of allowance for credit losses of $10 and $10, respectively</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4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Deferred merchant payables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 (Note 3)</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 (Note 6)</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r>
      <w:tr>
        <w:trPr>
          <w:trHeight w:val="209"/>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Long-term debt (Note 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Finance lease obligation, net of current portion</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Other long-term liabilities (Note 8)</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0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8"/>
                <w:szCs w:val="18"/>
                <w:color w:val="auto"/>
              </w:rPr>
              <w:t>Stockholders’ equity: (Note 12)</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$0.001 par value</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Authorized shares: 100,000,000</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0 and 0, respectively</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Common stock, $0.001 par value</w:t>
            </w: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shares: 1,600,000,000</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Shares issued: 146,591,387 and 144,656,649, respectively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outstanding: 127,746,773 and 125,812,035, respectively</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Class B common stock, $0.001 par value</w:t>
            </w:r>
          </w:p>
        </w:tc>
        <w:tc>
          <w:tcPr>
            <w:tcW w:w="2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shares: 400,000,000</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380"/>
              <w:spacing w:after="0"/>
              <w:rPr>
                <w:sz w:val="20"/>
                <w:szCs w:val="20"/>
                <w:color w:val="auto"/>
              </w:rPr>
            </w:pPr>
            <w:r>
              <w:rPr>
                <w:rFonts w:ascii="Arial" w:cs="Arial" w:eastAsia="Arial" w:hAnsi="Arial"/>
                <w:sz w:val="18"/>
                <w:szCs w:val="18"/>
                <w:color w:val="auto"/>
              </w:rPr>
              <w:t>Shares issued and outstanding: 12,799,999 and 12,799,999, respectively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r>
      <w:tr>
        <w:trPr>
          <w:trHeight w:val="216"/>
        </w:trPr>
        <w:tc>
          <w:tcPr>
            <w:tcW w:w="7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(108 )</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(56 )</w:t>
            </w:r>
          </w:p>
        </w:tc>
      </w:tr>
      <w:tr>
        <w:trPr>
          <w:trHeight w:val="216"/>
        </w:trPr>
        <w:tc>
          <w:tcPr>
            <w:tcW w:w="7900" w:type="dxa"/>
            <w:vAlign w:val="bottom"/>
          </w:tcPr>
          <w:p>
            <w:pPr>
              <w:ind w:left="200"/>
              <w:spacing w:after="0"/>
              <w:rPr>
                <w:sz w:val="20"/>
                <w:szCs w:val="20"/>
                <w:color w:val="auto"/>
              </w:rPr>
            </w:pPr>
            <w:r>
              <w:rPr>
                <w:rFonts w:ascii="Arial" w:cs="Arial" w:eastAsia="Arial" w:hAnsi="Arial"/>
                <w:sz w:val="18"/>
                <w:szCs w:val="18"/>
                <w:color w:val="auto"/>
              </w:rPr>
              <w:t>Treasury stock-common stock, at cost, 18,844,614 and 18,844,614 shares, respectively</w:t>
            </w:r>
          </w:p>
        </w:tc>
        <w:tc>
          <w:tcPr>
            <w:tcW w:w="2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(722 )</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(722 )</w:t>
            </w:r>
          </w:p>
        </w:tc>
      </w:tr>
      <w:tr>
        <w:trPr>
          <w:trHeight w:val="209"/>
        </w:trPr>
        <w:tc>
          <w:tcPr>
            <w:tcW w:w="7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-4614545</wp:posOffset>
            </wp:positionV>
            <wp:extent cx="1172845"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2845"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-2653665</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-170815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 w:name="page6"/>
    <w:bookmarkEnd w:id="5"/>
    <w:p>
      <w:pPr>
        <w:ind w:left="4800"/>
        <w:spacing w:after="0"/>
        <w:rPr>
          <w:sz w:val="20"/>
          <w:szCs w:val="20"/>
          <w:color w:val="auto"/>
        </w:rPr>
      </w:pPr>
      <w:r>
        <w:rPr>
          <w:rFonts w:ascii="Arial" w:cs="Arial" w:eastAsia="Arial" w:hAnsi="Arial"/>
          <w:sz w:val="17"/>
          <w:szCs w:val="17"/>
          <w:b w:val="1"/>
          <w:bCs w:val="1"/>
          <w:color w:val="auto"/>
        </w:rPr>
        <w:t>TRIPADVISOR, INC.</w:t>
      </w:r>
    </w:p>
    <w:p>
      <w:pPr>
        <w:spacing w:after="0" w:line="18"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w:t>
      </w:r>
    </w:p>
    <w:p>
      <w:pPr>
        <w:jc w:val="center"/>
        <w:spacing w:after="0"/>
        <w:rPr>
          <w:sz w:val="20"/>
          <w:szCs w:val="20"/>
          <w:color w:val="auto"/>
        </w:rPr>
      </w:pPr>
      <w:r>
        <w:rPr>
          <w:rFonts w:ascii="Arial" w:cs="Arial" w:eastAsia="Arial" w:hAnsi="Arial"/>
          <w:sz w:val="17"/>
          <w:szCs w:val="17"/>
          <w:b w:val="1"/>
          <w:bCs w:val="1"/>
          <w:color w:val="auto"/>
        </w:rPr>
        <w:t>(in millions, except number of shares)</w:t>
      </w:r>
    </w:p>
    <w:p>
      <w:pPr>
        <w:spacing w:after="0" w:line="46"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Three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17145</wp:posOffset>
            </wp:positionV>
            <wp:extent cx="50260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02602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9"/>
              </w:rPr>
              <w:t>Additio</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1"/>
              </w:rPr>
              <w:t>other</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nal</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center"/>
              <w:ind w:left="38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paid-in</w:t>
            </w:r>
          </w:p>
        </w:tc>
        <w:tc>
          <w:tcPr>
            <w:tcW w:w="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Retain</w:t>
            </w: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comprehensiv</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ed</w:t>
            </w:r>
          </w:p>
        </w:tc>
        <w:tc>
          <w:tcPr>
            <w:tcW w:w="180" w:type="dxa"/>
            <w:vAlign w:val="bottom"/>
          </w:tcPr>
          <w:p>
            <w:pPr>
              <w:spacing w:after="0"/>
              <w:rPr>
                <w:sz w:val="15"/>
                <w:szCs w:val="15"/>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76"/>
              </w:rPr>
              <w:t>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80" w:type="dxa"/>
            <w:vAlign w:val="bottom"/>
            <w:gridSpan w:val="3"/>
            <w:vMerge w:val="restart"/>
          </w:tcPr>
          <w:p>
            <w:pPr>
              <w:jc w:val="right"/>
              <w:ind w:right="197"/>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160" w:type="dxa"/>
            <w:vAlign w:val="bottom"/>
            <w:gridSpan w:val="3"/>
            <w:vMerge w:val="restart"/>
          </w:tcPr>
          <w:p>
            <w:pPr>
              <w:jc w:val="center"/>
              <w:ind w:left="18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earnin</w:t>
            </w:r>
          </w:p>
        </w:tc>
        <w:tc>
          <w:tcPr>
            <w:tcW w:w="11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11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92"/>
              </w:rPr>
              <w:t>Treasury Stock</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gs</w:t>
            </w:r>
          </w:p>
        </w:tc>
        <w:tc>
          <w:tcPr>
            <w:tcW w:w="1100" w:type="dxa"/>
            <w:vAlign w:val="bottom"/>
            <w:gridSpan w:val="3"/>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4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Amo</w:t>
            </w:r>
          </w:p>
        </w:tc>
        <w:tc>
          <w:tcPr>
            <w:tcW w:w="240" w:type="dxa"/>
            <w:vAlign w:val="bottom"/>
          </w:tcPr>
          <w:p>
            <w:pPr>
              <w:spacing w:after="0"/>
              <w:rPr>
                <w:sz w:val="11"/>
                <w:szCs w:val="11"/>
                <w:color w:val="auto"/>
              </w:rPr>
            </w:pPr>
          </w:p>
        </w:tc>
        <w:tc>
          <w:tcPr>
            <w:tcW w:w="96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Amou</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Amo</w:t>
            </w:r>
          </w:p>
        </w:tc>
        <w:tc>
          <w:tcPr>
            <w:tcW w:w="200" w:type="dxa"/>
            <w:vAlign w:val="bottom"/>
          </w:tcPr>
          <w:p>
            <w:pPr>
              <w:spacing w:after="0"/>
              <w:rPr>
                <w:sz w:val="11"/>
                <w:szCs w:val="11"/>
                <w:color w:val="auto"/>
              </w:rPr>
            </w:pPr>
          </w:p>
        </w:tc>
        <w:tc>
          <w:tcPr>
            <w:tcW w:w="5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unt</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nt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unt</w:t>
            </w:r>
          </w:p>
        </w:tc>
        <w:tc>
          <w:tcPr>
            <w:tcW w:w="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145,847,</w:t>
            </w:r>
          </w:p>
        </w:tc>
        <w:tc>
          <w:tcPr>
            <w:tcW w:w="2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Pr>
          <w:p>
            <w:pPr>
              <w:spacing w:after="0"/>
              <w:rPr>
                <w:sz w:val="14"/>
                <w:szCs w:val="14"/>
                <w:color w:val="auto"/>
              </w:rPr>
            </w:pPr>
          </w:p>
        </w:tc>
        <w:tc>
          <w:tcPr>
            <w:tcW w:w="380" w:type="dxa"/>
            <w:vAlign w:val="bottom"/>
            <w:tcBorders>
              <w:top w:val="single" w:sz="8" w:color="auto"/>
            </w:tcBorders>
            <w:gridSpan w:val="2"/>
          </w:tcPr>
          <w:p>
            <w:pPr>
              <w:jc w:val="right"/>
              <w:spacing w:after="0" w:line="164" w:lineRule="exact"/>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ind w:right="30"/>
              <w:spacing w:after="0" w:line="164" w:lineRule="exact"/>
              <w:rPr>
                <w:sz w:val="20"/>
                <w:szCs w:val="20"/>
                <w:color w:val="auto"/>
              </w:rPr>
            </w:pPr>
            <w:r>
              <w:rPr>
                <w:rFonts w:ascii="Arial" w:cs="Arial" w:eastAsia="Arial" w:hAnsi="Arial"/>
                <w:sz w:val="18"/>
                <w:szCs w:val="18"/>
                <w:b w:val="1"/>
                <w:bCs w:val="1"/>
                <w:color w:val="auto"/>
              </w:rPr>
              <w:t>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as of June 30, 2022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$1,364</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4"/>
              </w:rPr>
              <w:t>$ 238</w:t>
            </w:r>
          </w:p>
        </w:tc>
        <w:tc>
          <w:tcPr>
            <w:tcW w:w="220" w:type="dxa"/>
            <w:vAlign w:val="bottom"/>
          </w:tcPr>
          <w:p>
            <w:pPr>
              <w:spacing w:after="0"/>
              <w:rPr>
                <w:sz w:val="20"/>
                <w:szCs w:val="20"/>
                <w:color w:val="auto"/>
              </w:rPr>
            </w:pPr>
          </w:p>
        </w:tc>
        <w:tc>
          <w:tcPr>
            <w:tcW w:w="18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(84 )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614 )</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0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4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080" w:type="dxa"/>
            <w:vAlign w:val="bottom"/>
          </w:tcPr>
          <w:p>
            <w:pPr>
              <w:spacing w:after="0" w:line="175" w:lineRule="exact"/>
              <w:rPr>
                <w:sz w:val="20"/>
                <w:szCs w:val="20"/>
                <w:color w:val="auto"/>
              </w:rPr>
            </w:pPr>
            <w:r>
              <w:rPr>
                <w:rFonts w:ascii="Arial" w:cs="Arial" w:eastAsia="Arial" w:hAnsi="Arial"/>
                <w:sz w:val="18"/>
                <w:szCs w:val="18"/>
                <w:color w:val="auto"/>
                <w:w w:val="95"/>
              </w:rPr>
              <w:t>Other comprehensive income (loss), net</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of tax</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(24 )</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6"/>
              </w:rPr>
              <w:t>(24 )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080" w:type="dxa"/>
            <w:vAlign w:val="bottom"/>
            <w:tcBorders>
              <w:right w:val="single" w:sz="8" w:color="CFF0FC"/>
            </w:tcBorders>
            <w:shd w:val="clear" w:color="auto" w:fill="CFF0FC"/>
          </w:tcPr>
          <w:p>
            <w:pPr>
              <w:spacing w:after="0" w:line="175" w:lineRule="exact"/>
              <w:rPr>
                <w:sz w:val="20"/>
                <w:szCs w:val="20"/>
                <w:color w:val="auto"/>
              </w:rPr>
            </w:pPr>
            <w:r>
              <w:rPr>
                <w:rFonts w:ascii="Arial" w:cs="Arial" w:eastAsia="Arial" w:hAnsi="Arial"/>
                <w:sz w:val="18"/>
                <w:szCs w:val="18"/>
                <w:color w:val="auto"/>
              </w:rPr>
              <w:t>Issuance of common stock related to</w:t>
            </w:r>
          </w:p>
        </w:tc>
        <w:tc>
          <w:tcPr>
            <w:tcW w:w="84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3080" w:type="dxa"/>
            <w:vAlign w:val="bottom"/>
            <w:tcBorders>
              <w:right w:val="single" w:sz="8" w:color="CFF0FC"/>
            </w:tcBorders>
            <w:shd w:val="clear" w:color="auto" w:fill="CFF0FC"/>
          </w:tcPr>
          <w:p>
            <w:pPr>
              <w:spacing w:after="0" w:line="189" w:lineRule="exact"/>
              <w:rPr>
                <w:sz w:val="20"/>
                <w:szCs w:val="20"/>
                <w:color w:val="auto"/>
              </w:rPr>
            </w:pPr>
            <w:r>
              <w:rPr>
                <w:rFonts w:ascii="Arial" w:cs="Arial" w:eastAsia="Arial" w:hAnsi="Arial"/>
                <w:sz w:val="18"/>
                <w:szCs w:val="18"/>
                <w:color w:val="auto"/>
              </w:rPr>
              <w:t>exercises of options and vesting of</w:t>
            </w:r>
          </w:p>
        </w:tc>
        <w:tc>
          <w:tcPr>
            <w:tcW w:w="84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40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54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46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tcBorders>
              <w:right w:val="single" w:sz="8" w:color="CFF0FC"/>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080" w:type="dxa"/>
            <w:vAlign w:val="bottom"/>
            <w:tcBorders>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743,666</w:t>
            </w:r>
          </w:p>
        </w:tc>
        <w:tc>
          <w:tcPr>
            <w:tcW w:w="240" w:type="dxa"/>
            <w:vAlign w:val="bottom"/>
            <w:tcBorders>
              <w:right w:val="single" w:sz="8" w:color="CFF0FC"/>
            </w:tcBorders>
            <w:shd w:val="clear" w:color="auto" w:fill="CFF0FC"/>
          </w:tcPr>
          <w:p>
            <w:pPr>
              <w:spacing w:after="0"/>
              <w:rPr>
                <w:sz w:val="20"/>
                <w:szCs w:val="20"/>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7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2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80" w:type="dxa"/>
            <w:vAlign w:val="bottom"/>
            <w:tcBorders>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080" w:type="dxa"/>
            <w:vAlign w:val="bottom"/>
          </w:tcPr>
          <w:p>
            <w:pPr>
              <w:spacing w:after="0" w:line="175" w:lineRule="exact"/>
              <w:rPr>
                <w:sz w:val="20"/>
                <w:szCs w:val="20"/>
                <w:color w:val="auto"/>
              </w:rPr>
            </w:pPr>
            <w:r>
              <w:rPr>
                <w:rFonts w:ascii="Arial" w:cs="Arial" w:eastAsia="Arial" w:hAnsi="Arial"/>
                <w:sz w:val="18"/>
                <w:szCs w:val="18"/>
                <w:color w:val="auto"/>
              </w:rPr>
              <w:t>Withholding taxes on net share</w:t>
            </w: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settlements of equity awards</w:t>
            </w: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(9 )</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080" w:type="dxa"/>
            <w:vAlign w:val="bottom"/>
            <w:tcBorders>
              <w:bottom w:val="single" w:sz="8" w:color="CFF0FC"/>
              <w:right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tcBorders>
              <w:bottom w:val="single" w:sz="8" w:color="auto"/>
              <w:right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400" w:type="dxa"/>
            <w:vAlign w:val="bottom"/>
            <w:tcBorders>
              <w:bottom w:val="single" w:sz="8" w:color="auto"/>
              <w:right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720" w:type="dxa"/>
            <w:vAlign w:val="bottom"/>
            <w:tcBorders>
              <w:bottom w:val="single" w:sz="8" w:color="auto"/>
              <w:right w:val="single" w:sz="8" w:color="CFF0FC"/>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460" w:type="dxa"/>
            <w:vAlign w:val="bottom"/>
            <w:tcBorders>
              <w:bottom w:val="single" w:sz="8" w:color="auto"/>
              <w:right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820" w:type="dxa"/>
            <w:vAlign w:val="bottom"/>
            <w:tcBorders>
              <w:bottom w:val="single" w:sz="8" w:color="auto"/>
              <w:right w:val="single" w:sz="8" w:color="CFF0FC"/>
            </w:tcBorders>
            <w:shd w:val="clear" w:color="auto" w:fill="CFF0FC"/>
          </w:tcPr>
          <w:p>
            <w:pPr>
              <w:spacing w:after="0"/>
              <w:rPr>
                <w:sz w:val="18"/>
                <w:szCs w:val="18"/>
                <w:color w:val="auto"/>
              </w:rPr>
            </w:pPr>
          </w:p>
        </w:tc>
        <w:tc>
          <w:tcPr>
            <w:tcW w:w="22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right w:val="single" w:sz="8" w:color="CFF0FC"/>
            </w:tcBorders>
            <w:shd w:val="clear" w:color="auto" w:fill="CFF0FC"/>
          </w:tcPr>
          <w:p>
            <w:pPr>
              <w:spacing w:after="0"/>
              <w:rPr>
                <w:sz w:val="18"/>
                <w:szCs w:val="18"/>
                <w:color w:val="auto"/>
              </w:rPr>
            </w:pP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4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146,591,</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Pr>
          <w:p>
            <w:pPr>
              <w:spacing w:after="0"/>
              <w:rPr>
                <w:sz w:val="14"/>
                <w:szCs w:val="14"/>
                <w:color w:val="auto"/>
              </w:rPr>
            </w:pPr>
          </w:p>
        </w:tc>
        <w:tc>
          <w:tcPr>
            <w:tcW w:w="380" w:type="dxa"/>
            <w:vAlign w:val="bottom"/>
            <w:gridSpan w:val="2"/>
          </w:tcPr>
          <w:p>
            <w:pPr>
              <w:jc w:val="right"/>
              <w:spacing w:after="0" w:line="164" w:lineRule="exact"/>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ind w:right="30"/>
              <w:spacing w:after="0" w:line="164" w:lineRule="exact"/>
              <w:rPr>
                <w:sz w:val="20"/>
                <w:szCs w:val="20"/>
                <w:color w:val="auto"/>
              </w:rPr>
            </w:pPr>
            <w:r>
              <w:rPr>
                <w:rFonts w:ascii="Arial" w:cs="Arial" w:eastAsia="Arial" w:hAnsi="Arial"/>
                <w:sz w:val="18"/>
                <w:szCs w:val="18"/>
                <w:b w:val="1"/>
                <w:bCs w:val="1"/>
                <w:color w:val="auto"/>
              </w:rPr>
              <w:t>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Balance as of September 30, 2022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1,380</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84"/>
              </w:rPr>
              <w:t>$ 263</w:t>
            </w:r>
          </w:p>
        </w:tc>
        <w:tc>
          <w:tcPr>
            <w:tcW w:w="220" w:type="dxa"/>
            <w:vAlign w:val="bottom"/>
          </w:tcPr>
          <w:p>
            <w:pPr>
              <w:spacing w:after="0"/>
              <w:rPr>
                <w:sz w:val="20"/>
                <w:szCs w:val="20"/>
                <w:color w:val="auto"/>
              </w:rPr>
            </w:pPr>
          </w:p>
        </w:tc>
        <w:tc>
          <w:tcPr>
            <w:tcW w:w="180" w:type="dxa"/>
            <w:vAlign w:val="bottom"/>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(108 )</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614 )</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right"/>
              <w:ind w:right="460"/>
              <w:spacing w:after="0"/>
              <w:rPr>
                <w:sz w:val="20"/>
                <w:szCs w:val="20"/>
                <w:color w:val="auto"/>
              </w:rPr>
            </w:pPr>
            <w:r>
              <w:rPr>
                <w:rFonts w:ascii="Arial" w:cs="Arial" w:eastAsia="Arial" w:hAnsi="Arial"/>
                <w:sz w:val="18"/>
                <w:szCs w:val="18"/>
                <w:b w:val="1"/>
                <w:bCs w:val="1"/>
                <w:color w:val="auto"/>
                <w:w w:val="88"/>
              </w:rPr>
              <w:t>Nine months ended September 30, 2022</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Additio</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other</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nal</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jc w:val="center"/>
              <w:ind w:left="380"/>
              <w:spacing w:after="0"/>
              <w:rPr>
                <w:sz w:val="20"/>
                <w:szCs w:val="20"/>
                <w:color w:val="auto"/>
              </w:rPr>
            </w:pPr>
            <w:r>
              <w:rPr>
                <w:rFonts w:ascii="Arial" w:cs="Arial" w:eastAsia="Arial" w:hAnsi="Arial"/>
                <w:sz w:val="14"/>
                <w:szCs w:val="14"/>
                <w:b w:val="1"/>
                <w:bCs w:val="1"/>
                <w:color w:val="auto"/>
                <w:w w:val="89"/>
              </w:rPr>
              <w:t>Class B</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paid-in</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Retain</w:t>
            </w:r>
          </w:p>
        </w:tc>
        <w:tc>
          <w:tcPr>
            <w:tcW w:w="11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comprehensiv</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ed</w:t>
            </w:r>
          </w:p>
        </w:tc>
        <w:tc>
          <w:tcPr>
            <w:tcW w:w="18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6"/>
              </w:rPr>
              <w:t>e</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80" w:type="dxa"/>
            <w:vAlign w:val="bottom"/>
            <w:gridSpan w:val="3"/>
            <w:vMerge w:val="restart"/>
          </w:tcPr>
          <w:p>
            <w:pPr>
              <w:jc w:val="right"/>
              <w:ind w:right="217"/>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160" w:type="dxa"/>
            <w:vAlign w:val="bottom"/>
            <w:gridSpan w:val="3"/>
            <w:vMerge w:val="restart"/>
          </w:tcPr>
          <w:p>
            <w:pPr>
              <w:jc w:val="center"/>
              <w:ind w:left="160"/>
              <w:spacing w:after="0"/>
              <w:rPr>
                <w:sz w:val="20"/>
                <w:szCs w:val="20"/>
                <w:color w:val="auto"/>
              </w:rPr>
            </w:pPr>
            <w:r>
              <w:rPr>
                <w:rFonts w:ascii="Arial" w:cs="Arial" w:eastAsia="Arial" w:hAnsi="Arial"/>
                <w:sz w:val="14"/>
                <w:szCs w:val="14"/>
                <w:b w:val="1"/>
                <w:bCs w:val="1"/>
                <w:color w:val="auto"/>
                <w:w w:val="89"/>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earnin</w:t>
            </w: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6"/>
              </w:rPr>
              <w:t>income (loss)</w:t>
            </w:r>
          </w:p>
        </w:tc>
        <w:tc>
          <w:tcPr>
            <w:tcW w:w="16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gs</w:t>
            </w:r>
          </w:p>
        </w:tc>
        <w:tc>
          <w:tcPr>
            <w:tcW w:w="1100" w:type="dxa"/>
            <w:vAlign w:val="bottom"/>
            <w:gridSpan w:val="3"/>
            <w:vMerge w:val="continue"/>
          </w:tcPr>
          <w:p>
            <w:pPr>
              <w:spacing w:after="0"/>
              <w:rPr>
                <w:sz w:val="16"/>
                <w:szCs w:val="16"/>
                <w:color w:val="auto"/>
              </w:rPr>
            </w:pPr>
          </w:p>
        </w:tc>
        <w:tc>
          <w:tcPr>
            <w:tcW w:w="162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84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6"/>
              </w:rPr>
              <w:t>Amo</w:t>
            </w:r>
          </w:p>
        </w:tc>
        <w:tc>
          <w:tcPr>
            <w:tcW w:w="240" w:type="dxa"/>
            <w:vAlign w:val="bottom"/>
          </w:tcPr>
          <w:p>
            <w:pPr>
              <w:spacing w:after="0"/>
              <w:rPr>
                <w:sz w:val="11"/>
                <w:szCs w:val="11"/>
                <w:color w:val="auto"/>
              </w:rPr>
            </w:pPr>
          </w:p>
        </w:tc>
        <w:tc>
          <w:tcPr>
            <w:tcW w:w="96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w w:val="95"/>
              </w:rPr>
              <w:t>Amoun</w:t>
            </w:r>
          </w:p>
        </w:tc>
        <w:tc>
          <w:tcPr>
            <w:tcW w:w="2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w w:val="96"/>
              </w:rPr>
              <w:t>Amo</w:t>
            </w:r>
          </w:p>
        </w:tc>
        <w:tc>
          <w:tcPr>
            <w:tcW w:w="200" w:type="dxa"/>
            <w:vAlign w:val="bottom"/>
          </w:tcPr>
          <w:p>
            <w:pPr>
              <w:spacing w:after="0"/>
              <w:rPr>
                <w:sz w:val="11"/>
                <w:szCs w:val="11"/>
                <w:color w:val="auto"/>
              </w:rPr>
            </w:pP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unt</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jc w:val="center"/>
              <w:ind w:right="134"/>
              <w:spacing w:after="0"/>
              <w:rPr>
                <w:sz w:val="20"/>
                <w:szCs w:val="20"/>
                <w:color w:val="auto"/>
              </w:rPr>
            </w:pPr>
            <w:r>
              <w:rPr>
                <w:rFonts w:ascii="Arial" w:cs="Arial" w:eastAsia="Arial" w:hAnsi="Arial"/>
                <w:sz w:val="14"/>
                <w:szCs w:val="14"/>
                <w:b w:val="1"/>
                <w:bCs w:val="1"/>
                <w:color w:val="auto"/>
              </w:rPr>
              <w:t>t</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b w:val="1"/>
                <w:bCs w:val="1"/>
                <w:color w:val="auto"/>
              </w:rPr>
              <w:t>unt</w:t>
            </w:r>
          </w:p>
        </w:tc>
        <w:tc>
          <w:tcPr>
            <w:tcW w:w="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80" w:type="dxa"/>
            <w:vAlign w:val="bottom"/>
            <w:shd w:val="clear" w:color="auto" w:fill="CFF0FC"/>
          </w:tcPr>
          <w:p>
            <w:pPr>
              <w:spacing w:after="0"/>
              <w:rPr>
                <w:sz w:val="14"/>
                <w:szCs w:val="14"/>
                <w:color w:val="auto"/>
              </w:rPr>
            </w:pPr>
          </w:p>
        </w:tc>
        <w:tc>
          <w:tcPr>
            <w:tcW w:w="3080" w:type="dxa"/>
            <w:vAlign w:val="bottom"/>
            <w:tcBorders>
              <w:right w:val="single" w:sz="8" w:color="CFF0FC"/>
            </w:tcBorders>
            <w:shd w:val="clear" w:color="auto" w:fill="CFF0FC"/>
          </w:tcPr>
          <w:p>
            <w:pPr>
              <w:spacing w:after="0"/>
              <w:rPr>
                <w:sz w:val="14"/>
                <w:szCs w:val="14"/>
                <w:color w:val="auto"/>
              </w:rPr>
            </w:pPr>
          </w:p>
        </w:tc>
        <w:tc>
          <w:tcPr>
            <w:tcW w:w="84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144,656,</w:t>
            </w:r>
          </w:p>
        </w:tc>
        <w:tc>
          <w:tcPr>
            <w:tcW w:w="240" w:type="dxa"/>
            <w:vAlign w:val="bottom"/>
            <w:tcBorders>
              <w:right w:val="single" w:sz="8" w:color="CFF0FC"/>
            </w:tcBorders>
            <w:shd w:val="clear" w:color="auto" w:fill="CFF0FC"/>
          </w:tcPr>
          <w:p>
            <w:pPr>
              <w:spacing w:after="0"/>
              <w:rPr>
                <w:sz w:val="14"/>
                <w:szCs w:val="14"/>
                <w:color w:val="auto"/>
              </w:rPr>
            </w:pPr>
          </w:p>
        </w:tc>
        <w:tc>
          <w:tcPr>
            <w:tcW w:w="400" w:type="dxa"/>
            <w:vAlign w:val="bottom"/>
            <w:tcBorders>
              <w:top w:val="single" w:sz="8" w:color="auto"/>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60" w:type="dxa"/>
            <w:vAlign w:val="bottom"/>
            <w:tcBorders>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w w:val="84"/>
              </w:rPr>
              <w:t>(72</w:t>
            </w:r>
          </w:p>
        </w:tc>
        <w:tc>
          <w:tcPr>
            <w:tcW w:w="20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6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649</w:t>
            </w:r>
          </w:p>
        </w:tc>
        <w:tc>
          <w:tcPr>
            <w:tcW w:w="240" w:type="dxa"/>
            <w:vAlign w:val="bottom"/>
            <w:tcBorders>
              <w:right w:val="single" w:sz="8" w:color="CFF0FC"/>
            </w:tcBorders>
            <w:shd w:val="clear" w:color="auto" w:fill="CFF0FC"/>
          </w:tcPr>
          <w:p>
            <w:pPr>
              <w:spacing w:after="0"/>
              <w:rPr>
                <w:sz w:val="20"/>
                <w:szCs w:val="20"/>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 —</w:t>
            </w:r>
          </w:p>
        </w:tc>
        <w:tc>
          <w:tcPr>
            <w:tcW w:w="9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$1,326</w:t>
            </w:r>
          </w:p>
        </w:tc>
        <w:tc>
          <w:tcPr>
            <w:tcW w:w="220" w:type="dxa"/>
            <w:vAlign w:val="bottom"/>
            <w:tcBorders>
              <w:right w:val="single" w:sz="8" w:color="CFF0FC"/>
            </w:tcBorders>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$ 241</w:t>
            </w: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ind w:right="9"/>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(56 )</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614 )</w:t>
            </w: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2 )  $789</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160" w:type="dxa"/>
            <w:vAlign w:val="bottom"/>
            <w:tcBorders>
              <w:right w:val="single" w:sz="8" w:color="CFF0FC"/>
            </w:tcBorders>
            <w:gridSpan w:val="2"/>
            <w:shd w:val="clear" w:color="auto" w:fill="CFF0FC"/>
          </w:tcPr>
          <w:p>
            <w:pPr>
              <w:ind w:left="20"/>
              <w:spacing w:after="0" w:line="175" w:lineRule="exact"/>
              <w:rPr>
                <w:sz w:val="20"/>
                <w:szCs w:val="20"/>
                <w:color w:val="auto"/>
              </w:rPr>
            </w:pPr>
            <w:r>
              <w:rPr>
                <w:rFonts w:ascii="Arial" w:cs="Arial" w:eastAsia="Arial" w:hAnsi="Arial"/>
                <w:sz w:val="18"/>
                <w:szCs w:val="18"/>
                <w:color w:val="auto"/>
                <w:w w:val="97"/>
              </w:rPr>
              <w:t>Other comprehensive income (loss), net</w:t>
            </w:r>
          </w:p>
        </w:tc>
        <w:tc>
          <w:tcPr>
            <w:tcW w:w="84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of tax</w:t>
            </w:r>
          </w:p>
        </w:tc>
        <w:tc>
          <w:tcPr>
            <w:tcW w:w="84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40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54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46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(52 )</w:t>
            </w:r>
          </w:p>
        </w:tc>
        <w:tc>
          <w:tcPr>
            <w:tcW w:w="82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174"/>
        </w:trPr>
        <w:tc>
          <w:tcPr>
            <w:tcW w:w="316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Issuance of common stock related to</w:t>
            </w:r>
          </w:p>
        </w:tc>
        <w:tc>
          <w:tcPr>
            <w:tcW w:w="840" w:type="dxa"/>
            <w:vAlign w:val="bottom"/>
          </w:tcPr>
          <w:p>
            <w:pPr>
              <w:jc w:val="right"/>
              <w:spacing w:after="0" w:line="175" w:lineRule="exact"/>
              <w:rPr>
                <w:sz w:val="20"/>
                <w:szCs w:val="20"/>
                <w:color w:val="auto"/>
              </w:rPr>
            </w:pPr>
            <w:r>
              <w:rPr>
                <w:rFonts w:ascii="Arial" w:cs="Arial" w:eastAsia="Arial" w:hAnsi="Arial"/>
                <w:sz w:val="18"/>
                <w:szCs w:val="18"/>
                <w:color w:val="auto"/>
              </w:rPr>
              <w:t>1,934,73</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20"/>
              <w:spacing w:after="0"/>
              <w:rPr>
                <w:sz w:val="20"/>
                <w:szCs w:val="20"/>
                <w:color w:val="auto"/>
              </w:rPr>
            </w:pPr>
            <w:r>
              <w:rPr>
                <w:rFonts w:ascii="Arial" w:cs="Arial" w:eastAsia="Arial" w:hAnsi="Arial"/>
                <w:sz w:val="18"/>
                <w:szCs w:val="18"/>
                <w:color w:val="auto"/>
                <w:w w:val="94"/>
              </w:rPr>
              <w:t>exercises of options and vesting of RSUs</w:t>
            </w: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3160" w:type="dxa"/>
            <w:vAlign w:val="bottom"/>
            <w:tcBorders>
              <w:right w:val="single" w:sz="8" w:color="CFF0FC"/>
            </w:tcBorders>
            <w:gridSpan w:val="2"/>
            <w:shd w:val="clear" w:color="auto" w:fill="CFF0FC"/>
          </w:tcPr>
          <w:p>
            <w:pPr>
              <w:ind w:left="20"/>
              <w:spacing w:after="0" w:line="175" w:lineRule="exact"/>
              <w:rPr>
                <w:sz w:val="20"/>
                <w:szCs w:val="20"/>
                <w:color w:val="auto"/>
              </w:rPr>
            </w:pPr>
            <w:r>
              <w:rPr>
                <w:rFonts w:ascii="Arial" w:cs="Arial" w:eastAsia="Arial" w:hAnsi="Arial"/>
                <w:sz w:val="18"/>
                <w:szCs w:val="18"/>
                <w:color w:val="auto"/>
              </w:rPr>
              <w:t>Withholding taxes on net share</w:t>
            </w:r>
          </w:p>
        </w:tc>
        <w:tc>
          <w:tcPr>
            <w:tcW w:w="84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40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tcBorders>
              <w:right w:val="single" w:sz="8" w:color="CFF0FC"/>
            </w:tcBorders>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46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tcBorders>
              <w:right w:val="single" w:sz="8" w:color="CFF0FC"/>
            </w:tcBorders>
            <w:shd w:val="clear" w:color="auto" w:fill="CFF0FC"/>
          </w:tcPr>
          <w:p>
            <w:pPr>
              <w:spacing w:after="0"/>
              <w:rPr>
                <w:sz w:val="15"/>
                <w:szCs w:val="15"/>
                <w:color w:val="auto"/>
              </w:rPr>
            </w:pPr>
          </w:p>
        </w:tc>
        <w:tc>
          <w:tcPr>
            <w:tcW w:w="20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80" w:type="dxa"/>
            <w:vAlign w:val="bottom"/>
            <w:tcBorders>
              <w:right w:val="single" w:sz="8" w:color="CFF0FC"/>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6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settlements of equity awards</w:t>
            </w:r>
          </w:p>
        </w:tc>
        <w:tc>
          <w:tcPr>
            <w:tcW w:w="84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40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(18 )</w:t>
            </w:r>
          </w:p>
        </w:tc>
        <w:tc>
          <w:tcPr>
            <w:tcW w:w="46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20" w:type="dxa"/>
            <w:vAlign w:val="bottom"/>
            <w:tcBorders>
              <w:right w:val="single" w:sz="8" w:color="CFF0FC"/>
            </w:tcBorders>
            <w:shd w:val="clear" w:color="auto" w:fill="CFF0FC"/>
          </w:tcPr>
          <w:p>
            <w:pPr>
              <w:spacing w:after="0"/>
              <w:rPr>
                <w:sz w:val="20"/>
                <w:szCs w:val="20"/>
                <w:color w:val="auto"/>
              </w:rPr>
            </w:pPr>
          </w:p>
        </w:tc>
        <w:tc>
          <w:tcPr>
            <w:tcW w:w="22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tcBorders>
              <w:right w:val="single" w:sz="8" w:color="CFF0FC"/>
            </w:tcBorders>
            <w:shd w:val="clear" w:color="auto" w:fill="CFF0FC"/>
          </w:tcPr>
          <w:p>
            <w:pPr>
              <w:spacing w:after="0"/>
              <w:rPr>
                <w:sz w:val="20"/>
                <w:szCs w:val="20"/>
                <w:color w:val="auto"/>
              </w:rPr>
            </w:pPr>
          </w:p>
        </w:tc>
        <w:tc>
          <w:tcPr>
            <w:tcW w:w="20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0" w:type="dxa"/>
            <w:vAlign w:val="bottom"/>
            <w:shd w:val="clear" w:color="auto" w:fill="CFF0FC"/>
          </w:tcPr>
          <w:p>
            <w:pPr>
              <w:spacing w:after="0"/>
              <w:rPr>
                <w:sz w:val="14"/>
                <w:szCs w:val="14"/>
                <w:color w:val="auto"/>
              </w:rPr>
            </w:pPr>
          </w:p>
        </w:tc>
        <w:tc>
          <w:tcPr>
            <w:tcW w:w="3080" w:type="dxa"/>
            <w:vAlign w:val="bottom"/>
            <w:tcBorders>
              <w:right w:val="single" w:sz="8" w:color="CFF0FC"/>
            </w:tcBorders>
            <w:shd w:val="clear" w:color="auto" w:fill="CFF0FC"/>
          </w:tcPr>
          <w:p>
            <w:pPr>
              <w:spacing w:after="0"/>
              <w:rPr>
                <w:sz w:val="14"/>
                <w:szCs w:val="14"/>
                <w:color w:val="auto"/>
              </w:rPr>
            </w:pPr>
          </w:p>
        </w:tc>
        <w:tc>
          <w:tcPr>
            <w:tcW w:w="84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146,591,</w:t>
            </w:r>
          </w:p>
        </w:tc>
        <w:tc>
          <w:tcPr>
            <w:tcW w:w="240" w:type="dxa"/>
            <w:vAlign w:val="bottom"/>
            <w:tcBorders>
              <w:right w:val="single" w:sz="8" w:color="CFF0FC"/>
            </w:tcBorders>
            <w:shd w:val="clear" w:color="auto" w:fill="CFF0FC"/>
          </w:tcPr>
          <w:p>
            <w:pPr>
              <w:spacing w:after="0"/>
              <w:rPr>
                <w:sz w:val="14"/>
                <w:szCs w:val="14"/>
                <w:color w:val="auto"/>
              </w:rPr>
            </w:pPr>
          </w:p>
        </w:tc>
        <w:tc>
          <w:tcPr>
            <w:tcW w:w="400" w:type="dxa"/>
            <w:vAlign w:val="bottom"/>
            <w:tcBorders>
              <w:top w:val="single" w:sz="8" w:color="auto"/>
              <w:right w:val="single" w:sz="8" w:color="CFF0FC"/>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72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Borders>
              <w:right w:val="single" w:sz="8" w:color="CFF0FC"/>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540" w:type="dxa"/>
            <w:vAlign w:val="bottom"/>
            <w:tcBorders>
              <w:top w:val="single" w:sz="8" w:color="auto"/>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460" w:type="dxa"/>
            <w:vAlign w:val="bottom"/>
            <w:tcBorders>
              <w:top w:val="single" w:sz="8" w:color="auto"/>
              <w:right w:val="single" w:sz="8" w:color="CFF0FC"/>
            </w:tcBorders>
            <w:shd w:val="clear" w:color="auto" w:fill="CFF0FC"/>
          </w:tcPr>
          <w:p>
            <w:pPr>
              <w:spacing w:after="0"/>
              <w:rPr>
                <w:sz w:val="14"/>
                <w:szCs w:val="14"/>
                <w:color w:val="auto"/>
              </w:rPr>
            </w:pPr>
          </w:p>
        </w:tc>
        <w:tc>
          <w:tcPr>
            <w:tcW w:w="220" w:type="dxa"/>
            <w:vAlign w:val="bottom"/>
            <w:tcBorders>
              <w:right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right w:val="single" w:sz="8" w:color="CFF0FC"/>
            </w:tcBorders>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82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right w:val="single" w:sz="8" w:color="CFF0FC"/>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w w:val="84"/>
              </w:rPr>
              <w:t>(72</w:t>
            </w:r>
          </w:p>
        </w:tc>
        <w:tc>
          <w:tcPr>
            <w:tcW w:w="200" w:type="dxa"/>
            <w:vAlign w:val="bottom"/>
            <w:tcBorders>
              <w:right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160" w:type="dxa"/>
            <w:vAlign w:val="bottom"/>
            <w:tcBorders>
              <w:right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September 30, 2022</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w:t>
            </w:r>
          </w:p>
        </w:tc>
        <w:tc>
          <w:tcPr>
            <w:tcW w:w="240" w:type="dxa"/>
            <w:vAlign w:val="bottom"/>
            <w:tcBorders>
              <w:right w:val="single" w:sz="8" w:color="CFF0FC"/>
            </w:tcBorders>
            <w:shd w:val="clear" w:color="auto" w:fill="CFF0FC"/>
          </w:tcPr>
          <w:p>
            <w:pPr>
              <w:spacing w:after="0"/>
              <w:rPr>
                <w:sz w:val="22"/>
                <w:szCs w:val="22"/>
                <w:color w:val="auto"/>
              </w:rPr>
            </w:pP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 —</w:t>
            </w:r>
          </w:p>
        </w:tc>
        <w:tc>
          <w:tcPr>
            <w:tcW w:w="240" w:type="dxa"/>
            <w:vAlign w:val="bottom"/>
            <w:tcBorders>
              <w:right w:val="single" w:sz="8" w:color="CFF0FC"/>
            </w:tcBorders>
            <w:shd w:val="clear" w:color="auto" w:fill="CFF0FC"/>
          </w:tcPr>
          <w:p>
            <w:pPr>
              <w:spacing w:after="0"/>
              <w:rPr>
                <w:sz w:val="22"/>
                <w:szCs w:val="22"/>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Borders>
              <w:right w:val="single" w:sz="8" w:color="CFF0FC"/>
            </w:tcBorders>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Borders>
              <w:right w:val="single" w:sz="8" w:color="CFF0FC"/>
            </w:tcBorders>
            <w:shd w:val="clear" w:color="auto" w:fill="CFF0FC"/>
          </w:tcPr>
          <w:p>
            <w:pPr>
              <w:spacing w:after="0"/>
              <w:rPr>
                <w:sz w:val="22"/>
                <w:szCs w:val="22"/>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1,380</w:t>
            </w:r>
          </w:p>
        </w:tc>
        <w:tc>
          <w:tcPr>
            <w:tcW w:w="220" w:type="dxa"/>
            <w:vAlign w:val="bottom"/>
            <w:tcBorders>
              <w:right w:val="single" w:sz="8" w:color="CFF0FC"/>
            </w:tcBorders>
            <w:shd w:val="clear" w:color="auto" w:fill="CFF0FC"/>
          </w:tcPr>
          <w:p>
            <w:pPr>
              <w:spacing w:after="0"/>
              <w:rPr>
                <w:sz w:val="22"/>
                <w:szCs w:val="22"/>
                <w:color w:val="auto"/>
              </w:rPr>
            </w:pPr>
          </w:p>
        </w:tc>
        <w:tc>
          <w:tcPr>
            <w:tcW w:w="4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$ 263</w:t>
            </w:r>
          </w:p>
        </w:tc>
        <w:tc>
          <w:tcPr>
            <w:tcW w:w="220" w:type="dxa"/>
            <w:vAlign w:val="bottom"/>
            <w:tcBorders>
              <w:right w:val="single" w:sz="8" w:color="CFF0FC"/>
            </w:tcBorders>
            <w:shd w:val="clear" w:color="auto" w:fill="CFF0FC"/>
          </w:tcPr>
          <w:p>
            <w:pPr>
              <w:spacing w:after="0"/>
              <w:rPr>
                <w:sz w:val="22"/>
                <w:szCs w:val="22"/>
                <w:color w:val="auto"/>
              </w:rPr>
            </w:pPr>
          </w:p>
        </w:tc>
        <w:tc>
          <w:tcPr>
            <w:tcW w:w="180" w:type="dxa"/>
            <w:vAlign w:val="bottom"/>
            <w:shd w:val="clear" w:color="auto" w:fill="CFF0FC"/>
          </w:tcPr>
          <w:p>
            <w:pPr>
              <w:jc w:val="right"/>
              <w:ind w:right="9"/>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(108 )</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614 )</w:t>
            </w: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2 )</w:t>
            </w:r>
          </w:p>
        </w:tc>
        <w:tc>
          <w:tcPr>
            <w:tcW w:w="46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813</w:t>
            </w:r>
          </w:p>
        </w:tc>
        <w:tc>
          <w:tcPr>
            <w:tcW w:w="6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FF0FC"/>
            </w:tcBorders>
            <w:shd w:val="clear" w:color="auto" w:fill="CFF0FC"/>
          </w:tcPr>
          <w:p>
            <w:pPr>
              <w:spacing w:after="0" w:line="20" w:lineRule="exact"/>
              <w:rPr>
                <w:sz w:val="1"/>
                <w:szCs w:val="1"/>
                <w:color w:val="auto"/>
              </w:rPr>
            </w:pPr>
          </w:p>
        </w:tc>
        <w:tc>
          <w:tcPr>
            <w:tcW w:w="308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4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-3270250</wp:posOffset>
            </wp:positionV>
            <wp:extent cx="76835" cy="290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-3270250</wp:posOffset>
            </wp:positionV>
            <wp:extent cx="76835" cy="290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-3270250</wp:posOffset>
            </wp:positionV>
            <wp:extent cx="76835" cy="290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-3270250</wp:posOffset>
            </wp:positionV>
            <wp:extent cx="68580" cy="290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4491990</wp:posOffset>
            </wp:positionH>
            <wp:positionV relativeFrom="paragraph">
              <wp:posOffset>-3270250</wp:posOffset>
            </wp:positionV>
            <wp:extent cx="68580" cy="290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-3270250</wp:posOffset>
            </wp:positionV>
            <wp:extent cx="68580" cy="29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-3270250</wp:posOffset>
            </wp:positionV>
            <wp:extent cx="68580" cy="290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-3270250</wp:posOffset>
            </wp:positionV>
            <wp:extent cx="68580" cy="290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-3270250</wp:posOffset>
            </wp:positionV>
            <wp:extent cx="68580" cy="290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-3270250</wp:posOffset>
            </wp:positionV>
            <wp:extent cx="68580" cy="290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-24765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2522220</wp:posOffset>
            </wp:positionH>
            <wp:positionV relativeFrom="paragraph">
              <wp:posOffset>-7620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2924810</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3541395</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4800"/>
        <w:spacing w:after="0"/>
        <w:rPr>
          <w:sz w:val="20"/>
          <w:szCs w:val="20"/>
          <w:color w:val="auto"/>
        </w:rPr>
      </w:pPr>
      <w:r>
        <w:rPr>
          <w:rFonts w:ascii="Arial" w:cs="Arial" w:eastAsia="Arial" w:hAnsi="Arial"/>
          <w:sz w:val="17"/>
          <w:szCs w:val="17"/>
          <w:b w:val="1"/>
          <w:bCs w:val="1"/>
          <w:color w:val="auto"/>
        </w:rPr>
        <w:t>TRIPADVISOR, INC.</w:t>
      </w:r>
    </w:p>
    <w:p>
      <w:pPr>
        <w:spacing w:after="0" w:line="18" w:lineRule="exact"/>
        <w:rPr>
          <w:sz w:val="20"/>
          <w:szCs w:val="20"/>
          <w:color w:val="auto"/>
        </w:rPr>
      </w:pPr>
    </w:p>
    <w:p>
      <w:pPr>
        <w:ind w:left="1400"/>
        <w:spacing w:after="0"/>
        <w:rPr>
          <w:sz w:val="20"/>
          <w:szCs w:val="20"/>
          <w:color w:val="auto"/>
        </w:rPr>
      </w:pPr>
      <w:r>
        <w:rPr>
          <w:rFonts w:ascii="Arial" w:cs="Arial" w:eastAsia="Arial" w:hAnsi="Arial"/>
          <w:sz w:val="17"/>
          <w:szCs w:val="17"/>
          <w:b w:val="1"/>
          <w:bCs w:val="1"/>
          <w:color w:val="auto"/>
        </w:rPr>
        <w:t>UNAUDITED CONDENSED CONSOLIDATED STATEMENTS OF CHANGES IN STOCKHOLDERS’ EQUITY</w:t>
      </w:r>
    </w:p>
    <w:p>
      <w:pPr>
        <w:ind w:left="4260"/>
        <w:spacing w:after="0"/>
        <w:rPr>
          <w:sz w:val="20"/>
          <w:szCs w:val="20"/>
          <w:color w:val="auto"/>
        </w:rPr>
      </w:pPr>
      <w:r>
        <w:rPr>
          <w:rFonts w:ascii="Arial" w:cs="Arial" w:eastAsia="Arial" w:hAnsi="Arial"/>
          <w:sz w:val="17"/>
          <w:szCs w:val="17"/>
          <w:b w:val="1"/>
          <w:bCs w:val="1"/>
          <w:color w:val="auto"/>
        </w:rPr>
        <w:t>(in millions, except number of shares)</w:t>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18415</wp:posOffset>
            </wp:positionV>
            <wp:extent cx="5077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77460" cy="8255"/>
                    </a:xfrm>
                    <a:prstGeom prst="rect">
                      <a:avLst/>
                    </a:prstGeom>
                    <a:noFill/>
                  </pic:spPr>
                </pic:pic>
              </a:graphicData>
            </a:graphic>
          </wp:anchor>
        </w:drawing>
      </w:r>
    </w:p>
    <w:p>
      <w:pPr>
        <w:spacing w:after="0" w:line="53" w:lineRule="exact"/>
        <w:rPr>
          <w:sz w:val="20"/>
          <w:szCs w:val="20"/>
          <w:color w:val="auto"/>
        </w:rPr>
      </w:pPr>
    </w:p>
    <w:tbl>
      <w:tblPr>
        <w:tblLayout w:type="fixed"/>
        <w:tblInd w:w="314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Additio</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8"/>
              </w:rPr>
              <w:t>nal</w:t>
            </w:r>
          </w:p>
        </w:tc>
        <w:tc>
          <w:tcPr>
            <w:tcW w:w="22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Retain</w:t>
            </w:r>
          </w:p>
        </w:tc>
        <w:tc>
          <w:tcPr>
            <w:tcW w:w="2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ed</w:t>
            </w: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1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w w:val="89"/>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earnin</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00" w:type="dxa"/>
            <w:vAlign w:val="bottom"/>
          </w:tcPr>
          <w:p>
            <w:pPr>
              <w:spacing w:after="0"/>
              <w:rPr>
                <w:sz w:val="12"/>
                <w:szCs w:val="12"/>
                <w:color w:val="auto"/>
              </w:rPr>
            </w:pPr>
          </w:p>
        </w:tc>
        <w:tc>
          <w:tcPr>
            <w:tcW w:w="14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46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3"/>
              </w:rPr>
              <w:t>gs</w:t>
            </w:r>
          </w:p>
        </w:tc>
        <w:tc>
          <w:tcPr>
            <w:tcW w:w="2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jc w:val="center"/>
              <w:ind w:left="108"/>
              <w:spacing w:after="0" w:line="133" w:lineRule="exact"/>
              <w:rPr>
                <w:sz w:val="20"/>
                <w:szCs w:val="20"/>
                <w:color w:val="auto"/>
              </w:rPr>
            </w:pPr>
            <w:r>
              <w:rPr>
                <w:rFonts w:ascii="Arial" w:cs="Arial" w:eastAsia="Arial" w:hAnsi="Arial"/>
                <w:sz w:val="14"/>
                <w:szCs w:val="14"/>
                <w:b w:val="1"/>
                <w:bCs w:val="1"/>
                <w:color w:val="auto"/>
                <w:w w:val="96"/>
              </w:rPr>
              <w:t>Amo</w:t>
            </w:r>
          </w:p>
        </w:tc>
        <w:tc>
          <w:tcPr>
            <w:tcW w:w="240" w:type="dxa"/>
            <w:vAlign w:val="bottom"/>
          </w:tcPr>
          <w:p>
            <w:pPr>
              <w:spacing w:after="0"/>
              <w:rPr>
                <w:sz w:val="11"/>
                <w:szCs w:val="11"/>
                <w:color w:val="auto"/>
              </w:rPr>
            </w:pPr>
          </w:p>
        </w:tc>
        <w:tc>
          <w:tcPr>
            <w:tcW w:w="1460" w:type="dxa"/>
            <w:vAlign w:val="bottom"/>
            <w:gridSpan w:val="2"/>
          </w:tcPr>
          <w:p>
            <w:pPr>
              <w:jc w:val="center"/>
              <w:ind w:left="888"/>
              <w:spacing w:after="0" w:line="133" w:lineRule="exact"/>
              <w:rPr>
                <w:sz w:val="20"/>
                <w:szCs w:val="20"/>
                <w:color w:val="auto"/>
              </w:rPr>
            </w:pPr>
            <w:r>
              <w:rPr>
                <w:rFonts w:ascii="Arial" w:cs="Arial" w:eastAsia="Arial" w:hAnsi="Arial"/>
                <w:sz w:val="14"/>
                <w:szCs w:val="14"/>
                <w:b w:val="1"/>
                <w:bCs w:val="1"/>
                <w:color w:val="auto"/>
                <w:w w:val="95"/>
              </w:rPr>
              <w:t>Amoun</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jc w:val="center"/>
              <w:ind w:left="128"/>
              <w:spacing w:after="0" w:line="133" w:lineRule="exact"/>
              <w:rPr>
                <w:sz w:val="20"/>
                <w:szCs w:val="20"/>
                <w:color w:val="auto"/>
              </w:rPr>
            </w:pPr>
            <w:r>
              <w:rPr>
                <w:rFonts w:ascii="Arial" w:cs="Arial" w:eastAsia="Arial" w:hAnsi="Arial"/>
                <w:sz w:val="14"/>
                <w:szCs w:val="14"/>
                <w:b w:val="1"/>
                <w:bCs w:val="1"/>
                <w:color w:val="auto"/>
                <w:w w:val="96"/>
              </w:rPr>
              <w:t>Amo</w:t>
            </w:r>
          </w:p>
        </w:tc>
        <w:tc>
          <w:tcPr>
            <w:tcW w:w="56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5"/>
        </w:trPr>
        <w:tc>
          <w:tcPr>
            <w:tcW w:w="860" w:type="dxa"/>
            <w:vAlign w:val="bottom"/>
            <w:vMerge w:val="continue"/>
          </w:tcPr>
          <w:p>
            <w:pPr>
              <w:spacing w:after="0"/>
              <w:rPr>
                <w:sz w:val="16"/>
                <w:szCs w:val="16"/>
                <w:color w:val="auto"/>
              </w:rPr>
            </w:pPr>
          </w:p>
        </w:tc>
        <w:tc>
          <w:tcPr>
            <w:tcW w:w="60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unt</w:t>
            </w:r>
          </w:p>
        </w:tc>
        <w:tc>
          <w:tcPr>
            <w:tcW w:w="240" w:type="dxa"/>
            <w:vAlign w:val="bottom"/>
          </w:tcPr>
          <w:p>
            <w:pPr>
              <w:spacing w:after="0"/>
              <w:rPr>
                <w:sz w:val="16"/>
                <w:szCs w:val="16"/>
                <w:color w:val="auto"/>
              </w:rPr>
            </w:pPr>
          </w:p>
        </w:tc>
        <w:tc>
          <w:tcPr>
            <w:tcW w:w="11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1040" w:type="dxa"/>
            <w:vAlign w:val="bottom"/>
            <w:gridSpan w:val="3"/>
          </w:tcPr>
          <w:p>
            <w:pPr>
              <w:jc w:val="center"/>
              <w:ind w:right="908"/>
              <w:spacing w:after="0"/>
              <w:rPr>
                <w:sz w:val="20"/>
                <w:szCs w:val="20"/>
                <w:color w:val="auto"/>
              </w:rPr>
            </w:pPr>
            <w:r>
              <w:rPr>
                <w:rFonts w:ascii="Arial" w:cs="Arial" w:eastAsia="Arial" w:hAnsi="Arial"/>
                <w:sz w:val="14"/>
                <w:szCs w:val="14"/>
                <w:b w:val="1"/>
                <w:bCs w:val="1"/>
                <w:color w:val="auto"/>
              </w:rPr>
              <w:t>t</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80" w:type="dxa"/>
            <w:vAlign w:val="bottom"/>
          </w:tcPr>
          <w:p>
            <w:pPr>
              <w:jc w:val="center"/>
              <w:ind w:left="108"/>
              <w:spacing w:after="0"/>
              <w:rPr>
                <w:sz w:val="20"/>
                <w:szCs w:val="20"/>
                <w:color w:val="auto"/>
              </w:rPr>
            </w:pPr>
            <w:r>
              <w:rPr>
                <w:rFonts w:ascii="Arial" w:cs="Arial" w:eastAsia="Arial" w:hAnsi="Arial"/>
                <w:sz w:val="14"/>
                <w:szCs w:val="14"/>
                <w:b w:val="1"/>
                <w:bCs w:val="1"/>
                <w:color w:val="auto"/>
                <w:w w:val="91"/>
              </w:rPr>
              <w:t>unt</w:t>
            </w: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20" w:right="339" w:bottom="1440" w:gutter="0" w:footer="0" w:header="0"/>
        </w:sectPr>
      </w:pPr>
    </w:p>
    <w:p>
      <w:pPr>
        <w:spacing w:after="0" w:line="183" w:lineRule="exact"/>
        <w:rPr>
          <w:sz w:val="20"/>
          <w:szCs w:val="20"/>
          <w:color w:val="auto"/>
        </w:rPr>
      </w:pPr>
    </w:p>
    <w:p>
      <w:pPr>
        <w:ind w:left="20" w:right="860"/>
        <w:spacing w:after="0" w:line="260" w:lineRule="auto"/>
        <w:rPr>
          <w:sz w:val="20"/>
          <w:szCs w:val="20"/>
          <w:color w:val="auto"/>
        </w:rPr>
      </w:pPr>
      <w:r>
        <w:rPr>
          <w:rFonts w:ascii="Arial" w:cs="Arial" w:eastAsia="Arial" w:hAnsi="Arial"/>
          <w:sz w:val="18"/>
          <w:szCs w:val="18"/>
          <w:b w:val="1"/>
          <w:bCs w:val="1"/>
          <w:color w:val="auto"/>
        </w:rPr>
        <w:t xml:space="preserve">Balance as of June 30, 2021 </w:t>
      </w:r>
      <w:r>
        <w:rPr>
          <w:rFonts w:ascii="Arial" w:cs="Arial" w:eastAsia="Arial" w:hAnsi="Arial"/>
          <w:sz w:val="18"/>
          <w:szCs w:val="18"/>
          <w:color w:val="auto"/>
        </w:rPr>
        <w:t>Net income (loss)</w:t>
      </w:r>
    </w:p>
    <w:p>
      <w:pPr>
        <w:spacing w:after="0" w:line="1" w:lineRule="exact"/>
        <w:rPr>
          <w:sz w:val="20"/>
          <w:szCs w:val="20"/>
          <w:color w:val="auto"/>
        </w:rPr>
      </w:pPr>
    </w:p>
    <w:p>
      <w:pPr>
        <w:ind w:left="20" w:right="80"/>
        <w:spacing w:after="0" w:line="234" w:lineRule="auto"/>
        <w:rPr>
          <w:sz w:val="20"/>
          <w:szCs w:val="20"/>
          <w:color w:val="auto"/>
        </w:rPr>
      </w:pPr>
      <w:r>
        <w:rPr>
          <w:rFonts w:ascii="Arial" w:cs="Arial" w:eastAsia="Arial" w:hAnsi="Arial"/>
          <w:sz w:val="18"/>
          <w:szCs w:val="18"/>
          <w:color w:val="auto"/>
        </w:rPr>
        <w:t>Other comprehensive income (loss), net of tax</w:t>
      </w:r>
    </w:p>
    <w:p>
      <w:pPr>
        <w:spacing w:after="0" w:line="1" w:lineRule="exact"/>
        <w:rPr>
          <w:sz w:val="20"/>
          <w:szCs w:val="20"/>
          <w:color w:val="auto"/>
        </w:rPr>
      </w:pPr>
    </w:p>
    <w:p>
      <w:pPr>
        <w:ind w:left="20"/>
        <w:spacing w:after="0" w:line="263" w:lineRule="auto"/>
        <w:rPr>
          <w:sz w:val="20"/>
          <w:szCs w:val="20"/>
          <w:color w:val="auto"/>
        </w:rPr>
      </w:pPr>
      <w:r>
        <w:rPr>
          <w:rFonts w:ascii="Arial" w:cs="Arial" w:eastAsia="Arial" w:hAnsi="Arial"/>
          <w:sz w:val="16"/>
          <w:szCs w:val="16"/>
          <w:color w:val="auto"/>
        </w:rPr>
        <w:t>Issuance of common stock related to exercises of options and vesting of RSUs</w:t>
      </w:r>
    </w:p>
    <w:p>
      <w:pPr>
        <w:spacing w:after="0" w:line="1" w:lineRule="exact"/>
        <w:rPr>
          <w:sz w:val="20"/>
          <w:szCs w:val="20"/>
          <w:color w:val="auto"/>
        </w:rPr>
      </w:pPr>
    </w:p>
    <w:p>
      <w:pPr>
        <w:ind w:left="20" w:right="720"/>
        <w:spacing w:after="0" w:line="263" w:lineRule="auto"/>
        <w:rPr>
          <w:sz w:val="20"/>
          <w:szCs w:val="20"/>
          <w:color w:val="auto"/>
        </w:rPr>
      </w:pPr>
      <w:r>
        <w:rPr>
          <w:rFonts w:ascii="Arial" w:cs="Arial" w:eastAsia="Arial" w:hAnsi="Arial"/>
          <w:sz w:val="16"/>
          <w:szCs w:val="16"/>
          <w:color w:val="auto"/>
        </w:rPr>
        <w:t>Withholding taxes on net share settlements of equity awards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September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143,418,</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w w:val="84"/>
              </w:rPr>
              <w:t>(72</w:t>
            </w: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007</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w:t>
            </w:r>
          </w:p>
        </w:tc>
        <w:tc>
          <w:tcPr>
            <w:tcW w:w="46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$1,275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$ 269</w:t>
            </w:r>
          </w:p>
        </w:tc>
        <w:tc>
          <w:tcPr>
            <w:tcW w:w="880" w:type="dxa"/>
            <w:vAlign w:val="bottom"/>
            <w:gridSpan w:val="2"/>
          </w:tcPr>
          <w:p>
            <w:pPr>
              <w:jc w:val="right"/>
              <w:ind w:right="485"/>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(43 )</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614 )</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2 )</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4"/>
              </w:rPr>
              <w:t>$779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(8 )</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405"/>
        </w:trPr>
        <w:tc>
          <w:tcPr>
            <w:tcW w:w="820" w:type="dxa"/>
            <w:vAlign w:val="bottom"/>
          </w:tcPr>
          <w:p>
            <w:pPr>
              <w:jc w:val="right"/>
              <w:spacing w:after="0"/>
              <w:rPr>
                <w:sz w:val="20"/>
                <w:szCs w:val="20"/>
                <w:color w:val="auto"/>
              </w:rPr>
            </w:pPr>
            <w:r>
              <w:rPr>
                <w:rFonts w:ascii="Arial" w:cs="Arial" w:eastAsia="Arial" w:hAnsi="Arial"/>
                <w:sz w:val="18"/>
                <w:szCs w:val="18"/>
                <w:color w:val="auto"/>
              </w:rPr>
              <w:t>759,642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0"/>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5"/>
          </w:tcPr>
          <w:p>
            <w:pPr>
              <w:jc w:val="right"/>
              <w:ind w:right="120"/>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144,177,</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w w:val="84"/>
              </w:rPr>
              <w:t>(72</w:t>
            </w: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ind w:left="80"/>
              <w:spacing w:after="0"/>
              <w:rPr>
                <w:sz w:val="20"/>
                <w:szCs w:val="20"/>
                <w:color w:val="auto"/>
              </w:rPr>
            </w:pPr>
            <w:r>
              <w:rPr>
                <w:rFonts w:ascii="Arial" w:cs="Arial" w:eastAsia="Arial" w:hAnsi="Arial"/>
                <w:sz w:val="18"/>
                <w:szCs w:val="18"/>
                <w:b w:val="1"/>
                <w:bCs w:val="1"/>
                <w:color w:val="auto"/>
                <w:w w:val="99"/>
              </w:rPr>
              <w:t>—</w:t>
            </w:r>
          </w:p>
        </w:tc>
        <w:tc>
          <w:tcPr>
            <w:tcW w:w="220" w:type="dxa"/>
            <w:vAlign w:val="bottom"/>
            <w:gridSpan w:val="2"/>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1,297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$ 270</w:t>
            </w:r>
          </w:p>
        </w:tc>
        <w:tc>
          <w:tcPr>
            <w:tcW w:w="220" w:type="dxa"/>
            <w:vAlign w:val="bottom"/>
          </w:tcPr>
          <w:p>
            <w:pPr>
              <w:spacing w:after="0"/>
              <w:rPr>
                <w:sz w:val="20"/>
                <w:szCs w:val="20"/>
                <w:color w:val="auto"/>
              </w:rPr>
            </w:pPr>
          </w:p>
        </w:tc>
        <w:tc>
          <w:tcPr>
            <w:tcW w:w="660" w:type="dxa"/>
            <w:vAlign w:val="bottom"/>
          </w:tcPr>
          <w:p>
            <w:pPr>
              <w:jc w:val="right"/>
              <w:ind w:right="485"/>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(51 )</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614 )</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2 )</w:t>
            </w:r>
          </w:p>
        </w:tc>
        <w:tc>
          <w:tcPr>
            <w:tcW w:w="42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794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jc w:val="right"/>
              <w:spacing w:after="0"/>
              <w:rPr>
                <w:sz w:val="20"/>
                <w:szCs w:val="20"/>
                <w:color w:val="auto"/>
              </w:rPr>
            </w:pPr>
            <w:r>
              <w:rPr>
                <w:rFonts w:ascii="Arial" w:cs="Arial" w:eastAsia="Arial" w:hAnsi="Arial"/>
                <w:sz w:val="17"/>
                <w:szCs w:val="17"/>
                <w:b w:val="1"/>
                <w:bCs w:val="1"/>
                <w:color w:val="auto"/>
                <w:w w:val="93"/>
              </w:rPr>
              <w:t>Nine months ended September 30, 2021</w:t>
            </w: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9"/>
              </w:rPr>
              <w:t>Additio</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center"/>
              <w:ind w:left="185"/>
              <w:spacing w:after="0"/>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8"/>
              </w:rPr>
              <w:t>nal</w:t>
            </w: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Retain</w:t>
            </w:r>
          </w:p>
        </w:tc>
        <w:tc>
          <w:tcPr>
            <w:tcW w:w="2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vMerge w:val="restart"/>
          </w:tcPr>
          <w:p>
            <w:pPr>
              <w:jc w:val="center"/>
              <w:ind w:left="199"/>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5"/>
              </w:rPr>
              <w:t>paid-in</w:t>
            </w:r>
          </w:p>
        </w:tc>
        <w:tc>
          <w:tcPr>
            <w:tcW w:w="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7"/>
              </w:rPr>
              <w:t>ed</w:t>
            </w:r>
          </w:p>
        </w:tc>
        <w:tc>
          <w:tcPr>
            <w:tcW w:w="2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restart"/>
          </w:tcPr>
          <w:p>
            <w:pPr>
              <w:jc w:val="center"/>
              <w:ind w:left="179"/>
              <w:spacing w:after="0"/>
              <w:rPr>
                <w:sz w:val="20"/>
                <w:szCs w:val="20"/>
                <w:color w:val="auto"/>
              </w:rPr>
            </w:pPr>
            <w:r>
              <w:rPr>
                <w:rFonts w:ascii="Arial" w:cs="Arial" w:eastAsia="Arial" w:hAnsi="Arial"/>
                <w:sz w:val="14"/>
                <w:szCs w:val="14"/>
                <w:b w:val="1"/>
                <w:bCs w:val="1"/>
                <w:color w:val="auto"/>
                <w:w w:val="89"/>
              </w:rPr>
              <w:t>common stock</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earnin</w:t>
            </w:r>
          </w:p>
        </w:tc>
        <w:tc>
          <w:tcPr>
            <w:tcW w:w="220" w:type="dxa"/>
            <w:vAlign w:val="bottom"/>
          </w:tcPr>
          <w:p>
            <w:pPr>
              <w:spacing w:after="0"/>
              <w:rPr>
                <w:sz w:val="12"/>
                <w:szCs w:val="12"/>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8"/>
              </w:rPr>
              <w:t>income (loss)</w:t>
            </w:r>
          </w:p>
        </w:tc>
        <w:tc>
          <w:tcPr>
            <w:tcW w:w="16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Treasury Stock</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73"/>
              </w:rPr>
              <w:t>gs</w:t>
            </w:r>
          </w:p>
        </w:tc>
        <w:tc>
          <w:tcPr>
            <w:tcW w:w="2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620" w:type="dxa"/>
            <w:vAlign w:val="bottom"/>
            <w:gridSpan w:val="5"/>
            <w:vMerge w:val="continue"/>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2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6"/>
              </w:rPr>
              <w:t>Amo</w:t>
            </w:r>
          </w:p>
        </w:tc>
        <w:tc>
          <w:tcPr>
            <w:tcW w:w="240" w:type="dxa"/>
            <w:vAlign w:val="bottom"/>
          </w:tcPr>
          <w:p>
            <w:pPr>
              <w:spacing w:after="0"/>
              <w:rPr>
                <w:sz w:val="11"/>
                <w:szCs w:val="11"/>
                <w:color w:val="auto"/>
              </w:rPr>
            </w:pPr>
          </w:p>
        </w:tc>
        <w:tc>
          <w:tcPr>
            <w:tcW w:w="72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Amoun</w:t>
            </w: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Borders>
              <w:top w:val="single" w:sz="8" w:color="auto"/>
            </w:tcBorders>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rPr>
              <w:t>Amo</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unt</w:t>
            </w: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rPr>
              <w:t>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5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unt</w:t>
            </w:r>
          </w:p>
        </w:tc>
        <w:tc>
          <w:tcPr>
            <w:tcW w:w="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-2602230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-2208530</wp:posOffset>
            </wp:positionV>
            <wp:extent cx="7132320" cy="2571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-1694815</wp:posOffset>
            </wp:positionV>
            <wp:extent cx="7132320" cy="427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279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80" w:space="160"/>
            <w:col w:w="8100"/>
          </w:cols>
          <w:pgMar w:left="320" w:top="320" w:right="33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314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140,775,</w:t>
            </w:r>
          </w:p>
        </w:tc>
        <w:tc>
          <w:tcPr>
            <w:tcW w:w="240" w:type="dxa"/>
            <w:vAlign w:val="bottom"/>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spacing w:after="0" w:line="164" w:lineRule="exact"/>
              <w:rPr>
                <w:sz w:val="20"/>
                <w:szCs w:val="20"/>
                <w:color w:val="auto"/>
              </w:rPr>
            </w:pPr>
            <w:r>
              <w:rPr>
                <w:rFonts w:ascii="Arial" w:cs="Arial" w:eastAsia="Arial" w:hAnsi="Arial"/>
                <w:sz w:val="18"/>
                <w:szCs w:val="18"/>
                <w:b w:val="1"/>
                <w:bCs w:val="1"/>
                <w:color w:val="auto"/>
                <w:w w:val="84"/>
              </w:rPr>
              <w:t>(72</w:t>
            </w:r>
          </w:p>
        </w:tc>
        <w:tc>
          <w:tcPr>
            <w:tcW w:w="20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3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221</w:t>
            </w: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  —   $1,253</w:t>
            </w: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$ 389</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(34 )</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614 )  $</w:t>
            </w:r>
          </w:p>
        </w:tc>
        <w:tc>
          <w:tcPr>
            <w:tcW w:w="8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2 )  $886</w:t>
            </w:r>
          </w:p>
        </w:tc>
        <w:tc>
          <w:tcPr>
            <w:tcW w:w="100" w:type="dxa"/>
            <w:vAlign w:val="bottom"/>
            <w:shd w:val="clear" w:color="auto" w:fill="CFF0FC"/>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40"/>
          </w:cols>
          <w:pgMar w:left="320" w:top="320" w:right="339" w:bottom="1440" w:gutter="0" w:footer="0" w:header="0"/>
          <w:type w:val="continuous"/>
        </w:sectPr>
      </w:pP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w:t>
      </w:r>
    </w:p>
    <w:p>
      <w:pPr>
        <w:spacing w:after="0" w:line="23" w:lineRule="exact"/>
        <w:rPr>
          <w:sz w:val="20"/>
          <w:szCs w:val="20"/>
          <w:color w:val="auto"/>
        </w:rPr>
      </w:pPr>
    </w:p>
    <w:p>
      <w:pPr>
        <w:ind w:left="20" w:right="80"/>
        <w:spacing w:after="0" w:line="234" w:lineRule="auto"/>
        <w:rPr>
          <w:sz w:val="20"/>
          <w:szCs w:val="20"/>
          <w:color w:val="auto"/>
        </w:rPr>
      </w:pPr>
      <w:r>
        <w:rPr>
          <w:rFonts w:ascii="Arial" w:cs="Arial" w:eastAsia="Arial" w:hAnsi="Arial"/>
          <w:sz w:val="18"/>
          <w:szCs w:val="18"/>
          <w:color w:val="auto"/>
        </w:rPr>
        <w:t>Other comprehensive income (loss), net of tax</w:t>
      </w:r>
    </w:p>
    <w:p>
      <w:pPr>
        <w:spacing w:after="0" w:line="1" w:lineRule="exact"/>
        <w:rPr>
          <w:sz w:val="20"/>
          <w:szCs w:val="20"/>
          <w:color w:val="auto"/>
        </w:rPr>
      </w:pPr>
    </w:p>
    <w:p>
      <w:pPr>
        <w:ind w:left="20"/>
        <w:spacing w:after="0" w:line="263" w:lineRule="auto"/>
        <w:rPr>
          <w:sz w:val="20"/>
          <w:szCs w:val="20"/>
          <w:color w:val="auto"/>
        </w:rPr>
      </w:pPr>
      <w:r>
        <w:rPr>
          <w:rFonts w:ascii="Arial" w:cs="Arial" w:eastAsia="Arial" w:hAnsi="Arial"/>
          <w:sz w:val="16"/>
          <w:szCs w:val="16"/>
          <w:color w:val="auto"/>
        </w:rPr>
        <w:t>Issuance of common stock related to exercises of options and vesting of RSUs</w:t>
      </w:r>
    </w:p>
    <w:p>
      <w:pPr>
        <w:spacing w:after="0" w:line="1" w:lineRule="exact"/>
        <w:rPr>
          <w:sz w:val="20"/>
          <w:szCs w:val="20"/>
          <w:color w:val="auto"/>
        </w:rPr>
      </w:pPr>
    </w:p>
    <w:p>
      <w:pPr>
        <w:ind w:left="20" w:right="220"/>
        <w:spacing w:after="0" w:line="234" w:lineRule="auto"/>
        <w:rPr>
          <w:sz w:val="20"/>
          <w:szCs w:val="20"/>
          <w:color w:val="auto"/>
        </w:rPr>
      </w:pPr>
      <w:r>
        <w:rPr>
          <w:rFonts w:ascii="Arial" w:cs="Arial" w:eastAsia="Arial" w:hAnsi="Arial"/>
          <w:sz w:val="18"/>
          <w:szCs w:val="18"/>
          <w:color w:val="auto"/>
        </w:rPr>
        <w:t>Purchase of capped calls, net of tax of $9 million (Note 7)</w:t>
      </w:r>
    </w:p>
    <w:p>
      <w:pPr>
        <w:spacing w:after="0" w:line="1" w:lineRule="exact"/>
        <w:rPr>
          <w:sz w:val="20"/>
          <w:szCs w:val="20"/>
          <w:color w:val="auto"/>
        </w:rPr>
      </w:pPr>
    </w:p>
    <w:p>
      <w:pPr>
        <w:ind w:left="20" w:right="720"/>
        <w:spacing w:after="0" w:line="263" w:lineRule="auto"/>
        <w:rPr>
          <w:sz w:val="20"/>
          <w:szCs w:val="20"/>
          <w:color w:val="auto"/>
        </w:rPr>
      </w:pPr>
      <w:r>
        <w:rPr>
          <w:rFonts w:ascii="Arial" w:cs="Arial" w:eastAsia="Arial" w:hAnsi="Arial"/>
          <w:sz w:val="16"/>
          <w:szCs w:val="16"/>
          <w:color w:val="auto"/>
        </w:rPr>
        <w:t>Withholding taxes on net share settlements of equity awards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as of September 30,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3"/>
          </w:tcPr>
          <w:p>
            <w:pPr>
              <w:jc w:val="right"/>
              <w:ind w:right="20"/>
              <w:spacing w:after="0" w:line="175"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(119 )</w:t>
            </w: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405"/>
        </w:trPr>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3,402,42</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4"/>
        </w:trPr>
        <w:tc>
          <w:tcPr>
            <w:tcW w:w="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gridSpan w:val="5"/>
          </w:tcPr>
          <w:p>
            <w:pPr>
              <w:jc w:val="right"/>
              <w:ind w:right="140"/>
              <w:spacing w:after="0"/>
              <w:rPr>
                <w:sz w:val="20"/>
                <w:szCs w:val="20"/>
                <w:color w:val="auto"/>
              </w:rPr>
            </w:pPr>
            <w:r>
              <w:rPr>
                <w:rFonts w:ascii="Arial" w:cs="Arial" w:eastAsia="Arial" w:hAnsi="Arial"/>
                <w:sz w:val="18"/>
                <w:szCs w:val="18"/>
                <w:color w:val="auto"/>
              </w:rPr>
              <w:t>(26 )</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390"/>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gridSpan w:val="5"/>
          </w:tcPr>
          <w:p>
            <w:pPr>
              <w:jc w:val="right"/>
              <w:ind w:right="140"/>
              <w:spacing w:after="0"/>
              <w:rPr>
                <w:sz w:val="20"/>
                <w:szCs w:val="20"/>
                <w:color w:val="auto"/>
              </w:rPr>
            </w:pPr>
            <w:r>
              <w:rPr>
                <w:rFonts w:ascii="Arial" w:cs="Arial" w:eastAsia="Arial" w:hAnsi="Arial"/>
                <w:sz w:val="18"/>
                <w:szCs w:val="18"/>
                <w:color w:val="auto"/>
              </w:rPr>
              <w:t>(39 )</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144,177,</w:t>
            </w:r>
          </w:p>
        </w:tc>
        <w:tc>
          <w:tcPr>
            <w:tcW w:w="2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12,799,</w:t>
            </w: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(18,844,</w:t>
            </w:r>
          </w:p>
        </w:tc>
        <w:tc>
          <w:tcPr>
            <w:tcW w:w="220" w:type="dxa"/>
            <w:vAlign w:val="bottom"/>
          </w:tcPr>
          <w:p>
            <w:pPr>
              <w:spacing w:after="0"/>
              <w:rPr>
                <w:sz w:val="14"/>
                <w:szCs w:val="14"/>
                <w:color w:val="auto"/>
              </w:rPr>
            </w:pPr>
          </w:p>
        </w:tc>
        <w:tc>
          <w:tcPr>
            <w:tcW w:w="380" w:type="dxa"/>
            <w:vAlign w:val="bottom"/>
            <w:tcBorders>
              <w:top w:val="single" w:sz="8" w:color="auto"/>
            </w:tcBorders>
          </w:tcPr>
          <w:p>
            <w:pPr>
              <w:jc w:val="right"/>
              <w:spacing w:after="0" w:line="164" w:lineRule="exact"/>
              <w:rPr>
                <w:sz w:val="20"/>
                <w:szCs w:val="20"/>
                <w:color w:val="auto"/>
              </w:rPr>
            </w:pPr>
            <w:r>
              <w:rPr>
                <w:rFonts w:ascii="Arial" w:cs="Arial" w:eastAsia="Arial" w:hAnsi="Arial"/>
                <w:sz w:val="18"/>
                <w:szCs w:val="18"/>
                <w:b w:val="1"/>
                <w:bCs w:val="1"/>
                <w:color w:val="auto"/>
              </w:rPr>
              <w:t>(72</w:t>
            </w:r>
          </w:p>
        </w:tc>
        <w:tc>
          <w:tcPr>
            <w:tcW w:w="2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999</w:t>
            </w:r>
          </w:p>
        </w:tc>
        <w:tc>
          <w:tcPr>
            <w:tcW w:w="240" w:type="dxa"/>
            <w:vAlign w:val="bottom"/>
          </w:tcPr>
          <w:p>
            <w:pPr>
              <w:spacing w:after="0"/>
              <w:rPr>
                <w:sz w:val="20"/>
                <w:szCs w:val="20"/>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 xml:space="preserve">$  —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1,297</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$ 270</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(51 )</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614 )</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2 )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-1454785</wp:posOffset>
            </wp:positionV>
            <wp:extent cx="713232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-941070</wp:posOffset>
            </wp:positionV>
            <wp:extent cx="7132320" cy="257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-427355</wp:posOffset>
            </wp:positionV>
            <wp:extent cx="7132320" cy="427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42799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2980" w:space="160"/>
            <w:col w:w="8100"/>
          </w:cols>
          <w:pgMar w:left="320" w:top="320" w:right="3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7" w:name="page8"/>
    <w:bookmarkEnd w:id="7"/>
    <w:p>
      <w:pPr>
        <w:ind w:left="4740"/>
        <w:spacing w:after="0"/>
        <w:rPr>
          <w:sz w:val="20"/>
          <w:szCs w:val="20"/>
          <w:color w:val="auto"/>
        </w:rPr>
      </w:pPr>
      <w:r>
        <w:rPr>
          <w:rFonts w:ascii="Arial" w:cs="Arial" w:eastAsia="Arial" w:hAnsi="Arial"/>
          <w:sz w:val="18"/>
          <w:szCs w:val="18"/>
          <w:b w:val="1"/>
          <w:bCs w:val="1"/>
          <w:color w:val="auto"/>
        </w:rPr>
        <w:t>TRIPADVISOR, INC.</w:t>
      </w:r>
    </w:p>
    <w:p>
      <w:pPr>
        <w:spacing w:after="0" w:line="24"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0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(119 )</w:t>
            </w:r>
          </w:p>
        </w:tc>
      </w:tr>
      <w:tr>
        <w:trPr>
          <w:trHeight w:val="21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 expense (Note 11)</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0"/>
              <w:spacing w:after="0"/>
              <w:rPr>
                <w:sz w:val="20"/>
                <w:szCs w:val="20"/>
                <w:color w:val="auto"/>
              </w:rPr>
            </w:pPr>
            <w:r>
              <w:rPr>
                <w:rFonts w:ascii="Arial" w:cs="Arial" w:eastAsia="Arial" w:hAnsi="Arial"/>
                <w:sz w:val="18"/>
                <w:szCs w:val="18"/>
                <w:color w:val="auto"/>
              </w:rPr>
              <w:t>Deferred income tax expense (benefit)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expected credit losses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 net: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38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9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(81 )</w:t>
            </w:r>
          </w:p>
        </w:tc>
        <w:tc>
          <w:tcPr>
            <w:tcW w:w="9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(131 )</w:t>
            </w:r>
          </w:p>
        </w:tc>
      </w:tr>
      <w:tr>
        <w:trPr>
          <w:trHeight w:val="216"/>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 accrued expenses and other liabilities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380"/>
              <w:spacing w:after="0"/>
              <w:rPr>
                <w:sz w:val="20"/>
                <w:szCs w:val="20"/>
                <w:color w:val="auto"/>
              </w:rPr>
            </w:pPr>
            <w:r>
              <w:rPr>
                <w:rFonts w:ascii="Arial" w:cs="Arial" w:eastAsia="Arial" w:hAnsi="Arial"/>
                <w:sz w:val="18"/>
                <w:szCs w:val="18"/>
                <w:color w:val="auto"/>
              </w:rPr>
              <w:t>Deferred merchant payables</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 receivables/payables, net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09"/>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0"/>
              <w:spacing w:after="0"/>
              <w:rPr>
                <w:sz w:val="20"/>
                <w:szCs w:val="20"/>
                <w:color w:val="auto"/>
              </w:rPr>
            </w:pPr>
            <w:r>
              <w:rPr>
                <w:rFonts w:ascii="Arial" w:cs="Arial" w:eastAsia="Arial" w:hAnsi="Arial"/>
                <w:sz w:val="18"/>
                <w:szCs w:val="18"/>
                <w:color w:val="auto"/>
              </w:rPr>
              <w:t>Capital expenditures, including capitalized website development</w:t>
            </w:r>
          </w:p>
        </w:tc>
        <w:tc>
          <w:tcPr>
            <w:tcW w:w="9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(41 )</w:t>
            </w:r>
          </w:p>
        </w:tc>
        <w:tc>
          <w:tcPr>
            <w:tcW w:w="9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investing activities, net</w:t>
            </w: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8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9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(37 )</w:t>
            </w:r>
          </w:p>
        </w:tc>
        <w:tc>
          <w:tcPr>
            <w:tcW w:w="9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(41 )</w:t>
            </w:r>
          </w:p>
        </w:tc>
      </w:tr>
      <w:tr>
        <w:trPr>
          <w:trHeight w:val="216"/>
        </w:trPr>
        <w:tc>
          <w:tcPr>
            <w:tcW w:w="80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2026 Senior Notes, net of financing costs (Note 7)</w:t>
            </w: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0"/>
              <w:spacing w:after="0"/>
              <w:rPr>
                <w:sz w:val="20"/>
                <w:szCs w:val="20"/>
                <w:color w:val="auto"/>
              </w:rPr>
            </w:pPr>
            <w:r>
              <w:rPr>
                <w:rFonts w:ascii="Arial" w:cs="Arial" w:eastAsia="Arial" w:hAnsi="Arial"/>
                <w:sz w:val="18"/>
                <w:szCs w:val="18"/>
                <w:color w:val="auto"/>
              </w:rPr>
              <w:t>Purchase of capped calls in connection with 2026 Senior Notes (Note 7)</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(35 )</w:t>
            </w: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8060" w:type="dxa"/>
            <w:vAlign w:val="bottom"/>
          </w:tcPr>
          <w:p>
            <w:pPr>
              <w:ind w:left="20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(18 )</w:t>
            </w:r>
          </w:p>
        </w:tc>
        <w:tc>
          <w:tcPr>
            <w:tcW w:w="9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(39 )</w:t>
            </w: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finance lease obligation and other financing activities, net</w:t>
            </w: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(5 )</w:t>
            </w:r>
          </w:p>
        </w:tc>
        <w:tc>
          <w:tcPr>
            <w:tcW w:w="9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r>
      <w:tr>
        <w:trPr>
          <w:trHeight w:val="20"/>
        </w:trPr>
        <w:tc>
          <w:tcPr>
            <w:tcW w:w="80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(23 )</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r>
      <w:tr>
        <w:trPr>
          <w:trHeight w:val="216"/>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(37 )</w:t>
            </w:r>
          </w:p>
        </w:tc>
        <w:tc>
          <w:tcPr>
            <w:tcW w:w="9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(7 )</w:t>
            </w:r>
          </w:p>
        </w:tc>
      </w:tr>
      <w:tr>
        <w:trPr>
          <w:trHeight w:val="209"/>
        </w:trPr>
        <w:tc>
          <w:tcPr>
            <w:tcW w:w="80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300" w:type="dxa"/>
            <w:vAlign w:val="bottom"/>
            <w:tcBorders>
              <w:top w:val="single" w:sz="8" w:color="CFF0F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FF0FC"/>
            </w:tcBorders>
          </w:tcPr>
          <w:p>
            <w:pPr>
              <w:spacing w:after="0"/>
              <w:rPr>
                <w:sz w:val="18"/>
                <w:szCs w:val="18"/>
                <w:color w:val="auto"/>
              </w:rPr>
            </w:pPr>
          </w:p>
        </w:tc>
      </w:tr>
      <w:tr>
        <w:trPr>
          <w:trHeight w:val="216"/>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90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3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0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0"/>
        </w:trPr>
        <w:tc>
          <w:tcPr>
            <w:tcW w:w="8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5998845</wp:posOffset>
            </wp:positionH>
            <wp:positionV relativeFrom="paragraph">
              <wp:posOffset>-1840230</wp:posOffset>
            </wp:positionV>
            <wp:extent cx="7683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-1840230</wp:posOffset>
            </wp:positionV>
            <wp:extent cx="6858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-735965</wp:posOffset>
            </wp:positionV>
            <wp:extent cx="7683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-735965</wp:posOffset>
            </wp:positionV>
            <wp:extent cx="6858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-453390</wp:posOffset>
            </wp:positionV>
            <wp:extent cx="7683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5998845</wp:posOffset>
            </wp:positionH>
            <wp:positionV relativeFrom="paragraph">
              <wp:posOffset>-170815</wp:posOffset>
            </wp:positionV>
            <wp:extent cx="7683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0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20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07"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93"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2021, previously filed with the SEC. The unaudited condensed consolidated balance sheet as of December 31, 2021 included herein was derived from the audited consolidated financial statements as of that date, but does not include all disclosures including notes required by GAAP.</w:t>
      </w:r>
    </w:p>
    <w:p>
      <w:pPr>
        <w:spacing w:after="0" w:line="162"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 xml:space="preserve">In the second quarter of 2022, as part of our continuous review of the business and in consultation with our Chief Executive Officer ("CEO"), who also serves as our chief operating decision maker ("CODM") , we evaluated our operations and realigned the reportable segment information which our CODM regularly assesses to evaluate performance for operating decision-making purposes, including allocation of resources. The revised segment reporting structure includes the following reportable segments: (1) Tripadvisor Core; (2) Viator; and (3) TheFork. For further information on our segments, including the change in segments, and principal revenue streams within these segments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“Note 5: </w:t>
      </w:r>
      <w:r>
        <w:rPr>
          <w:rFonts w:ascii="Arial" w:cs="Arial" w:eastAsia="Arial" w:hAnsi="Arial"/>
          <w:sz w:val="17"/>
          <w:szCs w:val="17"/>
          <w:i w:val="1"/>
          <w:iCs w:val="1"/>
          <w:color w:val="auto"/>
        </w:rPr>
        <w:t>Goodwill,</w:t>
      </w:r>
      <w:r>
        <w:rPr>
          <w:rFonts w:ascii="Arial" w:cs="Arial" w:eastAsia="Arial" w:hAnsi="Arial"/>
          <w:sz w:val="17"/>
          <w:szCs w:val="17"/>
          <w:color w:val="auto"/>
        </w:rPr>
        <w:t xml:space="preserve">” and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in these notes to our unaudited condensed consolidated financial statements.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187"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of September 30, 2022, Liberty Tripadvisor Holdings, Inc.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of LTRIP’s shares of Class B common stock into common stock, LTRIP would beneficially own approximately 21% of the outstanding common stock. Because each share of Class B common stock is entitled to ten votes per share and each share of common stock is entitled to</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9" w:name="page10"/>
    <w:bookmarkEnd w:id="9"/>
    <w:p>
      <w:pPr>
        <w:ind w:right="420"/>
        <w:spacing w:after="0" w:line="277" w:lineRule="auto"/>
        <w:rPr>
          <w:sz w:val="20"/>
          <w:szCs w:val="20"/>
          <w:color w:val="auto"/>
        </w:rPr>
      </w:pPr>
      <w:r>
        <w:rPr>
          <w:rFonts w:ascii="Arial" w:cs="Arial" w:eastAsia="Arial" w:hAnsi="Arial"/>
          <w:sz w:val="18"/>
          <w:szCs w:val="18"/>
          <w:color w:val="auto"/>
        </w:rPr>
        <w:t>one vote per share, LTRIP may be deemed to beneficially own equity securities representing nearly 57% of our voting power. We had no related party transactions with LTRIP during the three and nine months ended September 30, 2022 and 2021, respectively.</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1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We continue to be subject to risks and uncertainties related to the COVID-19 pandemic. Continued widespread vaccine distributions, efficacy against existing variants (e.g., Delta, Omicron, and BA.5) and future variants, if any, of COVID-19, whether there will be resurgences of the virus and subsequent government restrictions, the extent and effectiveness of containment actions taken, and whether consumers' demand for travel and hospitality services continue to be or become negatively impacted remain uncertain. We do not know the future path or potential rate of global or regional COVID-19 resurgences, including existing COVID-19 variants (e.g., Delta, Omicron, and BA.5) and future variants, if any, nor do we have visibility into when any remaining or reinstated restrictions will be lifted, and where additional restrictions may be implemented or reinstated in the future due to resurgence of the virus.</w:t>
      </w:r>
    </w:p>
    <w:p>
      <w:pPr>
        <w:spacing w:after="0" w:line="186" w:lineRule="exact"/>
        <w:rPr>
          <w:sz w:val="20"/>
          <w:szCs w:val="20"/>
          <w:color w:val="auto"/>
        </w:rPr>
      </w:pPr>
    </w:p>
    <w:p>
      <w:pPr>
        <w:ind w:right="240" w:firstLine="509"/>
        <w:spacing w:after="0" w:line="287" w:lineRule="auto"/>
        <w:rPr>
          <w:sz w:val="20"/>
          <w:szCs w:val="20"/>
          <w:color w:val="auto"/>
        </w:rPr>
      </w:pPr>
      <w:r>
        <w:rPr>
          <w:rFonts w:ascii="Arial" w:cs="Arial" w:eastAsia="Arial" w:hAnsi="Arial"/>
          <w:sz w:val="16"/>
          <w:szCs w:val="16"/>
          <w:color w:val="auto"/>
        </w:rPr>
        <w:t>Therefore, the extent of the future impact of the COVID-19 pandemic on our business, results of operations, liquidity and financial condition remains uncertain, and is dependent on future developments that cannot be accurately predicted at this time. We continue to believe the travel, leisure, hospitality, and restaurant industries (collectively, the “travel industry”), and our financial results, would be adversely and materially affected upon a resurgence of existing COVID-19 variants (e.g., Delta, Omicron, and BA.5) or if new variants emerge which result in reinstated travel bans and/or other government restrictions and mandates, all of which negatively impact consumer demand, sentiment and discretionary spending patterns.</w:t>
      </w:r>
    </w:p>
    <w:p>
      <w:pPr>
        <w:spacing w:after="0" w:line="15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Additionally, further health-related events, political instability, geopolitical conflicts, acts of terrorism, fluctuations in currency values, changes in global economic conditions, and increased inflation, are examples of other events that could have a negative impact on the travel industry and our financial results in 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07"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 underlying our unaudited condensed consolidated financial statements is accounting for income taxes.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7" w:lineRule="exact"/>
        <w:rPr>
          <w:sz w:val="20"/>
          <w:szCs w:val="20"/>
          <w:color w:val="auto"/>
        </w:rPr>
      </w:pPr>
    </w:p>
    <w:p>
      <w:pPr>
        <w:ind w:right="40" w:firstLine="509"/>
        <w:spacing w:after="0" w:line="282" w:lineRule="auto"/>
        <w:rPr>
          <w:sz w:val="20"/>
          <w:szCs w:val="20"/>
          <w:color w:val="auto"/>
        </w:rPr>
      </w:pPr>
      <w:r>
        <w:rPr>
          <w:rFonts w:ascii="Arial" w:cs="Arial" w:eastAsia="Arial" w:hAnsi="Arial"/>
          <w:sz w:val="16"/>
          <w:szCs w:val="16"/>
          <w:color w:val="auto"/>
        </w:rPr>
        <w:t xml:space="preserve">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hotel and rental stays, and travel activities and experiences taken, compared to the first and fourth quarters, which represent seasonal low points. </w:t>
      </w:r>
      <w:r>
        <w:rPr>
          <w:rFonts w:ascii="Arial" w:cs="Arial" w:eastAsia="Arial" w:hAnsi="Arial"/>
          <w:sz w:val="16"/>
          <w:szCs w:val="16"/>
          <w:color w:val="231F20"/>
        </w:rPr>
        <w:t>During the first half of the year, experience</w:t>
      </w:r>
      <w:r>
        <w:rPr>
          <w:rFonts w:ascii="Arial" w:cs="Arial" w:eastAsia="Arial" w:hAnsi="Arial"/>
          <w:sz w:val="16"/>
          <w:szCs w:val="16"/>
          <w:color w:val="auto"/>
        </w:rPr>
        <w:t xml:space="preserve"> </w:t>
      </w:r>
      <w:r>
        <w:rPr>
          <w:rFonts w:ascii="Arial" w:cs="Arial" w:eastAsia="Arial" w:hAnsi="Arial"/>
          <w:sz w:val="16"/>
          <w:szCs w:val="16"/>
          <w:color w:val="231F20"/>
        </w:rPr>
        <w:t>and rentals bookings typically exceed the amount of completed experiences and rental 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6"/>
          <w:szCs w:val="16"/>
          <w:color w:val="000000"/>
        </w:rPr>
        <w:t>.</w:t>
      </w:r>
    </w:p>
    <w:p>
      <w:pPr>
        <w:spacing w:after="0" w:line="159"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231F20"/>
        </w:rPr>
        <w:t xml:space="preserve">Other factors may also impact typical seasonal fluctuations, which include further significant shifts in our business mix or adverse economic conditions that could result in future seasonal patterns that are different from historical trends. For example, although </w:t>
      </w:r>
      <w:r>
        <w:rPr>
          <w:rFonts w:ascii="Arial" w:cs="Arial" w:eastAsia="Arial" w:hAnsi="Arial"/>
          <w:sz w:val="16"/>
          <w:szCs w:val="16"/>
          <w:color w:val="000000"/>
        </w:rPr>
        <w:t>consumer travel demand was</w:t>
      </w:r>
      <w:r>
        <w:rPr>
          <w:rFonts w:ascii="Arial" w:cs="Arial" w:eastAsia="Arial" w:hAnsi="Arial"/>
          <w:sz w:val="16"/>
          <w:szCs w:val="16"/>
          <w:color w:val="231F20"/>
        </w:rPr>
        <w:t xml:space="preserve"> </w:t>
      </w:r>
      <w:r>
        <w:rPr>
          <w:rFonts w:ascii="Arial" w:cs="Arial" w:eastAsia="Arial" w:hAnsi="Arial"/>
          <w:sz w:val="16"/>
          <w:szCs w:val="16"/>
          <w:color w:val="000000"/>
        </w:rPr>
        <w:t>materially lower than historic levels due to the impact of COVID-19 on our business during 2020, these trends generally improved, albeit unevenly, during 2021, resulting in increased revenues, and working capital and operating cash flow more akin to typical historical seasonality trends, which has continued during the first three quarters of 2022. However, it is difficult to predict the seasonality for the upcoming quarters, given the sustained uncertainty related to the COVID-19 pandemic and whether there will be resurgences, or if new variants will emerge, and the pace of continued recovery in our key markets.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215" w:lineRule="exact"/>
        <w:rPr>
          <w:sz w:val="20"/>
          <w:szCs w:val="20"/>
          <w:color w:val="auto"/>
        </w:rPr>
      </w:pPr>
    </w:p>
    <w:p>
      <w:pPr>
        <w:ind w:right="460" w:firstLine="509"/>
        <w:spacing w:after="0" w:line="283" w:lineRule="auto"/>
        <w:rPr>
          <w:sz w:val="20"/>
          <w:szCs w:val="20"/>
          <w:color w:val="auto"/>
        </w:rPr>
      </w:pPr>
      <w:r>
        <w:rPr>
          <w:rFonts w:ascii="Arial" w:cs="Arial" w:eastAsia="Arial" w:hAnsi="Arial"/>
          <w:sz w:val="16"/>
          <w:szCs w:val="16"/>
          <w:color w:val="auto"/>
        </w:rPr>
        <w:t xml:space="preserve">There have been no material changes to our accounting policies since December 31, 2021, as described under “Note 2: </w:t>
      </w:r>
      <w:r>
        <w:rPr>
          <w:rFonts w:ascii="Arial" w:cs="Arial" w:eastAsia="Arial" w:hAnsi="Arial"/>
          <w:sz w:val="16"/>
          <w:szCs w:val="16"/>
          <w:i w:val="1"/>
          <w:iCs w:val="1"/>
          <w:color w:val="auto"/>
        </w:rPr>
        <w:t>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w:t>
      </w:r>
      <w:r>
        <w:rPr>
          <w:rFonts w:ascii="Arial" w:cs="Arial" w:eastAsia="Arial" w:hAnsi="Arial"/>
          <w:sz w:val="16"/>
          <w:szCs w:val="16"/>
          <w:color w:val="auto"/>
        </w:rPr>
        <w:t>”, in the notes to consolidated financial statements in Item 8 of our Annual Report on Form 10-K for the year ended December 31, 2021.</w:t>
      </w: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We generate all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we recognize revenue for only our commission on the arrangement. We determine revenue recognition through the following steps:</w:t>
      </w:r>
    </w:p>
    <w:p>
      <w:pPr>
        <w:spacing w:after="0" w:line="16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60" w:hanging="352"/>
        <w:spacing w:after="0" w:line="236"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ind w:left="360" w:hanging="352"/>
        <w:spacing w:after="0" w:line="234"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ind w:left="360" w:hanging="352"/>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09"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a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nine months ended September 30, 2022 and 2021, respectively,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w:t>
      </w:r>
    </w:p>
    <w:p>
      <w:pPr>
        <w:spacing w:after="0" w:line="177"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application of our revenue recognition policies and a description of our principal activities, organized by segment, from which we generate our revenue, is presented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0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Tripadvisor Core segment revenue is generated from click-based advertising on</w:t>
      </w:r>
      <w:r>
        <w:rPr>
          <w:rFonts w:ascii="Arial" w:cs="Arial" w:eastAsia="Arial" w:hAnsi="Arial"/>
          <w:sz w:val="16"/>
          <w:szCs w:val="16"/>
          <w:b w:val="1"/>
          <w:bCs w:val="1"/>
          <w:color w:val="auto"/>
        </w:rPr>
        <w:t xml:space="preserve"> </w:t>
      </w:r>
      <w:r>
        <w:rPr>
          <w:rFonts w:ascii="Arial" w:cs="Arial" w:eastAsia="Arial" w:hAnsi="Arial"/>
          <w:sz w:val="16"/>
          <w:szCs w:val="16"/>
          <w:color w:val="auto"/>
        </w:rPr>
        <w:t>Tripadvisor-branded websites, which is our hotel auction (or hotel meta) revenue, which is primarily comprised of contextually-relevant booking links to our travel partners’ websites. Our click-based travel partners are predominantly online travel agencies, or OTAs, and hotels. Click-based advertising is generally priced on a cost-per-click, or “CPC,” basis, with payments from travel partners determined by the number of travelers who click on a link multiplied by the CPC rate for each specific click. CPC rates are determined in a dynamic, competitive auction process, where our travel partner CPC bids for rates and availability to be listed on our platform. When a CPC bid is submitted, the travel partner agrees to pay us the bid amount each time a traveler clicks on the link to that travel partner’s websites. Bids can be submitted periodically – as often as daily –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We also generate revenue from our cost-per-action, or “CPA,” model, which consists of contextually-relevant booking links to our travel partners’ websites which are advertised on our platform. We earn a commission from our travel partners, based on a pre-determined contractual commission rate, for each traveler who clicks to and books a hotel reservation on the travel partners’ website, which results in a traveler stay. CPA revenue is billable only upon the completion of each traveler’s stay resulting from a hotel reservation. The travel partners provide the service to the travelers and we act as an agent under ASC 606 – Revenue from Contracts with Customers (“ASC 606”). Our performance obligation is complete at the time of the hotel reservation booking, and the commission earned is recognized upon booking, as we have no post-booking service obligations. We recognize this revenue net of an estimate of the impact of cancellations, using historical cancellation rates and current trends. Contract assets are recognized at the time of booking for commissions that are billable upon the completion of a traveler's stay. CPA revenue is generally billed to our travel partners monthly for traveler stays completed in that month.</w:t>
      </w:r>
    </w:p>
    <w:p>
      <w:pPr>
        <w:spacing w:after="0" w:line="168"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In addition, we offer hotel business to business (“hotel B2B”) solutions, including subscription-based advertising to hotels, owners of B&amp;Bs, and other specialty lodging properties. Our performance obligation is generally to enable subscribers to advertise their businesses on our platform, as well as to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initially on our unaudited condensed consolidated balance sheet for the amount of prepayment in excess of revenue recognized, until the performance obligation is satisfied. To a lesser extent, we offer travel partners the opportunity to advertise and promote their business through hotel sponsored</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7" w:right="359" w:bottom="1440" w:gutter="0" w:footer="0" w:header="0"/>
        </w:sectPr>
      </w:pPr>
    </w:p>
    <w:bookmarkStart w:id="11" w:name="page12"/>
    <w:bookmarkEnd w:id="11"/>
    <w:p>
      <w:pPr>
        <w:ind w:right="20"/>
        <w:spacing w:after="0" w:line="244" w:lineRule="auto"/>
        <w:rPr>
          <w:sz w:val="20"/>
          <w:szCs w:val="20"/>
          <w:color w:val="auto"/>
        </w:rPr>
      </w:pPr>
      <w:r>
        <w:rPr>
          <w:rFonts w:ascii="Arial" w:cs="Arial" w:eastAsia="Arial" w:hAnsi="Arial"/>
          <w:sz w:val="18"/>
          <w:szCs w:val="18"/>
          <w:color w:val="auto"/>
        </w:rPr>
        <w:t>placements on our platform. This service is generally priced on a CPC basis, with payments from travel partners determined by the number of travelers who click on the sponsored link multiplied by the CPC rate for each specific click. CPC rates for hotel sponsored placements that our travel partners pay are generally based on bids submitted as part of an auction by our travel partners. When a CPC bid is submitted, the travel partner agrees to pay us the bid amount each time a traveler clicks on a link to our travel partner’s websites. Bids may be submitted periodically – as often as daily – on a property-by-property basis. We record this click-based advertising revenue as the click occurs and traveler leads are sent to the travel partner as our performance obligation is fulfilled at that time. Hotel sponsored placements revenue is generally billed to our travel partners monthly, consistent with the timing of the service.</w:t>
      </w:r>
    </w:p>
    <w:p>
      <w:pPr>
        <w:spacing w:after="0" w:line="19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b w:val="1"/>
          <w:bCs w:val="1"/>
          <w:color w:val="auto"/>
        </w:rPr>
        <w:t>Tripadvisor-branded Display and Platform Revenue</w:t>
      </w:r>
      <w:r>
        <w:rPr>
          <w:rFonts w:ascii="Arial" w:cs="Arial" w:eastAsia="Arial" w:hAnsi="Arial"/>
          <w:sz w:val="18"/>
          <w:szCs w:val="18"/>
          <w:color w:val="auto"/>
        </w:rPr>
        <w:t>. We offer travel partners the ability to promote their brands through display-based</w:t>
      </w:r>
      <w:r>
        <w:rPr>
          <w:rFonts w:ascii="Arial" w:cs="Arial" w:eastAsia="Arial" w:hAnsi="Arial"/>
          <w:sz w:val="18"/>
          <w:szCs w:val="18"/>
          <w:b w:val="1"/>
          <w:bCs w:val="1"/>
          <w:color w:val="auto"/>
        </w:rPr>
        <w:t xml:space="preserve"> </w:t>
      </w:r>
      <w:r>
        <w:rPr>
          <w:rFonts w:ascii="Arial" w:cs="Arial" w:eastAsia="Arial" w:hAnsi="Arial"/>
          <w:sz w:val="18"/>
          <w:szCs w:val="18"/>
          <w:color w:val="auto"/>
        </w:rPr>
        <w:t>advertising placements across our platform.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platform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8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b w:val="1"/>
          <w:bCs w:val="1"/>
          <w:color w:val="auto"/>
        </w:rPr>
        <w:t>Tripadvisor Experiences and Dining Revenue</w:t>
      </w:r>
      <w:r>
        <w:rPr>
          <w:rFonts w:ascii="Arial" w:cs="Arial" w:eastAsia="Arial" w:hAnsi="Arial"/>
          <w:sz w:val="17"/>
          <w:szCs w:val="17"/>
          <w:color w:val="auto"/>
        </w:rPr>
        <w:t>. We generate revenue from our experiences and restaurant service offerings on Tripadvisor-branded</w:t>
      </w:r>
      <w:r>
        <w:rPr>
          <w:rFonts w:ascii="Arial" w:cs="Arial" w:eastAsia="Arial" w:hAnsi="Arial"/>
          <w:sz w:val="17"/>
          <w:szCs w:val="17"/>
          <w:b w:val="1"/>
          <w:bCs w:val="1"/>
          <w:color w:val="auto"/>
        </w:rPr>
        <w:t xml:space="preserve"> </w:t>
      </w:r>
      <w:r>
        <w:rPr>
          <w:rFonts w:ascii="Arial" w:cs="Arial" w:eastAsia="Arial" w:hAnsi="Arial"/>
          <w:sz w:val="17"/>
          <w:szCs w:val="17"/>
          <w:color w:val="auto"/>
        </w:rPr>
        <w:t>websites and mobile apps. Tripadvisor receives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The performance obligations, timing of customer payments for our experiences and dining transactions, and methods of revenue recognition are consistent with the Viator segment and TheFork segment, respectively, as described below. In addition, Tripadvisor restaurant service offerings, or B2B dining offerings, generate subscription fees for subscription-based advertising to our restaurant partners that allow restaurants to manage and promote their website URL, email address, phone number, special offers and other information related to their business, as well as access to certain online reservation management services, marketing analytic tools, and menu syndication services.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Subscription-based advertising services are generally billed at the inception of the service. When prepayments are received, we recognize deferred revenue initially on our unaudited condensed consolidated balance sheet for the amount of prepayment in excess of revenue recognized, until the performance obligation is satisfied. In addition, we offer restaurant partners the opportunity to advertise and promote their business through restaurant media advertising placements on our platform. This service is generally priced on a CPC basis, with payments from restaurant partners determined by the number of consumers who click on the sponsored link multiplied by the CPC rate for each specific click. CPC rates for media advertising placements agreed to by our restaurant partners are based on a pre-determined contractual rate. We record this click-based advertising revenue as the click occurs and diner leads are sent to the restaurant partner as our performance obligation is fulfilled at that time. Click-based revenue is generally billed to our restaurant partners monthly, consistent with the timing of the service.</w:t>
      </w:r>
    </w:p>
    <w:p>
      <w:pPr>
        <w:spacing w:after="0" w:line="199"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b w:val="1"/>
          <w:bCs w:val="1"/>
          <w:color w:val="auto"/>
        </w:rPr>
        <w:t>Other Revenue</w:t>
      </w:r>
      <w:r>
        <w:rPr>
          <w:rFonts w:ascii="Arial" w:cs="Arial" w:eastAsia="Arial" w:hAnsi="Arial"/>
          <w:sz w:val="17"/>
          <w:szCs w:val="17"/>
          <w:color w:val="auto"/>
        </w:rPr>
        <w:t>. We provide information and services that allow travelers to research and book vacation and short-term rental properties,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full homes, condominiums, villas, beach properties, cabins and cottages. Our rentals offering primarily generates revenue by offering individual property owners and managers the ability to list their properties on our platform thereby connecting with travelers through a free-to-list, commission-based option. These properties are listed on our Tripadvisor-branded websites and mobile apps such as www.flipkey.com, www.holidaylettings.co.uk, www.housetrip.com, www.niumba.com, and www.vacationhomerentals.com.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payment from the traveler at the time of booking, representing the amount due to the property owner or manager, as well as our commission. That portion of the payment representing our commission is recorded as deferred revenue on our unaudited condensed consolidated balance sheet until revenue is recognized, and that portion of the payment representing the amount due to the property owner is recorded as deferred merchant payables on our unaudited condensed consolidated balance sheet until payment is made to the property owner after the completion of the rental.</w:t>
      </w:r>
    </w:p>
    <w:p>
      <w:pPr>
        <w:spacing w:after="0" w:line="193" w:lineRule="exact"/>
        <w:rPr>
          <w:sz w:val="20"/>
          <w:szCs w:val="20"/>
          <w:color w:val="auto"/>
        </w:rPr>
      </w:pPr>
    </w:p>
    <w:p>
      <w:pPr>
        <w:ind w:right="280" w:firstLine="509"/>
        <w:spacing w:after="0" w:line="243" w:lineRule="auto"/>
        <w:rPr>
          <w:sz w:val="20"/>
          <w:szCs w:val="20"/>
          <w:color w:val="auto"/>
        </w:rPr>
      </w:pPr>
      <w:r>
        <w:rPr>
          <w:rFonts w:ascii="Arial" w:cs="Arial" w:eastAsia="Arial" w:hAnsi="Arial"/>
          <w:sz w:val="18"/>
          <w:szCs w:val="18"/>
          <w:color w:val="auto"/>
        </w:rPr>
        <w:t>In addition, Other Revenue includes revenue generated from cruises, flights, and cars offerings on Tripadvisor-branded websites and mobile apps and Tripadvisor’s portfolio of travel media brands, which primarily includes click-based advertising and display-based advertising revenue. The performance obligations, timing of customer payments for these offerings, and methods of revenue recognition are generally consistent with click-based advertising and display-based advertising revenue, as described above.</w:t>
      </w: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Viator Segment</w:t>
      </w:r>
    </w:p>
    <w:p>
      <w:pPr>
        <w:spacing w:after="0" w:line="225"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We provide an online marketplace that allows travelers to research and book tours, activities and attractions in popular travel destinations across the globe through our stand-alone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 airlines, hotels, online and offline travel agencies, and other prominent content and eCommerce brands.</w:t>
      </w:r>
    </w:p>
    <w:p>
      <w:pPr>
        <w:spacing w:after="0" w:line="165"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We work with local tour, activities, and attraction operators (the “operator”) to provide travelers (the “customer”) the ability to book tours, activities and attractions (the “experience”) in destinations worldwide. We generate commissions for each booking transaction we facilitate through our online reservation system, in exchange for certain activities, including the use of the Company’s booking platform, post-booking customer support (24/7) until the time of the experience and payment processing activities as the merchant of record, which is the completion of the performance obligation. These activities are not distinct from each other and are not separate performance obligations. As a result, the Company’s single performance obligation is to facilitate an experience, which is complete upon the time the experience occurs, and when revenue is recognized. We do not control the experience or have inventory risk before the operator provides the experience to our customer and therefore act as agent for substantially all of these transactions under ASC 606.</w:t>
      </w:r>
    </w:p>
    <w:p>
      <w:pPr>
        <w:spacing w:after="0" w:line="161"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We collect payment from the customer prior to the experience occurring, which includes both our commission and the amount due to the operator. We record our commissions as deferred revenue on our unaudited condensed consolidated balance sheet when payment is received, including amounts which are refundable subject to cancellation, until the experience occurs when revenue is recognized. The amount due to the operator is recorded as deferred merchant payables on our unaudited condensed consolidated balance sheet until completion of the experience, after which payment is made to the operator.</w:t>
      </w:r>
    </w:p>
    <w:p>
      <w:pPr>
        <w:spacing w:after="0" w:line="19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To a much lesser extent, we earn commissions from third-party distribution partners (the “customer”) who display and promote on their websites the operator experiences available on our platform to generate bookings. In these transactions, we are not the merchant of record, and we generally invoice and receive commissions directly from the third-party distribution partners. Our performance obligation is to allow the third-party distribution partners to display and promote on their website experiences, offered by operators who utilize our platform, and we earn a commission when travelers book and complete an experience on the third-party distribution partner website. We do not control the service or have inventory risk, and therefore act as an agent for these transactions under ASC 606. We receive payment shortly after the booking in the majority of these transactions and make payments to the operators after the experience is complete. Our performance obligation is complete, and revenue is recognized at the time of the booking, as we have no post-booking obligations to the customer. We recognize this revenue net of an estimate of the impact of cancellations, which is not material, using historical cancellation rates and current trends. Contract assets are recognized for commissions that are contractually billable contingent upon completion of the experience.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TheFork Segment</w:t>
      </w:r>
    </w:p>
    <w:p>
      <w:pPr>
        <w:spacing w:after="0" w:line="21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We provide information and services for consumers to research and book restaurant reservations through our dedicated online restaurant reservations platform, TheFork. We primarily generate transaction fees (or per seated diner fees) that are paid by our restaurant customers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access to certain online reservation management services, marketing analytic tools, and menu syndication services. Our performance obligation is to provide restaurants with access to these services over the subscription period, which generally is one-month, and we recognize revenue once our performance obligation is met and invoice restaurants monthly for these subscription services.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 xml:space="preserve">We disaggregate revenue from contracts with customers into major products/revenue sources. We have determined that disaggregating revenue into these categories achieves the disclosure objective, which is, to depict how the nature, amount, timing, and uncertainty of revenue and cash flows are affected by economic factors. As noted in “Note 14: </w:t>
      </w:r>
      <w:r>
        <w:rPr>
          <w:rFonts w:ascii="Arial" w:cs="Arial" w:eastAsia="Arial" w:hAnsi="Arial"/>
          <w:sz w:val="17"/>
          <w:szCs w:val="17"/>
          <w:i w:val="1"/>
          <w:iCs w:val="1"/>
          <w:color w:val="auto"/>
        </w:rPr>
        <w:t>Segment Information</w:t>
      </w:r>
      <w:r>
        <w:rPr>
          <w:rFonts w:ascii="Arial" w:cs="Arial" w:eastAsia="Arial" w:hAnsi="Arial"/>
          <w:sz w:val="17"/>
          <w:szCs w:val="17"/>
          <w:color w:val="auto"/>
        </w:rPr>
        <w:t>” our business consists of three reportable segments – (1) Tripadvisor Core; (2) Viator; and (3) TheFork. A reconciliation of disaggregated revenue to segment revenue is also included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276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69"/>
        </w:trPr>
        <w:tc>
          <w:tcPr>
            <w:tcW w:w="46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 xml:space="preserve">Major products/revenue sources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Tripadvisor Core</w:t>
            </w: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Tripadvisor-branded hotels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Tripadvisor-branded display and platform</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xml:space="preserve">Tripadvisor experiences and dining </w:t>
            </w:r>
            <w:r>
              <w:rPr>
                <w:rFonts w:ascii="Arial" w:cs="Arial" w:eastAsia="Arial" w:hAnsi="Arial"/>
                <w:sz w:val="14"/>
                <w:szCs w:val="14"/>
                <w:color w:val="auto"/>
              </w:rPr>
              <w:t>(2)</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09"/>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Tripadvisor Core</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Viator</w:t>
            </w:r>
          </w:p>
        </w:tc>
        <w:tc>
          <w:tcPr>
            <w:tcW w:w="10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8"/>
                <w:szCs w:val="18"/>
                <w:color w:val="auto"/>
              </w:rPr>
            </w:pPr>
          </w:p>
        </w:tc>
      </w:tr>
      <w:tr>
        <w:trPr>
          <w:trHeight w:val="216"/>
        </w:trPr>
        <w:tc>
          <w:tcPr>
            <w:tcW w:w="4600" w:type="dxa"/>
            <w:vAlign w:val="bottom"/>
          </w:tcPr>
          <w:p>
            <w:pPr>
              <w:ind w:left="20"/>
              <w:spacing w:after="0"/>
              <w:rPr>
                <w:sz w:val="20"/>
                <w:szCs w:val="20"/>
                <w:color w:val="auto"/>
              </w:rPr>
            </w:pPr>
            <w:r>
              <w:rPr>
                <w:rFonts w:ascii="Arial" w:cs="Arial" w:eastAsia="Arial" w:hAnsi="Arial"/>
                <w:sz w:val="18"/>
                <w:szCs w:val="18"/>
                <w:color w:val="auto"/>
              </w:rPr>
              <w:t>TheFork</w:t>
            </w:r>
          </w:p>
        </w:tc>
        <w:tc>
          <w:tcPr>
            <w:tcW w:w="10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14"/>
                <w:szCs w:val="14"/>
                <w:color w:val="auto"/>
              </w:rPr>
              <w:t>(2)</w:t>
            </w: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(34 )</w:t>
            </w:r>
          </w:p>
        </w:tc>
        <w:tc>
          <w:tcPr>
            <w:tcW w:w="102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(12 )</w:t>
            </w: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(70 )</w:t>
            </w:r>
          </w:p>
        </w:tc>
        <w:tc>
          <w:tcPr>
            <w:tcW w:w="3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(22 )</w:t>
            </w:r>
          </w:p>
        </w:tc>
      </w:tr>
      <w:tr>
        <w:trPr>
          <w:trHeight w:val="209"/>
        </w:trPr>
        <w:tc>
          <w:tcPr>
            <w:tcW w:w="4600" w:type="dxa"/>
            <w:vAlign w:val="bottom"/>
            <w:tcBorders>
              <w:top w:val="single" w:sz="8" w:color="CFF0FC"/>
            </w:tcBorders>
          </w:tcPr>
          <w:p>
            <w:pPr>
              <w:ind w:left="100"/>
              <w:spacing w:after="0"/>
              <w:rPr>
                <w:sz w:val="20"/>
                <w:szCs w:val="20"/>
                <w:color w:val="auto"/>
              </w:rPr>
            </w:pPr>
            <w:r>
              <w:rPr>
                <w:rFonts w:ascii="Arial" w:cs="Arial" w:eastAsia="Arial" w:hAnsi="Arial"/>
                <w:sz w:val="18"/>
                <w:szCs w:val="18"/>
                <w:color w:val="auto"/>
              </w:rPr>
              <w:t>Total Revenue</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00" w:type="dxa"/>
            <w:vAlign w:val="bottom"/>
            <w:tcBorders>
              <w:top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30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top w:val="single" w:sz="8" w:color="CFF0FC"/>
            </w:tcBorders>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-170815</wp:posOffset>
            </wp:positionV>
            <wp:extent cx="7683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-170815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-170815</wp:posOffset>
            </wp:positionV>
            <wp:extent cx="685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5" w:lineRule="exact"/>
        <w:rPr>
          <w:sz w:val="20"/>
          <w:szCs w:val="20"/>
          <w:color w:val="auto"/>
        </w:rPr>
      </w:pPr>
    </w:p>
    <w:p>
      <w:pPr>
        <w:ind w:left="840" w:hanging="383"/>
        <w:spacing w:after="0"/>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reportable segments.</w:t>
      </w:r>
    </w:p>
    <w:p>
      <w:pPr>
        <w:spacing w:after="0" w:line="18" w:lineRule="exact"/>
        <w:rPr>
          <w:rFonts w:ascii="Arial" w:cs="Arial" w:eastAsia="Arial" w:hAnsi="Arial"/>
          <w:sz w:val="16"/>
          <w:szCs w:val="16"/>
          <w:color w:val="auto"/>
        </w:rPr>
      </w:pPr>
    </w:p>
    <w:p>
      <w:pPr>
        <w:ind w:left="840" w:right="80" w:hanging="383"/>
        <w:spacing w:after="0" w:line="239" w:lineRule="auto"/>
        <w:tabs>
          <w:tab w:leader="none" w:pos="84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Tripadvisor experiences and dining revenue within the Tripadvisor Core segment are shown gross of intersegment (intercompany) revenue, which is eliminated on a consolidated basis. See “Note 14: </w:t>
      </w:r>
      <w:r>
        <w:rPr>
          <w:rFonts w:ascii="Arial" w:cs="Arial" w:eastAsia="Arial" w:hAnsi="Arial"/>
          <w:sz w:val="16"/>
          <w:szCs w:val="16"/>
          <w:i w:val="1"/>
          <w:iCs w:val="1"/>
          <w:color w:val="auto"/>
        </w:rPr>
        <w:t>Segment Information</w:t>
      </w:r>
      <w:r>
        <w:rPr>
          <w:rFonts w:ascii="Arial" w:cs="Arial" w:eastAsia="Arial" w:hAnsi="Arial"/>
          <w:sz w:val="16"/>
          <w:szCs w:val="16"/>
          <w:color w:val="auto"/>
        </w:rPr>
        <w:t>” for a discussion of intersegment revenue for all periods presented.</w:t>
      </w:r>
    </w:p>
    <w:p>
      <w:pPr>
        <w:spacing w:after="0" w:line="208"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net of allowance for credit losses, from contracts with customers (in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vMerge w:val="restart"/>
          </w:tcPr>
          <w:p>
            <w:pPr>
              <w:ind w:left="20"/>
              <w:spacing w:after="0"/>
              <w:rPr>
                <w:sz w:val="20"/>
                <w:szCs w:val="20"/>
                <w:color w:val="auto"/>
              </w:rPr>
            </w:pPr>
            <w:r>
              <w:rPr>
                <w:rFonts w:ascii="Arial" w:cs="Arial" w:eastAsia="Arial" w:hAnsi="Arial"/>
                <w:sz w:val="18"/>
                <w:szCs w:val="18"/>
                <w:color w:val="auto"/>
              </w:rPr>
              <w:t>Accounts receivable</w:t>
            </w: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September 30, 2022</w:t>
            </w: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Contract assets</w:t>
            </w:r>
          </w:p>
        </w:tc>
        <w:tc>
          <w:tcPr>
            <w:tcW w:w="188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100"/>
              <w:spacing w:after="0"/>
              <w:rPr>
                <w:sz w:val="20"/>
                <w:szCs w:val="20"/>
                <w:color w:val="auto"/>
              </w:rPr>
            </w:pPr>
            <w:r>
              <w:rPr>
                <w:rFonts w:ascii="Arial" w:cs="Arial" w:eastAsia="Arial" w:hAnsi="Arial"/>
                <w:sz w:val="18"/>
                <w:szCs w:val="18"/>
                <w:color w:val="auto"/>
              </w:rPr>
              <w:t>Total</w:t>
            </w:r>
          </w:p>
        </w:tc>
        <w:tc>
          <w:tcPr>
            <w:tcW w:w="1880" w:type="dxa"/>
            <w:vAlign w:val="bottom"/>
          </w:tcPr>
          <w:p>
            <w:pPr>
              <w:jc w:val="right"/>
              <w:ind w:right="169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205</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-170815</wp:posOffset>
            </wp:positionV>
            <wp:extent cx="6858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81"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Our contract assets have increased due to the increase in consumer travel demand and increased utilization of our CPA model by travel partners.</w:t>
      </w:r>
    </w:p>
    <w:p>
      <w:pPr>
        <w:spacing w:after="0" w:line="199"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As of January 1, 2022, we had $36 million recorded as deferred revenue on our unaudited condensed consolidated balance sheet, of which $5 million and $31 million were recognized as revenue during the three and nine months ended September 30, 2022, respectively. During the three months ended September 30, 2022, refunds due to cancellations by travelers were not material, while $2 million was refunded due to cancellations by travelers during the nine months ended September 30, 2022. As of January 1, 2021, we had $28 million recorded as deferred revenue on our unaudited condensed consolidated balance sheet, of which $4 million and $21 million were recognized as revenue during the three and nine months ended September 30, 2021, respectively. During the three months ended September 30, 2021, refunds due to cancellations by travelers were not material, while $3 million was refunded due to cancellations by travelers during the nine months ended September 30, 2021. The difference between the opening and closing balances of our deferred revenue primarily results from the timing difference between when we receive customer payments and the time in which we satisfy our performance obligations.</w:t>
      </w:r>
    </w:p>
    <w:p>
      <w:pPr>
        <w:spacing w:after="0" w:line="16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There were no significant changes in contract assets or deferred revenue during both the three and nine months ended September 30, 2022 and 2021 related to business combinations, impairments, cumulative catch-ups or other material adjustments. However, to the extent the COVID-19 pandemic resurges, or new variants emerge, we may incur additional significant and unanticipated cancellations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by consumers related to future travel, accommodations, and tour bookings, which have been prepaid by travelers and recorded as deferred revenue on our unaudited condensed consolidated balance sheet as of September 30, 2022.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FINANCIAL INSTRUMENTS AND FAIR VALUE MEASUREMENTS</w:t>
      </w:r>
    </w:p>
    <w:p>
      <w:pPr>
        <w:spacing w:after="0" w:line="215"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03" w:lineRule="exact"/>
        <w:rPr>
          <w:sz w:val="20"/>
          <w:szCs w:val="20"/>
          <w:color w:val="auto"/>
        </w:rPr>
      </w:pPr>
    </w:p>
    <w:p>
      <w:pPr>
        <w:ind w:left="520" w:right="40"/>
        <w:spacing w:after="0" w:line="255"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220"/>
        <w:spacing w:after="0" w:line="261"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211"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auto"/>
        </w:rPr>
        <w:t>As of September 30, 2022, we had $1.07 billion of cash and cash equivalents, which consisted of available on demand cash deposits and term deposits with maturities of 90 days or less at the date of purchase, in each case, with major global financial institutions. As of December 31, 2021, we had $723 million of cash and cash equivalents, which consisted of available on demand cash deposits with major global financial institutions. We had no outstanding investments classified as either short-term or long-term marketable securities as of September 30, 2022 and December 31, 2021, and there were no purchases or sales of any marketable securities during the three and nine months ended September 30, 2022 and 2021.</w:t>
      </w:r>
    </w:p>
    <w:p>
      <w:pPr>
        <w:spacing w:after="0" w:line="169" w:lineRule="exact"/>
        <w:rPr>
          <w:sz w:val="20"/>
          <w:szCs w:val="20"/>
          <w:color w:val="auto"/>
        </w:rPr>
      </w:pPr>
    </w:p>
    <w:p>
      <w:pPr>
        <w:ind w:right="60" w:firstLine="509"/>
        <w:spacing w:after="0" w:line="290" w:lineRule="auto"/>
        <w:rPr>
          <w:sz w:val="20"/>
          <w:szCs w:val="20"/>
          <w:color w:val="auto"/>
        </w:rPr>
      </w:pPr>
      <w:r>
        <w:rPr>
          <w:rFonts w:ascii="Arial" w:cs="Arial" w:eastAsia="Arial" w:hAnsi="Arial"/>
          <w:sz w:val="17"/>
          <w:szCs w:val="17"/>
          <w:color w:val="auto"/>
        </w:rPr>
        <w:t>The following table shows our cash equivalents, which are measured at fair value on a recurring basis and categorized using the fair value hierarchy, as well as their classification on our unaudited condensed consolidated balance sheet as of September 30, 2022 (in millions):</w:t>
      </w:r>
    </w:p>
    <w:p>
      <w:pPr>
        <w:spacing w:after="0" w:line="3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Fair Value (1)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Cash and Cash</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Equivalents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Level 2:</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Term deposits</w:t>
            </w:r>
          </w:p>
        </w:tc>
        <w:tc>
          <w:tcPr>
            <w:tcW w:w="1200" w:type="dxa"/>
            <w:vAlign w:val="bottom"/>
          </w:tcPr>
          <w:p>
            <w:pPr>
              <w:jc w:val="right"/>
              <w:ind w:right="1016"/>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FF0FC"/>
          </w:tcPr>
          <w:p>
            <w:pPr>
              <w:jc w:val="right"/>
              <w:ind w:right="1016"/>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60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-24765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-7620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-24765</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-7620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left="1500" w:hanging="369"/>
        <w:spacing w:after="0"/>
        <w:tabs>
          <w:tab w:leader="none" w:pos="1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 did not have any unrealized gains and losses related to our cash equivalents.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material financial assets or liabilities measured at fair value on a recurring basis as of December 31, 2021.</w:t>
      </w:r>
    </w:p>
    <w:p>
      <w:pPr>
        <w:spacing w:after="0" w:line="211" w:lineRule="exact"/>
        <w:rPr>
          <w:sz w:val="20"/>
          <w:szCs w:val="20"/>
          <w:color w:val="auto"/>
        </w:rPr>
      </w:pPr>
    </w:p>
    <w:p>
      <w:pPr>
        <w:ind w:right="100" w:firstLine="509"/>
        <w:spacing w:after="0" w:line="260" w:lineRule="auto"/>
        <w:rPr>
          <w:sz w:val="20"/>
          <w:szCs w:val="20"/>
          <w:color w:val="auto"/>
        </w:rPr>
      </w:pPr>
      <w:r>
        <w:rPr>
          <w:rFonts w:ascii="Arial" w:cs="Arial" w:eastAsia="Arial" w:hAnsi="Arial"/>
          <w:sz w:val="17"/>
          <w:szCs w:val="17"/>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3" w:lineRule="exact"/>
        <w:rPr>
          <w:sz w:val="20"/>
          <w:szCs w:val="20"/>
          <w:color w:val="auto"/>
        </w:rPr>
      </w:pPr>
    </w:p>
    <w:p>
      <w:pPr>
        <w:ind w:right="40" w:firstLine="539"/>
        <w:spacing w:after="0" w:line="272" w:lineRule="auto"/>
        <w:rPr>
          <w:sz w:val="20"/>
          <w:szCs w:val="20"/>
          <w:color w:val="auto"/>
        </w:rPr>
      </w:pPr>
      <w:r>
        <w:rPr>
          <w:rFonts w:ascii="Arial" w:cs="Arial" w:eastAsia="Arial" w:hAnsi="Arial"/>
          <w:sz w:val="16"/>
          <w:szCs w:val="16"/>
          <w:color w:val="auto"/>
        </w:rPr>
        <w:t>We generally use forward contracts to reduce the effects of foreign currency exchange rate fluctuations on our cash flows, primarily for the Euro versus the U.S. Dollar. For the three and nine months ended September 30, 2022 and 2021, our forward contracts have not been designated as hedges and had maturities of less than 90 days. Our outstanding (or unsettled) forward contracts are carried at fair value on our unaudited condensed consolidated balance sheets at September 30, 2022 and December 31, 2021. We measure the fair value of our outstanding forward contracts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statements of operations. We recorded a net gain of $4 million and $6 million for the three and nine months ended September 30, 2022, respectively, and a net gain of $1 million for both the three and nine months ended September 30,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5" w:name="page16"/>
    <w:bookmarkEnd w:id="15"/>
    <w:p>
      <w:pPr>
        <w:ind w:left="540"/>
        <w:spacing w:after="0"/>
        <w:rPr>
          <w:sz w:val="20"/>
          <w:szCs w:val="20"/>
          <w:color w:val="auto"/>
        </w:rPr>
      </w:pPr>
      <w:r>
        <w:rPr>
          <w:rFonts w:ascii="Arial" w:cs="Arial" w:eastAsia="Arial" w:hAnsi="Arial"/>
          <w:sz w:val="18"/>
          <w:szCs w:val="18"/>
          <w:color w:val="auto"/>
        </w:rPr>
        <w:t>The following table shows the net notional principal amounts of our outstanding derivative instruments as of the periods presented: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3"/>
              </w:rPr>
              <w:t>(in</w:t>
            </w:r>
          </w:p>
        </w:tc>
        <w:tc>
          <w:tcPr>
            <w:tcW w:w="1720" w:type="dxa"/>
            <w:vAlign w:val="bottom"/>
            <w:gridSpan w:val="2"/>
          </w:tcPr>
          <w:p>
            <w:pPr>
              <w:jc w:val="right"/>
              <w:ind w:right="1168"/>
              <w:spacing w:after="0"/>
              <w:rPr>
                <w:sz w:val="20"/>
                <w:szCs w:val="20"/>
                <w:color w:val="auto"/>
              </w:rPr>
            </w:pPr>
            <w:r>
              <w:rPr>
                <w:rFonts w:ascii="Arial" w:cs="Arial" w:eastAsia="Arial" w:hAnsi="Arial"/>
                <w:sz w:val="14"/>
                <w:szCs w:val="14"/>
                <w:b w:val="1"/>
                <w:bCs w:val="1"/>
                <w:color w:val="auto"/>
                <w:w w:val="79"/>
              </w:rPr>
              <w:t>millions)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 (2)</w:t>
            </w:r>
          </w:p>
        </w:tc>
        <w:tc>
          <w:tcPr>
            <w:tcW w:w="1440" w:type="dxa"/>
            <w:vAlign w:val="bottom"/>
            <w:shd w:val="clear" w:color="auto" w:fill="CFF0FC"/>
          </w:tcPr>
          <w:p>
            <w:pPr>
              <w:jc w:val="right"/>
              <w:ind w:right="125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720" w:type="dxa"/>
            <w:vAlign w:val="bottom"/>
            <w:gridSpan w:val="2"/>
            <w:shd w:val="clear" w:color="auto" w:fill="CFF0FC"/>
          </w:tcPr>
          <w:p>
            <w:pPr>
              <w:jc w:val="right"/>
              <w:ind w:right="1468"/>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8"/>
                <w:szCs w:val="18"/>
                <w:color w:val="auto"/>
              </w:rPr>
            </w:pPr>
          </w:p>
        </w:tc>
      </w:tr>
    </w:tbl>
    <w:p>
      <w:pPr>
        <w:spacing w:after="0" w:line="89" w:lineRule="exact"/>
        <w:rPr>
          <w:sz w:val="20"/>
          <w:szCs w:val="20"/>
          <w:color w:val="auto"/>
        </w:rPr>
      </w:pPr>
    </w:p>
    <w:p>
      <w:pPr>
        <w:ind w:left="1440" w:right="380" w:hanging="384"/>
        <w:spacing w:after="0" w:line="250" w:lineRule="auto"/>
        <w:tabs>
          <w:tab w:leader="none" w:pos="1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120" w:hanging="384"/>
        <w:spacing w:after="0" w:line="258" w:lineRule="auto"/>
        <w:tabs>
          <w:tab w:leader="none" w:pos="1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our outstanding derivatives as of September 30, 2022 was $1 million and is included in prepaid expenses and other current assets on our unaudited condensed consolidated balance sheet, while this amount was not material as of December 31, 2021. The notional amount of a forward contract is the contracted amount of foreign currency to be exchanged and is not recorded on the unaudited condensed consolidated balance sheet.</w:t>
      </w:r>
    </w:p>
    <w:p>
      <w:pPr>
        <w:spacing w:after="0" w:line="188" w:lineRule="exact"/>
        <w:rPr>
          <w:sz w:val="20"/>
          <w:szCs w:val="20"/>
          <w:color w:val="auto"/>
        </w:rPr>
      </w:pPr>
    </w:p>
    <w:p>
      <w:pPr>
        <w:ind w:right="40" w:firstLine="584"/>
        <w:spacing w:after="0" w:line="277" w:lineRule="auto"/>
        <w:rPr>
          <w:sz w:val="20"/>
          <w:szCs w:val="20"/>
          <w:color w:val="auto"/>
        </w:rPr>
      </w:pPr>
      <w:r>
        <w:rPr>
          <w:rFonts w:ascii="Arial" w:cs="Arial" w:eastAsia="Arial" w:hAnsi="Arial"/>
          <w:sz w:val="17"/>
          <w:szCs w:val="17"/>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were not entered into any cash flow, fair value or net investment hedges as of September 30, 2022 or December 31, 2021.</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Financial Assets and Liabilities</w:t>
      </w:r>
    </w:p>
    <w:p>
      <w:pPr>
        <w:spacing w:after="0" w:line="211"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As of September 30, 2022 and December 31, 2021, financial instruments not measured at fair value on a recurring basis including accounts payable, accrued expenses and other current liabilities, and deferred merchant payables, were carried at cost on our unaudited condensed consolidated balance sheets, which approximates their fair values because of the short-term nature of these items. Accounts receivable and contract assets, on our unaudited condensed consolidated balance sheets, as well as certain other financial assets, were measured at amortized cost and are carried at cost less an allowance for expected credit losses to present the net amount expected to be collected.</w:t>
      </w:r>
    </w:p>
    <w:p>
      <w:pPr>
        <w:spacing w:after="0" w:line="183" w:lineRule="exact"/>
        <w:rPr>
          <w:sz w:val="20"/>
          <w:szCs w:val="20"/>
          <w:color w:val="auto"/>
        </w:rPr>
      </w:pPr>
    </w:p>
    <w:p>
      <w:pPr>
        <w:ind w:right="420" w:firstLine="509"/>
        <w:spacing w:after="0" w:line="269" w:lineRule="auto"/>
        <w:rPr>
          <w:sz w:val="20"/>
          <w:szCs w:val="20"/>
          <w:color w:val="auto"/>
        </w:rPr>
      </w:pPr>
      <w:r>
        <w:rPr>
          <w:rFonts w:ascii="Arial" w:cs="Arial" w:eastAsia="Arial" w:hAnsi="Arial"/>
          <w:sz w:val="17"/>
          <w:szCs w:val="17"/>
          <w:color w:val="auto"/>
        </w:rPr>
        <w:t xml:space="preserve">The following table shows the aggregate principal and fair value amount of our outstanding 2025 Senior Notes and 2026 Senior Notes as of the periods presented, which are classified as long-term debt on our unaudited condensed consolidated balance sheets and considered Level 2 fair value measurements. Refer to “Note 7: </w:t>
      </w:r>
      <w:r>
        <w:rPr>
          <w:rFonts w:ascii="Arial" w:cs="Arial" w:eastAsia="Arial" w:hAnsi="Arial"/>
          <w:sz w:val="17"/>
          <w:szCs w:val="17"/>
          <w:i w:val="1"/>
          <w:iCs w:val="1"/>
          <w:color w:val="auto"/>
        </w:rPr>
        <w:t>Debt</w:t>
      </w:r>
      <w:r>
        <w:rPr>
          <w:rFonts w:ascii="Arial" w:cs="Arial" w:eastAsia="Arial" w:hAnsi="Arial"/>
          <w:sz w:val="17"/>
          <w:szCs w:val="17"/>
          <w:color w:val="auto"/>
        </w:rPr>
        <w:t>” for additional information on our 2025 Senior Notes and 2026 Senior Notes.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2022</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Pr>
          <w:p>
            <w:pPr>
              <w:spacing w:after="0"/>
              <w:rPr>
                <w:sz w:val="16"/>
                <w:szCs w:val="16"/>
                <w:color w:val="auto"/>
              </w:rPr>
            </w:pPr>
          </w:p>
        </w:tc>
      </w:tr>
      <w:tr>
        <w:trPr>
          <w:trHeight w:val="169"/>
        </w:trPr>
        <w:tc>
          <w:tcPr>
            <w:tcW w:w="6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40" w:type="dxa"/>
            <w:vAlign w:val="bottom"/>
          </w:tcPr>
          <w:p>
            <w:pPr>
              <w:ind w:left="60"/>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6"/>
              </w:rPr>
              <w:t>millions)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20" w:type="dxa"/>
            <w:vAlign w:val="bottom"/>
            <w:shd w:val="clear" w:color="auto" w:fill="CFF0FC"/>
          </w:tcPr>
          <w:p>
            <w:pPr>
              <w:ind w:left="60"/>
              <w:spacing w:after="0"/>
              <w:rPr>
                <w:sz w:val="20"/>
                <w:szCs w:val="20"/>
                <w:color w:val="auto"/>
              </w:rPr>
            </w:pPr>
            <w:r>
              <w:rPr>
                <w:rFonts w:ascii="Arial" w:cs="Arial" w:eastAsia="Arial" w:hAnsi="Arial"/>
                <w:sz w:val="18"/>
                <w:szCs w:val="18"/>
                <w:b w:val="1"/>
                <w:bCs w:val="1"/>
                <w:color w:val="auto"/>
              </w:rPr>
              <w:t>2025 Senior Notes</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Arial" w:cs="Arial" w:eastAsia="Arial" w:hAnsi="Arial"/>
                <w:sz w:val="18"/>
                <w:szCs w:val="18"/>
                <w:color w:val="auto"/>
              </w:rPr>
              <w:t>Aggregate principal amount</w:t>
            </w:r>
          </w:p>
        </w:tc>
        <w:tc>
          <w:tcPr>
            <w:tcW w:w="1680" w:type="dxa"/>
            <w:vAlign w:val="bottom"/>
          </w:tcPr>
          <w:p>
            <w:pPr>
              <w:jc w:val="right"/>
              <w:ind w:right="1496"/>
              <w:spacing w:after="0"/>
              <w:rPr>
                <w:sz w:val="20"/>
                <w:szCs w:val="20"/>
                <w:color w:val="auto"/>
              </w:rPr>
            </w:pPr>
            <w:r>
              <w:rPr>
                <w:rFonts w:ascii="Arial" w:cs="Arial" w:eastAsia="Arial" w:hAnsi="Arial"/>
                <w:sz w:val="18"/>
                <w:szCs w:val="18"/>
                <w:color w:val="auto"/>
                <w:w w:val="79"/>
              </w:rPr>
              <w:t>$</w:t>
            </w:r>
          </w:p>
        </w:tc>
        <w:tc>
          <w:tcPr>
            <w:tcW w:w="340" w:type="dxa"/>
            <w:vAlign w:val="bottom"/>
          </w:tcPr>
          <w:p>
            <w:pPr>
              <w:ind w:left="60"/>
              <w:spacing w:after="0"/>
              <w:rPr>
                <w:sz w:val="20"/>
                <w:szCs w:val="20"/>
                <w:color w:val="auto"/>
              </w:rPr>
            </w:pPr>
            <w:r>
              <w:rPr>
                <w:rFonts w:ascii="Arial" w:cs="Arial" w:eastAsia="Arial" w:hAnsi="Arial"/>
                <w:sz w:val="18"/>
                <w:szCs w:val="18"/>
                <w:color w:val="auto"/>
                <w:w w:val="86"/>
              </w:rPr>
              <w:t>500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Carrying value amount (1)</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6"/>
              </w:rPr>
              <w:t>495</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60"/>
              <w:spacing w:after="0"/>
              <w:rPr>
                <w:sz w:val="20"/>
                <w:szCs w:val="20"/>
                <w:color w:val="auto"/>
              </w:rPr>
            </w:pPr>
            <w:r>
              <w:rPr>
                <w:rFonts w:ascii="Arial" w:cs="Arial" w:eastAsia="Arial" w:hAnsi="Arial"/>
                <w:sz w:val="18"/>
                <w:szCs w:val="18"/>
                <w:color w:val="auto"/>
              </w:rPr>
              <w:t>Fair value amount (2)</w:t>
            </w:r>
          </w:p>
        </w:tc>
        <w:tc>
          <w:tcPr>
            <w:tcW w:w="16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86"/>
              </w:rPr>
              <w:t>491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r>
      <w:tr>
        <w:trPr>
          <w:trHeight w:val="229"/>
        </w:trPr>
        <w:tc>
          <w:tcPr>
            <w:tcW w:w="69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920" w:type="dxa"/>
            <w:vAlign w:val="bottom"/>
          </w:tcPr>
          <w:p>
            <w:pPr>
              <w:ind w:left="60"/>
              <w:spacing w:after="0"/>
              <w:rPr>
                <w:sz w:val="20"/>
                <w:szCs w:val="20"/>
                <w:color w:val="auto"/>
              </w:rPr>
            </w:pPr>
            <w:r>
              <w:rPr>
                <w:rFonts w:ascii="Arial" w:cs="Arial" w:eastAsia="Arial" w:hAnsi="Arial"/>
                <w:sz w:val="18"/>
                <w:szCs w:val="18"/>
                <w:b w:val="1"/>
                <w:bCs w:val="1"/>
                <w:color w:val="auto"/>
              </w:rPr>
              <w:t>2026 Senior Notes</w:t>
            </w:r>
          </w:p>
        </w:tc>
        <w:tc>
          <w:tcPr>
            <w:tcW w:w="1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Aggregate principal amount</w:t>
            </w:r>
          </w:p>
        </w:tc>
        <w:tc>
          <w:tcPr>
            <w:tcW w:w="1680" w:type="dxa"/>
            <w:vAlign w:val="bottom"/>
            <w:shd w:val="clear" w:color="auto" w:fill="CFF0FC"/>
          </w:tcPr>
          <w:p>
            <w:pPr>
              <w:jc w:val="right"/>
              <w:ind w:right="149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6"/>
              </w:rPr>
              <w:t>345</w:t>
            </w:r>
          </w:p>
        </w:tc>
        <w:tc>
          <w:tcPr>
            <w:tcW w:w="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60"/>
              <w:spacing w:after="0"/>
              <w:rPr>
                <w:sz w:val="20"/>
                <w:szCs w:val="20"/>
                <w:color w:val="auto"/>
              </w:rPr>
            </w:pPr>
            <w:r>
              <w:rPr>
                <w:rFonts w:ascii="Arial" w:cs="Arial" w:eastAsia="Arial" w:hAnsi="Arial"/>
                <w:sz w:val="18"/>
                <w:szCs w:val="18"/>
                <w:color w:val="auto"/>
              </w:rPr>
              <w:t>Carrying value amount (3)</w:t>
            </w:r>
          </w:p>
        </w:tc>
        <w:tc>
          <w:tcPr>
            <w:tcW w:w="16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86"/>
              </w:rPr>
              <w:t>341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Fair value amount (2)</w:t>
            </w:r>
          </w:p>
        </w:tc>
        <w:tc>
          <w:tcPr>
            <w:tcW w:w="1680" w:type="dxa"/>
            <w:vAlign w:val="bottom"/>
            <w:shd w:val="clear" w:color="auto" w:fill="CFF0FC"/>
          </w:tcPr>
          <w:p>
            <w:pPr>
              <w:spacing w:after="0"/>
              <w:rPr>
                <w:sz w:val="18"/>
                <w:szCs w:val="18"/>
                <w:color w:val="auto"/>
              </w:rPr>
            </w:pP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6"/>
              </w:rPr>
              <w:t>279</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18"/>
                <w:szCs w:val="18"/>
                <w:color w:val="auto"/>
              </w:rPr>
            </w:pPr>
          </w:p>
        </w:tc>
      </w:tr>
    </w:tbl>
    <w:p>
      <w:pPr>
        <w:spacing w:after="0" w:line="89" w:lineRule="exact"/>
        <w:rPr>
          <w:sz w:val="20"/>
          <w:szCs w:val="20"/>
          <w:color w:val="auto"/>
        </w:rPr>
      </w:pPr>
    </w:p>
    <w:p>
      <w:pPr>
        <w:ind w:left="1500" w:hanging="369"/>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$5 million and $7 million of unamortized debt issuance costs as of September 30, 2022 and December 31, 2021, respectively.</w:t>
      </w:r>
    </w:p>
    <w:p>
      <w:pPr>
        <w:spacing w:after="0" w:line="12" w:lineRule="exact"/>
        <w:rPr>
          <w:rFonts w:ascii="Arial" w:cs="Arial" w:eastAsia="Arial" w:hAnsi="Arial"/>
          <w:sz w:val="14"/>
          <w:szCs w:val="14"/>
          <w:color w:val="auto"/>
        </w:rPr>
      </w:pPr>
    </w:p>
    <w:p>
      <w:pPr>
        <w:ind w:left="1500" w:right="300" w:hanging="369"/>
        <w:spacing w:after="0" w:line="241" w:lineRule="auto"/>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estimate the fair value of our outstanding 2025 Senior Notes and 2026 Senior Notes based on recently reported market transactions and/or prices for identical or similar financial instruments obtained from a third-party pricing source.</w:t>
      </w:r>
    </w:p>
    <w:p>
      <w:pPr>
        <w:ind w:left="1500" w:hanging="369"/>
        <w:spacing w:after="0"/>
        <w:tabs>
          <w:tab w:leader="none" w:pos="1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$4 million and $5 million of unamortized debt issuance costs as of September 30, 2022 and December 31, 2021, respectively.</w:t>
      </w:r>
    </w:p>
    <w:p>
      <w:pPr>
        <w:spacing w:after="0" w:line="22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Risks and Concentrations</w:t>
      </w:r>
    </w:p>
    <w:p>
      <w:pPr>
        <w:spacing w:after="0" w:line="211"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auto"/>
        </w:rPr>
        <w:t xml:space="preserve">In addition to the risks and uncertainties discussed in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xml:space="preserve"> our business is subject to certain financial risks and concentrations, including concentration related to dependence on our relationships with our customers. For the year ended December 31, 2021, our two most significant travel partners, Expedia Group, Inc. (and its subsidiaries) and Booking Holdings, Inc. (and its subsidiaries), each accounted for 10% or more of our consolidated revenue and together accounted for approximately 34% of our consolidated revenue, with nearly all of this revenue concentrated in our Tripadvisor Core segment.</w:t>
      </w:r>
    </w:p>
    <w:p>
      <w:pPr>
        <w:spacing w:after="0" w:line="198"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Our cash is generally composed of available on demand bank deposits or term deposits with major global financial institutions primarily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6" w:name="page17"/>
    <w:bookmarkEnd w:id="16"/>
    <w:p>
      <w:pPr>
        <w:ind w:right="360"/>
        <w:spacing w:after="0" w:line="287" w:lineRule="auto"/>
        <w:rPr>
          <w:sz w:val="20"/>
          <w:szCs w:val="20"/>
          <w:color w:val="auto"/>
        </w:rPr>
      </w:pPr>
      <w:r>
        <w:rPr>
          <w:rFonts w:ascii="Arial" w:cs="Arial" w:eastAsia="Arial" w:hAnsi="Arial"/>
          <w:sz w:val="16"/>
          <w:szCs w:val="16"/>
          <w:color w:val="auto"/>
        </w:rPr>
        <w:t>denominated in U.S. dollars,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mitigates risk. Our overall credit risk related to accounts receivable is mitigated by the relatively short collection period.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at Fair Value on a Non-recurring Basis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Non-Marketable Investments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Equity Securities Accounted for under the Equity Method</w:t>
      </w:r>
    </w:p>
    <w:p>
      <w:pPr>
        <w:spacing w:after="0" w:line="211"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$32 million and $34 million as of September 30, 2022 and December 31, 2021, respectively, and is included in non-marketable investments on our unaudited condensed consolidated balance sheets. During the three and nine months ended September 30, 2022 and 2021, we recognized $1 million and $2 million, respectively, representing our share of the investee’s net loss in other income (expenses), net within the unaudited condensed consolidated statements of operations. The Company evaluates this investment for impairment when factors indicate that a decline in the value of its investment has occurred and the carrying amount of its investment may not be recoverable. An impairment loss, calculated as the excess of the carrying value over the estimated fair value of the investment based on Level 3 inputs, is recognized in earnings when an impairment is deemed to be other than temporary. During the three and nine months ended September 30, 2022 and 2021, we did not record any impairment loss on this equity investment.</w:t>
      </w:r>
    </w:p>
    <w:p>
      <w:pPr>
        <w:spacing w:after="0" w:line="1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Company maintains various commercial agreements with Chelsea Investment Holding Company PTE Ltd. and/or its subsidiaries. Transactions under these agreements are considered related-party transactions, and were not material during the three and nine months ended September 30, 2022 and 2021.</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Long-Term Assets</w:t>
      </w:r>
    </w:p>
    <w:p>
      <w:pPr>
        <w:spacing w:after="0" w:line="211"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Company holds collateralized notes (the “Notes Receivable”) issued by a privately held company with a total principal amount of $20 million. The Company has classified the Notes Receivable as held-to-maturity, as the Company has concluded it has the positive intent and ability to hold the Notes Receivable until maturity, with 50% due in five years and the remaining 50% due in 10 years from the issuance date in June 2020. As of both September 30, 2022 and December 31, 2021,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w:t>
      </w:r>
    </w:p>
    <w:p>
      <w:pPr>
        <w:spacing w:after="0" w:line="229"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86"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 xml:space="preserve">During the second quarter of 2022, subsequent to our annual impairment test in the fourth quarter of 2021, the composition of our reportable segments was changed, as discussed in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Following the change in reportable segments, our new reporting units for the purposes of goodwill impairment testing are as follows: (1) Tripadvisor Core, (2) Viator (formerly Experiences), and (3) TheFork. The Tripadvisor Core reporting unit includes the operations of the following legacy reporting units (including the carrying value of their related goodwill): Hotels, Media &amp; Platform, Rentals, Flights &amp; Car, Cruises, and Tripadvisor Restaurants.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7" w:name="page18"/>
    <w:bookmarkEnd w:id="17"/>
    <w:p>
      <w:pPr>
        <w:ind w:right="140" w:firstLine="509"/>
        <w:spacing w:after="0" w:line="258" w:lineRule="auto"/>
        <w:rPr>
          <w:sz w:val="20"/>
          <w:szCs w:val="20"/>
          <w:color w:val="auto"/>
        </w:rPr>
      </w:pPr>
      <w:r>
        <w:rPr>
          <w:rFonts w:ascii="Arial" w:cs="Arial" w:eastAsia="Arial" w:hAnsi="Arial"/>
          <w:sz w:val="17"/>
          <w:szCs w:val="17"/>
          <w:color w:val="auto"/>
        </w:rPr>
        <w:t xml:space="preserve">As a result of this reporting unit change, we performed </w:t>
      </w:r>
      <w:r>
        <w:rPr>
          <w:rFonts w:ascii="Arial" w:cs="Arial" w:eastAsia="Arial" w:hAnsi="Arial"/>
          <w:sz w:val="17"/>
          <w:szCs w:val="17"/>
          <w:color w:val="252525"/>
        </w:rPr>
        <w:t>a qualitative assessment on our legacy reporting units prior to operationalizing the new</w:t>
      </w:r>
      <w:r>
        <w:rPr>
          <w:rFonts w:ascii="Arial" w:cs="Arial" w:eastAsia="Arial" w:hAnsi="Arial"/>
          <w:sz w:val="17"/>
          <w:szCs w:val="17"/>
          <w:color w:val="auto"/>
        </w:rPr>
        <w:t xml:space="preserve"> </w:t>
      </w:r>
      <w:r>
        <w:rPr>
          <w:rFonts w:ascii="Arial" w:cs="Arial" w:eastAsia="Arial" w:hAnsi="Arial"/>
          <w:sz w:val="17"/>
          <w:szCs w:val="17"/>
          <w:color w:val="252525"/>
        </w:rPr>
        <w:t xml:space="preserve">segment reporting structure and determined that it was more likely than not that the fair value of all legacy reporting units was greater than the carrying value, which is consistent with our conclusion reached in the fourth quarter of 2021. </w:t>
      </w:r>
      <w:r>
        <w:rPr>
          <w:rFonts w:ascii="Arial" w:cs="Arial" w:eastAsia="Arial" w:hAnsi="Arial"/>
          <w:sz w:val="17"/>
          <w:szCs w:val="17"/>
          <w:color w:val="000000"/>
        </w:rPr>
        <w:t>As part of our qualitative assessment for our goodwill impairment</w:t>
      </w:r>
      <w:r>
        <w:rPr>
          <w:rFonts w:ascii="Arial" w:cs="Arial" w:eastAsia="Arial" w:hAnsi="Arial"/>
          <w:sz w:val="17"/>
          <w:szCs w:val="17"/>
          <w:color w:val="252525"/>
        </w:rPr>
        <w:t xml:space="preserve"> </w:t>
      </w:r>
      <w:r>
        <w:rPr>
          <w:rFonts w:ascii="Arial" w:cs="Arial" w:eastAsia="Arial" w:hAnsi="Arial"/>
          <w:sz w:val="17"/>
          <w:szCs w:val="17"/>
          <w:color w:val="000000"/>
        </w:rPr>
        <w:t>analysis of our legacy reporting units, the factors that we considered included, but were not limited to: (a) changes in macroeconomic conditions in the overall economy and the specific markets in which we operate, (b) our ability to access capital, (c) changes in the online travel industry, (d) changes in the level of competition, (e) evaluation of current and future forecasted financial results of the reporting units, (f) comparison of our current financial performance to historical and budgeted results of the reporting units, (g) change in excess of the Company’s market capitalization over its book value, (h) changes in estimates, valuation inputs, and/or assumptions since the last quantitative analysis of the reporting units, (i) changes in the regulatory environment, (j) changes in strategic outlook or organizational structure and leadership of the reporting units, and (k) other relevant factors, and how these factors might impact specific performance in future periods</w:t>
      </w:r>
      <w:r>
        <w:rPr>
          <w:rFonts w:ascii="Arial" w:cs="Arial" w:eastAsia="Arial" w:hAnsi="Arial"/>
          <w:sz w:val="17"/>
          <w:szCs w:val="17"/>
          <w:color w:val="252525"/>
        </w:rPr>
        <w:t>.</w:t>
      </w:r>
    </w:p>
    <w:p>
      <w:pPr>
        <w:spacing w:after="0" w:line="17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then performed a goodwill impairment test for each of our three new reporting units (Tripadvisor Core, Viator, and TheFork) upon the change in reportable segments using a quantitative assessment. We concluded the estimated fair values were significantly in excess of the carrying values for these reporting units, and therefore, no indications of impairment were identified as a result of these changes.</w:t>
      </w:r>
    </w:p>
    <w:p>
      <w:pPr>
        <w:spacing w:after="0" w:line="1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Management exercised judgment related to the determination of the fair value of our new reporting units. The fair value of our reporting units were estimated using an equal weighting of a market approach by using public company multiples and/or other precedent transactions and a discounted cash flow methodology. The discounted cash flows model indicates the fair value of the reporting units based on the present value of the cash flows that we expect the reporting units to generate in the future. This analysis requires significant judgment, including estimation of future cash flows, which is dependent on internal forecasts, the estimation of the long-term growth rate and profitability of the reporting unit, determination of the Company's weighted average cost of capital and income tax rates.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Significant changes in these estimates and assumptions could materially affect the fair value of the reporting unit, potentially resulting in a non-cash impairment charge.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Hotels,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Media &amp;</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Experiences &amp;</w:t>
            </w:r>
          </w:p>
        </w:tc>
        <w:tc>
          <w:tcPr>
            <w:tcW w:w="100" w:type="dxa"/>
            <w:vAlign w:val="bottom"/>
          </w:tcPr>
          <w:p>
            <w:pPr>
              <w:spacing w:after="0"/>
              <w:rPr>
                <w:sz w:val="14"/>
                <w:szCs w:val="14"/>
                <w:color w:val="auto"/>
              </w:rPr>
            </w:pPr>
          </w:p>
        </w:tc>
        <w:tc>
          <w:tcPr>
            <w:tcW w:w="7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5"/>
              </w:rPr>
              <w:t>Other (2)</w:t>
            </w:r>
          </w:p>
        </w:tc>
        <w:tc>
          <w:tcPr>
            <w:tcW w:w="22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Tripadvisor</w:t>
            </w:r>
          </w:p>
        </w:tc>
        <w:tc>
          <w:tcPr>
            <w:tcW w:w="160" w:type="dxa"/>
            <w:vAlign w:val="bottom"/>
          </w:tcPr>
          <w:p>
            <w:pPr>
              <w:spacing w:after="0"/>
              <w:rPr>
                <w:sz w:val="14"/>
                <w:szCs w:val="14"/>
                <w:color w:val="auto"/>
              </w:rPr>
            </w:pP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Viator</w:t>
            </w:r>
          </w:p>
        </w:tc>
        <w:tc>
          <w:tcPr>
            <w:tcW w:w="24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TheFork</w:t>
            </w:r>
          </w:p>
        </w:tc>
        <w:tc>
          <w:tcPr>
            <w:tcW w:w="2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Platform</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Dining</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Core</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4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w w:val="97"/>
              </w:rPr>
              <w:t>Foreign currency translation adjustments</w:t>
            </w: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(5 )</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(11 )</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Allocation to new segments (1)</w:t>
            </w: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(407 )</w:t>
            </w: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(326 )</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(87 )</w:t>
            </w:r>
          </w:p>
        </w:tc>
        <w:tc>
          <w:tcPr>
            <w:tcW w:w="3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599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596</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2667635</wp:posOffset>
            </wp:positionH>
            <wp:positionV relativeFrom="paragraph">
              <wp:posOffset>-170815</wp:posOffset>
            </wp:positionV>
            <wp:extent cx="7683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3430270</wp:posOffset>
            </wp:positionH>
            <wp:positionV relativeFrom="paragraph">
              <wp:posOffset>-170815</wp:posOffset>
            </wp:positionV>
            <wp:extent cx="7683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-170815</wp:posOffset>
            </wp:positionV>
            <wp:extent cx="6858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-170815</wp:posOffset>
            </wp:positionV>
            <wp:extent cx="6858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-170815</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6426835</wp:posOffset>
            </wp:positionH>
            <wp:positionV relativeFrom="paragraph">
              <wp:posOffset>-170815</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ind w:left="1140" w:hanging="383"/>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See “Note 14: </w:t>
      </w:r>
      <w:r>
        <w:rPr>
          <w:rFonts w:ascii="Arial" w:cs="Arial" w:eastAsia="Arial" w:hAnsi="Arial"/>
          <w:sz w:val="14"/>
          <w:szCs w:val="14"/>
          <w:i w:val="1"/>
          <w:iCs w:val="1"/>
          <w:color w:val="auto"/>
        </w:rPr>
        <w:t>Segment Information</w:t>
      </w:r>
      <w:r>
        <w:rPr>
          <w:rFonts w:ascii="Arial" w:cs="Arial" w:eastAsia="Arial" w:hAnsi="Arial"/>
          <w:sz w:val="14"/>
          <w:szCs w:val="14"/>
          <w:color w:val="auto"/>
        </w:rPr>
        <w:t>” for information regarding our reportable segment changes in the second quarter of 2022.</w:t>
      </w:r>
    </w:p>
    <w:p>
      <w:pPr>
        <w:spacing w:after="0" w:line="12" w:lineRule="exact"/>
        <w:rPr>
          <w:rFonts w:ascii="Arial" w:cs="Arial" w:eastAsia="Arial" w:hAnsi="Arial"/>
          <w:sz w:val="14"/>
          <w:szCs w:val="14"/>
          <w:color w:val="auto"/>
        </w:rPr>
      </w:pPr>
    </w:p>
    <w:p>
      <w:pPr>
        <w:ind w:left="1140" w:hanging="383"/>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consists of the combination of Rentals, Flights &amp; Car, and Cruises, and did not previously constitute a reportable segment.</w:t>
      </w:r>
    </w:p>
    <w:p>
      <w:pPr>
        <w:spacing w:after="0" w:line="317" w:lineRule="exact"/>
        <w:rPr>
          <w:sz w:val="20"/>
          <w:szCs w:val="20"/>
          <w:color w:val="auto"/>
        </w:rPr>
      </w:pPr>
    </w:p>
    <w:p>
      <w:pPr>
        <w:jc w:val="both"/>
        <w:ind w:right="100" w:firstLine="509"/>
        <w:spacing w:after="0" w:line="260" w:lineRule="auto"/>
        <w:rPr>
          <w:sz w:val="20"/>
          <w:szCs w:val="20"/>
          <w:color w:val="auto"/>
        </w:rPr>
      </w:pPr>
      <w:r>
        <w:rPr>
          <w:rFonts w:ascii="Arial" w:cs="Arial" w:eastAsia="Arial" w:hAnsi="Arial"/>
          <w:sz w:val="17"/>
          <w:szCs w:val="17"/>
          <w:color w:val="auto"/>
        </w:rPr>
        <w:t>There were no goodwill impairment charges recognized to our unaudited condensed consolidated statements of operations during the three and nine months ended September 30, 2022 and 2021. As of both September 30, 2022 and December 31, 2021, accumulated goodwill impairment losses totaled $3 million, which was associated with the Tripadvisor Core segment as of September 30, 2022 and Other as of December 31,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6: ACCRUED EXPENSES AND OTHER CURRENT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for the periods presented:</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4"/>
              </w:rPr>
              <w:t>September 30, 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3"/>
              </w:rPr>
              <w:t>December 31, 2021</w:t>
            </w:r>
          </w:p>
        </w:tc>
        <w:tc>
          <w:tcPr>
            <w:tcW w:w="8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9"/>
              </w:rPr>
              <w:t>millions)</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Accrued salary, bonus, and related benefits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Accrued marketing costs</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 (1)</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Current income taxes payable</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liability - current portion</w:t>
            </w:r>
          </w:p>
        </w:tc>
        <w:tc>
          <w:tcPr>
            <w:tcW w:w="1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leases liability - current portion</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22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215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-170815</wp:posOffset>
            </wp:positionV>
            <wp:extent cx="5969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-170815</wp:posOffset>
            </wp:positionV>
            <wp:extent cx="5143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69" w:lineRule="exact"/>
        <w:rPr>
          <w:sz w:val="20"/>
          <w:szCs w:val="20"/>
          <w:color w:val="auto"/>
        </w:rPr>
      </w:pPr>
    </w:p>
    <w:p>
      <w:pPr>
        <w:ind w:left="1440" w:hanging="384"/>
        <w:spacing w:after="0"/>
        <w:tabs>
          <w:tab w:leader="none" w:pos="14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Amount relates primarily to unpaid interest accrued on our 2025 Senior Notes. Refer to “Note 7: </w:t>
      </w:r>
      <w:r>
        <w:rPr>
          <w:rFonts w:ascii="Arial" w:cs="Arial" w:eastAsia="Arial" w:hAnsi="Arial"/>
          <w:sz w:val="14"/>
          <w:szCs w:val="14"/>
          <w:i w:val="1"/>
          <w:iCs w:val="1"/>
          <w:color w:val="auto"/>
        </w:rPr>
        <w:t>Debt</w:t>
      </w:r>
      <w:r>
        <w:rPr>
          <w:rFonts w:ascii="Arial" w:cs="Arial" w:eastAsia="Arial" w:hAnsi="Arial"/>
          <w:sz w:val="14"/>
          <w:szCs w:val="14"/>
          <w:color w:val="auto"/>
        </w:rPr>
        <w:t>” for further information.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outstanding debt consisted of the following for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Outstanding Principal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Unamortized Debt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Issuance Costs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20"/>
                <w:szCs w:val="20"/>
                <w:color w:val="auto"/>
              </w:rPr>
            </w:pPr>
          </w:p>
        </w:tc>
      </w:tr>
      <w:tr>
        <w:trPr>
          <w:trHeight w:val="209"/>
        </w:trPr>
        <w:tc>
          <w:tcPr>
            <w:tcW w:w="4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2025 Senior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500</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2026 Senior Notes</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(4 )</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8"/>
                <w:szCs w:val="18"/>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845</w:t>
            </w:r>
          </w:p>
        </w:tc>
        <w:tc>
          <w:tcPr>
            <w:tcW w:w="34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-170815</wp:posOffset>
            </wp:positionV>
            <wp:extent cx="76835" cy="5734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57340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-170815</wp:posOffset>
            </wp:positionV>
            <wp:extent cx="68580" cy="5734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34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7105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71056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Outstanding Principal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Unamortized Debt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Pr>
          <w:p>
            <w:pPr>
              <w:spacing w:after="0"/>
              <w:rPr>
                <w:sz w:val="20"/>
                <w:szCs w:val="20"/>
                <w:color w:val="auto"/>
              </w:rPr>
            </w:pPr>
          </w:p>
        </w:tc>
        <w:tc>
          <w:tcPr>
            <w:tcW w:w="1900" w:type="dxa"/>
            <w:vAlign w:val="bottom"/>
          </w:tcPr>
          <w:p>
            <w:pPr>
              <w:jc w:val="right"/>
              <w:ind w:right="6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Issuance Costs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jc w:val="right"/>
              <w:ind w:right="27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20"/>
                <w:szCs w:val="20"/>
                <w:color w:val="auto"/>
              </w:rPr>
            </w:pPr>
          </w:p>
        </w:tc>
      </w:tr>
      <w:tr>
        <w:trPr>
          <w:trHeight w:val="209"/>
        </w:trPr>
        <w:tc>
          <w:tcPr>
            <w:tcW w:w="4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200"/>
              <w:spacing w:after="0"/>
              <w:rPr>
                <w:sz w:val="20"/>
                <w:szCs w:val="20"/>
                <w:color w:val="auto"/>
              </w:rPr>
            </w:pPr>
            <w:r>
              <w:rPr>
                <w:rFonts w:ascii="Arial" w:cs="Arial" w:eastAsia="Arial" w:hAnsi="Arial"/>
                <w:sz w:val="18"/>
                <w:szCs w:val="18"/>
                <w:color w:val="auto"/>
              </w:rPr>
              <w:t>2025 Senior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500</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(7 )</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2026 Senior Notes</w:t>
            </w:r>
          </w:p>
        </w:tc>
        <w:tc>
          <w:tcPr>
            <w:tcW w:w="12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FF0FC"/>
          </w:tcPr>
          <w:p>
            <w:pPr>
              <w:spacing w:after="0"/>
              <w:rPr>
                <w:sz w:val="18"/>
                <w:szCs w:val="18"/>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5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845</w:t>
            </w:r>
          </w:p>
        </w:tc>
        <w:tc>
          <w:tcPr>
            <w:tcW w:w="340" w:type="dxa"/>
            <w:vAlign w:val="bottom"/>
            <w:gridSpan w:val="2"/>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-170815</wp:posOffset>
            </wp:positionV>
            <wp:extent cx="7683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-170815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07" w:lineRule="exact"/>
        <w:rPr>
          <w:sz w:val="20"/>
          <w:szCs w:val="20"/>
          <w:color w:val="auto"/>
        </w:rPr>
      </w:pPr>
    </w:p>
    <w:p>
      <w:pPr>
        <w:ind w:right="60" w:firstLine="509"/>
        <w:spacing w:after="0" w:line="267" w:lineRule="auto"/>
        <w:rPr>
          <w:sz w:val="20"/>
          <w:szCs w:val="20"/>
          <w:color w:val="auto"/>
        </w:rPr>
      </w:pPr>
      <w:r>
        <w:rPr>
          <w:rFonts w:ascii="Arial" w:cs="Arial" w:eastAsia="Arial" w:hAnsi="Arial"/>
          <w:sz w:val="17"/>
          <w:szCs w:val="17"/>
          <w:color w:val="auto"/>
        </w:rPr>
        <w:t>We are party to a credit agreement with a group of lenders initially entered into in June 2015 (as amended, the “Credit Agreement”), which, among other things, provides for a $500 million secured revolving credit facility (the “Credit Facility”) with a maturity date of May 12, 2024. The Company may borrow from the Credit Facility in U.S. dollars and Euros. In addition, the Credit Facility includes $15 million of borrowing capacity available for letters of credit and $40 million for Swing Line borrowings on same-day notice. The Credit Facility, among other things, requires us to maintain a maximum leverage ratio and contains certain customary affirmative covenants and events of default, including a change of control.</w:t>
      </w:r>
    </w:p>
    <w:p>
      <w:pPr>
        <w:spacing w:after="0" w:line="167"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As of September 30, 2022 and December 31, 2021, the Company had no outstanding borrowings under the Credit Facility and had issued $4 million and $3 million, respectively, of undrawn standby letters of credit under the Credit Facility. For the three months ended September 30, 2022, total interest expense and commitment fees on the Credit Facility were not material, while during the nine months ended September 30, 2022, we recorded total interest expense and commitment fees on the Credit Facility of $1 million to interest expense on our unaudited condensed consolidated statements of operations. For the three and nine months ended September 30, 2021, we recorded total interest expense and commitment fees on the Credit Facility of $1 million and $2 million, respectively, to interest expense on our unaudited condensed consolidated statements of operations.</w:t>
      </w:r>
    </w:p>
    <w:p>
      <w:pPr>
        <w:spacing w:after="0" w:line="15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amended the Credit Facility during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equivalents and short-term investments less deferred merchant payables plus available revolver capacity), until the earlier of (a) the first day after June 30, 2021 through maturity on which</w:t>
      </w: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9" w:name="page20"/>
    <w:bookmarkEnd w:id="19"/>
    <w:p>
      <w:pPr>
        <w:ind w:right="300"/>
        <w:spacing w:after="0" w:line="277" w:lineRule="auto"/>
        <w:rPr>
          <w:sz w:val="20"/>
          <w:szCs w:val="20"/>
          <w:color w:val="auto"/>
        </w:rPr>
      </w:pPr>
      <w:r>
        <w:rPr>
          <w:rFonts w:ascii="Arial" w:cs="Arial" w:eastAsia="Arial" w:hAnsi="Arial"/>
          <w:sz w:val="18"/>
          <w:szCs w:val="18"/>
          <w:color w:val="auto"/>
        </w:rPr>
        <w:t>borrowings and other revolving credit utilizations under the revolving commitments exceed $200 million, and (b) the election of the Company, at which time the leverage ratio covenant will be reinstated (the “Leverage Covenant Holiday”).</w:t>
      </w:r>
    </w:p>
    <w:p>
      <w:pPr>
        <w:spacing w:after="0" w:line="156"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Company remained in the Leverage Covenant Holiday as of September 30,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with a London Inter-Bank Offered Rate (“LIBO rate”) floor of 1.00% per annum; or (ii) the Alternate Base Rate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In addition, based on the Company’s existing leverage ratio, we are required to pay a quarterly commitment fee, at an applicable rate ranging from 0.15% to 0.30% as of September 30, 2022, on the daily unused portion of the Credit Facility for each fiscal quarter during the Leverage Covenant Holiday and in connection with the issuance of letters of credit.</w:t>
      </w:r>
    </w:p>
    <w:p>
      <w:pPr>
        <w:spacing w:after="0" w:line="193"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There is no specific repayment date prior to the maturity date for any borrowings under the Credit Agreement. We may voluntarily repay any outstanding borrowing under the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Credit Agreement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Credit Agreement also limits the Company from repurchasing shares of its common stock and paying dividends, among other restrictions, during the Leverage Covenant Holiday. In addition, to secure the obligations under the Credit Agreement, the Company and certain subsidiaries have granted security interests and liens in and on substantially all of their assets as well as pledged shares of certain of the Company’s subsidiaries. The Credit Agreement also contains certain customary affirmative covenants and events of default, including a change of control. If an event of default occurs, the lenders under the Credit Agreement will be entitled to take various actions, including the acceleration of all amounts due under the Credit Facility. As of September 30, 2022 and December 31, 2021, we were in compliance with our covenants.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Senior Notes</w:t>
      </w:r>
    </w:p>
    <w:p>
      <w:pPr>
        <w:spacing w:after="0" w:line="107"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On July 9, 2020, the Company completed the sale of $500 million aggregate principal amount of 7.0% Senior Notes due 2025 (the “2025 Senior Notes”), pursuant to a purchase agreement, dated July 7, 2020, among the Company, the guarantors party thereto and the initial purchasers party thereto in a private offering to qualified institutional buyers. The 2025 Senior Notes were issued pursuant to an indenture, dated July 9, 2020 (the “2025 Indenture”), among the Company, the guarantors and the trustee. The 2025 Indenture provides, among other things, that interest is payable on the 2025 Senior Notes semiannually on January 15 and July 15 of each year, which began on January 15, 2021, and continue until their maturity date of July 15, 2025. The 2025 Senior Notes are senior unsecured obligations of the Company and are guaranteed by certain of the Company’s domestic subsidiaries.</w:t>
      </w:r>
    </w:p>
    <w:p>
      <w:pPr>
        <w:spacing w:after="0" w:line="159" w:lineRule="exact"/>
        <w:rPr>
          <w:sz w:val="20"/>
          <w:szCs w:val="20"/>
          <w:color w:val="auto"/>
        </w:rPr>
      </w:pPr>
    </w:p>
    <w:p>
      <w:pPr>
        <w:ind w:right="180" w:firstLine="554"/>
        <w:spacing w:after="0" w:line="283" w:lineRule="auto"/>
        <w:rPr>
          <w:sz w:val="20"/>
          <w:szCs w:val="20"/>
          <w:color w:val="auto"/>
        </w:rPr>
      </w:pPr>
      <w:r>
        <w:rPr>
          <w:rFonts w:ascii="Arial" w:cs="Arial" w:eastAsia="Arial" w:hAnsi="Arial"/>
          <w:sz w:val="16"/>
          <w:szCs w:val="16"/>
          <w:color w:val="auto"/>
        </w:rPr>
        <w:t>The Company has the option to redeem all or a portion of the 2025 Senior Notes at the redemption prices set forth in the 2025 Indenture, plus accrued and unpaid interest, if any. Subject to certain limitations, in the event of a Change of Control Triggering Event (as defined in the 2025 Indenture), the Company will be required to make an offer to purchase the 2025 Senior Notes at a price equal to 101% of the aggregate principal amount of the 2025 Senior Notes repurchased, plus accrued and unpaid interest, if any, to the date of repurchase. These features have been evaluated as embedded derivatives under GAAP; however, the Company has concluded they do not meet the requirements to be accounted for separately.</w:t>
      </w:r>
    </w:p>
    <w:p>
      <w:pPr>
        <w:spacing w:after="0" w:line="16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As of September 30, 2022 and December 31, 2021, unpaid interest on our 2025 Senior Notes totaled approximately $7 million and $16 million, respectively, and is included in accrued expenses and other current liabilities on our unaudited condensed consolidated balance sheet. During the three and nine months ended September 30, 2022 and 2021, we recorded interest expense of $9 million and $26 million, respectively, to interest expense on our unaudited condensed consolidated statements of operations.</w:t>
      </w:r>
    </w:p>
    <w:p>
      <w:pPr>
        <w:spacing w:after="0" w:line="183"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2025 Indenture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2026 Senior Notes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On March 25, 2021, we entered into a purchase agreement for the sale of $300 million aggregate principal amount of 0.25% Convertible 2026 Senior Notes due 2026 (the “2026 Senior Notes”) in a private offering to qualified institutional buyers. The 2026 Senior Notes included an over-allotment option that provided the initial purchasers of the 2026 Senior Notes with the option to purchase an additional $45 million aggregate principal amount of the 2026 Senior Notes; such over-allotment option was fully exercised. In connection with the issuance of the 2026 Senior Notes, the Company entered into an Indenture, dated March 25, 2021 (the “2026 Indenture”), among the Company, the guarantors party thereto and the trustee. The terms of the 2026 Senior Notes are governed by the 2026 Indenture. The 2026 Senior Notes mature on April 1, 2026, unless earlier converted, redeemed, or repurchased. The 2026 Senior Notes are senior unsecured obligations of the Company, although guaranteed by certain of the Company’s domestic subsidiaries, with interest payable semiannually in arrears on April 1 and October 1 of each year, which began on October 1, 2021. As of September 30, 2022 and December 31 2021, unpaid interest on our 2026 Senior Notes was not material.</w:t>
      </w:r>
    </w:p>
    <w:p>
      <w:pPr>
        <w:spacing w:after="0" w:line="179"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2026 Senior Notes will be redeemable, in whole or in part, at our option at any time, and from time to time, on or after April 1, 2024 and on or before the 30th scheduled trading day immediately before the maturity date, at a cash redemption price equal to the principal amount of the 2026 Senior Notes to be redeemed, plus accrued and unpaid interest, if any, but only if the last reported sale price per share of our common stock exceeds 130% of the conversion price on (1) each of at least 20 trading days, whether or not consecutive, during the 30 consecutive trading days ending on, and including, the trading day immediately before the date we send the related redemption notice; and (2) the trading day immediately before the date we send such notice. In addition, calling any such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75" w:lineRule="exact"/>
        <w:rPr>
          <w:sz w:val="20"/>
          <w:szCs w:val="20"/>
          <w:color w:val="auto"/>
        </w:rPr>
      </w:pPr>
    </w:p>
    <w:p>
      <w:pPr>
        <w:jc w:val="both"/>
        <w:ind w:right="80" w:firstLine="509"/>
        <w:spacing w:after="0" w:line="289" w:lineRule="auto"/>
        <w:rPr>
          <w:sz w:val="20"/>
          <w:szCs w:val="20"/>
          <w:color w:val="auto"/>
        </w:rPr>
      </w:pPr>
      <w:r>
        <w:rPr>
          <w:rFonts w:ascii="Arial" w:cs="Arial" w:eastAsia="Arial" w:hAnsi="Arial"/>
          <w:sz w:val="16"/>
          <w:szCs w:val="16"/>
          <w:color w:val="auto"/>
        </w:rPr>
        <w:t>The 2026 Senior Notes are unconditionally guaranteed, on a joint and several basis, by the guarantors on a senior, unsecured basis. The 2026 Senior Notes are our general senior unsecured obligations and rank equally in right of payment with all of our existing and future senior indebtedness, and senior in right of payment to all of our future subordinated indebtedness. The 2026 Senior Notes will be effectively subordinated to any of our existing and future secured indebtedness, including borrowings under the Credit Facility, to the extent of the value of the assets securing such indebtedness.</w:t>
      </w:r>
    </w:p>
    <w:p>
      <w:pPr>
        <w:spacing w:after="0" w:line="152" w:lineRule="exact"/>
        <w:rPr>
          <w:sz w:val="20"/>
          <w:szCs w:val="20"/>
          <w:color w:val="auto"/>
        </w:rPr>
      </w:pPr>
    </w:p>
    <w:p>
      <w:pPr>
        <w:jc w:val="both"/>
        <w:ind w:right="80" w:firstLine="374"/>
        <w:spacing w:after="0" w:line="261" w:lineRule="auto"/>
        <w:rPr>
          <w:sz w:val="20"/>
          <w:szCs w:val="20"/>
          <w:color w:val="auto"/>
        </w:rPr>
      </w:pPr>
      <w:r>
        <w:rPr>
          <w:rFonts w:ascii="Arial" w:cs="Arial" w:eastAsia="Arial" w:hAnsi="Arial"/>
          <w:sz w:val="18"/>
          <w:szCs w:val="18"/>
          <w:color w:val="auto"/>
        </w:rPr>
        <w:t>Holders may convert their 2026 Senior Notes at any time prior to the close of business on the business day immediately preceding January 1, 2026, in multiples of $1,000 principal amount, only under the following conditions and circumstances:</w:t>
      </w:r>
    </w:p>
    <w:p>
      <w:pPr>
        <w:spacing w:after="0" w:line="184" w:lineRule="exact"/>
        <w:rPr>
          <w:sz w:val="20"/>
          <w:szCs w:val="20"/>
          <w:color w:val="auto"/>
        </w:rPr>
      </w:pPr>
    </w:p>
    <w:p>
      <w:pPr>
        <w:ind w:left="1140" w:right="60" w:hanging="383"/>
        <w:spacing w:after="0" w:line="243"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June 30, 2021 (and only during such calendar quarter), if the last reported sale price of our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92" w:lineRule="exact"/>
        <w:rPr>
          <w:rFonts w:ascii="Arial" w:cs="Arial" w:eastAsia="Arial" w:hAnsi="Arial"/>
          <w:sz w:val="18"/>
          <w:szCs w:val="18"/>
          <w:color w:val="auto"/>
        </w:rPr>
      </w:pPr>
    </w:p>
    <w:p>
      <w:pPr>
        <w:jc w:val="both"/>
        <w:ind w:left="1140" w:right="120" w:hanging="383"/>
        <w:spacing w:after="0" w:line="269" w:lineRule="auto"/>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per $1,000 principal amount of 2026 Senior Notes for each trading day of the measurement period was less than 98% of the product of the last reported sale price of our common stock and the conversion rate on each such trading day; or</w:t>
      </w:r>
    </w:p>
    <w:p>
      <w:pPr>
        <w:spacing w:after="0" w:line="70" w:lineRule="exact"/>
        <w:rPr>
          <w:rFonts w:ascii="Arial" w:cs="Arial" w:eastAsia="Arial" w:hAnsi="Arial"/>
          <w:sz w:val="17"/>
          <w:szCs w:val="17"/>
          <w:color w:val="auto"/>
        </w:rPr>
      </w:pPr>
    </w:p>
    <w:p>
      <w:pPr>
        <w:ind w:left="1140" w:hanging="383"/>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described in the 2026 Indenture.</w:t>
      </w:r>
    </w:p>
    <w:p>
      <w:pPr>
        <w:spacing w:after="0" w:line="211" w:lineRule="exact"/>
        <w:rPr>
          <w:sz w:val="20"/>
          <w:szCs w:val="20"/>
          <w:color w:val="auto"/>
        </w:rPr>
      </w:pPr>
    </w:p>
    <w:p>
      <w:pPr>
        <w:jc w:val="both"/>
        <w:ind w:right="180" w:firstLine="509"/>
        <w:spacing w:after="0" w:line="255" w:lineRule="auto"/>
        <w:rPr>
          <w:sz w:val="20"/>
          <w:szCs w:val="20"/>
          <w:color w:val="auto"/>
        </w:rPr>
      </w:pPr>
      <w:r>
        <w:rPr>
          <w:rFonts w:ascii="Arial" w:cs="Arial" w:eastAsia="Arial" w:hAnsi="Arial"/>
          <w:sz w:val="18"/>
          <w:szCs w:val="18"/>
          <w:color w:val="auto"/>
        </w:rPr>
        <w:t>In addition, holders may convert their 2026 Senior Notes, in multiples of $1,000 principal amount, at their option at any time beginning on or after January 1, 2026, and prior to the close of business on the second scheduled trading day immediately preceding the stated maturity date of the 2026 Senior Notes, without regard to the foregoing circumstances.</w:t>
      </w:r>
    </w:p>
    <w:p>
      <w:pPr>
        <w:spacing w:after="0" w:line="176"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The initial conversion rate for the 2026 Senior Notes is 13.5483 shares of common stock per $1,000 principal amount of 2026 Senior Notes, which is equivalent to an initial conversion price of approximately $73.81 per share of common stock, or approximately 4.7 million shares of common stock, subject to adjustment upon the occurrence of certain specified events as set forth in the 2026 Indenture. Upon conversion, the Company may choose to pay or deliver, as the case may be, cash, shares of common stock or a combination of cash and shares of common stock.</w:t>
      </w:r>
    </w:p>
    <w:p>
      <w:pPr>
        <w:spacing w:after="0" w:line="165"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Company accounts for the 2026 Senior Notes as a liability measured at its amortized cost, and no other features of the 2026 Senior Notes are bifurcated and recognized as a derivative. The proceeds from the issuance of the 2026 Senior Notes were approximately $340 million, net of debt issuance costs of $5 million comprised primarily of the initial purchasers’ discount, and the Company used a portion of the proceeds from the 2026 Senior Notes to enter into capped call transactions, as discussed below. The Company intends to use the remainder of the proceeds from this offering for general corporate purposes, which may include repayment of debt, including the partial redemption and/or purchase of our 2025 Senior Notes prior to maturity. The debt issuance costs will be amortized over the remaining term of the 2026 Senior Notes, using the effective interest rate method, and recorded to interest expense on our unaudited condensed consolidated statements of operations. During both the three and nine months ended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21" w:name="page22"/>
    <w:bookmarkEnd w:id="21"/>
    <w:p>
      <w:pPr>
        <w:spacing w:after="0" w:line="248" w:lineRule="auto"/>
        <w:rPr>
          <w:sz w:val="20"/>
          <w:szCs w:val="20"/>
          <w:color w:val="auto"/>
        </w:rPr>
      </w:pPr>
      <w:r>
        <w:rPr>
          <w:rFonts w:ascii="Arial" w:cs="Arial" w:eastAsia="Arial" w:hAnsi="Arial"/>
          <w:sz w:val="18"/>
          <w:szCs w:val="18"/>
          <w:color w:val="auto"/>
        </w:rPr>
        <w:t>September 30, 2022, our effective interest rate, including debt issuance costs, was approximately 0.50% and total interest expense on our 2026 Senior Notes was not material during the three months ended September 30, 2022, while this amount was $1 million during the nine months ended September 30, 2022</w:t>
      </w:r>
      <w:r>
        <w:rPr>
          <w:rFonts w:ascii="Arial" w:cs="Arial" w:eastAsia="Arial" w:hAnsi="Arial"/>
          <w:sz w:val="18"/>
          <w:szCs w:val="18"/>
          <w:color w:val="212529"/>
        </w:rPr>
        <w:t>.</w:t>
      </w:r>
      <w:r>
        <w:rPr>
          <w:rFonts w:ascii="Arial" w:cs="Arial" w:eastAsia="Arial" w:hAnsi="Arial"/>
          <w:sz w:val="18"/>
          <w:szCs w:val="18"/>
          <w:color w:val="auto"/>
        </w:rPr>
        <w:t xml:space="preserve"> During both the three and nine months ended September 30, 2021, our effective interest rate, including debt issuance costs, was approximately 0.55% and total interest expense on our 2026 Senior Notes was not material in either period.</w:t>
      </w:r>
    </w:p>
    <w:p>
      <w:pPr>
        <w:spacing w:after="0" w:line="196"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212529"/>
        </w:rPr>
        <w:t>The 2026 Senior Notes are unsecured and do not contain any financial covenants, restrictions on dividends, incurrence of senior debt or other indebtedness, or restrictions on the issuance or repurchase of securities by the Company.</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C2C2C"/>
        </w:rPr>
        <w:t>Capped Call Transactions</w:t>
      </w:r>
    </w:p>
    <w:p>
      <w:pPr>
        <w:spacing w:after="0" w:line="225"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(the “Option Counterparties”) at a cost of approximately $35 million. The Capped Calls are separate transactions entered into by the Company with each of the Option Counterparties and are not part of the terms of the 2026 Senior Notes and therefore will not affect any noteholder’s rights under the 2026 Senior Notes. Noteholders will not have any rights with respect to the Capped Calls.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Capped Calls cover, subject to anti-dilution adjustments, substantially similar to those applicable to the conversion rate of the 2026 Senior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Notes, the number of shares of common stock initially underlying the 2026 Senior Notes, or up to approximately 4.7 million shares of our common stock.</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The Capped Calls are expected generally to reduce potential dilution to the common stock upon any conversion of 2026 Senior Notes and/or offset any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potential cash payments the Company is required to make in excess of the principal amount of such converted 2026 Senior Notes, as the case may be, with</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such reduction and/or offset subject to a cap. The strike price of the Capped Calls is $73.81, while the cap price of the Capped Calls will initially be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$107.36 per share of our common stock, which represents a premium of 100% over the close price of our common stock of $53.68 per share on March 22,</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2021 and is subject to certain customary adjustments under the terms of the Capped Calls.</w:t>
      </w:r>
    </w:p>
    <w:p>
      <w:pPr>
        <w:spacing w:after="0" w:line="19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7"/>
          <w:szCs w:val="17"/>
          <w:color w:val="auto"/>
        </w:rPr>
        <w:t>The Capped Calls are considered indexed to our own stock and are considered equity classified under GAAP and included as a reduction to additional paid-in-capital within stockholders’ equity on the unaudited condensed consolidated balance sheets as of September 30, 2022 and December 31, 2021. The Capped Calls are not accounted for as derivatives and their fair value is not remeasured each reporting period. In addition, we recorded a deferred tax asset of $9 million associated with the Capped Calls on our unaudited condensed consolidated balance sheet during the three months ended March 31, 2021, as we made an income tax election allowable under Internal Revenue Service (the “IRS”) regulations in order to recover the cost of the Capped Calls as interest expense for income tax purposes only over the term of the 2026 Senior Notes.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LONG-TERM LIABILITIES</w:t>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consisted of the following for the periods presented:</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6"/>
              </w:rPr>
              <w:t>September 30, 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1"/>
              </w:rPr>
              <w:t>December 31, 2021</w:t>
            </w:r>
          </w:p>
        </w:tc>
        <w:tc>
          <w:tcPr>
            <w:tcW w:w="8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79"/>
              </w:rPr>
              <w:t>millions)</w:t>
            </w: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gain on equity method investment (1)</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Long-term income taxes payable</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r>
      <w:tr>
        <w:trPr>
          <w:trHeight w:val="249"/>
        </w:trPr>
        <w:tc>
          <w:tcPr>
            <w:tcW w:w="5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9" w:lineRule="exact"/>
        <w:rPr>
          <w:sz w:val="20"/>
          <w:szCs w:val="20"/>
          <w:color w:val="auto"/>
        </w:rPr>
      </w:pPr>
    </w:p>
    <w:p>
      <w:pPr>
        <w:ind w:left="1440" w:right="80" w:hanging="384"/>
        <w:spacing w:after="0" w:line="272" w:lineRule="auto"/>
        <w:tabs>
          <w:tab w:leader="none" w:pos="14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Amount relates to long-term portion of a deferred income liability recorded as a result of an equity method investment made in the fourth quarter of 2019. Refer to “Note 4: </w:t>
      </w:r>
      <w:r>
        <w:rPr>
          <w:rFonts w:ascii="Arial" w:cs="Arial" w:eastAsia="Arial" w:hAnsi="Arial"/>
          <w:sz w:val="14"/>
          <w:szCs w:val="14"/>
          <w:i w:val="1"/>
          <w:iCs w:val="1"/>
          <w:color w:val="auto"/>
        </w:rPr>
        <w:t>Financial Instruments and Fair Value Measurements</w:t>
      </w:r>
      <w:r>
        <w:rPr>
          <w:rFonts w:ascii="Arial" w:cs="Arial" w:eastAsia="Arial" w:hAnsi="Arial"/>
          <w:sz w:val="14"/>
          <w:szCs w:val="14"/>
          <w:color w:val="auto"/>
        </w:rPr>
        <w:t>" for further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On March 27, 2020, the U.S. government enacted the Coronavirus Aid, Relief, and Economic Security Act (the "CARES Act"). The CARES Act made tax law changes to provide financial relief to companies as a result of the business impacts of COVID-19. Key income tax provisions of the CARES Act include changes in net operating losses (“NOL”) carryback and carryforward rules, increase of the net interest expense deduction limit, and immediate write-off of qualified improvement property. The CARES Act allowed the</w:t>
      </w: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2" w:name="page23"/>
    <w:bookmarkEnd w:id="22"/>
    <w:p>
      <w:pPr>
        <w:ind w:right="40"/>
        <w:spacing w:after="0" w:line="246" w:lineRule="auto"/>
        <w:rPr>
          <w:sz w:val="20"/>
          <w:szCs w:val="20"/>
          <w:color w:val="auto"/>
        </w:rPr>
      </w:pPr>
      <w:r>
        <w:rPr>
          <w:rFonts w:ascii="Arial" w:cs="Arial" w:eastAsia="Arial" w:hAnsi="Arial"/>
          <w:sz w:val="18"/>
          <w:szCs w:val="18"/>
          <w:color w:val="auto"/>
        </w:rPr>
        <w:t>Company to carryback our U.S. federal NOLs incurred in 2020, generating an expected U.S. federal tax benefit of $76 million, of which $64 million was refunded during the three months ended June 30, 2022. The remaining refund of $12 million is included in current income taxes payable within accrued expenses and other current liabilities on our unaudited condensed consolidated balance sheet as of September 30, 2022 and is expected to be received in the next twelve months. In addition, $25 million of this refund received was recorded to long-term taxes payable within other long-term liabilities on our unaudited condensed consolidated balance sheet as of September 30, 2022, which reflects future transition tax payments related to the Tax Cuts and Jobs Act of 2017 (the “2017 Tax Act”).</w:t>
      </w:r>
    </w:p>
    <w:p>
      <w:pPr>
        <w:spacing w:after="0" w:line="18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In addition, certain governments have passed legislation to help businesses during the COVID-19 pandemic through loans, wage subsidies, wage tax relief or other financial aid. Some of these governments have extended or are considering extending these programs. We have participated in several of these programs, including the CARES Act in the U.S., the United Kingdom's job retention scheme, as well as programs in other jurisdictions. In addition, in certain countries, such as within the European Union, Singapore, Australia, and other jurisdictions, we are also participating in programs where government assistance is in the form of wage subsidies and reductions in wage-related employer taxes paid by us. We recognize these government assistance benefits when there is a reasonable assurance of compliance with the conditions associated with the assistance and the amount is received. During the three months ended September 30, 2022, non-income tax related government assistance benefits recognized was not material, while we recognized $12 million of non-income tax related government assistance benefits during the nine months ended September 30, 2022. During the three and nine months ended September 30, 2021, we recognized non-income tax related government assistance benefits of $2 million and $7 million, respectively. These amounts are not income tax related and were recorded as a reduction of personnel and overhead costs in the unaudited condensed consolidated statements of operations.</w:t>
      </w:r>
    </w:p>
    <w:p>
      <w:pPr>
        <w:spacing w:after="0" w:line="163"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auto"/>
        </w:rPr>
        <w:t>We recorded total income tax provisions of $37 million and $61 million for the three and nine months ended September 30, 2022, respectively. We recorded a total income tax provision of $2 million for the three months ended September 30, 2021, while we recorded a total income tax benefit of $19 million for the nine months ended September 30, 2021. The change in our income tax provisions during the three and nine months ended September 30, 2022, when compared to the same period in 2021, was primarily due to an increase in pretax income recognized during both the three and nine months ended September 30, 2022.</w:t>
      </w:r>
    </w:p>
    <w:p>
      <w:pPr>
        <w:spacing w:after="0" w:line="180" w:lineRule="exact"/>
        <w:rPr>
          <w:sz w:val="20"/>
          <w:szCs w:val="20"/>
          <w:color w:val="auto"/>
        </w:rPr>
      </w:pPr>
    </w:p>
    <w:p>
      <w:pPr>
        <w:ind w:right="380" w:firstLine="509"/>
        <w:spacing w:after="0" w:line="290" w:lineRule="auto"/>
        <w:rPr>
          <w:sz w:val="20"/>
          <w:szCs w:val="20"/>
          <w:color w:val="auto"/>
        </w:rPr>
      </w:pPr>
      <w:r>
        <w:rPr>
          <w:rFonts w:ascii="Arial" w:cs="Arial" w:eastAsia="Arial" w:hAnsi="Arial"/>
          <w:sz w:val="17"/>
          <w:szCs w:val="17"/>
          <w:color w:val="auto"/>
        </w:rPr>
        <w:t>Our policy is to recognize accrued interest and penalties related to unrecognized tax benefits and income tax liabilities as part of our income tax expense. As of September 30, 2022, we had an accrued interest liability of $46 million and no penalties have been accrued.</w:t>
      </w:r>
    </w:p>
    <w:p>
      <w:pPr>
        <w:spacing w:after="0" w:line="16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2014 through 2016, and 2018 tax years, and have various ongoing audits for foreign and state income tax returns. These audits include questioning the timing and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2022, no material assessments have resulted, except as noted below regarding our 2009, 2010, and 2011 IRS audit with Expedia, our 2014 through 2016 standalone IRS audit, and our 2012 through 2016 HM Revenue &amp; Customs (“HMRC”) audit.</w:t>
      </w:r>
    </w:p>
    <w:p>
      <w:pPr>
        <w:spacing w:after="0" w:line="204"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our standalone audit, we received Notices of Proposed Adjustment from the IRS for the 2012 and 2013 tax years; and in August 2020, we received Notices of Proposed Adjustment from the IRS for the 2014, 2015, and 2016 tax years. The statute of limitation of assessment for all years subject to the Notices of Proposed Adjustment remain open, with the exception of the 2012 and 2013 tax years. These proposed adjustments are related to certain transfer pricing arrangements with our foreign subsidiaries and would result in an increase to our worldwide income tax expense, for the open tax years, in an estimated range of $90 million to $100 million at the close of the audit if the IRS prevails, which includes $25 million to $35 million related to the 2009 through 2011 pre Spin-Off tax years. The estimated ranges take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the open years outlined above, if the IRS were to seek transfer pricing adjustments of a similar nature for transactions in subsequent years, we would be subject to significant additional tax liabilities. We have previously requested competent authority assistance under the Mutual Agreement Procedure (“MAP”) for tax years 2009 through 2016, for which the statutes remain open for all but the 2012 and 2013 tax years. We expect the competent authorities to present a resolution for the 2009 through 2011 tax years in the near future. Upon receipt, we will assess the resolution provided by the competent authorities as well as its impact on our existing income tax reserves for all open subsequent years.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3" w:name="page24"/>
    <w:bookmarkEnd w:id="23"/>
    <w:p>
      <w:pPr>
        <w:jc w:val="center"/>
        <w:ind w:right="200"/>
        <w:spacing w:after="0"/>
        <w:rPr>
          <w:sz w:val="20"/>
          <w:szCs w:val="20"/>
          <w:color w:val="auto"/>
        </w:rPr>
      </w:pPr>
      <w:r>
        <w:rPr>
          <w:rFonts w:ascii="Arial" w:cs="Arial" w:eastAsia="Arial" w:hAnsi="Arial"/>
          <w:sz w:val="17"/>
          <w:szCs w:val="17"/>
          <w:color w:val="auto"/>
        </w:rPr>
        <w:t>In January 2021, we received from HMRC an issue closure notice relating to adjustments for 2012 through 2016 tax years. These proposed</w:t>
      </w:r>
    </w:p>
    <w:p>
      <w:pPr>
        <w:spacing w:after="0" w:line="35"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adjustments are related to certain transfer pricing arrangements with our foreign subsidiaries and would result in an increase to our worldwide income tax expense in an estimated range of $25 million to $35 million, exclusive of interest expense and potential U.S. transition tax adjustments,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2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 xml:space="preserve">As of September 30, 2022, there have been no material changes to our commitments and contingencies since December 31, 2021.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notes to our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80" w:firstLine="509"/>
        <w:spacing w:after="0" w:line="274"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and Non-Income Taxes</w:t>
      </w:r>
    </w:p>
    <w:p>
      <w:pPr>
        <w:spacing w:after="0" w:line="107"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 xml:space="preserve">We are under audit by the IRS and various other domestic and foreign tax authorities with regards to income tax and non-income tax matters. We have reserved for potential adjustments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9: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287" w:lineRule="exact"/>
        <w:rPr>
          <w:sz w:val="20"/>
          <w:szCs w:val="20"/>
          <w:color w:val="auto"/>
        </w:rPr>
      </w:pPr>
    </w:p>
    <w:p>
      <w:pPr>
        <w:ind w:right="5080"/>
        <w:spacing w:after="0" w:line="391" w:lineRule="auto"/>
        <w:rPr>
          <w:sz w:val="20"/>
          <w:szCs w:val="20"/>
          <w:color w:val="auto"/>
        </w:rPr>
      </w:pPr>
      <w:r>
        <w:rPr>
          <w:rFonts w:ascii="Arial" w:cs="Arial" w:eastAsia="Arial" w:hAnsi="Arial"/>
          <w:sz w:val="18"/>
          <w:szCs w:val="18"/>
          <w:b w:val="1"/>
          <w:bCs w:val="1"/>
          <w:color w:val="auto"/>
        </w:rPr>
        <w:t>NOTE 11: STOCK BASED AWARDS AND OTHER EQUITY INSTRUMENTS Stock-Based Compensation Expense</w:t>
      </w:r>
    </w:p>
    <w:p>
      <w:pPr>
        <w:spacing w:after="0" w:line="58"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primarily stock options and RSUs, on our unaudited condensed consolidated statements of operations during the periods presented: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8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w w:val="91"/>
              </w:rPr>
              <w:t>Three months ended</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Nine months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8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89"/>
              </w:rPr>
              <w:t>2022</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80" w:type="dxa"/>
            <w:vAlign w:val="bottom"/>
            <w:gridSpan w:val="2"/>
          </w:tcPr>
          <w:p>
            <w:pPr>
              <w:jc w:val="right"/>
              <w:ind w:right="676"/>
              <w:spacing w:after="0"/>
              <w:rPr>
                <w:sz w:val="20"/>
                <w:szCs w:val="20"/>
                <w:color w:val="auto"/>
              </w:rPr>
            </w:pPr>
            <w:r>
              <w:rPr>
                <w:rFonts w:ascii="Arial" w:cs="Arial" w:eastAsia="Arial" w:hAnsi="Arial"/>
                <w:sz w:val="14"/>
                <w:szCs w:val="14"/>
                <w:b w:val="1"/>
                <w:bCs w:val="1"/>
                <w:color w:val="auto"/>
                <w:w w:val="86"/>
              </w:rPr>
              <w:t>millions)</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86"/>
              </w:rPr>
              <w:t>millions)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820" w:type="dxa"/>
            <w:vAlign w:val="bottom"/>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 and content</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09"/>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stock-based compensation expense</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Income tax benefit from stock-based compensation</w:t>
            </w:r>
          </w:p>
        </w:tc>
        <w:tc>
          <w:tcPr>
            <w:tcW w:w="820" w:type="dxa"/>
            <w:vAlign w:val="bottom"/>
          </w:tcPr>
          <w:p>
            <w:pPr>
              <w:spacing w:after="0"/>
              <w:rPr>
                <w:sz w:val="18"/>
                <w:szCs w:val="18"/>
                <w:color w:val="auto"/>
              </w:rPr>
            </w:pPr>
          </w:p>
        </w:tc>
        <w:tc>
          <w:tcPr>
            <w:tcW w:w="820" w:type="dxa"/>
            <w:vAlign w:val="bottom"/>
            <w:gridSpan w:val="2"/>
          </w:tcPr>
          <w:p>
            <w:pPr>
              <w:jc w:val="right"/>
              <w:ind w:right="168"/>
              <w:spacing w:after="0"/>
              <w:rPr>
                <w:sz w:val="20"/>
                <w:szCs w:val="20"/>
                <w:color w:val="auto"/>
              </w:rPr>
            </w:pPr>
            <w:r>
              <w:rPr>
                <w:rFonts w:ascii="Arial" w:cs="Arial" w:eastAsia="Arial" w:hAnsi="Arial"/>
                <w:sz w:val="18"/>
                <w:szCs w:val="18"/>
                <w:color w:val="auto"/>
              </w:rPr>
              <w:t>(4 )</w:t>
            </w:r>
          </w:p>
        </w:tc>
        <w:tc>
          <w:tcPr>
            <w:tcW w:w="9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c>
          <w:tcPr>
            <w:tcW w:w="820" w:type="dxa"/>
            <w:vAlign w:val="bottom"/>
          </w:tcPr>
          <w:p>
            <w:pPr>
              <w:spacing w:after="0"/>
              <w:rPr>
                <w:sz w:val="18"/>
                <w:szCs w:val="18"/>
                <w:color w:val="auto"/>
              </w:rPr>
            </w:pPr>
          </w:p>
        </w:tc>
        <w:tc>
          <w:tcPr>
            <w:tcW w:w="740" w:type="dxa"/>
            <w:vAlign w:val="bottom"/>
            <w:gridSpan w:val="2"/>
          </w:tcPr>
          <w:p>
            <w:pPr>
              <w:jc w:val="right"/>
              <w:ind w:right="128"/>
              <w:spacing w:after="0"/>
              <w:rPr>
                <w:sz w:val="20"/>
                <w:szCs w:val="20"/>
                <w:color w:val="auto"/>
              </w:rPr>
            </w:pPr>
            <w:r>
              <w:rPr>
                <w:rFonts w:ascii="Arial" w:cs="Arial" w:eastAsia="Arial" w:hAnsi="Arial"/>
                <w:sz w:val="18"/>
                <w:szCs w:val="18"/>
                <w:color w:val="auto"/>
              </w:rPr>
              <w:t>(14 )</w:t>
            </w:r>
          </w:p>
        </w:tc>
        <w:tc>
          <w:tcPr>
            <w:tcW w:w="5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r>
      <w:tr>
        <w:trPr>
          <w:trHeight w:val="24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 net of tax</w:t>
            </w:r>
          </w:p>
        </w:tc>
        <w:tc>
          <w:tcPr>
            <w:tcW w:w="82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5020" w:type="dxa"/>
            <w:vAlign w:val="bottom"/>
          </w:tcPr>
          <w:p>
            <w:pPr>
              <w:spacing w:after="0"/>
              <w:rPr>
                <w:sz w:val="24"/>
                <w:szCs w:val="24"/>
                <w:color w:val="auto"/>
              </w:rPr>
            </w:pPr>
          </w:p>
        </w:tc>
        <w:tc>
          <w:tcPr>
            <w:tcW w:w="820" w:type="dxa"/>
            <w:vAlign w:val="bottom"/>
          </w:tcPr>
          <w:p>
            <w:pPr>
              <w:ind w:left="520"/>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-375920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-358775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-375920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-358775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-375920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-358775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-375920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-358775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4" w:name="page25"/>
    <w:bookmarkEnd w:id="24"/>
    <w:p>
      <w:pPr>
        <w:ind w:right="500" w:firstLine="509"/>
        <w:spacing w:after="0" w:line="341" w:lineRule="auto"/>
        <w:rPr>
          <w:sz w:val="20"/>
          <w:szCs w:val="20"/>
          <w:color w:val="auto"/>
        </w:rPr>
      </w:pPr>
      <w:r>
        <w:rPr>
          <w:rFonts w:ascii="Arial" w:cs="Arial" w:eastAsia="Arial" w:hAnsi="Arial"/>
          <w:sz w:val="16"/>
          <w:szCs w:val="16"/>
          <w:color w:val="auto"/>
        </w:rPr>
        <w:t>We capitalized $2 million and $7 million of stock-based compensation expense as website development costs during the three and nine months ended September 30, 2022, respectively, and $3 million and $10 million during the three and nine months ended September 30, 2021,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Stock Option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consisting of service-based non-qualified stock options, is presented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center"/>
              <w:ind w:right="178"/>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5"/>
                <w:szCs w:val="15"/>
                <w:color w:val="auto"/>
              </w:rPr>
            </w:pPr>
          </w:p>
        </w:tc>
      </w:tr>
      <w:tr>
        <w:trPr>
          <w:trHeight w:val="175"/>
        </w:trPr>
        <w:tc>
          <w:tcPr>
            <w:tcW w:w="4880" w:type="dxa"/>
            <w:vAlign w:val="bottom"/>
          </w:tcPr>
          <w:p>
            <w:pPr>
              <w:spacing w:after="0"/>
              <w:rPr>
                <w:sz w:val="15"/>
                <w:szCs w:val="15"/>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Options</w:t>
            </w:r>
          </w:p>
        </w:tc>
        <w:tc>
          <w:tcPr>
            <w:tcW w:w="240" w:type="dxa"/>
            <w:vAlign w:val="bottom"/>
          </w:tcPr>
          <w:p>
            <w:pPr>
              <w:spacing w:after="0"/>
              <w:rPr>
                <w:sz w:val="15"/>
                <w:szCs w:val="15"/>
                <w:color w:val="auto"/>
              </w:rPr>
            </w:pPr>
          </w:p>
        </w:tc>
        <w:tc>
          <w:tcPr>
            <w:tcW w:w="1100" w:type="dxa"/>
            <w:vAlign w:val="bottom"/>
          </w:tcPr>
          <w:p>
            <w:pPr>
              <w:jc w:val="center"/>
              <w:ind w:right="158"/>
              <w:spacing w:after="0"/>
              <w:rPr>
                <w:sz w:val="20"/>
                <w:szCs w:val="20"/>
                <w:color w:val="auto"/>
              </w:rPr>
            </w:pPr>
            <w:r>
              <w:rPr>
                <w:rFonts w:ascii="Arial" w:cs="Arial" w:eastAsia="Arial" w:hAnsi="Arial"/>
                <w:sz w:val="14"/>
                <w:szCs w:val="14"/>
                <w:b w:val="1"/>
                <w:bCs w:val="1"/>
                <w:color w:val="auto"/>
                <w:w w:val="95"/>
              </w:rPr>
              <w:t>Price Per</w:t>
            </w:r>
          </w:p>
        </w:tc>
        <w:tc>
          <w:tcPr>
            <w:tcW w:w="2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9"/>
              </w:rPr>
              <w:t>Intrinsic</w:t>
            </w:r>
          </w:p>
        </w:tc>
        <w:tc>
          <w:tcPr>
            <w:tcW w:w="100" w:type="dxa"/>
            <w:vAlign w:val="bottom"/>
          </w:tcPr>
          <w:p>
            <w:pPr>
              <w:spacing w:after="0"/>
              <w:rPr>
                <w:sz w:val="15"/>
                <w:szCs w:val="15"/>
                <w:color w:val="auto"/>
              </w:rPr>
            </w:pPr>
          </w:p>
        </w:tc>
      </w:tr>
      <w:tr>
        <w:trPr>
          <w:trHeight w:val="185"/>
        </w:trPr>
        <w:tc>
          <w:tcPr>
            <w:tcW w:w="48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240" w:type="dxa"/>
            <w:vAlign w:val="bottom"/>
          </w:tcPr>
          <w:p>
            <w:pPr>
              <w:spacing w:after="0"/>
              <w:rPr>
                <w:sz w:val="16"/>
                <w:szCs w:val="16"/>
                <w:color w:val="auto"/>
              </w:rPr>
            </w:pPr>
          </w:p>
        </w:tc>
        <w:tc>
          <w:tcPr>
            <w:tcW w:w="1100" w:type="dxa"/>
            <w:vAlign w:val="bottom"/>
          </w:tcPr>
          <w:p>
            <w:pPr>
              <w:jc w:val="center"/>
              <w:ind w:right="178"/>
              <w:spacing w:after="0"/>
              <w:rPr>
                <w:sz w:val="20"/>
                <w:szCs w:val="20"/>
                <w:color w:val="auto"/>
              </w:rPr>
            </w:pPr>
            <w:r>
              <w:rPr>
                <w:rFonts w:ascii="Arial" w:cs="Arial" w:eastAsia="Arial" w:hAnsi="Arial"/>
                <w:sz w:val="14"/>
                <w:szCs w:val="14"/>
                <w:b w:val="1"/>
                <w:bCs w:val="1"/>
                <w:color w:val="auto"/>
                <w:w w:val="92"/>
              </w:rPr>
              <w:t>Share</w:t>
            </w:r>
          </w:p>
        </w:tc>
        <w:tc>
          <w:tcPr>
            <w:tcW w:w="26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80"/>
        </w:trPr>
        <w:tc>
          <w:tcPr>
            <w:tcW w:w="488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r>
      <w:tr>
        <w:trPr>
          <w:trHeight w:val="299"/>
        </w:trPr>
        <w:tc>
          <w:tcPr>
            <w:tcW w:w="4880" w:type="dxa"/>
            <w:vAlign w:val="bottom"/>
          </w:tcPr>
          <w:p>
            <w:pPr>
              <w:ind w:left="20"/>
              <w:spacing w:after="0"/>
              <w:rPr>
                <w:sz w:val="20"/>
                <w:szCs w:val="20"/>
                <w:color w:val="auto"/>
              </w:rPr>
            </w:pPr>
            <w:r>
              <w:rPr>
                <w:rFonts w:ascii="Arial" w:cs="Arial" w:eastAsia="Arial" w:hAnsi="Arial"/>
                <w:sz w:val="18"/>
                <w:szCs w:val="18"/>
                <w:color w:val="auto"/>
              </w:rPr>
              <w:t>Options outstanding at December 31, 2021</w:t>
            </w:r>
          </w:p>
        </w:tc>
        <w:tc>
          <w:tcPr>
            <w:tcW w:w="1300" w:type="dxa"/>
            <w:vAlign w:val="bottom"/>
          </w:tcPr>
          <w:p>
            <w:pPr>
              <w:jc w:val="right"/>
              <w:spacing w:after="0"/>
              <w:rPr>
                <w:sz w:val="20"/>
                <w:szCs w:val="20"/>
                <w:color w:val="auto"/>
              </w:rPr>
            </w:pPr>
            <w:r>
              <w:rPr>
                <w:rFonts w:ascii="Arial" w:cs="Arial" w:eastAsia="Arial" w:hAnsi="Arial"/>
                <w:sz w:val="18"/>
                <w:szCs w:val="18"/>
                <w:color w:val="auto"/>
              </w:rPr>
              <w:t>5,671</w:t>
            </w:r>
          </w:p>
        </w:tc>
        <w:tc>
          <w:tcPr>
            <w:tcW w:w="3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47.03</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48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310"/>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Granted (1)</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3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94"/>
        </w:trPr>
        <w:tc>
          <w:tcPr>
            <w:tcW w:w="4880" w:type="dxa"/>
            <w:vAlign w:val="bottom"/>
            <w:shd w:val="clear" w:color="auto" w:fill="CFF0FC"/>
          </w:tcPr>
          <w:p>
            <w:pPr>
              <w:spacing w:after="0"/>
              <w:rPr>
                <w:sz w:val="8"/>
                <w:szCs w:val="8"/>
                <w:color w:val="auto"/>
              </w:rPr>
            </w:pPr>
          </w:p>
        </w:tc>
        <w:tc>
          <w:tcPr>
            <w:tcW w:w="1600" w:type="dxa"/>
            <w:vAlign w:val="bottom"/>
            <w:gridSpan w:val="2"/>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3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310"/>
        </w:trPr>
        <w:tc>
          <w:tcPr>
            <w:tcW w:w="4880" w:type="dxa"/>
            <w:vAlign w:val="bottom"/>
          </w:tcPr>
          <w:p>
            <w:pPr>
              <w:ind w:left="20"/>
              <w:spacing w:after="0"/>
              <w:rPr>
                <w:sz w:val="20"/>
                <w:szCs w:val="20"/>
                <w:color w:val="auto"/>
              </w:rPr>
            </w:pPr>
            <w:r>
              <w:rPr>
                <w:rFonts w:ascii="Arial" w:cs="Arial" w:eastAsia="Arial" w:hAnsi="Arial"/>
                <w:sz w:val="18"/>
                <w:szCs w:val="18"/>
                <w:color w:val="auto"/>
              </w:rPr>
              <w:t>Exercised (2)</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24.94</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4"/>
        </w:trPr>
        <w:tc>
          <w:tcPr>
            <w:tcW w:w="488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310"/>
        </w:trPr>
        <w:tc>
          <w:tcPr>
            <w:tcW w:w="4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Cancelled or expired</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(956 )</w:t>
            </w:r>
          </w:p>
        </w:tc>
        <w:tc>
          <w:tcPr>
            <w:tcW w:w="240" w:type="dxa"/>
            <w:vAlign w:val="bottom"/>
            <w:shd w:val="clear" w:color="auto" w:fill="CFF0FC"/>
          </w:tcPr>
          <w:p>
            <w:pPr>
              <w:spacing w:after="0"/>
              <w:rPr>
                <w:sz w:val="24"/>
                <w:szCs w:val="2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44.36</w:t>
            </w:r>
          </w:p>
        </w:tc>
        <w:tc>
          <w:tcPr>
            <w:tcW w:w="260" w:type="dxa"/>
            <w:vAlign w:val="bottom"/>
            <w:shd w:val="clear" w:color="auto" w:fill="CFF0FC"/>
          </w:tcPr>
          <w:p>
            <w:pPr>
              <w:spacing w:after="0"/>
              <w:rPr>
                <w:sz w:val="24"/>
                <w:szCs w:val="24"/>
                <w:color w:val="auto"/>
              </w:rPr>
            </w:pPr>
          </w:p>
        </w:tc>
        <w:tc>
          <w:tcPr>
            <w:tcW w:w="13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81"/>
        </w:trPr>
        <w:tc>
          <w:tcPr>
            <w:tcW w:w="4880" w:type="dxa"/>
            <w:vAlign w:val="bottom"/>
            <w:tcBorders>
              <w:bottom w:val="single" w:sz="8" w:color="CFF0FC"/>
            </w:tcBorders>
            <w:shd w:val="clear" w:color="auto" w:fill="CFF0FC"/>
          </w:tcPr>
          <w:p>
            <w:pPr>
              <w:spacing w:after="0"/>
              <w:rPr>
                <w:sz w:val="7"/>
                <w:szCs w:val="7"/>
                <w:color w:val="auto"/>
              </w:rPr>
            </w:pPr>
          </w:p>
        </w:tc>
        <w:tc>
          <w:tcPr>
            <w:tcW w:w="1300" w:type="dxa"/>
            <w:vAlign w:val="bottom"/>
            <w:tcBorders>
              <w:bottom w:val="single" w:sz="8" w:color="auto"/>
            </w:tcBorders>
            <w:shd w:val="clear" w:color="auto" w:fill="CFF0FC"/>
          </w:tcPr>
          <w:p>
            <w:pPr>
              <w:spacing w:after="0"/>
              <w:rPr>
                <w:sz w:val="7"/>
                <w:szCs w:val="7"/>
                <w:color w:val="auto"/>
              </w:rPr>
            </w:pPr>
          </w:p>
        </w:tc>
        <w:tc>
          <w:tcPr>
            <w:tcW w:w="300" w:type="dxa"/>
            <w:vAlign w:val="bottom"/>
            <w:tcBorders>
              <w:bottom w:val="single" w:sz="8" w:color="CFF0FC"/>
            </w:tcBorders>
            <w:shd w:val="clear" w:color="auto" w:fill="CFF0FC"/>
          </w:tcPr>
          <w:p>
            <w:pPr>
              <w:spacing w:after="0"/>
              <w:rPr>
                <w:sz w:val="7"/>
                <w:szCs w:val="7"/>
                <w:color w:val="auto"/>
              </w:rPr>
            </w:pPr>
          </w:p>
        </w:tc>
        <w:tc>
          <w:tcPr>
            <w:tcW w:w="240" w:type="dxa"/>
            <w:vAlign w:val="bottom"/>
            <w:tcBorders>
              <w:bottom w:val="single" w:sz="8" w:color="CFF0FC"/>
            </w:tcBorders>
            <w:shd w:val="clear" w:color="auto" w:fill="CFF0FC"/>
          </w:tcPr>
          <w:p>
            <w:pPr>
              <w:spacing w:after="0"/>
              <w:rPr>
                <w:sz w:val="7"/>
                <w:szCs w:val="7"/>
                <w:color w:val="auto"/>
              </w:rPr>
            </w:pPr>
          </w:p>
        </w:tc>
        <w:tc>
          <w:tcPr>
            <w:tcW w:w="1100" w:type="dxa"/>
            <w:vAlign w:val="bottom"/>
            <w:tcBorders>
              <w:bottom w:val="single" w:sz="8" w:color="CFF0FC"/>
            </w:tcBorders>
            <w:shd w:val="clear" w:color="auto" w:fill="CFF0FC"/>
          </w:tcPr>
          <w:p>
            <w:pPr>
              <w:spacing w:after="0"/>
              <w:rPr>
                <w:sz w:val="7"/>
                <w:szCs w:val="7"/>
                <w:color w:val="auto"/>
              </w:rPr>
            </w:pPr>
          </w:p>
        </w:tc>
        <w:tc>
          <w:tcPr>
            <w:tcW w:w="1600" w:type="dxa"/>
            <w:vAlign w:val="bottom"/>
            <w:tcBorders>
              <w:bottom w:val="single" w:sz="8" w:color="CFF0FC"/>
            </w:tcBorders>
            <w:gridSpan w:val="2"/>
            <w:shd w:val="clear" w:color="auto" w:fill="CFF0FC"/>
          </w:tcPr>
          <w:p>
            <w:pPr>
              <w:spacing w:after="0"/>
              <w:rPr>
                <w:sz w:val="7"/>
                <w:szCs w:val="7"/>
                <w:color w:val="auto"/>
              </w:rPr>
            </w:pPr>
          </w:p>
        </w:tc>
        <w:tc>
          <w:tcPr>
            <w:tcW w:w="500" w:type="dxa"/>
            <w:vAlign w:val="bottom"/>
            <w:tcBorders>
              <w:bottom w:val="single" w:sz="8" w:color="CFF0FC"/>
            </w:tcBorders>
            <w:gridSpan w:val="2"/>
            <w:shd w:val="clear" w:color="auto" w:fill="CFF0FC"/>
          </w:tcPr>
          <w:p>
            <w:pPr>
              <w:spacing w:after="0"/>
              <w:rPr>
                <w:sz w:val="7"/>
                <w:szCs w:val="7"/>
                <w:color w:val="auto"/>
              </w:rPr>
            </w:pPr>
          </w:p>
        </w:tc>
        <w:tc>
          <w:tcPr>
            <w:tcW w:w="1220" w:type="dxa"/>
            <w:vAlign w:val="bottom"/>
            <w:tcBorders>
              <w:bottom w:val="single" w:sz="8" w:color="CFF0FC"/>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r>
      <w:tr>
        <w:trPr>
          <w:trHeight w:val="304"/>
        </w:trPr>
        <w:tc>
          <w:tcPr>
            <w:tcW w:w="4880" w:type="dxa"/>
            <w:vAlign w:val="bottom"/>
          </w:tcPr>
          <w:p>
            <w:pPr>
              <w:ind w:left="20"/>
              <w:spacing w:after="0"/>
              <w:rPr>
                <w:sz w:val="20"/>
                <w:szCs w:val="20"/>
                <w:color w:val="auto"/>
              </w:rPr>
            </w:pPr>
            <w:r>
              <w:rPr>
                <w:rFonts w:ascii="Arial" w:cs="Arial" w:eastAsia="Arial" w:hAnsi="Arial"/>
                <w:sz w:val="18"/>
                <w:szCs w:val="18"/>
                <w:color w:val="auto"/>
              </w:rPr>
              <w:t>Options outstanding at September 30, 2022</w:t>
            </w:r>
          </w:p>
        </w:tc>
        <w:tc>
          <w:tcPr>
            <w:tcW w:w="1300" w:type="dxa"/>
            <w:vAlign w:val="bottom"/>
          </w:tcPr>
          <w:p>
            <w:pPr>
              <w:jc w:val="right"/>
              <w:spacing w:after="0"/>
              <w:rPr>
                <w:sz w:val="20"/>
                <w:szCs w:val="20"/>
                <w:color w:val="auto"/>
              </w:rPr>
            </w:pPr>
            <w:r>
              <w:rPr>
                <w:rFonts w:ascii="Arial" w:cs="Arial" w:eastAsia="Arial" w:hAnsi="Arial"/>
                <w:sz w:val="18"/>
                <w:szCs w:val="18"/>
                <w:color w:val="auto"/>
              </w:rPr>
              <w:t>5,349</w:t>
            </w:r>
          </w:p>
        </w:tc>
        <w:tc>
          <w:tcPr>
            <w:tcW w:w="3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r>
      <w:tr>
        <w:trPr>
          <w:trHeight w:val="54"/>
        </w:trPr>
        <w:tc>
          <w:tcPr>
            <w:tcW w:w="48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0" w:type="dxa"/>
            <w:vAlign w:val="bottom"/>
            <w:gridSpan w:val="2"/>
          </w:tcPr>
          <w:p>
            <w:pPr>
              <w:spacing w:after="0"/>
              <w:rPr>
                <w:sz w:val="4"/>
                <w:szCs w:val="4"/>
                <w:color w:val="auto"/>
              </w:rPr>
            </w:pPr>
          </w:p>
        </w:tc>
        <w:tc>
          <w:tcPr>
            <w:tcW w:w="500" w:type="dxa"/>
            <w:vAlign w:val="bottom"/>
            <w:gridSpan w:val="2"/>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4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Exercisable as of September 30, 2022</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3,893</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49.28</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5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91"/>
        </w:trPr>
        <w:tc>
          <w:tcPr>
            <w:tcW w:w="48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Vested and expected to vest after September 30, 2022 (3)</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3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44.66</w:t>
            </w:r>
          </w:p>
        </w:tc>
        <w:tc>
          <w:tcPr>
            <w:tcW w:w="160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5.2</w:t>
            </w:r>
          </w:p>
        </w:tc>
        <w:tc>
          <w:tcPr>
            <w:tcW w:w="50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FF0FC"/>
            </w:tcBorders>
          </w:tcPr>
          <w:p>
            <w:pPr>
              <w:spacing w:after="0"/>
              <w:rPr>
                <w:sz w:val="24"/>
                <w:szCs w:val="24"/>
                <w:color w:val="auto"/>
              </w:rPr>
            </w:pPr>
          </w:p>
        </w:tc>
      </w:tr>
      <w:tr>
        <w:trPr>
          <w:trHeight w:val="54"/>
        </w:trPr>
        <w:tc>
          <w:tcPr>
            <w:tcW w:w="48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
        </w:trPr>
        <w:tc>
          <w:tcPr>
            <w:tcW w:w="4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-778510</wp:posOffset>
            </wp:positionV>
            <wp:extent cx="76835"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265430"/>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-281940</wp:posOffset>
            </wp:positionV>
            <wp:extent cx="76835" cy="2825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282575"/>
                    </a:xfrm>
                    <a:prstGeom prst="rect">
                      <a:avLst/>
                    </a:prstGeom>
                    <a:noFill/>
                  </pic:spPr>
                </pic:pic>
              </a:graphicData>
            </a:graphic>
          </wp:anchor>
        </w:drawing>
      </w:r>
    </w:p>
    <w:p>
      <w:pPr>
        <w:spacing w:after="0" w:line="69" w:lineRule="exact"/>
        <w:rPr>
          <w:sz w:val="20"/>
          <w:szCs w:val="20"/>
          <w:color w:val="auto"/>
        </w:rPr>
      </w:pPr>
    </w:p>
    <w:p>
      <w:pPr>
        <w:jc w:val="both"/>
        <w:ind w:left="1440" w:right="220" w:hanging="384"/>
        <w:spacing w:after="0" w:line="250" w:lineRule="auto"/>
        <w:tabs>
          <w:tab w:leader="none" w:pos="1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Inclusive of approximately 516,000 stock options awarded to Matt Goldberg, our CEO, during July 2022. The estimated grant-date fair value per option, using a Black-Scholes option pricing model was $9.23. These stock options shall vest over four years, with 25% vesting on July 1, 2023 and 6.25% of the remaining award vesting in equal quarterly installments commencing thereafter, subject to the CEO’s continuous employment with the Company. The estimated grant-date fair value of this award will be amortized on a straight-line basis over the requisite service period through July 1, 2026.</w:t>
      </w:r>
    </w:p>
    <w:p>
      <w:pPr>
        <w:spacing w:after="0" w:line="1" w:lineRule="exact"/>
        <w:rPr>
          <w:rFonts w:ascii="Arial" w:cs="Arial" w:eastAsia="Arial" w:hAnsi="Arial"/>
          <w:sz w:val="14"/>
          <w:szCs w:val="14"/>
          <w:color w:val="auto"/>
        </w:rPr>
      </w:pPr>
    </w:p>
    <w:p>
      <w:pPr>
        <w:ind w:left="1440" w:right="120" w:hanging="384"/>
        <w:spacing w:after="0" w:line="265" w:lineRule="auto"/>
        <w:tabs>
          <w:tab w:leader="none" w:pos="14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Inclusive of approximately 10,000 stock options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Stock and Annual Incentive Plan (the “2018 Plan”) and can be reissued by the Company. Total payments for the employees’ tax obligations to the taxing authorities due to net share settlements are reflected as a financing activity within the consolidated statements of cash flows.</w:t>
      </w:r>
    </w:p>
    <w:p>
      <w:pPr>
        <w:ind w:left="1440" w:right="100" w:hanging="384"/>
        <w:spacing w:after="0" w:line="254" w:lineRule="auto"/>
        <w:tabs>
          <w:tab w:leader="none" w:pos="14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1" w:lineRule="exact"/>
        <w:rPr>
          <w:sz w:val="20"/>
          <w:szCs w:val="20"/>
          <w:color w:val="auto"/>
        </w:rPr>
      </w:pPr>
    </w:p>
    <w:p>
      <w:pPr>
        <w:ind w:right="80" w:firstLine="509"/>
        <w:spacing w:after="0" w:line="277" w:lineRule="auto"/>
        <w:rPr>
          <w:sz w:val="20"/>
          <w:szCs w:val="20"/>
          <w:color w:val="auto"/>
        </w:rPr>
      </w:pPr>
      <w:r>
        <w:rPr>
          <w:rFonts w:ascii="Arial" w:cs="Arial" w:eastAsia="Arial" w:hAnsi="Arial"/>
          <w:sz w:val="17"/>
          <w:szCs w:val="17"/>
          <w:color w:val="auto"/>
        </w:rPr>
        <w:t>Aggregate intrinsic value represents the difference between the closing stock price of our common stock and the exercise price of outstanding, in-the-money options. Our closing stock price as reported on Nasdaq as of September 30, 2022 was $22.08. The total intrinsic value of stock options exercised for the nine months ended September 30, 2022 was not material, and for the nine months ended September 30, 2021 was $8 million.</w:t>
      </w:r>
    </w:p>
    <w:p>
      <w:pPr>
        <w:spacing w:after="0" w:line="159"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Nine months ended</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940" w:type="dxa"/>
            <w:vAlign w:val="bottom"/>
            <w:vMerge w:val="restart"/>
          </w:tcPr>
          <w:p>
            <w:pPr>
              <w:ind w:left="20"/>
              <w:spacing w:after="0"/>
              <w:rPr>
                <w:sz w:val="20"/>
                <w:szCs w:val="20"/>
                <w:color w:val="auto"/>
              </w:rPr>
            </w:pPr>
            <w:r>
              <w:rPr>
                <w:rFonts w:ascii="Arial" w:cs="Arial" w:eastAsia="Arial" w:hAnsi="Arial"/>
                <w:sz w:val="18"/>
                <w:szCs w:val="18"/>
                <w:color w:val="auto"/>
              </w:rPr>
              <w:t>Risk free interest rate</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4"/>
                <w:szCs w:val="14"/>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694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0.67</w:t>
            </w: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51.48 %</w:t>
            </w:r>
          </w:p>
        </w:tc>
        <w:tc>
          <w:tcPr>
            <w:tcW w:w="7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49.69 %</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dividend yield</w:t>
            </w:r>
          </w:p>
        </w:tc>
        <w:tc>
          <w:tcPr>
            <w:tcW w:w="1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Weighted-average grant date fair value</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9.47</w:t>
            </w:r>
          </w:p>
        </w:tc>
        <w:tc>
          <w:tcPr>
            <w:tcW w:w="22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6"/>
          <w:szCs w:val="16"/>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total fair value of stock options vested was $15 million and $19 million for the nine months ended September 30, 2022 and 2021, respectively.</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5"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2022 RSU Activity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restricted stock units (“RSUs”) activity, consisting primarily of service-based vesting terms, is presented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7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9"/>
              </w:rPr>
              <w:t>Grant-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05"/>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5760" w:type="dxa"/>
            <w:vAlign w:val="bottom"/>
          </w:tcPr>
          <w:p>
            <w:pPr>
              <w:spacing w:after="0"/>
              <w:rPr>
                <w:sz w:val="15"/>
                <w:szCs w:val="15"/>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RSUs</w:t>
            </w:r>
          </w:p>
        </w:tc>
        <w:tc>
          <w:tcPr>
            <w:tcW w:w="200" w:type="dxa"/>
            <w:vAlign w:val="bottom"/>
          </w:tcPr>
          <w:p>
            <w:pPr>
              <w:spacing w:after="0"/>
              <w:rPr>
                <w:sz w:val="15"/>
                <w:szCs w:val="15"/>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6"/>
              </w:rPr>
              <w:t>Date Fair</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center"/>
              <w:ind w:right="205"/>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576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Value Per Share</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2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69"/>
        </w:trPr>
        <w:tc>
          <w:tcPr>
            <w:tcW w:w="5760" w:type="dxa"/>
            <w:vAlign w:val="bottom"/>
          </w:tcPr>
          <w:p>
            <w:pPr>
              <w:spacing w:after="0"/>
              <w:rPr>
                <w:sz w:val="14"/>
                <w:szCs w:val="14"/>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RSUs outstanding as of December 31, 2021</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Granted (1)</w:t>
            </w:r>
          </w:p>
        </w:tc>
        <w:tc>
          <w:tcPr>
            <w:tcW w:w="1520" w:type="dxa"/>
            <w:vAlign w:val="bottom"/>
          </w:tcPr>
          <w:p>
            <w:pPr>
              <w:jc w:val="right"/>
              <w:spacing w:after="0"/>
              <w:rPr>
                <w:sz w:val="20"/>
                <w:szCs w:val="20"/>
                <w:color w:val="auto"/>
              </w:rPr>
            </w:pPr>
            <w:r>
              <w:rPr>
                <w:rFonts w:ascii="Arial" w:cs="Arial" w:eastAsia="Arial" w:hAnsi="Arial"/>
                <w:sz w:val="18"/>
                <w:szCs w:val="18"/>
                <w:color w:val="auto"/>
              </w:rPr>
              <w:t>6,412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released (2)</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(2,668 )</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6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860" w:type="dxa"/>
            <w:vAlign w:val="bottom"/>
            <w:gridSpan w:val="2"/>
          </w:tcPr>
          <w:p>
            <w:pPr>
              <w:jc w:val="right"/>
              <w:ind w:right="260"/>
              <w:spacing w:after="0"/>
              <w:rPr>
                <w:sz w:val="20"/>
                <w:szCs w:val="20"/>
                <w:color w:val="auto"/>
              </w:rPr>
            </w:pPr>
            <w:r>
              <w:rPr>
                <w:rFonts w:ascii="Arial" w:cs="Arial" w:eastAsia="Arial" w:hAnsi="Arial"/>
                <w:sz w:val="18"/>
                <w:szCs w:val="18"/>
                <w:color w:val="auto"/>
              </w:rPr>
              <w:t>(1,020 )</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RSUs outstanding as of September 30, 2022 (3)</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8,510</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5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4628515</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9" w:lineRule="exact"/>
        <w:rPr>
          <w:sz w:val="20"/>
          <w:szCs w:val="20"/>
          <w:color w:val="auto"/>
        </w:rPr>
      </w:pPr>
    </w:p>
    <w:p>
      <w:pPr>
        <w:ind w:left="1440" w:hanging="384"/>
        <w:spacing w:after="0" w:line="250" w:lineRule="auto"/>
        <w:tabs>
          <w:tab w:leader="none" w:pos="1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Inclusive of approximately 258,000 RSUs awarded to our CEO during July 2022. The estimated grant-date fair value per RSU, based on the quoted price of our common stock on the date of grant, was $18.47. This service-based RSU award shall vest over four years, with 25% vesting on July 1, 2023 and 6.25% of the remaining award vesting in equal quarterly installments commencing thereafter, subject to the CEO’s continuous employment with the Company. The estimated grant-date fair value of this award will be amortized on a straight-line basis over the requisite service period through July 1, 2026.</w:t>
      </w:r>
    </w:p>
    <w:p>
      <w:pPr>
        <w:spacing w:after="0" w:line="1" w:lineRule="exact"/>
        <w:rPr>
          <w:rFonts w:ascii="Arial" w:cs="Arial" w:eastAsia="Arial" w:hAnsi="Arial"/>
          <w:sz w:val="14"/>
          <w:szCs w:val="14"/>
          <w:color w:val="auto"/>
        </w:rPr>
      </w:pPr>
    </w:p>
    <w:p>
      <w:pPr>
        <w:ind w:left="1440" w:right="260" w:hanging="384"/>
        <w:spacing w:after="0" w:line="246" w:lineRule="auto"/>
        <w:tabs>
          <w:tab w:leader="none" w:pos="1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Inclusive of approximately 706,000 RSUs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consolidated statements of cash flows.</w:t>
      </w:r>
    </w:p>
    <w:p>
      <w:pPr>
        <w:ind w:left="1440" w:right="40" w:hanging="384"/>
        <w:spacing w:after="0" w:line="254" w:lineRule="auto"/>
        <w:tabs>
          <w:tab w:leader="none" w:pos="14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9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market-based RSUs (“MSUs”) activity is presented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left="343"/>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left="343"/>
              <w:spacing w:after="0"/>
              <w:rPr>
                <w:sz w:val="20"/>
                <w:szCs w:val="20"/>
                <w:color w:val="auto"/>
              </w:rPr>
            </w:pPr>
            <w:r>
              <w:rPr>
                <w:rFonts w:ascii="Arial" w:cs="Arial" w:eastAsia="Arial" w:hAnsi="Arial"/>
                <w:sz w:val="14"/>
                <w:szCs w:val="14"/>
                <w:b w:val="1"/>
                <w:bCs w:val="1"/>
                <w:color w:val="auto"/>
                <w:w w:val="99"/>
              </w:rPr>
              <w:t>Grant-</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5"/>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5"/>
                <w:szCs w:val="15"/>
                <w:color w:val="auto"/>
              </w:rPr>
            </w:pPr>
          </w:p>
        </w:tc>
      </w:tr>
      <w:tr>
        <w:trPr>
          <w:trHeight w:val="175"/>
        </w:trPr>
        <w:tc>
          <w:tcPr>
            <w:tcW w:w="5880" w:type="dxa"/>
            <w:vAlign w:val="bottom"/>
          </w:tcPr>
          <w:p>
            <w:pPr>
              <w:spacing w:after="0"/>
              <w:rPr>
                <w:sz w:val="15"/>
                <w:szCs w:val="15"/>
                <w:color w:val="auto"/>
              </w:rPr>
            </w:pPr>
          </w:p>
        </w:tc>
        <w:tc>
          <w:tcPr>
            <w:tcW w:w="1260" w:type="dxa"/>
            <w:vAlign w:val="bottom"/>
          </w:tcPr>
          <w:p>
            <w:pPr>
              <w:jc w:val="center"/>
              <w:ind w:left="248"/>
              <w:spacing w:after="0"/>
              <w:rPr>
                <w:sz w:val="20"/>
                <w:szCs w:val="20"/>
                <w:color w:val="auto"/>
              </w:rPr>
            </w:pPr>
            <w:r>
              <w:rPr>
                <w:rFonts w:ascii="Arial" w:cs="Arial" w:eastAsia="Arial" w:hAnsi="Arial"/>
                <w:sz w:val="14"/>
                <w:szCs w:val="14"/>
                <w:b w:val="1"/>
                <w:bCs w:val="1"/>
                <w:color w:val="auto"/>
                <w:w w:val="97"/>
              </w:rPr>
              <w:t>MSUs</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center"/>
              <w:ind w:left="343"/>
              <w:spacing w:after="0"/>
              <w:rPr>
                <w:sz w:val="20"/>
                <w:szCs w:val="20"/>
                <w:color w:val="auto"/>
              </w:rPr>
            </w:pPr>
            <w:r>
              <w:rPr>
                <w:rFonts w:ascii="Arial" w:cs="Arial" w:eastAsia="Arial" w:hAnsi="Arial"/>
                <w:sz w:val="14"/>
                <w:szCs w:val="14"/>
                <w:b w:val="1"/>
                <w:bCs w:val="1"/>
                <w:color w:val="auto"/>
                <w:w w:val="96"/>
              </w:rPr>
              <w:t>Date Fair</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center"/>
              <w:ind w:right="185"/>
              <w:spacing w:after="0"/>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5"/>
                <w:szCs w:val="15"/>
                <w:color w:val="auto"/>
              </w:rPr>
            </w:pPr>
          </w:p>
        </w:tc>
      </w:tr>
      <w:tr>
        <w:trPr>
          <w:trHeight w:val="185"/>
        </w:trPr>
        <w:tc>
          <w:tcPr>
            <w:tcW w:w="5880" w:type="dxa"/>
            <w:vAlign w:val="bottom"/>
          </w:tcPr>
          <w:p>
            <w:pPr>
              <w:spacing w:after="0"/>
              <w:rPr>
                <w:sz w:val="16"/>
                <w:szCs w:val="16"/>
                <w:color w:val="auto"/>
              </w:rPr>
            </w:pPr>
          </w:p>
        </w:tc>
        <w:tc>
          <w:tcPr>
            <w:tcW w:w="12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Outstanding</w:t>
            </w:r>
          </w:p>
        </w:tc>
        <w:tc>
          <w:tcPr>
            <w:tcW w:w="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Value Per Share</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0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r>
      <w:tr>
        <w:trPr>
          <w:trHeight w:val="154"/>
        </w:trPr>
        <w:tc>
          <w:tcPr>
            <w:tcW w:w="5880" w:type="dxa"/>
            <w:vAlign w:val="bottom"/>
          </w:tcPr>
          <w:p>
            <w:pPr>
              <w:spacing w:after="0"/>
              <w:rPr>
                <w:sz w:val="13"/>
                <w:szCs w:val="13"/>
                <w:color w:val="auto"/>
              </w:rPr>
            </w:pPr>
          </w:p>
        </w:tc>
        <w:tc>
          <w:tcPr>
            <w:tcW w:w="1260" w:type="dxa"/>
            <w:vAlign w:val="bottom"/>
          </w:tcPr>
          <w:p>
            <w:pPr>
              <w:jc w:val="center"/>
              <w:ind w:left="24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center"/>
              <w:ind w:right="20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3"/>
                <w:szCs w:val="13"/>
                <w:color w:val="auto"/>
              </w:rPr>
            </w:pPr>
          </w:p>
        </w:tc>
      </w:tr>
      <w:tr>
        <w:trPr>
          <w:trHeight w:val="230"/>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Unvested MSUs outstanding as of December 31, 2021</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120</w:t>
            </w:r>
          </w:p>
        </w:tc>
        <w:tc>
          <w:tcPr>
            <w:tcW w:w="320" w:type="dxa"/>
            <w:vAlign w:val="bottom"/>
          </w:tcPr>
          <w:p>
            <w:pPr>
              <w:spacing w:after="0"/>
              <w:rPr>
                <w:sz w:val="20"/>
                <w:szCs w:val="20"/>
                <w:color w:val="auto"/>
              </w:rPr>
            </w:pPr>
          </w:p>
        </w:tc>
        <w:tc>
          <w:tcPr>
            <w:tcW w:w="1040" w:type="dxa"/>
            <w:vAlign w:val="bottom"/>
          </w:tcPr>
          <w:p>
            <w:pPr>
              <w:jc w:val="right"/>
              <w:ind w:right="86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28.15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Granted (1)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432</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20"/>
              <w:spacing w:after="0"/>
              <w:rPr>
                <w:sz w:val="20"/>
                <w:szCs w:val="20"/>
                <w:color w:val="auto"/>
              </w:rPr>
            </w:pPr>
            <w:r>
              <w:rPr>
                <w:rFonts w:ascii="Arial" w:cs="Arial" w:eastAsia="Arial" w:hAnsi="Arial"/>
                <w:sz w:val="18"/>
                <w:szCs w:val="18"/>
                <w:color w:val="auto"/>
              </w:rPr>
              <w:t>Cancelled</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(35 )</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MSUs outstanding as of September 30, 2022 (2)</w:t>
            </w:r>
          </w:p>
        </w:tc>
        <w:tc>
          <w:tcPr>
            <w:tcW w:w="1260" w:type="dxa"/>
            <w:vAlign w:val="bottom"/>
            <w:tcBorders>
              <w:top w:val="single" w:sz="8" w:color="auto"/>
              <w:bottom w:val="single" w:sz="8" w:color="auto"/>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517</w:t>
            </w:r>
          </w:p>
        </w:tc>
        <w:tc>
          <w:tcPr>
            <w:tcW w:w="3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jc w:val="right"/>
              <w:ind w:right="86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12.36</w:t>
            </w:r>
          </w:p>
        </w:tc>
        <w:tc>
          <w:tcPr>
            <w:tcW w:w="5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-24765</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-7620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71" w:lineRule="exact"/>
        <w:rPr>
          <w:sz w:val="20"/>
          <w:szCs w:val="20"/>
          <w:color w:val="auto"/>
        </w:rPr>
      </w:pPr>
    </w:p>
    <w:p>
      <w:pPr>
        <w:ind w:left="1440" w:right="80" w:hanging="384"/>
        <w:spacing w:after="0" w:line="248" w:lineRule="auto"/>
        <w:tabs>
          <w:tab w:leader="none" w:pos="14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Inclusive of approximately 378,000 MSUs awarded to our CEO during July 2022. A Monte-Carlo simulation model, which simulated the present value of the potential outcomes of future stock prices was used to calculate the grant-date fair value of our MSU awards. These MSUs shall vest on July 1, 2025, with 25% vesting if our stock price is equal to or greater than $35.00 but less than $45.00, 50% if our stock price is equal to or greater than $45.00 but less than $55.00 and 100% if our stock price is equal to or greater than $55.00, subject to the CEO’s continuous employment with, or performance of services for, the Company. The estimated grant-date fair value of this award will be amortized on a straight-line basis over the requisite service period through July 1, 2026.</w:t>
      </w:r>
    </w:p>
    <w:p>
      <w:pPr>
        <w:spacing w:after="0" w:line="2" w:lineRule="exact"/>
        <w:rPr>
          <w:rFonts w:ascii="Arial" w:cs="Arial" w:eastAsia="Arial" w:hAnsi="Arial"/>
          <w:sz w:val="14"/>
          <w:szCs w:val="14"/>
          <w:color w:val="auto"/>
        </w:rPr>
      </w:pPr>
    </w:p>
    <w:p>
      <w:pPr>
        <w:ind w:left="1440" w:right="100" w:hanging="384"/>
        <w:spacing w:after="0" w:line="287" w:lineRule="auto"/>
        <w:tabs>
          <w:tab w:leader="none" w:pos="1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Approximately 85,000 outstanding MSUs provide for vesting based upon the Company’s total shareholder return, or TSR, performance over the period commencing January 1, 2020 through December 31, 2022 relative to the TSR performance of The Nasdaq Composite Total Return Index. Based upon actual attainment relative to the target performance metric, the grantees have the ability to receive up to 200% of the target number of MSUs originally granted, or to receive none at all.</w:t>
      </w:r>
    </w:p>
    <w:p>
      <w:pPr>
        <w:spacing w:after="0" w:line="171" w:lineRule="exact"/>
        <w:rPr>
          <w:sz w:val="20"/>
          <w:szCs w:val="20"/>
          <w:color w:val="auto"/>
        </w:rPr>
      </w:pPr>
    </w:p>
    <w:p>
      <w:pPr>
        <w:ind w:right="140" w:firstLine="539"/>
        <w:spacing w:after="0" w:line="245"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$4 million and $7 million during the three and nine months ended September 30, 2022, respectively, and $6 million and $20 million during the three and nine months ended September 30, 2021, respectively.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summary of our remaining unrecognized stock-based compensation expense and the weighted average remaining amortization period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related to our non-vested equity awards is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1440" w:type="dxa"/>
            <w:vAlign w:val="bottom"/>
          </w:tcPr>
          <w:p>
            <w:pPr>
              <w:jc w:val="center"/>
              <w:ind w:left="422"/>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900" w:type="dxa"/>
            <w:vAlign w:val="bottom"/>
            <w:vMerge w:val="restart"/>
          </w:tcPr>
          <w:p>
            <w:pPr>
              <w:ind w:left="20"/>
              <w:spacing w:after="0"/>
              <w:rPr>
                <w:sz w:val="20"/>
                <w:szCs w:val="20"/>
                <w:color w:val="auto"/>
              </w:rPr>
            </w:pPr>
            <w:r>
              <w:rPr>
                <w:rFonts w:ascii="Arial" w:cs="Arial" w:eastAsia="Arial" w:hAnsi="Arial"/>
                <w:sz w:val="18"/>
                <w:szCs w:val="18"/>
                <w:color w:val="auto"/>
              </w:rPr>
              <w:t>Unrecognized compensation expense (in millions)</w:t>
            </w:r>
          </w:p>
        </w:tc>
        <w:tc>
          <w:tcPr>
            <w:tcW w:w="1440" w:type="dxa"/>
            <w:vAlign w:val="bottom"/>
            <w:tcBorders>
              <w:bottom w:val="single" w:sz="8" w:color="auto"/>
            </w:tcBorders>
          </w:tcPr>
          <w:p>
            <w:pPr>
              <w:jc w:val="center"/>
              <w:ind w:left="402"/>
              <w:spacing w:after="0"/>
              <w:rPr>
                <w:sz w:val="20"/>
                <w:szCs w:val="20"/>
                <w:color w:val="auto"/>
              </w:rPr>
            </w:pPr>
            <w:r>
              <w:rPr>
                <w:rFonts w:ascii="Arial" w:cs="Arial" w:eastAsia="Arial" w:hAnsi="Arial"/>
                <w:sz w:val="14"/>
                <w:szCs w:val="14"/>
                <w:b w:val="1"/>
                <w:bCs w:val="1"/>
                <w:color w:val="auto"/>
                <w:w w:val="90"/>
              </w:rPr>
              <w:t>Options</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RSUs/MSUs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900" w:type="dxa"/>
            <w:vAlign w:val="bottom"/>
            <w:vMerge w:val="continue"/>
          </w:tcPr>
          <w:p>
            <w:pPr>
              <w:spacing w:after="0"/>
              <w:rPr>
                <w:sz w:val="18"/>
                <w:szCs w:val="18"/>
                <w:color w:val="auto"/>
              </w:rPr>
            </w:pPr>
          </w:p>
        </w:tc>
        <w:tc>
          <w:tcPr>
            <w:tcW w:w="1440" w:type="dxa"/>
            <w:vAlign w:val="bottom"/>
          </w:tcPr>
          <w:p>
            <w:pPr>
              <w:jc w:val="right"/>
              <w:ind w:right="1262"/>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period remaining (in years)</w:t>
            </w:r>
          </w:p>
        </w:tc>
        <w:tc>
          <w:tcPr>
            <w:tcW w:w="14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215" w:lineRule="exact"/>
        <w:rPr>
          <w:sz w:val="20"/>
          <w:szCs w:val="20"/>
          <w:color w:val="auto"/>
        </w:rPr>
      </w:pPr>
    </w:p>
    <w:p>
      <w:pPr>
        <w:ind w:right="100" w:firstLine="509"/>
        <w:spacing w:after="0" w:line="282" w:lineRule="auto"/>
        <w:rPr>
          <w:sz w:val="20"/>
          <w:szCs w:val="20"/>
          <w:color w:val="auto"/>
        </w:rPr>
      </w:pPr>
      <w:r>
        <w:rPr>
          <w:rFonts w:ascii="Arial" w:cs="Arial" w:eastAsia="Arial" w:hAnsi="Arial"/>
          <w:sz w:val="16"/>
          <w:szCs w:val="16"/>
          <w:color w:val="auto"/>
        </w:rPr>
        <w:t>On November 1, 2019, our Board of Directors authorized the repurchase of an additional $100 million in shares of our common stock under our existing share repurchase program, which increased the amount available to the Company under this share repurchase program to $250 million. This share repurchase program has no expiration date but may be suspended or terminated by our Board of Directors at any time. During the three and nine months ended September 30, 2022 and 2021, the Company did not repurchase any shares of outstanding common stock under the share repurchase program. As of September 30, 2022 and December 31, 2021, we had $75 million remaining available to repurchase shares of our common stock under this share repurchase program and 18,844,614 shares of the Company’s common stock held in treasury with an aggregate cost of $722 million.</w:t>
      </w:r>
    </w:p>
    <w:p>
      <w:pPr>
        <w:spacing w:after="0" w:line="159" w:lineRule="exact"/>
        <w:rPr>
          <w:sz w:val="20"/>
          <w:szCs w:val="20"/>
          <w:color w:val="auto"/>
        </w:rPr>
      </w:pPr>
    </w:p>
    <w:p>
      <w:pPr>
        <w:ind w:right="200" w:firstLine="509"/>
        <w:spacing w:after="0" w:line="245" w:lineRule="auto"/>
        <w:rPr>
          <w:sz w:val="20"/>
          <w:szCs w:val="20"/>
          <w:color w:val="auto"/>
        </w:rPr>
      </w:pPr>
      <w:r>
        <w:rPr>
          <w:rFonts w:ascii="Arial" w:cs="Arial" w:eastAsia="Arial" w:hAnsi="Arial"/>
          <w:sz w:val="18"/>
          <w:szCs w:val="18"/>
          <w:color w:val="auto"/>
        </w:rPr>
        <w:t xml:space="preserve">Our Board of Directors authorized and directed management, working with the Executive Committee of our Board of Directors, to affect the share repurchase program discussed above in compliance with applicable legal requirements. While the Board of Directors has not suspended or terminated the share repurchase program, the terms of the Credit Agreement currently limit the Company from engaging in share repurchases during the Leverage Covenant Holiday and the terms of our 2025 Indenture also impose certain limitations and restrictions on share repurchases. Refer to “Note 7: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the Credit Facility and 2025 Indenture.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07" w:lineRule="exact"/>
        <w:rPr>
          <w:sz w:val="20"/>
          <w:szCs w:val="20"/>
          <w:color w:val="auto"/>
        </w:rPr>
      </w:pPr>
    </w:p>
    <w:p>
      <w:pPr>
        <w:ind w:right="160" w:firstLine="544"/>
        <w:spacing w:after="0" w:line="268" w:lineRule="auto"/>
        <w:rPr>
          <w:sz w:val="20"/>
          <w:szCs w:val="20"/>
          <w:color w:val="auto"/>
        </w:rPr>
      </w:pPr>
      <w:r>
        <w:rPr>
          <w:rFonts w:ascii="Arial" w:cs="Arial" w:eastAsia="Arial" w:hAnsi="Arial"/>
          <w:sz w:val="17"/>
          <w:szCs w:val="17"/>
          <w:color w:val="auto"/>
        </w:rPr>
        <w:t>We compute basic earnings per share, or Basic EPS, by dividing net income (loss)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07"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 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162" w:lineRule="exact"/>
        <w:rPr>
          <w:sz w:val="20"/>
          <w:szCs w:val="20"/>
          <w:color w:val="auto"/>
        </w:rPr>
      </w:pPr>
    </w:p>
    <w:p>
      <w:pPr>
        <w:jc w:val="both"/>
        <w:ind w:right="100" w:firstLine="509"/>
        <w:spacing w:after="0" w:line="302"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1"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In periods of net income, shares of our common stock subject to the potential conversion of the 2026 Senior Notes outstanding during the period is also included in our weighted average number of shares outstanding used to calculate Diluted EPS using the if-converted method under GAAP, as share settlement is presumed.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color w:val="auto"/>
        </w:rPr>
        <w:t>conversion price up to the cap price. As of September 30, 2022 and 2021, the market price of a share of our common stock did not exceed the $107.36 cap price.</w:t>
      </w:r>
    </w:p>
    <w:p>
      <w:pPr>
        <w:spacing w:after="0" w:line="156"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176"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2"/>
              </w:rPr>
              <w:t>Three months ended September 30,</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8"/>
                <w:szCs w:val="18"/>
                <w:b w:val="1"/>
                <w:bCs w:val="1"/>
                <w:color w:val="auto"/>
                <w:w w:val="92"/>
              </w:rPr>
              <w:t>Numerator:</w:t>
            </w:r>
          </w:p>
        </w:tc>
        <w:tc>
          <w:tcPr>
            <w:tcW w:w="4740" w:type="dxa"/>
            <w:vAlign w:val="bottom"/>
            <w:tcBorders>
              <w:bottom w:val="single" w:sz="8" w:color="CFF0FC"/>
            </w:tcBorders>
            <w:gridSpan w:val="2"/>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(119 )</w:t>
            </w: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spacing w:after="0" w:line="176" w:lineRule="exact"/>
              <w:rPr>
                <w:sz w:val="20"/>
                <w:szCs w:val="20"/>
                <w:color w:val="auto"/>
              </w:rPr>
            </w:pPr>
            <w:r>
              <w:rPr>
                <w:rFonts w:ascii="Arial" w:cs="Arial" w:eastAsia="Arial" w:hAnsi="Arial"/>
                <w:sz w:val="18"/>
                <w:szCs w:val="18"/>
                <w:b w:val="1"/>
                <w:bCs w:val="1"/>
                <w:color w:val="auto"/>
                <w:w w:val="90"/>
              </w:rPr>
              <w:t>Denominator:</w:t>
            </w:r>
          </w:p>
        </w:tc>
        <w:tc>
          <w:tcPr>
            <w:tcW w:w="45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ind w:left="180"/>
              <w:spacing w:after="0"/>
              <w:rPr>
                <w:sz w:val="20"/>
                <w:szCs w:val="20"/>
                <w:color w:val="auto"/>
              </w:rPr>
            </w:pPr>
            <w:r>
              <w:rPr>
                <w:rFonts w:ascii="Arial" w:cs="Arial" w:eastAsia="Arial" w:hAnsi="Arial"/>
                <w:sz w:val="18"/>
                <w:szCs w:val="18"/>
                <w:color w:val="auto"/>
              </w:rPr>
              <w:t>Weighted average shares used to compute Basic EPS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140,219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136,870</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566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Weighted average effect of dilutive securities: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60" w:type="dxa"/>
            <w:vAlign w:val="bottom"/>
            <w:gridSpan w:val="3"/>
          </w:tcPr>
          <w:p>
            <w:pPr>
              <w:ind w:left="360"/>
              <w:spacing w:after="0"/>
              <w:rPr>
                <w:sz w:val="20"/>
                <w:szCs w:val="20"/>
                <w:color w:val="auto"/>
              </w:rPr>
            </w:pPr>
            <w:r>
              <w:rPr>
                <w:rFonts w:ascii="Arial" w:cs="Arial" w:eastAsia="Arial" w:hAnsi="Arial"/>
                <w:sz w:val="18"/>
                <w:szCs w:val="18"/>
                <w:color w:val="auto"/>
              </w:rPr>
              <w:t>Stock options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shd w:val="clear" w:color="auto" w:fill="CFF0FC"/>
          </w:tcPr>
          <w:p>
            <w:pPr>
              <w:spacing w:after="0"/>
              <w:rPr>
                <w:sz w:val="18"/>
                <w:szCs w:val="18"/>
                <w:color w:val="auto"/>
              </w:rPr>
            </w:pPr>
          </w:p>
        </w:tc>
        <w:tc>
          <w:tcPr>
            <w:tcW w:w="5660" w:type="dxa"/>
            <w:vAlign w:val="bottom"/>
            <w:gridSpan w:val="3"/>
            <w:shd w:val="clear" w:color="auto" w:fill="CFF0FC"/>
          </w:tcPr>
          <w:p>
            <w:pPr>
              <w:ind w:left="360"/>
              <w:spacing w:after="0"/>
              <w:rPr>
                <w:sz w:val="20"/>
                <w:szCs w:val="20"/>
                <w:color w:val="auto"/>
              </w:rPr>
            </w:pPr>
            <w:r>
              <w:rPr>
                <w:rFonts w:ascii="Arial" w:cs="Arial" w:eastAsia="Arial" w:hAnsi="Arial"/>
                <w:sz w:val="18"/>
                <w:szCs w:val="18"/>
                <w:color w:val="auto"/>
              </w:rPr>
              <w:t>RSUs/MSUs</w:t>
            </w: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660" w:type="dxa"/>
            <w:vAlign w:val="bottom"/>
            <w:gridSpan w:val="3"/>
          </w:tcPr>
          <w:p>
            <w:pPr>
              <w:ind w:left="360"/>
              <w:spacing w:after="0"/>
              <w:rPr>
                <w:sz w:val="20"/>
                <w:szCs w:val="20"/>
                <w:color w:val="auto"/>
              </w:rPr>
            </w:pPr>
            <w:r>
              <w:rPr>
                <w:rFonts w:ascii="Arial" w:cs="Arial" w:eastAsia="Arial" w:hAnsi="Arial"/>
                <w:sz w:val="18"/>
                <w:szCs w:val="18"/>
                <w:color w:val="auto"/>
              </w:rPr>
              <w:t>2026 Senior Notes (Note 7)</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4,674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3,116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566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Weighted average shares used to compute Diluted EPS</w:t>
            </w: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145,748</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144,485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143,993</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136,870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660" w:type="dxa"/>
            <w:vAlign w:val="bottom"/>
            <w:gridSpan w:val="3"/>
          </w:tcPr>
          <w:p>
            <w:pPr>
              <w:spacing w:after="0" w:line="196" w:lineRule="exact"/>
              <w:rPr>
                <w:sz w:val="20"/>
                <w:szCs w:val="20"/>
                <w:color w:val="auto"/>
              </w:rPr>
            </w:pPr>
            <w:r>
              <w:rPr>
                <w:rFonts w:ascii="Arial" w:cs="Arial" w:eastAsia="Arial" w:hAnsi="Arial"/>
                <w:sz w:val="18"/>
                <w:szCs w:val="18"/>
                <w:color w:val="auto"/>
              </w:rPr>
              <w:t>Basic EPS</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5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0.01</w:t>
            </w:r>
          </w:p>
        </w:tc>
        <w:tc>
          <w:tcPr>
            <w:tcW w:w="4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0.16</w:t>
            </w:r>
          </w:p>
        </w:tc>
        <w:tc>
          <w:tcPr>
            <w:tcW w:w="5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(0.87 )</w:t>
            </w:r>
          </w:p>
        </w:tc>
      </w:tr>
      <w:tr>
        <w:trPr>
          <w:trHeight w:val="216"/>
        </w:trPr>
        <w:tc>
          <w:tcPr>
            <w:tcW w:w="20" w:type="dxa"/>
            <w:vAlign w:val="bottom"/>
            <w:shd w:val="clear" w:color="auto" w:fill="CFF0FC"/>
          </w:tcPr>
          <w:p>
            <w:pPr>
              <w:spacing w:after="0"/>
              <w:rPr>
                <w:sz w:val="18"/>
                <w:szCs w:val="18"/>
                <w:color w:val="auto"/>
              </w:rPr>
            </w:pPr>
          </w:p>
        </w:tc>
        <w:tc>
          <w:tcPr>
            <w:tcW w:w="56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EPS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-299085</wp:posOffset>
            </wp:positionV>
            <wp:extent cx="2816860" cy="162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16860" cy="162560"/>
                    </a:xfrm>
                    <a:prstGeom prst="rect">
                      <a:avLst/>
                    </a:prstGeom>
                    <a:noFill/>
                  </pic:spPr>
                </pic:pic>
              </a:graphicData>
            </a:graphic>
          </wp:anchor>
        </w:drawing>
      </w:r>
    </w:p>
    <w:p>
      <w:pPr>
        <w:spacing w:after="0" w:line="65" w:lineRule="exact"/>
        <w:rPr>
          <w:sz w:val="20"/>
          <w:szCs w:val="20"/>
          <w:color w:val="auto"/>
        </w:rPr>
      </w:pPr>
    </w:p>
    <w:p>
      <w:pPr>
        <w:ind w:left="840" w:right="280" w:hanging="383"/>
        <w:spacing w:after="0" w:line="257" w:lineRule="auto"/>
        <w:tabs>
          <w:tab w:leader="none" w:pos="8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Interest expense, net of taxes, related to the 2026 Senior Notes which was included in the Diluted EPS calculation for the three months ended September 30, 2022 and 2021, and for the nine months ended September 30, 2022, respectively, was not material.</w:t>
      </w:r>
    </w:p>
    <w:p>
      <w:pPr>
        <w:spacing w:after="0" w:line="18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6"/>
          <w:szCs w:val="16"/>
          <w:color w:val="auto"/>
        </w:rPr>
        <w:t>Potential common shares, consisting of outstanding stock options, RSUs, MSUs, and those shares issuable under the 2026 Senior Notes, totaling approximately 11.8 million shares and 14.1 million shares for the three and nine months ended September 30, 2022, respectively, and approximately 6.8 million shares and 16.9 million shares for the three and nine months ended September 30, 2021, respectively, have been excluded from the calculation of Diluted EPS because their effect would have been antidilutive. In addition, potential common shares from certain performance-based awards of approximately 0.5 million shares and 0.2 million shares for the three and nine months ended September 30, 2022, respectively, and approximately 0.2 million shares for both the three and nine months ended September 30, 2021, respectively, for which all targets required to trigger vesting had not been achieved, were also excluded from the calculation of weighted average shares used to compute Diluted EPS.</w:t>
      </w:r>
    </w:p>
    <w:p>
      <w:pPr>
        <w:spacing w:after="0" w:line="175" w:lineRule="exact"/>
        <w:rPr>
          <w:sz w:val="20"/>
          <w:szCs w:val="20"/>
          <w:color w:val="auto"/>
        </w:rPr>
      </w:pPr>
    </w:p>
    <w:p>
      <w:pPr>
        <w:ind w:right="100" w:firstLine="509"/>
        <w:spacing w:after="0" w:line="216" w:lineRule="exact"/>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and MSUs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Arial" w:cs="Arial" w:eastAsia="Arial" w:hAnsi="Arial"/>
          <w:sz w:val="18"/>
          <w:szCs w:val="18"/>
          <w:color w:val="auto"/>
        </w:rPr>
        <w:t>class method of determining earnings per share.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21"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 xml:space="preserve">In the second quarter of 2022, we revised our segment reporting structure. We now measure our business within three operating segments, which are also our reportable segments: (1) Tripadvisor Core; (2) Viator; and (3) TheFork. Our Tripadvisor Core segment includes the following revenue sources: (1) Tripadvisor-branded hotels – consisting of hotel auction (or hotel meta) revenue, primarily click-based advertising revenue, and hotel B2B revenue, which includes primarily subscription-based advertising and hotel sponsored placements revenue; (2) Tripadvisor-branded display and platform revenue – consisting primarily of display-based advertising revenue;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service offerings; and (4) Other revenue – consisting of cruises, rentals, flights, and cars revenue. The nature of the services provided and related revenue recognition policies are summarized by reportable segment in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All prior period segment disclosure information has been reclassified to conform to the current reporting structure in this Form 10-Q. These reclassifications had no effect on our unaudited condensed consolidated financial statements in any period. Our segment profit measure (Adjusted EBITDA), including its definition, and other information provided to our CODM remain consistent with prior periods, except for certain segment expense allocations, which are described below.</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8" w:name="page29"/>
    <w:bookmarkEnd w:id="28"/>
    <w:p>
      <w:pPr>
        <w:ind w:right="40" w:firstLine="509"/>
        <w:spacing w:after="0" w:line="282" w:lineRule="auto"/>
        <w:rPr>
          <w:sz w:val="20"/>
          <w:szCs w:val="20"/>
          <w:color w:val="auto"/>
        </w:rPr>
      </w:pPr>
      <w:r>
        <w:rPr>
          <w:rFonts w:ascii="Arial" w:cs="Arial" w:eastAsia="Arial" w:hAnsi="Arial"/>
          <w:sz w:val="16"/>
          <w:szCs w:val="16"/>
          <w:color w:val="auto"/>
        </w:rPr>
        <w:t>Our operating segments are determined based on how our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non-recurring expenses and income.</w:t>
      </w:r>
    </w:p>
    <w:p>
      <w:pPr>
        <w:spacing w:after="0" w:line="159"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viewed by our CODM. We include these expenses in our Tripadvisor Core segment. Our allocation methodology is periodically evaluated and may change.</w:t>
      </w:r>
    </w:p>
    <w:p>
      <w:pPr>
        <w:spacing w:after="0" w:line="183" w:lineRule="exact"/>
        <w:rPr>
          <w:sz w:val="20"/>
          <w:szCs w:val="20"/>
          <w:color w:val="auto"/>
        </w:rPr>
      </w:pPr>
    </w:p>
    <w:p>
      <w:pPr>
        <w:ind w:right="100" w:firstLine="509"/>
        <w:spacing w:after="0" w:line="282" w:lineRule="auto"/>
        <w:rPr>
          <w:sz w:val="20"/>
          <w:szCs w:val="20"/>
          <w:color w:val="auto"/>
        </w:rPr>
      </w:pPr>
      <w:r>
        <w:rPr>
          <w:rFonts w:ascii="Arial" w:cs="Arial" w:eastAsia="Arial" w:hAnsi="Arial"/>
          <w:sz w:val="16"/>
          <w:szCs w:val="16"/>
          <w:color w:val="auto"/>
        </w:rPr>
        <w:t>The following tables present our reportable segment information for the three and nine months ended September 30, 2022 and 2021 and includes a reconciliation of Adjusted EBITDA to Net income (loss). We record depreciation and amortization and stock-based compensation and other stock-settled obligations, goodwill, intangible asset and other long-lived asset impairments, legal reserves and settlements, restructuring and other related reorganization costs, and other non-recurring expenses and income, net, which are excluded from segment operating performance, in Corporate and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159" w:lineRule="exact"/>
        <w:rPr>
          <w:sz w:val="20"/>
          <w:szCs w:val="20"/>
          <w:color w:val="auto"/>
        </w:rPr>
      </w:pPr>
    </w:p>
    <w:p>
      <w:pPr>
        <w:ind w:right="140" w:firstLine="509"/>
        <w:spacing w:after="0" w:line="289" w:lineRule="auto"/>
        <w:rPr>
          <w:sz w:val="20"/>
          <w:szCs w:val="20"/>
          <w:color w:val="auto"/>
        </w:rPr>
      </w:pPr>
      <w:r>
        <w:rPr>
          <w:rFonts w:ascii="Arial" w:cs="Arial" w:eastAsia="Arial" w:hAnsi="Arial"/>
          <w:sz w:val="16"/>
          <w:szCs w:val="16"/>
          <w:color w:val="auto"/>
        </w:rPr>
        <w:t>Our segment disclosure includes intersegment revenues, which consist of affiliate marketing fees for services provided by our Tripadvisor Core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Corporate and Eliminations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10"/>
          </w:tcPr>
          <w:p>
            <w:pPr>
              <w:jc w:val="right"/>
              <w:ind w:right="90"/>
              <w:spacing w:after="0"/>
              <w:rPr>
                <w:sz w:val="20"/>
                <w:szCs w:val="20"/>
                <w:color w:val="auto"/>
              </w:rPr>
            </w:pPr>
            <w:r>
              <w:rPr>
                <w:rFonts w:ascii="Arial" w:cs="Arial" w:eastAsia="Arial" w:hAnsi="Arial"/>
                <w:sz w:val="14"/>
                <w:szCs w:val="14"/>
                <w:b w:val="1"/>
                <w:bCs w:val="1"/>
                <w:color w:val="auto"/>
                <w:w w:val="98"/>
              </w:rPr>
              <w:t>Three months ended September 30, 2022</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rPr>
              <w:t>Tripadvisor Core</w:t>
            </w:r>
          </w:p>
        </w:tc>
        <w:tc>
          <w:tcPr>
            <w:tcW w:w="240" w:type="dxa"/>
            <w:vAlign w:val="bottom"/>
          </w:tcPr>
          <w:p>
            <w:pPr>
              <w:spacing w:after="0"/>
              <w:rPr>
                <w:sz w:val="11"/>
                <w:szCs w:val="11"/>
                <w:color w:val="auto"/>
              </w:rPr>
            </w:pPr>
          </w:p>
        </w:tc>
        <w:tc>
          <w:tcPr>
            <w:tcW w:w="110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rPr>
              <w:t>Viator (2)</w:t>
            </w:r>
          </w:p>
        </w:tc>
        <w:tc>
          <w:tcPr>
            <w:tcW w:w="200" w:type="dxa"/>
            <w:vAlign w:val="bottom"/>
          </w:tcPr>
          <w:p>
            <w:pPr>
              <w:spacing w:after="0"/>
              <w:rPr>
                <w:sz w:val="11"/>
                <w:szCs w:val="11"/>
                <w:color w:val="auto"/>
              </w:rPr>
            </w:pPr>
          </w:p>
        </w:tc>
        <w:tc>
          <w:tcPr>
            <w:tcW w:w="1340" w:type="dxa"/>
            <w:vAlign w:val="bottom"/>
            <w:gridSpan w:val="4"/>
            <w:vMerge w:val="restart"/>
          </w:tcPr>
          <w:p>
            <w:pPr>
              <w:jc w:val="right"/>
              <w:ind w:right="350"/>
              <w:spacing w:after="0"/>
              <w:rPr>
                <w:sz w:val="20"/>
                <w:szCs w:val="20"/>
                <w:color w:val="auto"/>
              </w:rPr>
            </w:pPr>
            <w:r>
              <w:rPr>
                <w:rFonts w:ascii="Arial" w:cs="Arial" w:eastAsia="Arial" w:hAnsi="Arial"/>
                <w:sz w:val="14"/>
                <w:szCs w:val="14"/>
                <w:b w:val="1"/>
                <w:bCs w:val="1"/>
                <w:color w:val="auto"/>
              </w:rPr>
              <w:t>TheFork (3)</w:t>
            </w:r>
          </w:p>
        </w:tc>
        <w:tc>
          <w:tcPr>
            <w:tcW w:w="140" w:type="dxa"/>
            <w:vAlign w:val="bottom"/>
          </w:tcPr>
          <w:p>
            <w:pPr>
              <w:spacing w:after="0"/>
              <w:rPr>
                <w:sz w:val="11"/>
                <w:szCs w:val="11"/>
                <w:color w:val="auto"/>
              </w:rPr>
            </w:pPr>
          </w:p>
        </w:tc>
        <w:tc>
          <w:tcPr>
            <w:tcW w:w="1060" w:type="dxa"/>
            <w:vAlign w:val="bottom"/>
            <w:gridSpan w:val="2"/>
          </w:tcPr>
          <w:p>
            <w:pPr>
              <w:jc w:val="right"/>
              <w:ind w:right="121"/>
              <w:spacing w:after="0" w:line="133" w:lineRule="exact"/>
              <w:rPr>
                <w:sz w:val="20"/>
                <w:szCs w:val="20"/>
                <w:color w:val="auto"/>
              </w:rPr>
            </w:pPr>
            <w:r>
              <w:rPr>
                <w:rFonts w:ascii="Arial" w:cs="Arial" w:eastAsia="Arial" w:hAnsi="Arial"/>
                <w:sz w:val="14"/>
                <w:szCs w:val="14"/>
                <w:b w:val="1"/>
                <w:bCs w:val="1"/>
                <w:color w:val="auto"/>
              </w:rPr>
              <w:t>Corporate &amp;</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8"/>
              </w:rPr>
              <w:t>Eliminations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76"/>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3"/>
          </w:tcPr>
          <w:p>
            <w:pPr>
              <w:jc w:val="right"/>
              <w:ind w:right="21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(34 )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right"/>
              <w:ind w:right="4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35</w:t>
            </w: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3"/>
          </w:tcPr>
          <w:p>
            <w:pPr>
              <w:jc w:val="right"/>
              <w:ind w:right="130"/>
              <w:spacing w:after="0" w:line="196" w:lineRule="exact"/>
              <w:rPr>
                <w:sz w:val="20"/>
                <w:szCs w:val="20"/>
                <w:color w:val="auto"/>
              </w:rPr>
            </w:pPr>
            <w:r>
              <w:rPr>
                <w:rFonts w:ascii="Arial" w:cs="Arial" w:eastAsia="Arial" w:hAnsi="Arial"/>
                <w:sz w:val="18"/>
                <w:szCs w:val="18"/>
                <w:color w:val="auto"/>
                <w:w w:val="96"/>
              </w:rPr>
              <w:t>(9 )</w:t>
            </w:r>
          </w:p>
        </w:tc>
        <w:tc>
          <w:tcPr>
            <w:tcW w:w="140" w:type="dxa"/>
            <w:vAlign w:val="bottom"/>
          </w:tcPr>
          <w:p>
            <w:pPr>
              <w:spacing w:after="0"/>
              <w:rPr>
                <w:sz w:val="17"/>
                <w:szCs w:val="17"/>
                <w:color w:val="auto"/>
              </w:rPr>
            </w:pPr>
          </w:p>
        </w:tc>
        <w:tc>
          <w:tcPr>
            <w:tcW w:w="1180" w:type="dxa"/>
            <w:vAlign w:val="bottom"/>
            <w:gridSpan w:val="3"/>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(23 )</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4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Three months ended September 30, 2021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220" w:type="dxa"/>
            <w:vAlign w:val="bottom"/>
            <w:gridSpan w:val="3"/>
          </w:tcPr>
          <w:p>
            <w:pPr>
              <w:jc w:val="right"/>
              <w:ind w:right="19"/>
              <w:spacing w:after="0" w:line="133" w:lineRule="exact"/>
              <w:rPr>
                <w:sz w:val="20"/>
                <w:szCs w:val="20"/>
                <w:color w:val="auto"/>
              </w:rPr>
            </w:pPr>
            <w:r>
              <w:rPr>
                <w:rFonts w:ascii="Arial" w:cs="Arial" w:eastAsia="Arial" w:hAnsi="Arial"/>
                <w:sz w:val="14"/>
                <w:szCs w:val="14"/>
                <w:b w:val="1"/>
                <w:bCs w:val="1"/>
                <w:color w:val="auto"/>
                <w:w w:val="98"/>
              </w:rPr>
              <w:t>Tripadvisor Core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restart"/>
          </w:tcPr>
          <w:p>
            <w:pPr>
              <w:jc w:val="right"/>
              <w:ind w:right="176"/>
              <w:spacing w:after="0"/>
              <w:rPr>
                <w:sz w:val="20"/>
                <w:szCs w:val="20"/>
                <w:color w:val="auto"/>
              </w:rPr>
            </w:pPr>
            <w:r>
              <w:rPr>
                <w:rFonts w:ascii="Arial" w:cs="Arial" w:eastAsia="Arial" w:hAnsi="Arial"/>
                <w:sz w:val="14"/>
                <w:szCs w:val="14"/>
                <w:b w:val="1"/>
                <w:bCs w:val="1"/>
                <w:color w:val="auto"/>
              </w:rPr>
              <w:t>Viator (2)</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restart"/>
          </w:tcPr>
          <w:p>
            <w:pPr>
              <w:jc w:val="right"/>
              <w:ind w:right="139"/>
              <w:spacing w:after="0"/>
              <w:rPr>
                <w:sz w:val="20"/>
                <w:szCs w:val="20"/>
                <w:color w:val="auto"/>
              </w:rPr>
            </w:pPr>
            <w:r>
              <w:rPr>
                <w:rFonts w:ascii="Arial" w:cs="Arial" w:eastAsia="Arial" w:hAnsi="Arial"/>
                <w:sz w:val="14"/>
                <w:szCs w:val="14"/>
                <w:b w:val="1"/>
                <w:bCs w:val="1"/>
                <w:color w:val="auto"/>
              </w:rPr>
              <w:t>TheFork (3)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tcPr>
          <w:p>
            <w:pPr>
              <w:jc w:val="right"/>
              <w:ind w:right="173"/>
              <w:spacing w:after="0" w:line="133" w:lineRule="exact"/>
              <w:rPr>
                <w:sz w:val="20"/>
                <w:szCs w:val="20"/>
                <w:color w:val="auto"/>
              </w:rPr>
            </w:pPr>
            <w:r>
              <w:rPr>
                <w:rFonts w:ascii="Arial" w:cs="Arial" w:eastAsia="Arial" w:hAnsi="Arial"/>
                <w:sz w:val="14"/>
                <w:szCs w:val="14"/>
                <w:b w:val="1"/>
                <w:bCs w:val="1"/>
                <w:color w:val="auto"/>
              </w:rPr>
              <w:t>Corporate &amp;</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w w:val="96"/>
              </w:rPr>
              <w:t>Eliminations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460" w:type="dxa"/>
            <w:vAlign w:val="bottom"/>
            <w:gridSpan w:val="2"/>
            <w:shd w:val="clear" w:color="auto" w:fill="CFF0FC"/>
          </w:tcPr>
          <w:p>
            <w:pPr>
              <w:ind w:lef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4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5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32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bottom w:val="single" w:sz="8" w:color="auto"/>
            </w:tcBorders>
            <w:shd w:val="clear" w:color="auto" w:fill="CFF0FC"/>
          </w:tcPr>
          <w:p>
            <w:pPr>
              <w:spacing w:after="0"/>
              <w:rPr>
                <w:sz w:val="21"/>
                <w:szCs w:val="21"/>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50"/>
              <w:spacing w:after="0" w:line="196" w:lineRule="exact"/>
              <w:rPr>
                <w:sz w:val="20"/>
                <w:szCs w:val="20"/>
                <w:color w:val="auto"/>
              </w:rPr>
            </w:pPr>
            <w:r>
              <w:rPr>
                <w:rFonts w:ascii="Arial" w:cs="Arial" w:eastAsia="Arial" w:hAnsi="Arial"/>
                <w:sz w:val="18"/>
                <w:szCs w:val="18"/>
                <w:color w:val="auto"/>
              </w:rPr>
              <w:t>(2 )</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3"/>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0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99"/>
        </w:trPr>
        <w:tc>
          <w:tcPr>
            <w:tcW w:w="4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gridSpan w:val="3"/>
          </w:tcPr>
          <w:p>
            <w:pPr>
              <w:ind w:left="320"/>
              <w:spacing w:after="0"/>
              <w:rPr>
                <w:sz w:val="20"/>
                <w:szCs w:val="20"/>
                <w:color w:val="auto"/>
              </w:rPr>
            </w:pPr>
            <w:r>
              <w:rPr>
                <w:rFonts w:ascii="Arial" w:cs="Arial" w:eastAsia="Arial" w:hAnsi="Arial"/>
                <w:sz w:val="18"/>
                <w:szCs w:val="18"/>
                <w:color w:val="auto"/>
                <w:w w:val="89"/>
              </w:rPr>
              <w:t>29</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-3715385</wp:posOffset>
            </wp:positionV>
            <wp:extent cx="353631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3631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-2567940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3310255</wp:posOffset>
            </wp:positionH>
            <wp:positionV relativeFrom="paragraph">
              <wp:posOffset>-1515110</wp:posOffset>
            </wp:positionV>
            <wp:extent cx="382714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2714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right"/>
              <w:ind w:right="130"/>
              <w:spacing w:after="0"/>
              <w:rPr>
                <w:sz w:val="20"/>
                <w:szCs w:val="20"/>
                <w:color w:val="auto"/>
              </w:rPr>
            </w:pPr>
            <w:r>
              <w:rPr>
                <w:rFonts w:ascii="Arial" w:cs="Arial" w:eastAsia="Arial" w:hAnsi="Arial"/>
                <w:sz w:val="14"/>
                <w:szCs w:val="14"/>
                <w:b w:val="1"/>
                <w:bCs w:val="1"/>
                <w:color w:val="auto"/>
                <w:w w:val="90"/>
              </w:rPr>
              <w:t>Nine months ended September 30, 2022</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w w:val="94"/>
              </w:rPr>
              <w:t>Tripadvisor Core</w:t>
            </w:r>
          </w:p>
        </w:tc>
        <w:tc>
          <w:tcPr>
            <w:tcW w:w="300" w:type="dxa"/>
            <w:vAlign w:val="bottom"/>
          </w:tcPr>
          <w:p>
            <w:pPr>
              <w:spacing w:after="0"/>
              <w:rPr>
                <w:sz w:val="11"/>
                <w:szCs w:val="11"/>
                <w:color w:val="auto"/>
              </w:rPr>
            </w:pPr>
          </w:p>
        </w:tc>
        <w:tc>
          <w:tcPr>
            <w:tcW w:w="1140" w:type="dxa"/>
            <w:vAlign w:val="bottom"/>
            <w:gridSpan w:val="3"/>
            <w:vMerge w:val="restart"/>
          </w:tcPr>
          <w:p>
            <w:pPr>
              <w:jc w:val="right"/>
              <w:ind w:right="230"/>
              <w:spacing w:after="0"/>
              <w:rPr>
                <w:sz w:val="20"/>
                <w:szCs w:val="20"/>
                <w:color w:val="auto"/>
              </w:rPr>
            </w:pPr>
            <w:r>
              <w:rPr>
                <w:rFonts w:ascii="Arial" w:cs="Arial" w:eastAsia="Arial" w:hAnsi="Arial"/>
                <w:sz w:val="14"/>
                <w:szCs w:val="14"/>
                <w:b w:val="1"/>
                <w:bCs w:val="1"/>
                <w:color w:val="auto"/>
              </w:rPr>
              <w:t>Viator (2)</w:t>
            </w:r>
          </w:p>
        </w:tc>
        <w:tc>
          <w:tcPr>
            <w:tcW w:w="200" w:type="dxa"/>
            <w:vAlign w:val="bottom"/>
          </w:tcPr>
          <w:p>
            <w:pPr>
              <w:spacing w:after="0"/>
              <w:rPr>
                <w:sz w:val="11"/>
                <w:szCs w:val="11"/>
                <w:color w:val="auto"/>
              </w:rPr>
            </w:pPr>
          </w:p>
        </w:tc>
        <w:tc>
          <w:tcPr>
            <w:tcW w:w="1300" w:type="dxa"/>
            <w:vAlign w:val="bottom"/>
            <w:gridSpan w:val="3"/>
            <w:vMerge w:val="restart"/>
          </w:tcPr>
          <w:p>
            <w:pPr>
              <w:jc w:val="right"/>
              <w:ind w:right="330"/>
              <w:spacing w:after="0"/>
              <w:rPr>
                <w:sz w:val="20"/>
                <w:szCs w:val="20"/>
                <w:color w:val="auto"/>
              </w:rPr>
            </w:pPr>
            <w:r>
              <w:rPr>
                <w:rFonts w:ascii="Arial" w:cs="Arial" w:eastAsia="Arial" w:hAnsi="Arial"/>
                <w:sz w:val="14"/>
                <w:szCs w:val="14"/>
                <w:b w:val="1"/>
                <w:bCs w:val="1"/>
                <w:color w:val="auto"/>
              </w:rPr>
              <w:t>TheFork (3)</w:t>
            </w:r>
          </w:p>
        </w:tc>
        <w:tc>
          <w:tcPr>
            <w:tcW w:w="140" w:type="dxa"/>
            <w:vAlign w:val="bottom"/>
          </w:tcPr>
          <w:p>
            <w:pPr>
              <w:spacing w:after="0"/>
              <w:rPr>
                <w:sz w:val="11"/>
                <w:szCs w:val="11"/>
                <w:color w:val="auto"/>
              </w:rPr>
            </w:pPr>
          </w:p>
        </w:tc>
        <w:tc>
          <w:tcPr>
            <w:tcW w:w="1060" w:type="dxa"/>
            <w:vAlign w:val="bottom"/>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rPr>
              <w:t>Corporate &amp;</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center"/>
              <w:ind w:right="219"/>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980" w:type="dxa"/>
            <w:vAlign w:val="bottom"/>
            <w:gridSpan w:val="2"/>
            <w:shd w:val="clear" w:color="auto" w:fill="CFF0FC"/>
          </w:tcPr>
          <w:p>
            <w:pPr>
              <w:jc w:val="right"/>
              <w:ind w:right="4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93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FF0FC"/>
            </w:tcBorders>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(70 )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auto"/>
            </w:tcBorders>
            <w:shd w:val="clear" w:color="auto" w:fill="CFF0FC"/>
          </w:tcPr>
          <w:p>
            <w:pPr>
              <w:jc w:val="center"/>
              <w:ind w:right="45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left w:val="single" w:sz="8" w:color="CFF0FC"/>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93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tcBorders>
              <w:bottom w:val="single" w:sz="8" w:color="CFF0FC"/>
              <w:right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284</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(8 )</w:t>
            </w:r>
          </w:p>
        </w:tc>
        <w:tc>
          <w:tcPr>
            <w:tcW w:w="1500" w:type="dxa"/>
            <w:vAlign w:val="bottom"/>
            <w:gridSpan w:val="4"/>
          </w:tcPr>
          <w:p>
            <w:pPr>
              <w:jc w:val="right"/>
              <w:ind w:right="130"/>
              <w:spacing w:after="0" w:line="196" w:lineRule="exact"/>
              <w:rPr>
                <w:sz w:val="20"/>
                <w:szCs w:val="20"/>
                <w:color w:val="auto"/>
              </w:rPr>
            </w:pPr>
            <w:r>
              <w:rPr>
                <w:rFonts w:ascii="Arial" w:cs="Arial" w:eastAsia="Arial" w:hAnsi="Arial"/>
                <w:sz w:val="18"/>
                <w:szCs w:val="18"/>
                <w:color w:val="auto"/>
              </w:rPr>
              <w:t>(24 )</w:t>
            </w:r>
          </w:p>
        </w:tc>
        <w:tc>
          <w:tcPr>
            <w:tcW w:w="140" w:type="dxa"/>
            <w:vAlign w:val="bottom"/>
          </w:tcPr>
          <w:p>
            <w:pPr>
              <w:spacing w:after="0"/>
              <w:rPr>
                <w:sz w:val="17"/>
                <w:szCs w:val="17"/>
                <w:color w:val="auto"/>
              </w:rPr>
            </w:pPr>
          </w:p>
        </w:tc>
        <w:tc>
          <w:tcPr>
            <w:tcW w:w="1240" w:type="dxa"/>
            <w:vAlign w:val="bottom"/>
            <w:gridSpan w:val="3"/>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(73 )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Legal reserves and settlements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tcBorders>
              <w:right w:val="single" w:sz="8" w:color="CFF0FC"/>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9"/>
        </w:trPr>
        <w:tc>
          <w:tcPr>
            <w:tcW w:w="4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6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6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09"/>
        </w:trPr>
        <w:tc>
          <w:tcPr>
            <w:tcW w:w="4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6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6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9"/>
        </w:trPr>
        <w:tc>
          <w:tcPr>
            <w:tcW w:w="40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660" w:type="dxa"/>
            <w:vAlign w:val="bottom"/>
            <w:tcBorders>
              <w:top w:val="single" w:sz="8" w:color="CFF0FC"/>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6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78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6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4"/>
              </w:rPr>
              <w:t>Nine months ended September 30, 2021</w:t>
            </w: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220" w:type="dxa"/>
            <w:vAlign w:val="bottom"/>
            <w:gridSpan w:val="3"/>
          </w:tcPr>
          <w:p>
            <w:pPr>
              <w:jc w:val="right"/>
              <w:ind w:right="19"/>
              <w:spacing w:after="0" w:line="133" w:lineRule="exact"/>
              <w:rPr>
                <w:sz w:val="20"/>
                <w:szCs w:val="20"/>
                <w:color w:val="auto"/>
              </w:rPr>
            </w:pPr>
            <w:r>
              <w:rPr>
                <w:rFonts w:ascii="Arial" w:cs="Arial" w:eastAsia="Arial" w:hAnsi="Arial"/>
                <w:sz w:val="14"/>
                <w:szCs w:val="14"/>
                <w:b w:val="1"/>
                <w:bCs w:val="1"/>
                <w:color w:val="auto"/>
                <w:w w:val="98"/>
              </w:rPr>
              <w:t>Tripadvisor Core</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rPr>
              <w:t>Viator (2)</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19"/>
              <w:spacing w:after="0"/>
              <w:rPr>
                <w:sz w:val="20"/>
                <w:szCs w:val="20"/>
                <w:color w:val="auto"/>
              </w:rPr>
            </w:pPr>
            <w:r>
              <w:rPr>
                <w:rFonts w:ascii="Arial" w:cs="Arial" w:eastAsia="Arial" w:hAnsi="Arial"/>
                <w:sz w:val="14"/>
                <w:szCs w:val="14"/>
                <w:b w:val="1"/>
                <w:bCs w:val="1"/>
                <w:color w:val="auto"/>
                <w:w w:val="99"/>
              </w:rPr>
              <w:t>TheFork (3)</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tcPr>
          <w:p>
            <w:pPr>
              <w:jc w:val="right"/>
              <w:ind w:right="193"/>
              <w:spacing w:after="0" w:line="133" w:lineRule="exact"/>
              <w:rPr>
                <w:sz w:val="20"/>
                <w:szCs w:val="20"/>
                <w:color w:val="auto"/>
              </w:rPr>
            </w:pPr>
            <w:r>
              <w:rPr>
                <w:rFonts w:ascii="Arial" w:cs="Arial" w:eastAsia="Arial" w:hAnsi="Arial"/>
                <w:sz w:val="14"/>
                <w:szCs w:val="14"/>
                <w:b w:val="1"/>
                <w:bCs w:val="1"/>
                <w:color w:val="auto"/>
                <w:w w:val="98"/>
              </w:rPr>
              <w:t>Corporate &amp;</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0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79"/>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External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5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Intersegment revenue</w:t>
            </w:r>
          </w:p>
        </w:tc>
        <w:tc>
          <w:tcPr>
            <w:tcW w:w="3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(22 )</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503</w:t>
            </w:r>
          </w:p>
        </w:tc>
        <w:tc>
          <w:tcPr>
            <w:tcW w:w="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(22 )</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Adjusted EBITDA</w:t>
            </w:r>
          </w:p>
        </w:tc>
        <w:tc>
          <w:tcPr>
            <w:tcW w:w="3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128</w:t>
            </w: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left w:val="single" w:sz="8" w:color="CFF0FC"/>
            </w:tcBorders>
            <w:shd w:val="clear" w:color="auto" w:fill="CFF0FC"/>
          </w:tcPr>
          <w:p>
            <w:pPr>
              <w:spacing w:after="0"/>
              <w:rPr>
                <w:sz w:val="17"/>
                <w:szCs w:val="17"/>
                <w:color w:val="auto"/>
              </w:rPr>
            </w:pPr>
          </w:p>
        </w:tc>
        <w:tc>
          <w:tcPr>
            <w:tcW w:w="9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w:t>
            </w:r>
          </w:p>
        </w:tc>
        <w:tc>
          <w:tcPr>
            <w:tcW w:w="280" w:type="dxa"/>
            <w:vAlign w:val="bottom"/>
            <w:tcBorders>
              <w:right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right w:val="single" w:sz="8" w:color="CFF0FC"/>
            </w:tcBorders>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(85 )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(89 )</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16"/>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left w:val="single" w:sz="8" w:color="CFF0FC"/>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right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-3501390</wp:posOffset>
            </wp:positionV>
            <wp:extent cx="3536315" cy="162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53631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-2927985</wp:posOffset>
            </wp:positionV>
            <wp:extent cx="6858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-2645410</wp:posOffset>
            </wp:positionV>
            <wp:extent cx="6858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-1318260</wp:posOffset>
            </wp:positionV>
            <wp:extent cx="7683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-1318260</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-1318260</wp:posOffset>
            </wp:positionV>
            <wp:extent cx="6858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-1318260</wp:posOffset>
            </wp:positionV>
            <wp:extent cx="6858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-1318260</wp:posOffset>
            </wp:positionV>
            <wp:extent cx="6858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-735965</wp:posOffset>
            </wp:positionV>
            <wp:extent cx="6858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69" w:lineRule="exact"/>
        <w:rPr>
          <w:sz w:val="20"/>
          <w:szCs w:val="20"/>
          <w:color w:val="auto"/>
        </w:rPr>
      </w:pPr>
    </w:p>
    <w:p>
      <w:pPr>
        <w:ind w:left="840" w:right="20" w:hanging="383"/>
        <w:spacing w:after="0" w:line="250"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Corporate general and administrative personnel costs of $2 million and $4 million for the three and nine months ended September 30, 2022 and 2021, respectively, were allocated to the Viator and TheFork segments.</w:t>
      </w:r>
    </w:p>
    <w:p>
      <w:pPr>
        <w:ind w:left="840" w:right="480" w:hanging="383"/>
        <w:spacing w:after="0" w:line="251"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personnel costs from our Tripadvisor Core segment of $1 million and $2 million for the three and nine months ended September 30, 2022 and 2021, respectively.</w:t>
      </w:r>
    </w:p>
    <w:p>
      <w:pPr>
        <w:ind w:left="840" w:right="480" w:hanging="383"/>
        <w:spacing w:after="0" w:line="254" w:lineRule="auto"/>
        <w:tabs>
          <w:tab w:leader="none" w:pos="8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allocated corporate general and administrative personnel costs from our Tripadvisor Core segment of $1 million and $2 million for the three and nine months ended September 30, 2022 and 2021, respectively.</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Customer Concentrations</w:t>
      </w:r>
    </w:p>
    <w:p>
      <w:pPr>
        <w:spacing w:after="0" w:line="225" w:lineRule="exact"/>
        <w:rPr>
          <w:sz w:val="20"/>
          <w:szCs w:val="20"/>
          <w:color w:val="auto"/>
        </w:rPr>
      </w:pPr>
    </w:p>
    <w:p>
      <w:pPr>
        <w:ind w:right="500" w:firstLine="509"/>
        <w:spacing w:after="0" w:line="261"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Financial Instruments and Fair Value Measurements</w:t>
      </w:r>
      <w:r>
        <w:rPr>
          <w:rFonts w:ascii="Arial" w:cs="Arial" w:eastAsia="Arial" w:hAnsi="Arial"/>
          <w:sz w:val="18"/>
          <w:szCs w:val="18"/>
          <w:color w:val="auto"/>
        </w:rPr>
        <w:t>” under the section entitled “Risks and Concentrations” for information regarding our major customer concentrations.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Product Information</w:t>
      </w:r>
    </w:p>
    <w:p>
      <w:pPr>
        <w:spacing w:after="0" w:line="211"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auto"/>
        </w:rPr>
        <w:t xml:space="preserve">Revenue sources within our Tripadvisor Core segment, consisting of Tripadvisor-branded hotels revenue, Tripadvisor-branded display and platform revenue, Tripadvisor experiences and dining revenue, and other revenue, along with our Viator and TheFork segment revenue sources, comprise our products.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for our revenue by product.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w:t>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2021.</w:t>
      </w:r>
    </w:p>
    <w:p>
      <w:pPr>
        <w:spacing w:after="0" w:line="76" w:lineRule="exact"/>
        <w:rPr>
          <w:sz w:val="20"/>
          <w:szCs w:val="20"/>
          <w:color w:val="auto"/>
        </w:rPr>
      </w:pPr>
    </w:p>
    <w:p>
      <w:pPr>
        <w:ind w:right="100" w:firstLine="509"/>
        <w:spacing w:after="0" w:line="256"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Annual Report on Form 10-K for the year ended December 31, 2021, Part I, Item 1A,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Factors,</w:t>
      </w:r>
      <w:r>
        <w:rPr>
          <w:rFonts w:ascii="Arial" w:cs="Arial" w:eastAsia="Arial" w:hAnsi="Arial"/>
          <w:sz w:val="17"/>
          <w:szCs w:val="17"/>
          <w:color w:val="auto"/>
        </w:rPr>
        <w:t>” as well as those discussed elsewhere in this report. Other unknown or unpredictable factors also could have a material adverse effect on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Tripadvisor operates the world’s largest travel guidance platform, connecting a global audience of prospective travelers with travel partners through rich content, price comparison tools, and online reservation and related services for destinations, accommodations, travel activities and experiences, and restaurants. Our mission is to help people around the world plan, book and experience the perfect trip.</w:t>
      </w:r>
    </w:p>
    <w:p>
      <w:pPr>
        <w:spacing w:after="0" w:line="5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 2000, under our flagship brand Tripadvisor, we launched www.tripadvisor.com in the U.S. Since then, we have built a portfolio of travel guidance brands and businesses, seamlessly connecting travelers to destinations, accommodations, travel activities and experiences, and restaurants in over 40 markets and over 20 languages worldwide.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w:t>
      </w:r>
    </w:p>
    <w:p>
      <w:pPr>
        <w:spacing w:after="0" w:line="229"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Tripadvisor operates the world’s largest travel guidance platform, as measured by unique users de-duplicated monthly, according to SimilarWeb. As a result, Tripadvisor represents an attractive platform for travel partners – including hotel chains, independent hoteliers, OTAs, destination marketing organizations, experience operators, restaurants,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cruises, vacation rentals, flights, cars, tours, travel activities and other experiences, and restaurants; and book a number of these travel experiences either directly on our platform, or on our travel partners’ websites or mobile apps.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 xml:space="preserve">In the second quarter of 2022, as part of our continuous review of the business and in consultation with our CEO, who also serves as our CODM, we evaluated our operations and realigned the reportable segment information which our CODM regularly assesses to evaluate performance for operating decision-making purposes, including allocation of resources. The revised segment reporting structure includes the following reportable segments: (1) Tripadvisor Core; (2) Viator; and (3) TheFork. For further information, including the change in segments and principal revenue streams within these segments,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“Note 5: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and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our unaudited condensed consolidated financial statements in Item 1 in this Quarterly Report on Form 10-Q.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Our Long-Term Growth Strategy</w:t>
      </w:r>
    </w:p>
    <w:p>
      <w:pPr>
        <w:spacing w:after="0" w:line="117"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The global travel market (which excludes dining) is expected to reach $1.4 trillion of bookings in 2024, according to Phocuswright, an independent travel, tourism and hospitality research firm. Given we have the world’s largest travel audience, we believe that Tripadvisor’s influence in the travel ecosystem is significant. Our long-term growth strategy aims to increase consumer engagement on our platform and drive profitable growth through:</w:t>
      </w:r>
    </w:p>
    <w:p>
      <w:pPr>
        <w:spacing w:after="0" w:line="54" w:lineRule="exact"/>
        <w:rPr>
          <w:sz w:val="20"/>
          <w:szCs w:val="20"/>
          <w:color w:val="auto"/>
        </w:rPr>
      </w:pPr>
    </w:p>
    <w:p>
      <w:pPr>
        <w:ind w:left="1200" w:hanging="38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offering products that delight travelers by reducing friction throughout the travel planning and trip-taking journey;</w:t>
      </w:r>
    </w:p>
    <w:p>
      <w:pPr>
        <w:spacing w:after="0" w:line="103" w:lineRule="exact"/>
        <w:rPr>
          <w:rFonts w:ascii="Arial" w:cs="Arial" w:eastAsia="Arial" w:hAnsi="Arial"/>
          <w:sz w:val="18"/>
          <w:szCs w:val="18"/>
          <w:color w:val="auto"/>
        </w:rPr>
      </w:pPr>
    </w:p>
    <w:p>
      <w:pPr>
        <w:ind w:left="1200" w:right="60" w:hanging="383"/>
        <w:spacing w:after="0" w:line="290"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driving consumer loyalty to our platform through user experience and by offering products and services that increase engagement with our platform and result in membership growth, new and repeat bookings, mobile app engagement and repeat usage;</w:t>
      </w:r>
    </w:p>
    <w:p>
      <w:pPr>
        <w:spacing w:after="0" w:line="53" w:lineRule="exact"/>
        <w:rPr>
          <w:rFonts w:ascii="Arial" w:cs="Arial" w:eastAsia="Arial" w:hAnsi="Arial"/>
          <w:sz w:val="17"/>
          <w:szCs w:val="17"/>
          <w:color w:val="auto"/>
        </w:rPr>
      </w:pPr>
    </w:p>
    <w:p>
      <w:pPr>
        <w:ind w:left="1200" w:right="380" w:hanging="383"/>
        <w:spacing w:after="0" w:line="261"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driving traveler and diner engagement, bookings, and loyalty on our branded platforms by offering industry-leading choices for online bookable experiences and restaurants in top destinations worldwide;</w:t>
      </w:r>
    </w:p>
    <w:p>
      <w:pPr>
        <w:spacing w:after="0" w:line="62" w:lineRule="exact"/>
        <w:rPr>
          <w:rFonts w:ascii="Arial" w:cs="Arial" w:eastAsia="Arial" w:hAnsi="Arial"/>
          <w:sz w:val="18"/>
          <w:szCs w:val="18"/>
          <w:color w:val="auto"/>
        </w:rPr>
      </w:pPr>
    </w:p>
    <w:p>
      <w:pPr>
        <w:ind w:left="1200" w:hanging="383"/>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deepening travel partner engagement on our platform by expanding the number of products and services we offer; and</w:t>
      </w:r>
    </w:p>
    <w:p>
      <w:pPr>
        <w:spacing w:after="0" w:line="103" w:lineRule="exact"/>
        <w:rPr>
          <w:rFonts w:ascii="Arial" w:cs="Arial" w:eastAsia="Arial" w:hAnsi="Arial"/>
          <w:sz w:val="18"/>
          <w:szCs w:val="18"/>
          <w:color w:val="auto"/>
        </w:rPr>
      </w:pPr>
    </w:p>
    <w:p>
      <w:pPr>
        <w:ind w:left="1200" w:right="360" w:hanging="383"/>
        <w:spacing w:after="0" w:line="255" w:lineRule="auto"/>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leveraging our platform’s brand and scale and our unique attributes to expand and grow our offerings such as hotel and restaurant B2B solutions, direct-to-consumer products and services where consumers pay us on a per trip planned or an annual subscription basis and click-based and display-based media advertising.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enable our growth through investment in:</w:t>
      </w:r>
    </w:p>
    <w:p>
      <w:pPr>
        <w:spacing w:after="0" w:line="117" w:lineRule="exact"/>
        <w:rPr>
          <w:sz w:val="20"/>
          <w:szCs w:val="20"/>
          <w:color w:val="auto"/>
        </w:rPr>
      </w:pPr>
    </w:p>
    <w:p>
      <w:pPr>
        <w:ind w:left="1200" w:right="180" w:hanging="383"/>
        <w:spacing w:after="0" w:line="261"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organic investment in marketing and technology (e.g., machine learning) to further improve the experiences we can deliver to consumers and travel partners on our platform; and</w:t>
      </w:r>
    </w:p>
    <w:p>
      <w:pPr>
        <w:spacing w:after="0" w:line="62" w:lineRule="exact"/>
        <w:rPr>
          <w:rFonts w:ascii="Arial" w:cs="Arial" w:eastAsia="Arial" w:hAnsi="Arial"/>
          <w:sz w:val="18"/>
          <w:szCs w:val="18"/>
          <w:color w:val="auto"/>
        </w:rPr>
      </w:pPr>
    </w:p>
    <w:p>
      <w:pPr>
        <w:ind w:left="1200" w:hanging="383"/>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inorganically by opportunistically pursuing strategic acquisitions.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w:t>
      </w:r>
    </w:p>
    <w:p>
      <w:pPr>
        <w:spacing w:after="0" w:line="103"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The online travel industry in which we operate is large and also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segments. We describe below these dynamics, as well as the current trends affecting our overall business and reportable segments, key drivers of our financial results, and uncertainties that may impact our ability to execute on our objectives and strategies.</w:t>
      </w:r>
    </w:p>
    <w:p>
      <w:pPr>
        <w:spacing w:after="0" w:line="167"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auto"/>
        </w:rPr>
        <w:t>The COVID-19 pandemic caused significant negative impact on the travel, leisure, hospitality, and restaurant industries (collectively, the “travel industry”), and consequently adversely and materially affected our business, results of operations, liquidity and financial condition beginning in early 2020 and throughout that year. Although the pandemic continued to materially impact our business, these trends generally improved, although unevenly at times throughout 2021, with continued improvement being experienced during the first three quarters of 2022. The Company exceeded parity with pre-COVID-19 revenue levels during the third quarter of 2022 on a consolidated basis, given what we believe to be primarily increased consumer demand for travel industry related services, combined with the easing of government travel restrictions.</w:t>
      </w:r>
    </w:p>
    <w:p>
      <w:pPr>
        <w:spacing w:after="0" w:line="171"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Traffic trends on our platform, a leading indicator of consumer travel demand, have improved substantially since the trough of significant declines seen in March and April 2020. By means of showing a comparison to a pre-COVID-19 timeframe, average monthly unique users on Tripadvisor-branded websites during the third quarter of 2022 was approximately 82% of 2019’s comparable period, an increase from approximately 76% of 2019’s comparable period during the third quarter of 2021. Our consolidated revenue for the three and nine months ended September 30, 2022 was $459 million, an increase of 51%, and approximately $1.1 billion, an increase of 72%, respectively, when compared to the same periods in 2021, despite the impact of foreign currency fluctuations which we estimate negatively impacted consolidated revenue in the amount of $34 million and $62 million, respectively. In addition, by means of showing a comparison to a pre-COVID-19 timeframe, consolidated revenue for the third quarter of 2022 exceeded parity with 2019’s comparable period, an increase from approximately 71% of 2019’s comparable period during the third quarter of 2021.</w:t>
      </w:r>
    </w:p>
    <w:p>
      <w:pPr>
        <w:spacing w:after="0" w:line="175" w:lineRule="exact"/>
        <w:rPr>
          <w:sz w:val="20"/>
          <w:szCs w:val="20"/>
          <w:color w:val="auto"/>
        </w:rPr>
      </w:pPr>
    </w:p>
    <w:p>
      <w:pPr>
        <w:ind w:right="220" w:firstLine="509"/>
        <w:spacing w:after="0" w:line="241" w:lineRule="auto"/>
        <w:rPr>
          <w:sz w:val="20"/>
          <w:szCs w:val="20"/>
          <w:color w:val="auto"/>
        </w:rPr>
      </w:pPr>
      <w:r>
        <w:rPr>
          <w:rFonts w:ascii="Arial" w:cs="Arial" w:eastAsia="Arial" w:hAnsi="Arial"/>
          <w:sz w:val="18"/>
          <w:szCs w:val="18"/>
          <w:color w:val="auto"/>
        </w:rPr>
        <w:t>We continue to be subject to risks and uncertainties related to the COVID-19 pandemic. Continued widespread vaccine distributions, efficacy against existing variants (e.g., Delta, Omicron, and BA.5) and future variants, if any, of COVID-19, whether there will be resurgences of the virus and subsequent government restrictions, the extent and effectiveness of containment actions taken, and whether consumers' demand for travel and hospitality services continue to be or become negatively impacted remain uncertain. We continue to believe the travel industry, and our financial results, would be adversely and materially affected upon a resurgence of existing COVID-19 variants (e.g., Delta, Omicron, and BA.5) or if new variants emerge, which result in reinstated travel bans and/or other government restrictions and mandates, all of which negatively impact consumer demand, sentiment and discretionary spending patterns.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25"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 xml:space="preserve">Our Tripadvisor Core segment is comprised of: (1) Tripadvisor-branded hotels – consisting of hotel auction (or hotel meta) revenue, primarily click-based advertising revenue, in addition to hotel B2B revenue, which primarily consists of subscription-based advertising and hotel sponsored placements revenue; (2) Tripadvisor-branded display and platform revenue – which primarily consists of display-based advertising revenue; (3) Tripadvisor experiences and dining revenue – which consists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revenue generated from Tripadvisor restaurant service offerings (or B2B dining offerings); and (4) Other revenue – which consists of cruises, rentals, flights, and cars revenue. For further information on the principal revenue streams within this segment refer to “Note 3: </w:t>
      </w:r>
      <w:r>
        <w:rPr>
          <w:rFonts w:ascii="Arial" w:cs="Arial" w:eastAsia="Arial" w:hAnsi="Arial"/>
          <w:sz w:val="17"/>
          <w:szCs w:val="17"/>
          <w:i w:val="1"/>
          <w:iCs w:val="1"/>
          <w:color w:val="auto"/>
        </w:rPr>
        <w:t>Revenue Recognition</w:t>
      </w:r>
      <w:r>
        <w:rPr>
          <w:rFonts w:ascii="Arial" w:cs="Arial" w:eastAsia="Arial" w:hAnsi="Arial"/>
          <w:sz w:val="17"/>
          <w:szCs w:val="17"/>
          <w:color w:val="auto"/>
        </w:rPr>
        <w:t>” in the notes to our unaudited condensed consolidated financial statements in Item 1 in this Quarterly Report on Form 10-Q.</w:t>
      </w:r>
    </w:p>
    <w:p>
      <w:pPr>
        <w:spacing w:after="0" w:line="179"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Our overall strategic objective in our Tripadvisor Core segment is to drive revenue and profits while delivering compelling services to consumers and driving a holistic user experience, increased customer engagement and monetization, as well as offering travel partners a diverse set of advertising opportunities on the Tripadvisor platform.</w:t>
      </w:r>
    </w:p>
    <w:p>
      <w:pPr>
        <w:spacing w:after="0" w:line="176" w:lineRule="exact"/>
        <w:rPr>
          <w:sz w:val="20"/>
          <w:szCs w:val="20"/>
          <w:color w:val="auto"/>
        </w:rPr>
      </w:pPr>
    </w:p>
    <w:p>
      <w:pPr>
        <w:ind w:right="140" w:firstLine="509"/>
        <w:spacing w:after="0" w:line="267" w:lineRule="auto"/>
        <w:rPr>
          <w:sz w:val="20"/>
          <w:szCs w:val="20"/>
          <w:color w:val="auto"/>
        </w:rPr>
      </w:pPr>
      <w:r>
        <w:rPr>
          <w:rFonts w:ascii="Arial" w:cs="Arial" w:eastAsia="Arial" w:hAnsi="Arial"/>
          <w:sz w:val="17"/>
          <w:szCs w:val="17"/>
          <w:color w:val="auto"/>
        </w:rPr>
        <w:t>For consumers, we test and implement product enhancements that deliver a more engaging and comprehensive hotel shopping experience. This includes providing rich, immersive content – reviews, photos, videos and ratings, among other contributions, increasing the number of travel partners and properties as well as the available hotel supply on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w:t>
      </w:r>
    </w:p>
    <w:p>
      <w:pPr>
        <w:spacing w:after="0" w:line="16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auto"/>
        </w:rPr>
        <w:t>We seek to monetize our influence through hotel-related product improvements, supply and marketing efforts and customer advertising opportunities. Historically, we have generated a significant amount of hotel shoppers from search engines, such as Google. A hotel shopper is a visitor to our platform that views either a listing of hotels in a city or a specific hotel page. Our key ongoing objective related to traffic acquisition is to attract or acquire hotel shoppers at or above our desired marketing return on investment targets. Over the long-term, we are focused on driving a greater percentage of our traffic from direct traffic sources rather than search engines, which comes with little to no traffic acquisition costs.</w:t>
      </w:r>
    </w:p>
    <w:p>
      <w:pPr>
        <w:spacing w:after="0" w:line="18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As noted in the discussion above regarding COVID-19, easing of travel restrictions across the world and an increase in consumer travel demand drove improved financial results during the first nine months of 2022, as Tripadvisor Core revenue increased by 34% and 49% during the three and nine months ended September 30, 2022, respectively, when compared to the same periods in 2021, despite the significant impact from the Omicron variant in the month of January 2022, as travel demand and revenue rebounded significantly during the first three quarters of 2022. By means of showing a comparison to a pre-COVID-19 timeframe, during the three months ended September 30, 2022, Tripadvisor Core revenue reached approximately 88% of 2019’s comparable period, an increase from approximately 66% of 2019’s comparable period during the third quarter of 2021, while during the nine months ended September 30, 2022, Tripadvisor Core revenue reached approximately 77% of 2019’s comparable period, an increase from approximately 52% of 2019’s comparable period during the nine months ended September 30, 2021.</w:t>
      </w:r>
    </w:p>
    <w:p>
      <w:pPr>
        <w:spacing w:after="0" w:line="173" w:lineRule="exact"/>
        <w:rPr>
          <w:sz w:val="20"/>
          <w:szCs w:val="20"/>
          <w:color w:val="auto"/>
        </w:rPr>
      </w:pPr>
    </w:p>
    <w:p>
      <w:pPr>
        <w:ind w:right="100" w:firstLine="509"/>
        <w:spacing w:after="0" w:line="277" w:lineRule="auto"/>
        <w:rPr>
          <w:sz w:val="20"/>
          <w:szCs w:val="20"/>
          <w:color w:val="auto"/>
        </w:rPr>
      </w:pPr>
      <w:r>
        <w:rPr>
          <w:rFonts w:ascii="Arial" w:cs="Arial" w:eastAsia="Arial" w:hAnsi="Arial"/>
          <w:sz w:val="16"/>
          <w:szCs w:val="16"/>
          <w:color w:val="auto"/>
        </w:rPr>
        <w:t>Tripadvisor-branded hotels revenue increased 31% and 47%, respectively, during the three and nine months ended September 30, 2022, when compared to the same periods in 2021, primarily driven by growth in our hotel auction (or hotel meta) revenue. During the three months ended September 30, 2022, Tripadvisor-branded hotels revenue reached approximately 95% of 2019’s comparable period, an increase from approximately 73% of 2019’s comparable period during the third quarter of 2021. The Company saw continued strength of recovery in our U.S. hotel auction revenue during the third quarter of 2022 on strong consumer travel demand, exceeding parity with 2019’s comparable period and increased sequentially during the third quarter of 2022 when compared as a percentage to 2019's comparable period. During the third quarter of 2022, our European hotel auction revenue was below 2019's comparable period. In correlation with the increase in consumer travel demand and more favorable hotel auction environment than in 2021, we increased our performance marketing investment during the first nine months of 2022. Relative strength in CPC pricing allowed us to increase spend in marketing channels at a profitable ROAS (return on ad spend), while our free traffic, in particular SEO traffic, has been slower to recover.</w:t>
      </w:r>
    </w:p>
    <w:p>
      <w:pPr>
        <w:spacing w:after="0" w:line="165"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While slower to recover than Tripadvisor-branded hotels revenue, our display and platform revenue increased by 14% and 41% during the three and nine months ended September 30, 2022, respectively, when compared to the same periods in 2021. In addition, and by means of also showing a comparison to a pre-COVID-19 timeframe, Tripadvisor-branded display and platform revenue for both the three and nine months ended September 30, 2022 was approximately 80% of 2019’s comparable periods, an increase from approximately 71% and 57% of 2019’s comparable periods during the three and nine months ended September 30, 2021, respectively. This overall improvement during the first three quarters of 2022 was primarily driven by an increase in marketing spend from our advertisers in correlation with increasing consumer travel demand, as discussed above.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3" w:name="page34"/>
    <w:bookmarkEnd w:id="33"/>
    <w:p>
      <w:pPr>
        <w:ind w:firstLine="509"/>
        <w:spacing w:after="0" w:line="279" w:lineRule="auto"/>
        <w:rPr>
          <w:sz w:val="20"/>
          <w:szCs w:val="20"/>
          <w:color w:val="auto"/>
        </w:rPr>
      </w:pPr>
      <w:r>
        <w:rPr>
          <w:rFonts w:ascii="Arial" w:cs="Arial" w:eastAsia="Arial" w:hAnsi="Arial"/>
          <w:sz w:val="16"/>
          <w:szCs w:val="16"/>
          <w:color w:val="auto"/>
        </w:rPr>
        <w:t>Our Tripadvisor experiences and dining revenue increased by 96% and 98% during the three and nine months ended September 30, 2022, respectively, when compared to the same periods in 2021, primarily driven by our experiences offering as a result of the growing travel demand recovery fueled by the easing of government restrictions and increasing consumer travel demand. In addition, and by means of also showing a comparison to a pre-COVID-19 timeframe, Tripadvisor experiences and dining revenue for the three months ended September 30, 2022 was approximately 125% of 2019’s comparable period, an increase from approximately 64% of 2019’s comparable period during the three months ended September 30, 2021, while during the nine months ended September 30, 2022, Tripadvisor experiences and dining revenue reached approximately 116% of 2019’s comparable period, an increase from approximately 59% of 2019’s comparable period during the nine months ended September 30, 2021.</w:t>
      </w:r>
    </w:p>
    <w:p>
      <w:pPr>
        <w:spacing w:after="0" w:line="17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Similar to our other revenue streams, financial results in Other revenue, also improved during the three and nine months ended September 30, 2022, when compared to the same periods in 2021, as a result of increased consumer travel demand as part of the growing travel demand recovery. We continue to operate these businesses opportunistically as they complement our overall strategic objectives to deliver more value to consumers and travel partners.</w:t>
      </w:r>
    </w:p>
    <w:p>
      <w:pPr>
        <w:spacing w:after="0" w:line="149"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Over the long-term, we believe that improving our offerings to deepen consumer engagement on our platform will enable us to more effectively monetize our influence. For example, in Tripadvisor-branded display and platform revenue, we enable travel partners to amplify their brand, generate brand impressions, and potentially drive qualified leads and bookings for their businesses. We continue to work on initiatives to better leverage our audience, content, data, travel influence and platform breadth to open up new media advertising opportunities through a more modern, high-powered advertising suite spanning native, video and programmatic solutions. Our platform is open to advertising from travel endemic and non-travel endemic partners. On the consumer side, we are focused on making Tripadvisor membership more valuable for consumers. As an example, during 2021, we launched Tripadvisor Plus, an annual subscription-based membership that offers financial incentives, benefits and perks to members who book hotels and experiences on our platform.</w:t>
      </w:r>
    </w:p>
    <w:p>
      <w:pPr>
        <w:spacing w:after="0" w:line="184"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These efforts demonstrate our continued focus on increasing the quality of customer engagement on our platform, including driving membership growth, increasing personalization, and innovating our mobile app experience. We believe delivering – and improving upon – a great experience for users will encourage more users to use our services more frequently, increase member growth and member engagement, and drive loyalty to our brand and services. In turn, we believe this makes our platform more attractive for travel partners, which can result in increased monetization over time for us and our travel partners.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Viator Segment</w:t>
      </w:r>
    </w:p>
    <w:p>
      <w:pPr>
        <w:spacing w:after="0" w:line="21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We provide an online marketplace that allows travelers to research and book tours, activities and attractions in popular travel destinations across the globe through our stand-alone Viator-branded platform, which includes website, mobile web, and mobile app. Through Viator, we also power traveler bookings of tours, activities and attractions on behalf of third-party distribution partner websites, including the Tripadvisor platform as well as many of the world’s major OTA, airlines, hotels, online and offline travel agencies, and other prominent content and eCommerce brands.</w:t>
      </w:r>
    </w:p>
    <w:p>
      <w:pPr>
        <w:spacing w:after="0" w:line="16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Our Viator segment contributes to the comprehensive user experience Tripadvisor delivers to its travelers, which we believe helps to increase awareness of, loyalty to, and engagement with our products. Viator also drives more bookings to our travel partners, such as tour operators, which helps them generate greater revenue and increased profitability on our platform. The global tours, activities, and attractions market is large and highly fragmented, with the vast majority of bookings still occurring through traditional offline sources. However, there is a secular shift occurring as this market continues to grow and moves more online and we believe Viator is well positioned to benefit from this trend. Given the significant growth prospects in this large under-penetrated global market, we expect to continue to invest in the Viator business to take advantage of these opportunities to increase consumer engagement, bookings and revenue growth for the long-term.</w:t>
      </w:r>
    </w:p>
    <w:p>
      <w:pPr>
        <w:spacing w:after="0" w:line="186"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This segment was negatively and materially impacted at varying levels by a significant reduction in consumer demand due to the COVID-19 pandemic beginning in the first quarter of 2020 and throughout that year, which had reduced consumer willingness to research, purchase, and consume travel activities. This negative impact was driven by a wide variety of government-instituted actions and restrictions around the globe aimed at limiting the spread of the virus, all of which have impacted consumer access to experience offerings.</w:t>
      </w:r>
    </w:p>
    <w:p>
      <w:pPr>
        <w:spacing w:after="0" w:line="19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began to see improvement in our Viator segment’s financial results during the third quarter of 2021, and this trend has continued through the third quarter of 2022, as revenue increased by 138% during the three months ended September 30, 2022, when compared to the same period in 2021, primarily driven by the travel demand recovery, combined with the easing of government restrictions. By means of showing a comparison to a pre-COVID-19 timeframe, our Viator segment revenue for the third quarter of 2022 was approximately 179% of 2019’s comparable period, an increase from approximately 75% of 2019’s comparable period during the third quarter of 2021. As a result of strong consumer demand in our Viator segment with the growing travel demand recovery during the first three quarters of 2022, we significantly increased investments in performance marketing channels in order to</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4" w:name="page35"/>
    <w:bookmarkEnd w:id="34"/>
    <w:p>
      <w:pPr>
        <w:jc w:val="both"/>
        <w:ind w:right="80"/>
        <w:spacing w:after="0" w:line="277" w:lineRule="auto"/>
        <w:rPr>
          <w:sz w:val="20"/>
          <w:szCs w:val="20"/>
          <w:color w:val="auto"/>
        </w:rPr>
      </w:pPr>
      <w:r>
        <w:rPr>
          <w:rFonts w:ascii="Arial" w:cs="Arial" w:eastAsia="Arial" w:hAnsi="Arial"/>
          <w:sz w:val="17"/>
          <w:szCs w:val="17"/>
          <w:color w:val="auto"/>
        </w:rPr>
        <w:t>capture additional market share while maintaining a positive return on investment measured over the projected lifetime of a customer. From a geographical perspective, we continued to see strong consumer demand for experiences in both the U.S. and Europe as a destination during the third quarter of 2022, as travel between North America and Europe increased, in particular as U.S. consumers continued to travel internationally.</w:t>
      </w:r>
    </w:p>
    <w:p>
      <w:pPr>
        <w:spacing w:after="0" w:line="159"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We continue to execute on new initiatives to delight and engage new and repeat travelers. For example, we recently improved our site navigation, recommendations, sort orders, and quality of our bookable products. We also created traveler support improvements, as new customer acquisition remains a key growth opportunity during the growing travel recovery. We also remain focused on improving the traveler experience by enhancing the performance and capabilities of Viator’s mobile app. For travel partners on Viator’s platform, we are focused on scaling a new advertising program, Viator Accelerate, which is aimed at helping operators increase their visibility on the platform through targeted advertising, ultimately with the goal of increasing a travel partner’s bookings and traveler reach.</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TheFork Segment</w:t>
      </w:r>
    </w:p>
    <w:p>
      <w:pPr>
        <w:spacing w:after="0" w:line="103"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We provide information and services for consumers to research and book restaurant reservations through our stand-alone TheFork business in our dedicated online restaurant reservations platform, TheFork. TheFork segment contributes to and complements the comprehensive user experience we deliver, which we believe helps to increase awareness and loyalty to our products, which in turn drives more bookings to our restaurant partners and generates greater revenue and increased profitability on our restaurant reservations platform. TheFork is primarily European based, with operations in all major European markets. We largely generate transaction fees (or per seated diner fees) that are paid by our restaurant customers for diners seated primarily from bookings through TheFork’s online reservation system.</w:t>
      </w:r>
    </w:p>
    <w:p>
      <w:pPr>
        <w:spacing w:after="0" w:line="183" w:lineRule="exact"/>
        <w:rPr>
          <w:sz w:val="20"/>
          <w:szCs w:val="20"/>
          <w:color w:val="auto"/>
        </w:rPr>
      </w:pPr>
    </w:p>
    <w:p>
      <w:pPr>
        <w:ind w:right="600" w:firstLine="509"/>
        <w:spacing w:after="0" w:line="302" w:lineRule="auto"/>
        <w:rPr>
          <w:sz w:val="20"/>
          <w:szCs w:val="20"/>
          <w:color w:val="auto"/>
        </w:rPr>
      </w:pPr>
      <w:r>
        <w:rPr>
          <w:rFonts w:ascii="Arial" w:cs="Arial" w:eastAsia="Arial" w:hAnsi="Arial"/>
          <w:sz w:val="16"/>
          <w:szCs w:val="16"/>
          <w:color w:val="auto"/>
        </w:rPr>
        <w:t>This segment was negatively and materially impacted at varying levels by a significant reduction in consumer demand due to the COVID-19 pandemic beginning in the first quarter of 2020. This negative impact has also been driven by a wide variety of government-instituted actions and restrictions around the globe aimed at limiting the spread of the virus, all of which have impacted consumer access to restaurants.</w:t>
      </w:r>
    </w:p>
    <w:p>
      <w:pPr>
        <w:spacing w:after="0" w:line="14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During the first quarter of 2021, restaurants in most of the European countries in which TheFork operates were ordered to remain closed. In TheFork segment, we saw a notable recovery beginning in mid-May 2021, as restaurants in most European countries in which TheFork operates began reopening for in-restaurant dining. However, late in the fourth quarter of 2021 and early into the first quarter of 2022, Omicron-related restrictions and related impact to consumer demand within Europe again began to impact TheFork. These Omicron-related restrictions were again lifted late in the first quarter of 2022, bringing a recovery of consumer demand and revenue, although European consumer demand and restaurant openings remain below pre-pandemic levels through the third quarter of 2022. TheFork segment revenue during the third quarter of 2022 increased by approximately 17%, primarily driven by improving consumer demand, when compared to the same period in 2021. By means of showing a comparison to a pre-COVID-19 timeframe, TheFork revenue during the third quarter of 2022 slightly exceeded parity with 2019's comparable period, an increase from approximately 88% of 2019’s comparable period during the third quarter of 2021.</w:t>
      </w:r>
    </w:p>
    <w:p>
      <w:pPr>
        <w:spacing w:after="0" w:line="178" w:lineRule="exact"/>
        <w:rPr>
          <w:sz w:val="20"/>
          <w:szCs w:val="20"/>
          <w:color w:val="auto"/>
        </w:rPr>
      </w:pPr>
    </w:p>
    <w:p>
      <w:pPr>
        <w:ind w:right="100" w:firstLine="554"/>
        <w:spacing w:after="0" w:line="245" w:lineRule="auto"/>
        <w:rPr>
          <w:sz w:val="20"/>
          <w:szCs w:val="20"/>
          <w:color w:val="auto"/>
        </w:rPr>
      </w:pPr>
      <w:r>
        <w:rPr>
          <w:rFonts w:ascii="Arial" w:cs="Arial" w:eastAsia="Arial" w:hAnsi="Arial"/>
          <w:sz w:val="18"/>
          <w:szCs w:val="18"/>
          <w:color w:val="auto"/>
        </w:rPr>
        <w:t>Given the significant market opportunities in this large category, we expect to continue to invest in building this offering, including online traffic acquisition, in building out TheFork brand, in order to drive consumer engagement, bookings for our restaurant partners, obtain additional restaurant supply, and revenue growth for the long-term. Furthermore, we are actively investing in, including additional personnel, to support increased payment options and technology integration in our TheFork app to allow users to increase engagement beyond booking and into payment offerings such as TheFork PAY.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of September 30, 2022, the Company had nearly 3,000 employees. Approximately 55%, 35%, and 10% of the Company’s current employees are based in Europe, the U.S., and the rest of world, respectively. Our number of employees increased approximately 10% as compared to September 30, 2021. Additionally, we use contingent workers, including temporary employees, agency employees and independent contractors to supplement our workforce. We believe we have good relationships with our employees and contractors, including relationships with employees represented by international works councils or other similar organizations.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7" w:lineRule="exact"/>
        <w:rPr>
          <w:sz w:val="20"/>
          <w:szCs w:val="20"/>
          <w:color w:val="auto"/>
        </w:rPr>
      </w:pPr>
    </w:p>
    <w:p>
      <w:pPr>
        <w:ind w:right="160" w:firstLine="509"/>
        <w:spacing w:after="0" w:line="245" w:lineRule="auto"/>
        <w:rPr>
          <w:sz w:val="20"/>
          <w:szCs w:val="20"/>
          <w:color w:val="auto"/>
        </w:rPr>
      </w:pPr>
      <w:r>
        <w:rPr>
          <w:rFonts w:ascii="Arial" w:cs="Arial" w:eastAsia="Arial" w:hAnsi="Arial"/>
          <w:sz w:val="18"/>
          <w:szCs w:val="18"/>
          <w:color w:val="auto"/>
        </w:rPr>
        <w:t>Consumers’ travel expenditures have historically followed a seasonal pattern. Correspondingly, travel partners’ advertising investments, and therefore our revenue and operating profits, have also historically followed a seasonal pattern. Our financial performance tends to be seasonally highest in the second and third quarters of a given year, which includes the seasonal peak in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35" w:name="page36"/>
    <w:bookmarkEnd w:id="35"/>
    <w:p>
      <w:pPr>
        <w:ind w:right="120"/>
        <w:spacing w:after="0" w:line="248" w:lineRule="auto"/>
        <w:rPr>
          <w:sz w:val="20"/>
          <w:szCs w:val="20"/>
          <w:color w:val="auto"/>
        </w:rPr>
      </w:pPr>
      <w:r>
        <w:rPr>
          <w:rFonts w:ascii="Arial" w:cs="Arial" w:eastAsia="Arial" w:hAnsi="Arial"/>
          <w:sz w:val="18"/>
          <w:szCs w:val="18"/>
          <w:color w:val="auto"/>
        </w:rPr>
        <w:t xml:space="preserve">consumer demand, including traveler hotel and rental stays, and travel activities and experiences taken, compared to the first and fourth quarters, which represent seasonal low points. </w:t>
      </w:r>
      <w:r>
        <w:rPr>
          <w:rFonts w:ascii="Arial" w:cs="Arial" w:eastAsia="Arial" w:hAnsi="Arial"/>
          <w:sz w:val="18"/>
          <w:szCs w:val="18"/>
          <w:color w:val="231F20"/>
        </w:rPr>
        <w:t>During the first half of the year, experience and rentals bookings typically exceed the amount of completed experiences and</w:t>
      </w:r>
      <w:r>
        <w:rPr>
          <w:rFonts w:ascii="Arial" w:cs="Arial" w:eastAsia="Arial" w:hAnsi="Arial"/>
          <w:sz w:val="18"/>
          <w:szCs w:val="18"/>
          <w:color w:val="auto"/>
        </w:rPr>
        <w:t xml:space="preserve"> </w:t>
      </w:r>
      <w:r>
        <w:rPr>
          <w:rFonts w:ascii="Arial" w:cs="Arial" w:eastAsia="Arial" w:hAnsi="Arial"/>
          <w:sz w:val="18"/>
          <w:szCs w:val="18"/>
          <w:color w:val="231F20"/>
        </w:rPr>
        <w:t>rental stays, resulting in higher cash flow related to working capital, while during the second half of the year, particularly in the third quarter, this pattern reverses and cash flows from these transactions are typically negative</w:t>
      </w:r>
      <w:r>
        <w:rPr>
          <w:rFonts w:ascii="Arial" w:cs="Arial" w:eastAsia="Arial" w:hAnsi="Arial"/>
          <w:sz w:val="18"/>
          <w:szCs w:val="18"/>
          <w:color w:val="000000"/>
        </w:rPr>
        <w:t>.</w:t>
      </w:r>
    </w:p>
    <w:p>
      <w:pPr>
        <w:spacing w:after="0" w:line="196"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231F20"/>
        </w:rPr>
        <w:t xml:space="preserve">Other factors may also impact typical seasonal fluctuations, which include further significant shifts in our business mix or adverse economic conditions that could result in future seasonal patterns that are different from historical trends. For example, although </w:t>
      </w:r>
      <w:r>
        <w:rPr>
          <w:rFonts w:ascii="Arial" w:cs="Arial" w:eastAsia="Arial" w:hAnsi="Arial"/>
          <w:sz w:val="16"/>
          <w:szCs w:val="16"/>
          <w:color w:val="000000"/>
        </w:rPr>
        <w:t>consumer travel demand was</w:t>
      </w:r>
      <w:r>
        <w:rPr>
          <w:rFonts w:ascii="Arial" w:cs="Arial" w:eastAsia="Arial" w:hAnsi="Arial"/>
          <w:sz w:val="16"/>
          <w:szCs w:val="16"/>
          <w:color w:val="231F20"/>
        </w:rPr>
        <w:t xml:space="preserve"> </w:t>
      </w:r>
      <w:r>
        <w:rPr>
          <w:rFonts w:ascii="Arial" w:cs="Arial" w:eastAsia="Arial" w:hAnsi="Arial"/>
          <w:sz w:val="16"/>
          <w:szCs w:val="16"/>
          <w:color w:val="000000"/>
        </w:rPr>
        <w:t>materially lower than historic levels due to the impact of COVID-19 on our business during 2020, these trends generally improved, albeit unevenly, during 2021, resulting in increased revenues, and working capital and operating cash flow more akin to typical historical seasonality trends, which has continued during the first three quarters of 2022. However, it is difficult to predict the seasonality for the upcoming quarters, given the sustained uncertainty related to the COVID-19 pandemic and whether there will be resurgences, or if new variants will emerge, and the pace of continued recovery in our key markets.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6"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760" w:right="300" w:hanging="378"/>
        <w:spacing w:after="0" w:line="251"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760" w:right="60" w:hanging="378"/>
        <w:spacing w:after="0" w:line="242"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1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 xml:space="preserve">There have been no material changes to our significant accounting policies since December 31, 2021, as compared to those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5" w:right="359" w:bottom="1440" w:gutter="0" w:footer="0" w:header="0"/>
        </w:sectPr>
      </w:pPr>
    </w:p>
    <w:bookmarkStart w:id="36" w:name="page37"/>
    <w:bookmarkEnd w:id="36"/>
    <w:p>
      <w:pPr>
        <w:ind w:left="4620"/>
        <w:spacing w:after="0"/>
        <w:rPr>
          <w:sz w:val="20"/>
          <w:szCs w:val="20"/>
          <w:color w:val="auto"/>
        </w:rPr>
      </w:pPr>
      <w:r>
        <w:rPr>
          <w:rFonts w:ascii="Arial" w:cs="Arial" w:eastAsia="Arial" w:hAnsi="Arial"/>
          <w:sz w:val="18"/>
          <w:szCs w:val="18"/>
          <w:b w:val="1"/>
          <w:bCs w:val="1"/>
          <w:color w:val="auto"/>
        </w:rPr>
        <w:t>Statements of Operations</w:t>
      </w:r>
    </w:p>
    <w:p>
      <w:pPr>
        <w:spacing w:after="0" w:line="2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Selected Financial Data</w:t>
      </w:r>
    </w:p>
    <w:p>
      <w:pPr>
        <w:jc w:val="center"/>
        <w:ind w:right="140"/>
        <w:spacing w:after="0"/>
        <w:rPr>
          <w:sz w:val="20"/>
          <w:szCs w:val="20"/>
          <w:color w:val="auto"/>
        </w:rPr>
      </w:pPr>
      <w:r>
        <w:rPr>
          <w:rFonts w:ascii="Arial" w:cs="Arial" w:eastAsia="Arial" w:hAnsi="Arial"/>
          <w:sz w:val="18"/>
          <w:szCs w:val="18"/>
          <w:b w:val="1"/>
          <w:bCs w:val="1"/>
          <w:color w:val="auto"/>
        </w:rPr>
        <w:t>(in millions, except percentages)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360" w:type="dxa"/>
            <w:vAlign w:val="bottom"/>
            <w:gridSpan w:val="6"/>
          </w:tcPr>
          <w:p>
            <w:pPr>
              <w:jc w:val="right"/>
              <w:ind w:right="250"/>
              <w:spacing w:after="0"/>
              <w:rPr>
                <w:sz w:val="20"/>
                <w:szCs w:val="20"/>
                <w:color w:val="auto"/>
              </w:rPr>
            </w:pPr>
            <w:r>
              <w:rPr>
                <w:rFonts w:ascii="Arial" w:cs="Arial" w:eastAsia="Arial" w:hAnsi="Arial"/>
                <w:sz w:val="14"/>
                <w:szCs w:val="14"/>
                <w:b w:val="1"/>
                <w:bCs w:val="1"/>
                <w:color w:val="auto"/>
                <w:w w:val="93"/>
              </w:rPr>
              <w:t>Three months ended September</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6"/>
          </w:tcPr>
          <w:p>
            <w:pPr>
              <w:jc w:val="right"/>
              <w:ind w:right="230"/>
              <w:spacing w:after="0"/>
              <w:rPr>
                <w:sz w:val="20"/>
                <w:szCs w:val="20"/>
                <w:color w:val="auto"/>
              </w:rPr>
            </w:pPr>
            <w:r>
              <w:rPr>
                <w:rFonts w:ascii="Arial" w:cs="Arial" w:eastAsia="Arial" w:hAnsi="Arial"/>
                <w:sz w:val="14"/>
                <w:szCs w:val="14"/>
                <w:b w:val="1"/>
                <w:bCs w:val="1"/>
                <w:color w:val="auto"/>
                <w:w w:val="94"/>
              </w:rPr>
              <w:t>Nine months ended September</w:t>
            </w: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5"/>
        </w:trPr>
        <w:tc>
          <w:tcPr>
            <w:tcW w:w="4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 Change</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30,</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 vs. 2021</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2022 vs. 2021</w:t>
            </w:r>
          </w:p>
        </w:tc>
        <w:tc>
          <w:tcPr>
            <w:tcW w:w="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459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vMerge w:val="continue"/>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1,138</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Cost of revenue</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Technology and content</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Total costs and expenses:</w:t>
            </w: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389</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36 %</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Operating income (loss)</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338 %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(103 )</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tcPr>
          <w:p>
            <w:pPr>
              <w:spacing w:after="0"/>
              <w:rPr>
                <w:sz w:val="18"/>
                <w:szCs w:val="18"/>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w w:val="97"/>
              </w:rPr>
              <w:t>(11 )</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(12 )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2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(33 )</w:t>
            </w: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(34 )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359"/>
              <w:spacing w:after="0"/>
              <w:rPr>
                <w:sz w:val="20"/>
                <w:szCs w:val="20"/>
                <w:color w:val="auto"/>
              </w:rPr>
            </w:pPr>
            <w:r>
              <w:rPr>
                <w:rFonts w:ascii="Arial" w:cs="Arial" w:eastAsia="Arial" w:hAnsi="Arial"/>
                <w:sz w:val="18"/>
                <w:szCs w:val="18"/>
                <w:color w:val="auto"/>
              </w:rPr>
              <w:t>n.m.</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600 %</w:t>
            </w: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620" w:type="dxa"/>
            <w:vAlign w:val="bottom"/>
          </w:tcPr>
          <w:p>
            <w:pPr>
              <w:spacing w:after="0"/>
              <w:rPr>
                <w:sz w:val="18"/>
                <w:szCs w:val="18"/>
                <w:color w:val="auto"/>
              </w:rPr>
            </w:pP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18"/>
                <w:szCs w:val="18"/>
                <w:color w:val="auto"/>
              </w:rPr>
            </w:pP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(1 )</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18"/>
                <w:szCs w:val="18"/>
                <w:color w:val="auto"/>
              </w:rPr>
            </w:pPr>
          </w:p>
        </w:tc>
        <w:tc>
          <w:tcPr>
            <w:tcW w:w="940" w:type="dxa"/>
            <w:vAlign w:val="bottom"/>
            <w:gridSpan w:val="2"/>
          </w:tcPr>
          <w:p>
            <w:pPr>
              <w:jc w:val="right"/>
              <w:ind w:right="70"/>
              <w:spacing w:after="0"/>
              <w:rPr>
                <w:sz w:val="20"/>
                <w:szCs w:val="20"/>
                <w:color w:val="auto"/>
              </w:rPr>
            </w:pPr>
            <w:r>
              <w:rPr>
                <w:rFonts w:ascii="Arial" w:cs="Arial" w:eastAsia="Arial" w:hAnsi="Arial"/>
                <w:sz w:val="18"/>
                <w:szCs w:val="18"/>
                <w:color w:val="auto"/>
              </w:rPr>
              <w:t>(4 )</w:t>
            </w: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(2 )</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Total other income (expense), net</w:t>
            </w:r>
          </w:p>
        </w:tc>
        <w:tc>
          <w:tcPr>
            <w:tcW w:w="6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1,967 %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(138 )</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benefit for income taxes</w:t>
            </w:r>
          </w:p>
        </w:tc>
        <w:tc>
          <w:tcPr>
            <w:tcW w:w="6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w w:val="97"/>
              </w:rPr>
              <w:t>(37 )</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(2 )</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1,750 %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(61 )</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380" w:type="dxa"/>
            <w:vAlign w:val="bottom"/>
            <w:gridSpan w:val="3"/>
          </w:tcPr>
          <w:p>
            <w:pPr>
              <w:jc w:val="right"/>
              <w:ind w:right="19"/>
              <w:spacing w:after="0" w:line="209" w:lineRule="exact"/>
              <w:rPr>
                <w:sz w:val="20"/>
                <w:szCs w:val="20"/>
                <w:color w:val="auto"/>
              </w:rPr>
            </w:pPr>
            <w:r>
              <w:rPr>
                <w:rFonts w:ascii="Arial" w:cs="Arial" w:eastAsia="Arial" w:hAnsi="Arial"/>
                <w:sz w:val="14"/>
                <w:szCs w:val="14"/>
                <w:color w:val="auto"/>
              </w:rPr>
              <w:t xml:space="preserve">2,400 % </w:t>
            </w:r>
            <w:r>
              <w:rPr>
                <w:rFonts w:ascii="Arial" w:cs="Arial" w:eastAsia="Arial" w:hAnsi="Arial"/>
                <w:sz w:val="24"/>
                <w:szCs w:val="24"/>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(119 )</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Other Financial Data:</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Arial" w:cs="Arial" w:eastAsia="Arial" w:hAnsi="Arial"/>
                <w:sz w:val="18"/>
                <w:szCs w:val="18"/>
                <w:color w:val="auto"/>
              </w:rPr>
              <w:t>Adjusted EBITDA (1)</w:t>
            </w: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115</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380" w:type="dxa"/>
            <w:vAlign w:val="bottom"/>
            <w:gridSpan w:val="3"/>
          </w:tcPr>
          <w:p>
            <w:pPr>
              <w:jc w:val="right"/>
              <w:ind w:right="19"/>
              <w:spacing w:after="0"/>
              <w:rPr>
                <w:sz w:val="20"/>
                <w:szCs w:val="20"/>
                <w:color w:val="auto"/>
              </w:rPr>
            </w:pPr>
            <w:r>
              <w:rPr>
                <w:rFonts w:ascii="Arial" w:cs="Arial" w:eastAsia="Arial" w:hAnsi="Arial"/>
                <w:sz w:val="18"/>
                <w:szCs w:val="18"/>
                <w:color w:val="auto"/>
              </w:rPr>
              <w:t>60 % $</w:t>
            </w: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-2945130</wp:posOffset>
            </wp:positionV>
            <wp:extent cx="71323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-2122805</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-1840230</wp:posOffset>
            </wp:positionV>
            <wp:extent cx="7132320" cy="282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-1283970</wp:posOffset>
            </wp:positionV>
            <wp:extent cx="71323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-1001395</wp:posOffset>
            </wp:positionV>
            <wp:extent cx="7132320" cy="282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-581660</wp:posOffset>
            </wp:positionV>
            <wp:extent cx="7683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-581660</wp:posOffset>
            </wp:positionV>
            <wp:extent cx="76835"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-581660</wp:posOffset>
            </wp:positionV>
            <wp:extent cx="685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-581660</wp:posOffset>
            </wp:positionV>
            <wp:extent cx="685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1" w:lineRule="exact"/>
        <w:rPr>
          <w:sz w:val="20"/>
          <w:szCs w:val="20"/>
          <w:color w:val="auto"/>
        </w:rPr>
      </w:pPr>
    </w:p>
    <w:p>
      <w:pPr>
        <w:ind w:left="20" w:right="1060" w:firstLine="1"/>
        <w:spacing w:after="0" w:line="242" w:lineRule="auto"/>
        <w:tabs>
          <w:tab w:leader="none" w:pos="223" w:val="left"/>
        </w:tabs>
        <w:numPr>
          <w:ilvl w:val="0"/>
          <w:numId w:val="20"/>
        </w:numPr>
        <w:rPr>
          <w:rFonts w:ascii="Arial" w:cs="Arial" w:eastAsia="Arial" w:hAnsi="Arial"/>
          <w:sz w:val="14"/>
          <w:szCs w:val="14"/>
          <w:color w:val="auto"/>
        </w:rPr>
      </w:pPr>
      <w:r>
        <w:rPr>
          <w:rFonts w:ascii="Arial" w:cs="Arial" w:eastAsia="Arial" w:hAnsi="Arial"/>
          <w:sz w:val="14"/>
          <w:szCs w:val="14"/>
          <w:i w:val="1"/>
          <w:iCs w:val="1"/>
          <w:color w:val="auto"/>
        </w:rPr>
        <w:t>Consolidated Adjusted EBITDA is considered a non-GAAP measure as defined by the SEC. Please refer to “Adjusted EBITDA” below for more information, including tabular reconciliations to the most directly comparable GAAP financial measure.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22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Three months ended September 30,</w:t>
            </w:r>
          </w:p>
        </w:tc>
        <w:tc>
          <w:tcPr>
            <w:tcW w:w="24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Nine months ended September 30,</w:t>
            </w: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220" w:type="dxa"/>
            <w:vAlign w:val="bottom"/>
          </w:tcPr>
          <w:p>
            <w:pPr>
              <w:spacing w:after="0"/>
              <w:rPr>
                <w:sz w:val="11"/>
                <w:szCs w:val="11"/>
                <w:color w:val="auto"/>
              </w:rPr>
            </w:pPr>
          </w:p>
        </w:tc>
        <w:tc>
          <w:tcPr>
            <w:tcW w:w="640" w:type="dxa"/>
            <w:vAlign w:val="bottom"/>
            <w:vMerge w:val="restart"/>
          </w:tcPr>
          <w:p>
            <w:pPr>
              <w:ind w:left="340"/>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280" w:type="dxa"/>
            <w:vAlign w:val="bottom"/>
            <w:gridSpan w:val="2"/>
            <w:vMerge w:val="restart"/>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2022 vs.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Revenue by Segment:</w:t>
            </w:r>
          </w:p>
        </w:tc>
        <w:tc>
          <w:tcPr>
            <w:tcW w:w="6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 xml:space="preserve">Tripadvisor Core </w:t>
            </w:r>
            <w:r>
              <w:rPr>
                <w:rFonts w:ascii="Arial" w:cs="Arial" w:eastAsia="Arial" w:hAnsi="Arial"/>
                <w:sz w:val="14"/>
                <w:szCs w:val="14"/>
                <w:color w:val="auto"/>
              </w:rPr>
              <w:t>(1)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284</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34 %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Viator</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174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138 %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366</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193 %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TheFork</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14"/>
                <w:szCs w:val="14"/>
                <w:color w:val="auto"/>
              </w:rPr>
              <w:t>(1)</w:t>
            </w:r>
          </w:p>
        </w:tc>
        <w:tc>
          <w:tcPr>
            <w:tcW w:w="6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(34 )</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(12 )</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183 %</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(70 )</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09"/>
        </w:trPr>
        <w:tc>
          <w:tcPr>
            <w:tcW w:w="422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459</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51 %</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8"/>
                <w:szCs w:val="18"/>
                <w:color w:val="auto"/>
              </w:rPr>
              <w:t>Adjusted EBITDA by Segment:</w:t>
            </w: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Tripadvisor Core</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112</w:t>
            </w: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53 %</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Viator</w:t>
            </w:r>
          </w:p>
        </w:tc>
        <w:tc>
          <w:tcPr>
            <w:tcW w:w="6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1,100 %</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(8 )</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TheFork</w:t>
            </w:r>
          </w:p>
        </w:tc>
        <w:tc>
          <w:tcPr>
            <w:tcW w:w="64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(9 )</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(2 )</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350 %</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(24 )</w:t>
            </w:r>
          </w:p>
        </w:tc>
        <w:tc>
          <w:tcPr>
            <w:tcW w:w="3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(32 )</w:t>
            </w:r>
          </w:p>
        </w:tc>
        <w:tc>
          <w:tcPr>
            <w:tcW w:w="4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09"/>
        </w:trPr>
        <w:tc>
          <w:tcPr>
            <w:tcW w:w="4220" w:type="dxa"/>
            <w:vAlign w:val="bottom"/>
          </w:tcPr>
          <w:p>
            <w:pPr>
              <w:ind w:left="200"/>
              <w:spacing w:after="0"/>
              <w:rPr>
                <w:sz w:val="20"/>
                <w:szCs w:val="20"/>
                <w:color w:val="auto"/>
              </w:rPr>
            </w:pPr>
            <w:r>
              <w:rPr>
                <w:rFonts w:ascii="Arial" w:cs="Arial" w:eastAsia="Arial" w:hAnsi="Arial"/>
                <w:sz w:val="18"/>
                <w:szCs w:val="18"/>
                <w:color w:val="auto"/>
              </w:rPr>
              <w:t>Total Adjusted EBITDA</w:t>
            </w:r>
          </w:p>
        </w:tc>
        <w:tc>
          <w:tcPr>
            <w:tcW w:w="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w:t>
            </w:r>
          </w:p>
        </w:tc>
        <w:tc>
          <w:tcPr>
            <w:tcW w:w="3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60 %</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0"/>
              <w:spacing w:after="0"/>
              <w:rPr>
                <w:sz w:val="20"/>
                <w:szCs w:val="20"/>
                <w:color w:val="auto"/>
              </w:rPr>
            </w:pPr>
            <w:r>
              <w:rPr>
                <w:rFonts w:ascii="Arial" w:cs="Arial" w:eastAsia="Arial" w:hAnsi="Arial"/>
                <w:sz w:val="18"/>
                <w:szCs w:val="18"/>
                <w:color w:val="auto"/>
              </w:rPr>
              <w:t>Tripadvisor Core</w:t>
            </w:r>
          </w:p>
        </w:tc>
        <w:tc>
          <w:tcPr>
            <w:tcW w:w="6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39 %</w:t>
            </w:r>
          </w:p>
        </w:tc>
        <w:tc>
          <w:tcPr>
            <w:tcW w:w="3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38 %</w:t>
            </w:r>
          </w:p>
        </w:tc>
        <w:tc>
          <w:tcPr>
            <w:tcW w:w="3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Viator</w:t>
            </w:r>
          </w:p>
        </w:tc>
        <w:tc>
          <w:tcPr>
            <w:tcW w:w="6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7 %</w:t>
            </w:r>
          </w:p>
        </w:tc>
        <w:tc>
          <w:tcPr>
            <w:tcW w:w="3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1 %</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c>
          <w:tcPr>
            <w:tcW w:w="320" w:type="dxa"/>
            <w:vAlign w:val="bottom"/>
            <w:shd w:val="clear" w:color="auto" w:fill="CFF0FC"/>
          </w:tcPr>
          <w:p>
            <w:pPr>
              <w:spacing w:after="0"/>
              <w:rPr>
                <w:sz w:val="18"/>
                <w:szCs w:val="18"/>
                <w:color w:val="auto"/>
              </w:rPr>
            </w:pPr>
          </w:p>
        </w:tc>
        <w:tc>
          <w:tcPr>
            <w:tcW w:w="9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(20 )%</w:t>
            </w: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TheFork</w:t>
            </w:r>
          </w:p>
        </w:tc>
        <w:tc>
          <w:tcPr>
            <w:tcW w:w="64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(26 )%</w:t>
            </w:r>
          </w:p>
        </w:tc>
        <w:tc>
          <w:tcPr>
            <w:tcW w:w="3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c>
          <w:tcPr>
            <w:tcW w:w="32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(58 )%</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71323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-1438275</wp:posOffset>
            </wp:positionV>
            <wp:extent cx="7132320" cy="436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436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307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n.m. = </w:t>
      </w:r>
      <w:r>
        <w:rPr>
          <w:rFonts w:ascii="Arial" w:cs="Arial" w:eastAsia="Arial" w:hAnsi="Arial"/>
          <w:sz w:val="14"/>
          <w:szCs w:val="14"/>
          <w:i w:val="1"/>
          <w:iCs w:val="1"/>
          <w:color w:val="auto"/>
        </w:rPr>
        <w:t>not meaningful</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47" w:right="239" w:bottom="1440" w:gutter="0" w:footer="0" w:header="0"/>
        </w:sectPr>
      </w:pPr>
    </w:p>
    <w:bookmarkStart w:id="37" w:name="page38"/>
    <w:bookmarkEnd w:id="37"/>
    <w:p>
      <w:pPr>
        <w:ind w:left="840" w:right="80" w:hanging="383"/>
        <w:spacing w:after="0" w:line="253" w:lineRule="auto"/>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Tripadvisor Core segment revenue figures are shown gross of intersegment (intercompany) revenue, which is eliminated on a consolidated basis. See “Note 14: </w:t>
      </w:r>
      <w:r>
        <w:rPr>
          <w:rFonts w:ascii="Arial" w:cs="Arial" w:eastAsia="Arial" w:hAnsi="Arial"/>
          <w:sz w:val="14"/>
          <w:szCs w:val="14"/>
          <w:i w:val="1"/>
          <w:iCs w:val="1"/>
          <w:color w:val="auto"/>
        </w:rPr>
        <w:t>Segment</w:t>
      </w:r>
      <w:r>
        <w:rPr>
          <w:rFonts w:ascii="Arial" w:cs="Arial" w:eastAsia="Arial" w:hAnsi="Arial"/>
          <w:sz w:val="14"/>
          <w:szCs w:val="14"/>
          <w:color w:val="auto"/>
        </w:rPr>
        <w:t xml:space="preserve"> </w:t>
      </w:r>
      <w:r>
        <w:rPr>
          <w:rFonts w:ascii="Arial" w:cs="Arial" w:eastAsia="Arial" w:hAnsi="Arial"/>
          <w:sz w:val="14"/>
          <w:szCs w:val="14"/>
          <w:i w:val="1"/>
          <w:iCs w:val="1"/>
          <w:color w:val="auto"/>
        </w:rPr>
        <w:t>Information</w:t>
      </w:r>
      <w:r>
        <w:rPr>
          <w:rFonts w:ascii="Arial" w:cs="Arial" w:eastAsia="Arial" w:hAnsi="Arial"/>
          <w:sz w:val="14"/>
          <w:szCs w:val="14"/>
          <w:color w:val="auto"/>
        </w:rPr>
        <w:t>” in the notes to our unaudited condensed consolidated financial statements in Item 1 in this Quarterly Report on Form 10-Q for a discussion of intersegment revenue for</w:t>
      </w:r>
      <w:r>
        <w:rPr>
          <w:rFonts w:ascii="Arial" w:cs="Arial" w:eastAsia="Arial" w:hAnsi="Arial"/>
          <w:sz w:val="14"/>
          <w:szCs w:val="14"/>
          <w:i w:val="1"/>
          <w:iCs w:val="1"/>
          <w:color w:val="auto"/>
        </w:rPr>
        <w:t xml:space="preserve"> </w:t>
      </w:r>
      <w:r>
        <w:rPr>
          <w:rFonts w:ascii="Arial" w:cs="Arial" w:eastAsia="Arial" w:hAnsi="Arial"/>
          <w:sz w:val="14"/>
          <w:szCs w:val="14"/>
          <w:color w:val="auto"/>
        </w:rPr>
        <w:t>all periods presented.</w:t>
      </w:r>
    </w:p>
    <w:p>
      <w:pPr>
        <w:spacing w:after="0" w:line="1" w:lineRule="exact"/>
        <w:rPr>
          <w:rFonts w:ascii="Arial" w:cs="Arial" w:eastAsia="Arial" w:hAnsi="Arial"/>
          <w:sz w:val="14"/>
          <w:szCs w:val="14"/>
          <w:color w:val="auto"/>
        </w:rPr>
      </w:pPr>
    </w:p>
    <w:p>
      <w:pPr>
        <w:ind w:left="840" w:hanging="383"/>
        <w:spacing w:after="0"/>
        <w:tabs>
          <w:tab w:leader="none" w:pos="8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EBITDA Margin by Segment" is defined as Adjusted EBITDA by segment divided by revenue by segment.</w:t>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Tripadvisor Core Segment</w:t>
      </w:r>
    </w:p>
    <w:p>
      <w:pPr>
        <w:spacing w:after="0" w:line="225"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Tripadvisor Core segment revenue increased by $72 million and $246 million during the three and nine months ended September 30, 2022, respectively, when compared to the same periods in 2021, primarily due to increased hotel auction (or hotel meta) revenue, and, to a lesser extent, an increase in Tripadvisor experiences and dining and Tripadvisor-branded display and platform revenue, all of which was due to the impact of growing consumer travel demand and the travel industry recovery on our business, as discussed above. In addition, we estimate this segment's revenue performance was negatively impacted by foreign currency fluctuations of $15 million during the three months ended September 30, 2022, when compared to the same period in 2021.</w:t>
      </w:r>
    </w:p>
    <w:p>
      <w:pPr>
        <w:spacing w:after="0" w:line="199" w:lineRule="exact"/>
        <w:rPr>
          <w:sz w:val="20"/>
          <w:szCs w:val="20"/>
          <w:color w:val="auto"/>
        </w:rPr>
      </w:pPr>
    </w:p>
    <w:p>
      <w:pPr>
        <w:ind w:right="200" w:firstLine="509"/>
        <w:spacing w:after="0" w:line="263" w:lineRule="auto"/>
        <w:rPr>
          <w:sz w:val="20"/>
          <w:szCs w:val="20"/>
          <w:color w:val="auto"/>
        </w:rPr>
      </w:pPr>
      <w:r>
        <w:rPr>
          <w:rFonts w:ascii="Arial" w:cs="Arial" w:eastAsia="Arial" w:hAnsi="Arial"/>
          <w:sz w:val="17"/>
          <w:szCs w:val="17"/>
          <w:color w:val="auto"/>
        </w:rPr>
        <w:t>Adjusted EBITDA in our Tripadvisor Core segment increased $39 million and $156 million during the three and nine months ended September 30, 2022, respectively, when compared to the same periods in 2021. This was primarily due to an increase in revenue as noted above, partially offset by an increase in direct selling and marketing expenses related to search engine marketing, or SEM, and other online paid traffic acquisition costs in response to increasing consumer travel demand as travel restrictions have eased and the travel industry recovers, and to a lesser extent, increased personnel and overhead costs to help support business growth during the growing travel demand recovery.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Tripadvisor Core segment: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173"/>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c>
          <w:tcPr>
            <w:tcW w:w="220" w:type="dxa"/>
            <w:vAlign w:val="bottom"/>
          </w:tcPr>
          <w:p>
            <w:pPr>
              <w:spacing w:after="0"/>
              <w:rPr>
                <w:sz w:val="16"/>
                <w:szCs w:val="16"/>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 Change</w:t>
            </w:r>
          </w:p>
        </w:tc>
      </w:tr>
      <w:tr>
        <w:trPr>
          <w:trHeight w:val="169"/>
        </w:trPr>
        <w:tc>
          <w:tcPr>
            <w:tcW w:w="28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160" w:type="dxa"/>
            <w:vAlign w:val="bottom"/>
            <w:gridSpan w:val="2"/>
          </w:tcPr>
          <w:p>
            <w:pPr>
              <w:spacing w:after="0"/>
              <w:rPr>
                <w:sz w:val="14"/>
                <w:szCs w:val="14"/>
                <w:color w:val="auto"/>
              </w:rPr>
            </w:pPr>
          </w:p>
        </w:tc>
      </w:tr>
      <w:tr>
        <w:trPr>
          <w:trHeight w:val="169"/>
        </w:trPr>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millions)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millions)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8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Tripadvisor Core:</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Tripadvisor-branded hotels</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188</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510</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47 %</w:t>
            </w:r>
          </w:p>
        </w:tc>
      </w:tr>
      <w:tr>
        <w:trPr>
          <w:trHeight w:val="174"/>
        </w:trPr>
        <w:tc>
          <w:tcPr>
            <w:tcW w:w="2880" w:type="dxa"/>
            <w:vAlign w:val="bottom"/>
          </w:tcPr>
          <w:p>
            <w:pPr>
              <w:ind w:left="20"/>
              <w:spacing w:after="0" w:line="175" w:lineRule="exact"/>
              <w:rPr>
                <w:sz w:val="20"/>
                <w:szCs w:val="20"/>
                <w:color w:val="auto"/>
              </w:rPr>
            </w:pPr>
            <w:r>
              <w:rPr>
                <w:rFonts w:ascii="Arial" w:cs="Arial" w:eastAsia="Arial" w:hAnsi="Arial"/>
                <w:sz w:val="18"/>
                <w:szCs w:val="18"/>
                <w:color w:val="auto"/>
              </w:rPr>
              <w:t>Tripadvisor-branded display and</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platform</w:t>
            </w: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41 %</w:t>
            </w:r>
          </w:p>
        </w:tc>
      </w:tr>
      <w:tr>
        <w:trPr>
          <w:trHeight w:val="174"/>
        </w:trPr>
        <w:tc>
          <w:tcPr>
            <w:tcW w:w="2880" w:type="dxa"/>
            <w:vAlign w:val="bottom"/>
          </w:tcPr>
          <w:p>
            <w:pPr>
              <w:ind w:left="20"/>
              <w:spacing w:after="0" w:line="175" w:lineRule="exact"/>
              <w:rPr>
                <w:sz w:val="20"/>
                <w:szCs w:val="20"/>
                <w:color w:val="auto"/>
              </w:rPr>
            </w:pPr>
            <w:r>
              <w:rPr>
                <w:rFonts w:ascii="Arial" w:cs="Arial" w:eastAsia="Arial" w:hAnsi="Arial"/>
                <w:sz w:val="18"/>
                <w:szCs w:val="18"/>
                <w:color w:val="auto"/>
              </w:rPr>
              <w:t>Tripadvisor experiences and dining</w:t>
            </w: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96 %</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98 %</w:t>
            </w:r>
          </w:p>
        </w:tc>
      </w:tr>
      <w:tr>
        <w:trPr>
          <w:trHeight w:val="216"/>
        </w:trPr>
        <w:tc>
          <w:tcPr>
            <w:tcW w:w="288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14 %</w:t>
            </w:r>
          </w:p>
        </w:tc>
      </w:tr>
      <w:tr>
        <w:trPr>
          <w:trHeight w:val="209"/>
        </w:trPr>
        <w:tc>
          <w:tcPr>
            <w:tcW w:w="2880" w:type="dxa"/>
            <w:vAlign w:val="bottom"/>
          </w:tcPr>
          <w:p>
            <w:pPr>
              <w:ind w:left="200"/>
              <w:spacing w:after="0"/>
              <w:rPr>
                <w:sz w:val="20"/>
                <w:szCs w:val="20"/>
                <w:color w:val="auto"/>
              </w:rPr>
            </w:pPr>
            <w:r>
              <w:rPr>
                <w:rFonts w:ascii="Arial" w:cs="Arial" w:eastAsia="Arial" w:hAnsi="Arial"/>
                <w:sz w:val="18"/>
                <w:szCs w:val="18"/>
                <w:color w:val="auto"/>
              </w:rPr>
              <w:t>Total Tripadvisor Core Revenue</w:t>
            </w:r>
          </w:p>
        </w:tc>
        <w:tc>
          <w:tcPr>
            <w:tcW w:w="820" w:type="dxa"/>
            <w:vAlign w:val="bottom"/>
          </w:tcPr>
          <w:p>
            <w:pPr>
              <w:jc w:val="right"/>
              <w:ind w:right="63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284</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34 %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749</w:t>
            </w: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49 %</w:t>
            </w:r>
          </w:p>
        </w:tc>
      </w:tr>
      <w:tr>
        <w:trPr>
          <w:trHeight w:val="20"/>
        </w:trPr>
        <w:tc>
          <w:tcPr>
            <w:tcW w:w="28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-821055</wp:posOffset>
            </wp:positionV>
            <wp:extent cx="713232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07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307975"/>
                    </a:xfrm>
                    <a:prstGeom prst="rect">
                      <a:avLst/>
                    </a:prstGeom>
                    <a:noFill/>
                  </pic:spPr>
                </pic:pic>
              </a:graphicData>
            </a:graphic>
          </wp:anchor>
        </w:drawing>
      </w:r>
    </w:p>
    <w:p>
      <w:pPr>
        <w:spacing w:after="0" w:line="69" w:lineRule="exact"/>
        <w:rPr>
          <w:sz w:val="20"/>
          <w:szCs w:val="20"/>
          <w:color w:val="auto"/>
        </w:rPr>
      </w:pPr>
    </w:p>
    <w:p>
      <w:pPr>
        <w:ind w:left="840" w:right="260" w:hanging="383"/>
        <w:spacing w:after="0" w:line="266" w:lineRule="auto"/>
        <w:tabs>
          <w:tab w:leader="none" w:pos="8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Tripadvisor experiences and dining revenue within the Tripadvisor Core segment are shown gross of intersegment (intercompany) revenue, which is eliminated on a consolidated basis. See “Note 14: </w:t>
      </w:r>
      <w:r>
        <w:rPr>
          <w:rFonts w:ascii="Arial" w:cs="Arial" w:eastAsia="Arial" w:hAnsi="Arial"/>
          <w:sz w:val="14"/>
          <w:szCs w:val="14"/>
          <w:i w:val="1"/>
          <w:iCs w:val="1"/>
          <w:color w:val="auto"/>
        </w:rPr>
        <w:t>Segment Information</w:t>
      </w:r>
      <w:r>
        <w:rPr>
          <w:rFonts w:ascii="Arial" w:cs="Arial" w:eastAsia="Arial" w:hAnsi="Arial"/>
          <w:sz w:val="14"/>
          <w:szCs w:val="14"/>
          <w:color w:val="auto"/>
        </w:rPr>
        <w:t>” in the notes to our unaudited condensed consolidated financial statements in Item 1 in this Quarterly Report on Form 10-Q for a discussion of and the amounts of intersegment revenue for all periods presented.</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03" w:lineRule="exact"/>
        <w:rPr>
          <w:sz w:val="20"/>
          <w:szCs w:val="20"/>
          <w:color w:val="auto"/>
        </w:rPr>
      </w:pPr>
    </w:p>
    <w:p>
      <w:pPr>
        <w:ind w:right="60" w:firstLine="509"/>
        <w:spacing w:after="0" w:line="256" w:lineRule="auto"/>
        <w:rPr>
          <w:sz w:val="20"/>
          <w:szCs w:val="20"/>
          <w:color w:val="auto"/>
        </w:rPr>
      </w:pPr>
      <w:r>
        <w:rPr>
          <w:rFonts w:ascii="Arial" w:cs="Arial" w:eastAsia="Arial" w:hAnsi="Arial"/>
          <w:sz w:val="17"/>
          <w:szCs w:val="17"/>
          <w:color w:val="auto"/>
        </w:rPr>
        <w:t>For the three and nine months ended September 30, 2022, 66% and 68%, respectively, of our Tripadvisor Core segment revenue was derived from Tripadvisor-branded hotels revenue. For the three and nine months ended September 30, 2021, 67% and 69%, respectively, of our Tripadvisor Core segment revenue was derived from Tripadvisor-branded hotels revenue. Tripadvisor-branded hotels revenue increased $45 million and $163 million during the three and nine months ended September 30, 2022, respectively, when compared to the same periods in 2021. This increase was primarily driven by our hotel auction (or hotel meta) revenue across all markets, and, to a lesser extent, hotel B2B revenue, due to growing consumer travel demand and travel industry recovery and easing of government travel and leisure restrictions related to COVID-19. As consumer travel demand continued to increase during the first three quarters of 2022, the Company saw continued improvement in hotel auction monetization, as CPC rates during the first three quarters of 2022 were near or exceeded parity of 2019's comparable period, which enabled increased efficient marketing investment on performance channels, enhancing our 2022 hotel auction revenue growth. See “</w:t>
      </w:r>
      <w:r>
        <w:rPr>
          <w:rFonts w:ascii="Arial" w:cs="Arial" w:eastAsia="Arial" w:hAnsi="Arial"/>
          <w:sz w:val="17"/>
          <w:szCs w:val="17"/>
          <w:i w:val="1"/>
          <w:iCs w:val="1"/>
          <w:color w:val="auto"/>
        </w:rPr>
        <w:t>Trends</w:t>
      </w:r>
      <w:r>
        <w:rPr>
          <w:rFonts w:ascii="Arial" w:cs="Arial" w:eastAsia="Arial" w:hAnsi="Arial"/>
          <w:sz w:val="17"/>
          <w:szCs w:val="17"/>
          <w:color w:val="auto"/>
        </w:rPr>
        <w:t>” above for further discussion.</w:t>
      </w: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31" w:right="27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For the three and nine months ended September 30, 2022, 12% and 13%, respectively, of our Tripadvisor Core segment revenue was derived from our Tripadvisor-branded display and platform revenue, which consists of revenue from Tripadvisor-branded display-based advertising across our platform. For both the three and nine months ended September 30, 2021, 14% of our Tripadvisor Core segment revenue was derived from our Tripadvisor-branded display and platform revenue.</w:t>
      </w:r>
    </w:p>
    <w:p>
      <w:pPr>
        <w:spacing w:after="0" w:line="183"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Tripadvisor-branded display-based advertising revenue increased by $4 million and $28 million during the three and nine months ended September 30, 2022, respectively, when compared to the same periods in 2021, primarily driven by an increase in marketing spend from our advertisers in correlation with increasing consumer travel demand, as discussed above.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 Experiences and Dining Revenue</w:t>
      </w:r>
    </w:p>
    <w:p>
      <w:pPr>
        <w:spacing w:after="0" w:line="103"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For the three and nine months ended September 30, 2022, 16% and 14%, respectively, of our Tripadvisor Core segment revenue was derived from our 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revenue earned from Tripadvisor's restaurant service offerings. For the three and nine months ended September 30, 2021, 11% and 10%, respectively, of our Tripadvisor Core segment revenue was derived from our Tripadvisor experiences and dining revenue.</w:t>
      </w:r>
    </w:p>
    <w:p>
      <w:pPr>
        <w:spacing w:after="0" w:line="75"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Tripadvisor experiences and dining revenue increased by $22 million and $50 million during the three and nine months ended September 30, 2022, respectively, when compared to the same periods in 2021, primarily driven by our experiences offering due to the impact of growing consumer travel demand and travel industry recovery on our business, as discussed above.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Revenue</w:t>
      </w:r>
    </w:p>
    <w:p>
      <w:pPr>
        <w:spacing w:after="0" w:line="103"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For the three and nine months ended September 30, 2022, 6% and 5%, respectively, of our Tripadvisor Core segment revenue was derived from Other revenue, which includes rentals revenue, in addition to primarily click-based advertising and display-based advertising revenue from our cruises, flights, and cars offerings on Tripadvisor websites and mobile apps. For the three and nine months ended September 30, 2021, 8% and 7%, respectively, of our Tripadvisor Core segment revenue was derived from Other revenue.</w:t>
      </w:r>
    </w:p>
    <w:p>
      <w:pPr>
        <w:spacing w:after="0" w:line="196"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Other revenue increased by $1 million and $5 million during the three and nine months ended September 30, 2022, respectively, when compared to the same periods in 2021, primarily due to the impact of growing consumer travel demand and travel industry recovery on our business, as discussed above.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Viator Segment</w:t>
      </w:r>
    </w:p>
    <w:p>
      <w:pPr>
        <w:spacing w:after="0" w:line="211"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Viator segment revenue increased by $101 million and $241 million during the three and nine months ended September 30, 2022, respectively, when compared to the same periods in 2021, primarily driven by the consumer travel demand recovery and pent-up demand for experiences across all geographies, in conjunction with the lifting of various government restrictions on experience activities during the same time period, which is discussed further in “</w:t>
      </w:r>
      <w:r>
        <w:rPr>
          <w:rFonts w:ascii="Arial" w:cs="Arial" w:eastAsia="Arial" w:hAnsi="Arial"/>
          <w:sz w:val="16"/>
          <w:szCs w:val="16"/>
          <w:i w:val="1"/>
          <w:iCs w:val="1"/>
          <w:color w:val="auto"/>
        </w:rPr>
        <w:t>Trends</w:t>
      </w:r>
      <w:r>
        <w:rPr>
          <w:rFonts w:ascii="Arial" w:cs="Arial" w:eastAsia="Arial" w:hAnsi="Arial"/>
          <w:sz w:val="16"/>
          <w:szCs w:val="16"/>
          <w:color w:val="auto"/>
        </w:rPr>
        <w:t>” above. In addition, Viator is benefitting from the larger macro trend, or secular shift, as the large global market in which it operates continues to grow, and, in addition, migrate online from traditional offline sources. We also estimate this segment's revenue performance was negatively impacted by foreign currency fluctuations of $13 million during the three months ended September 30, 2022, when compared to the same period in 2021.</w:t>
      </w:r>
    </w:p>
    <w:p>
      <w:pPr>
        <w:spacing w:after="0" w:line="159" w:lineRule="exact"/>
        <w:rPr>
          <w:sz w:val="20"/>
          <w:szCs w:val="20"/>
          <w:color w:val="auto"/>
        </w:rPr>
      </w:pPr>
    </w:p>
    <w:p>
      <w:pPr>
        <w:ind w:firstLine="509"/>
        <w:spacing w:after="0" w:line="282" w:lineRule="auto"/>
        <w:rPr>
          <w:sz w:val="20"/>
          <w:szCs w:val="20"/>
          <w:color w:val="auto"/>
        </w:rPr>
      </w:pPr>
      <w:r>
        <w:rPr>
          <w:rFonts w:ascii="Arial" w:cs="Arial" w:eastAsia="Arial" w:hAnsi="Arial"/>
          <w:sz w:val="16"/>
          <w:szCs w:val="16"/>
          <w:color w:val="auto"/>
        </w:rPr>
        <w:t>Adjusted EBITDA in our Viator segment increased by $11 million during the three months ended September 30, 2022, while Adjusted EBITDA loss decreased by $17 million during the nine months ended September 30, 2022, when compared to the same periods in 2021, primarily due to an increase in revenue as noted above, largely offset by an increase in selling and marketing expenses related to SEM, other online paid traffic acquisition costs, and other marketing costs in response to increased consumer demand for experiences as part of the growing consumer travel demand recovery and to grow market share, and, to a lesser extent, an increase in direct costs from credit card payments and other revenue-related transaction costs in direct correlation with the increase in revenue, as well as increased personnel and overhead costs to help support business growth during the travel demand recovery.</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TheFork Segment</w:t>
      </w:r>
    </w:p>
    <w:p>
      <w:pPr>
        <w:spacing w:after="0" w:line="22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TheFork segment revenue increased by $5 million and $38 million during the three and nine months ended September 30, 2022, respectively, when compared to the same periods in 2021, driven by the consumer travel demand recovery and various government restrictions on restaurants being lifted during the same time period, which is discussed further in “</w:t>
      </w:r>
      <w:r>
        <w:rPr>
          <w:rFonts w:ascii="Arial" w:cs="Arial" w:eastAsia="Arial" w:hAnsi="Arial"/>
          <w:sz w:val="18"/>
          <w:szCs w:val="18"/>
          <w:i w:val="1"/>
          <w:iCs w:val="1"/>
          <w:color w:val="auto"/>
        </w:rPr>
        <w:t>Trends</w:t>
      </w:r>
      <w:r>
        <w:rPr>
          <w:rFonts w:ascii="Arial" w:cs="Arial" w:eastAsia="Arial" w:hAnsi="Arial"/>
          <w:sz w:val="18"/>
          <w:szCs w:val="18"/>
          <w:color w:val="auto"/>
        </w:rPr>
        <w:t>” above, despite the impact of</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color w:val="auto"/>
        </w:rPr>
        <w:t>foreign currency fluctuations, which we estimate negatively impacted this segment's revenue performance during the three months ended September 30, 2022 in the amount of $6 million.</w:t>
      </w:r>
    </w:p>
    <w:p>
      <w:pPr>
        <w:spacing w:after="0" w:line="156" w:lineRule="exact"/>
        <w:rPr>
          <w:sz w:val="20"/>
          <w:szCs w:val="20"/>
          <w:color w:val="auto"/>
        </w:rPr>
      </w:pPr>
    </w:p>
    <w:p>
      <w:pPr>
        <w:ind w:right="100" w:firstLine="509"/>
        <w:spacing w:after="0" w:line="289" w:lineRule="auto"/>
        <w:rPr>
          <w:sz w:val="20"/>
          <w:szCs w:val="20"/>
          <w:color w:val="auto"/>
        </w:rPr>
      </w:pPr>
      <w:r>
        <w:rPr>
          <w:rFonts w:ascii="Arial" w:cs="Arial" w:eastAsia="Arial" w:hAnsi="Arial"/>
          <w:sz w:val="16"/>
          <w:szCs w:val="16"/>
          <w:color w:val="auto"/>
        </w:rPr>
        <w:t>Adjusted EBITDA loss in TheFork segment increased by $7 million during the three months ended September 30, 2022 when compared to the same period in 2021, primarily due to an increase in selling and marketing expenses related to online paid traffic acquisition costs, in addition to television advertising costs, in response to increased demand as part of the consumer travel demand recovery and, to a lesser extent, an increase in personnel and overhead costs to help support business growth during the travel demand recovery, partially offset by an increase in revenue as noted above.</w:t>
      </w:r>
    </w:p>
    <w:p>
      <w:pPr>
        <w:spacing w:after="0" w:line="152"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auto"/>
        </w:rPr>
        <w:t>Adjusted EBITDA loss in TheFork segment decreased by $8 million during the nine months ended September 30, 2022, when compared to the same period in 2021, primarily due to an increase in revenue as noted above, and to a lesser extent, non-income tax related government assistance benefits related to COVID-19 relief received during the second quarter of 2022 of approximately $11 million recorded as a benefit to general and administrative expenses, largely offset by an increase in selling and marketing expenses related to online paid traffic acquisition costs, in addition to television advertising costs, in response to increased demand as part of the consumer travel demand recovery and, to a lesser extent, an increase in personnel and overhead costs to help support business growth during the travel demand recovery.</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280" w:firstLine="509"/>
        <w:spacing w:after="0" w:line="268" w:lineRule="auto"/>
        <w:rPr>
          <w:sz w:val="20"/>
          <w:szCs w:val="20"/>
          <w:color w:val="auto"/>
        </w:rPr>
      </w:pPr>
      <w:r>
        <w:rPr>
          <w:rFonts w:ascii="Arial" w:cs="Arial" w:eastAsia="Arial" w:hAnsi="Arial"/>
          <w:sz w:val="17"/>
          <w:szCs w:val="17"/>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w w:val="90"/>
              </w:rPr>
              <w:t>millions)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20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w w:val="86"/>
              </w:rPr>
              <w:t>millions)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36</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(14 %)</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9"/>
        </w:trPr>
        <w:tc>
          <w:tcPr>
            <w:tcW w:w="282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w:t>
            </w:r>
          </w:p>
        </w:tc>
        <w:tc>
          <w:tcPr>
            <w:tcW w:w="24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39 %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18"/>
                <w:szCs w:val="18"/>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w:t>
            </w:r>
          </w:p>
        </w:tc>
        <w:tc>
          <w:tcPr>
            <w:tcW w:w="2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2820" w:type="dxa"/>
            <w:vAlign w:val="bottom"/>
            <w:vMerge w:val="restart"/>
          </w:tcPr>
          <w:p>
            <w:pPr>
              <w:ind w:left="200"/>
              <w:spacing w:after="0"/>
              <w:rPr>
                <w:sz w:val="20"/>
                <w:szCs w:val="20"/>
                <w:color w:val="auto"/>
              </w:rPr>
            </w:pPr>
            <w:r>
              <w:rPr>
                <w:rFonts w:ascii="Arial" w:cs="Arial" w:eastAsia="Arial" w:hAnsi="Arial"/>
                <w:sz w:val="18"/>
                <w:szCs w:val="18"/>
                <w:color w:val="auto"/>
              </w:rPr>
              <w:t>% of revenue</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8"/>
                <w:szCs w:val="18"/>
                <w:color w:val="auto"/>
              </w:rPr>
              <w:t xml:space="preserve">7.0 </w:t>
            </w:r>
            <w:r>
              <w:rPr>
                <w:rFonts w:ascii="Arial" w:cs="Arial" w:eastAsia="Arial" w:hAnsi="Arial"/>
                <w:sz w:val="18"/>
                <w:szCs w:val="18"/>
                <w:color w:val="auto"/>
                <w:highlight w:val="white"/>
              </w:rPr>
              <w:t>%</w:t>
            </w:r>
          </w:p>
        </w:tc>
        <w:tc>
          <w:tcPr>
            <w:tcW w:w="9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2"/>
              </w:rPr>
              <w:t xml:space="preserve">7.6 </w:t>
            </w:r>
            <w:r>
              <w:rPr>
                <w:rFonts w:ascii="Arial" w:cs="Arial" w:eastAsia="Arial" w:hAnsi="Arial"/>
                <w:sz w:val="18"/>
                <w:szCs w:val="18"/>
                <w:color w:val="auto"/>
                <w:highlight w:val="white"/>
                <w:w w:val="82"/>
              </w:rPr>
              <w:t>%</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color w:val="auto"/>
                <w:highlight w:val="white"/>
              </w:rPr>
              <w:t>%</w:t>
            </w:r>
          </w:p>
        </w:tc>
        <w:tc>
          <w:tcPr>
            <w:tcW w:w="94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 xml:space="preserve">8.2 </w:t>
            </w:r>
            <w:r>
              <w:rPr>
                <w:rFonts w:ascii="Arial" w:cs="Arial" w:eastAsia="Arial" w:hAnsi="Arial"/>
                <w:sz w:val="18"/>
                <w:szCs w:val="18"/>
                <w:color w:val="auto"/>
                <w:highlight w:val="white"/>
                <w:w w:val="82"/>
              </w:rPr>
              <w: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Cost of revenue increased $9 million and $31 million during the three and nine months ended September 30, 2022, respectively, when compared to the same periods in 2021, the majority of which is due to increased direct costs from credit card payment processing fees and other revenue-related transaction costs in our Viator segment in direct correlation with the increase in revenue, as Viator serves as the merchant of record for the majority of its experience booking transactions.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8"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auto"/>
        </w:rPr>
        <w:t>Selling and marketing expenses consist of direct costs, including traffic generation costs from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and bonuses for sales, sales support, customer support and marketing employees.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2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6"/>
                <w:szCs w:val="16"/>
                <w:color w:val="auto"/>
              </w:rPr>
            </w:pPr>
          </w:p>
        </w:tc>
        <w:tc>
          <w:tcPr>
            <w:tcW w:w="2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Nine months ended September 30,</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 vs. 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0"/>
              </w:rPr>
              <w:t>millions)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6"/>
              </w:rPr>
              <w:t>millions)</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Direct costs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76 %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16 %</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9"/>
        </w:trPr>
        <w:tc>
          <w:tcPr>
            <w:tcW w:w="2860" w:type="dxa"/>
            <w:vAlign w:val="bottom"/>
          </w:tcPr>
          <w:p>
            <w:pPr>
              <w:ind w:left="200"/>
              <w:spacing w:after="0"/>
              <w:rPr>
                <w:sz w:val="20"/>
                <w:szCs w:val="20"/>
                <w:color w:val="auto"/>
              </w:rPr>
            </w:pPr>
            <w:r>
              <w:rPr>
                <w:rFonts w:ascii="Arial" w:cs="Arial" w:eastAsia="Arial" w:hAnsi="Arial"/>
                <w:sz w:val="18"/>
                <w:szCs w:val="18"/>
                <w:color w:val="auto"/>
              </w:rPr>
              <w:t>Total selling and marketing</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58 %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0"/>
              <w:spacing w:after="0"/>
              <w:rPr>
                <w:sz w:val="20"/>
                <w:szCs w:val="20"/>
                <w:color w:val="auto"/>
              </w:rPr>
            </w:pPr>
            <w:r>
              <w:rPr>
                <w:rFonts w:ascii="Arial" w:cs="Arial" w:eastAsia="Arial" w:hAnsi="Arial"/>
                <w:sz w:val="18"/>
                <w:szCs w:val="18"/>
                <w:color w:val="auto"/>
              </w:rPr>
              <w:t>% of revenue</w:t>
            </w: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6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w w:val="96"/>
              </w:rPr>
              <w:t xml:space="preserve">51.0 </w:t>
            </w:r>
            <w:r>
              <w:rPr>
                <w:rFonts w:ascii="Arial" w:cs="Arial" w:eastAsia="Arial" w:hAnsi="Arial"/>
                <w:sz w:val="18"/>
                <w:szCs w:val="18"/>
                <w:color w:val="auto"/>
                <w:highlight w:val="white"/>
                <w:w w:val="96"/>
              </w:rPr>
              <w:t>%</w:t>
            </w:r>
          </w:p>
        </w:tc>
        <w:tc>
          <w:tcPr>
            <w:tcW w:w="3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48.8 </w:t>
            </w:r>
            <w:r>
              <w:rPr>
                <w:rFonts w:ascii="Arial" w:cs="Arial" w:eastAsia="Arial" w:hAnsi="Arial"/>
                <w:sz w:val="18"/>
                <w:szCs w:val="18"/>
                <w:color w:val="auto"/>
                <w:highlight w:val="white"/>
              </w:rPr>
              <w: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color w:val="auto"/>
                <w:highlight w:val="white"/>
              </w:rPr>
              <w:t>%</w:t>
            </w:r>
          </w:p>
        </w:tc>
        <w:tc>
          <w:tcPr>
            <w:tcW w:w="3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color w:val="auto"/>
                <w:highlight w:val="white"/>
              </w:rPr>
              <w:t>%</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Direct selling and marketing costs increased $79 million and $236 million during the three and nine months ended September 30, 2022, respectively, when compared to the same periods in 2021, primarily due to an increase of $74 million and $220 million,</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43" w:right="279" w:bottom="1440" w:gutter="0" w:footer="0" w:header="0"/>
        </w:sectPr>
      </w:pPr>
    </w:p>
    <w:bookmarkStart w:id="40" w:name="page41"/>
    <w:bookmarkEnd w:id="40"/>
    <w:p>
      <w:pPr>
        <w:jc w:val="both"/>
        <w:ind w:right="100"/>
        <w:spacing w:after="0" w:line="248" w:lineRule="auto"/>
        <w:rPr>
          <w:sz w:val="20"/>
          <w:szCs w:val="20"/>
          <w:color w:val="auto"/>
        </w:rPr>
      </w:pPr>
      <w:r>
        <w:rPr>
          <w:rFonts w:ascii="Arial" w:cs="Arial" w:eastAsia="Arial" w:hAnsi="Arial"/>
          <w:sz w:val="18"/>
          <w:szCs w:val="18"/>
          <w:color w:val="auto"/>
        </w:rPr>
        <w:t>respectively, in SEM, other paid online traffic acquisition spend, and other marketing costs, the substantial majority of which was within our Tripadvisor Core and Viator segments, in response to increasing consumer travel demand as travel activity restrictions have eased and the travel industry recovers, as well as, and to a lesser extent, increased television advertising costs of $5 million and $12 million in TheFork segment during the three and nine months ended September 30, 2022, respectively, when compared to the same periods in 2021.</w:t>
      </w:r>
    </w:p>
    <w:p>
      <w:pPr>
        <w:spacing w:after="0" w:line="196" w:lineRule="exact"/>
        <w:rPr>
          <w:sz w:val="20"/>
          <w:szCs w:val="20"/>
          <w:color w:val="auto"/>
        </w:rPr>
      </w:pPr>
    </w:p>
    <w:p>
      <w:pPr>
        <w:jc w:val="both"/>
        <w:ind w:right="200" w:firstLine="509"/>
        <w:spacing w:after="0" w:line="247" w:lineRule="auto"/>
        <w:rPr>
          <w:sz w:val="20"/>
          <w:szCs w:val="20"/>
          <w:color w:val="auto"/>
        </w:rPr>
      </w:pPr>
      <w:r>
        <w:rPr>
          <w:rFonts w:ascii="Arial" w:cs="Arial" w:eastAsia="Arial" w:hAnsi="Arial"/>
          <w:sz w:val="18"/>
          <w:szCs w:val="18"/>
          <w:color w:val="auto"/>
        </w:rPr>
        <w:t>Personnel and overhead costs increased $7 million and $12 million during the three and nine months ended September 30, 2022, respectively, when compared to the same periods in 2021, primarily due to an increase in contingent staff and additional headcount to help support business growth during the growing travel demand recovery.</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198"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expense, computer supplies, telecom costs, content translation and localization costs, and consulting costs.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29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6"/>
                <w:szCs w:val="16"/>
                <w:color w:val="auto"/>
              </w:rPr>
            </w:pPr>
          </w:p>
        </w:tc>
        <w:tc>
          <w:tcPr>
            <w:tcW w:w="26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3"/>
              </w:rPr>
              <w:t>Nine months ended September 30,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0"/>
              </w:rPr>
              <w:t>millions)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6"/>
              </w:rPr>
              <w:t>millions)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Personnel and overhead</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33 %</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9"/>
        </w:trPr>
        <w:tc>
          <w:tcPr>
            <w:tcW w:w="2840" w:type="dxa"/>
            <w:vAlign w:val="bottom"/>
          </w:tcPr>
          <w:p>
            <w:pPr>
              <w:ind w:left="200"/>
              <w:spacing w:after="0"/>
              <w:rPr>
                <w:sz w:val="20"/>
                <w:szCs w:val="20"/>
                <w:color w:val="auto"/>
              </w:rPr>
            </w:pPr>
            <w:r>
              <w:rPr>
                <w:rFonts w:ascii="Arial" w:cs="Arial" w:eastAsia="Arial" w:hAnsi="Arial"/>
                <w:sz w:val="18"/>
                <w:szCs w:val="18"/>
                <w:color w:val="auto"/>
              </w:rPr>
              <w:t>Total technology and content</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00"/>
              <w:spacing w:after="0"/>
              <w:rPr>
                <w:sz w:val="20"/>
                <w:szCs w:val="20"/>
                <w:color w:val="auto"/>
              </w:rPr>
            </w:pPr>
            <w:r>
              <w:rPr>
                <w:rFonts w:ascii="Arial" w:cs="Arial" w:eastAsia="Arial" w:hAnsi="Arial"/>
                <w:sz w:val="18"/>
                <w:szCs w:val="18"/>
                <w:color w:val="auto"/>
              </w:rPr>
              <w:t>% of revenue</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4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8"/>
                <w:szCs w:val="18"/>
                <w:color w:val="auto"/>
                <w:w w:val="96"/>
              </w:rPr>
              <w:t xml:space="preserve">12.0 </w:t>
            </w:r>
            <w:r>
              <w:rPr>
                <w:rFonts w:ascii="Arial" w:cs="Arial" w:eastAsia="Arial" w:hAnsi="Arial"/>
                <w:sz w:val="18"/>
                <w:szCs w:val="18"/>
                <w:color w:val="auto"/>
                <w:highlight w:val="white"/>
                <w:w w:val="96"/>
              </w:rPr>
              <w:t>%</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color w:val="auto"/>
                <w:highlight w:val="white"/>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8"/>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color w:val="auto"/>
                <w:highlight w:val="white"/>
              </w:rPr>
              <w: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Personnel and overhead costs increased $1 million during the three months ended September 30, 2022, when compared to the same period in 2021, primarily due to additional headcount to help support business growth during the travel demand recovery, partially offset by a decrease in stock-based compensation expense of $3 million during the three months ended September 30, 2022. Personnel and overhead costs decreased $3 million during the nine months ended September 30, 2022, when compared to the same period in 2021, primarily due to a decrease in stock-based compensation expense of $8 million during the nine months ended September 30, 2022, partially offset by additional headcount to help support business growth during the travel demand recovery.</w:t>
      </w:r>
    </w:p>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digital services, and other non-income related taxes.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29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 September 30,</w:t>
            </w: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tcPr>
          <w:p>
            <w:pPr>
              <w:spacing w:after="0"/>
              <w:rPr>
                <w:sz w:val="16"/>
                <w:szCs w:val="16"/>
                <w:color w:val="auto"/>
              </w:rPr>
            </w:pPr>
          </w:p>
        </w:tc>
        <w:tc>
          <w:tcPr>
            <w:tcW w:w="26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Nine months ended September 30,</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6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2022 vs. 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0"/>
              </w:rPr>
              <w:t>millions)</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86"/>
              </w:rPr>
              <w:t>millions)</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Pr>
          <w:p>
            <w:pPr>
              <w:jc w:val="right"/>
              <w:ind w:right="1030"/>
              <w:spacing w:after="0"/>
              <w:rPr>
                <w:sz w:val="20"/>
                <w:szCs w:val="20"/>
                <w:color w:val="auto"/>
              </w:rPr>
            </w:pPr>
            <w:r>
              <w:rPr>
                <w:rFonts w:ascii="Arial" w:cs="Arial" w:eastAsia="Arial" w:hAnsi="Arial"/>
                <w:sz w:val="18"/>
                <w:szCs w:val="18"/>
                <w:color w:val="auto"/>
                <w:w w:val="87"/>
              </w:rPr>
              <w:t>Personnel and overhead</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860" w:type="dxa"/>
            <w:vAlign w:val="bottom"/>
          </w:tcPr>
          <w:p>
            <w:pPr>
              <w:jc w:val="right"/>
              <w:ind w:right="250"/>
              <w:spacing w:after="0"/>
              <w:rPr>
                <w:sz w:val="20"/>
                <w:szCs w:val="20"/>
                <w:color w:val="auto"/>
              </w:rPr>
            </w:pPr>
            <w:r>
              <w:rPr>
                <w:rFonts w:ascii="Arial" w:cs="Arial" w:eastAsia="Arial" w:hAnsi="Arial"/>
                <w:sz w:val="18"/>
                <w:szCs w:val="18"/>
                <w:color w:val="auto"/>
                <w:w w:val="88"/>
              </w:rPr>
              <w:t>Professional service fees and other</w:t>
            </w: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117 %</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9"/>
        </w:trPr>
        <w:tc>
          <w:tcPr>
            <w:tcW w:w="2860" w:type="dxa"/>
            <w:vAlign w:val="bottom"/>
          </w:tcPr>
          <w:p>
            <w:pPr>
              <w:jc w:val="right"/>
              <w:ind w:right="250"/>
              <w:spacing w:after="0"/>
              <w:rPr>
                <w:sz w:val="20"/>
                <w:szCs w:val="20"/>
                <w:color w:val="auto"/>
              </w:rPr>
            </w:pPr>
            <w:r>
              <w:rPr>
                <w:rFonts w:ascii="Arial" w:cs="Arial" w:eastAsia="Arial" w:hAnsi="Arial"/>
                <w:sz w:val="18"/>
                <w:szCs w:val="18"/>
                <w:color w:val="auto"/>
                <w:w w:val="97"/>
              </w:rPr>
              <w:t>Total general and administrative</w:t>
            </w: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22 %</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2860" w:type="dxa"/>
            <w:vAlign w:val="bottom"/>
            <w:vMerge w:val="restart"/>
          </w:tcPr>
          <w:p>
            <w:pPr>
              <w:jc w:val="right"/>
              <w:ind w:right="1610"/>
              <w:spacing w:after="0"/>
              <w:rPr>
                <w:sz w:val="20"/>
                <w:szCs w:val="20"/>
                <w:color w:val="auto"/>
              </w:rPr>
            </w:pPr>
            <w:r>
              <w:rPr>
                <w:rFonts w:ascii="Arial" w:cs="Arial" w:eastAsia="Arial" w:hAnsi="Arial"/>
                <w:sz w:val="18"/>
                <w:szCs w:val="18"/>
                <w:color w:val="auto"/>
              </w:rPr>
              <w:t>% of revenue</w:t>
            </w: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6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color w:val="auto"/>
                <w:highlight w:val="white"/>
              </w:rPr>
              <w:t>%</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
              <w:spacing w:after="0"/>
              <w:rPr>
                <w:sz w:val="20"/>
                <w:szCs w:val="20"/>
                <w:color w:val="auto"/>
              </w:rPr>
            </w:pPr>
            <w:r>
              <w:rPr>
                <w:rFonts w:ascii="Arial" w:cs="Arial" w:eastAsia="Arial" w:hAnsi="Arial"/>
                <w:sz w:val="18"/>
                <w:szCs w:val="18"/>
                <w:color w:val="auto"/>
              </w:rPr>
              <w:t xml:space="preserve">10.0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color w:val="auto"/>
                <w:highlight w:val="white"/>
              </w:rPr>
              <w: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wp:posOffset>
            </wp:positionV>
            <wp:extent cx="71323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7" w:lineRule="exact"/>
        <w:rPr>
          <w:sz w:val="20"/>
          <w:szCs w:val="20"/>
          <w:color w:val="auto"/>
        </w:rPr>
      </w:pPr>
    </w:p>
    <w:p>
      <w:pPr>
        <w:ind w:right="300" w:firstLine="509"/>
        <w:spacing w:after="0" w:line="256" w:lineRule="auto"/>
        <w:rPr>
          <w:sz w:val="20"/>
          <w:szCs w:val="20"/>
          <w:color w:val="auto"/>
        </w:rPr>
      </w:pPr>
      <w:r>
        <w:rPr>
          <w:rFonts w:ascii="Arial" w:cs="Arial" w:eastAsia="Arial" w:hAnsi="Arial"/>
          <w:sz w:val="17"/>
          <w:szCs w:val="17"/>
          <w:color w:val="auto"/>
        </w:rPr>
        <w:t>General and administrative costs increased $8 million during the three months ended September 30, 2022, when compared to the same period in 2021. Personnel and overhead costs increased $1 million during the three months ended September 30, 2022, when compared to the same period in 2021, primarily due to additional headcount to help support business growth during the travel demand recovery, partially offset by a decrease in stock-based compensation expense of $3 million during the three months ended September 30, 2022. Professional service fees and other costs increased $7 million during the three months ended September 30, 2022, when compared to the same period in 2021, primarily due to an increase in digital service taxes in Europe of $4 million and, to a lesser extent, bad debt expense.</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43" w:right="239" w:bottom="1440" w:gutter="0" w:footer="0" w:header="0"/>
        </w:sectPr>
      </w:pPr>
    </w:p>
    <w:bookmarkStart w:id="41" w:name="page42"/>
    <w:bookmarkEnd w:id="41"/>
    <w:p>
      <w:pPr>
        <w:ind w:right="220" w:firstLine="509"/>
        <w:spacing w:after="0" w:line="279" w:lineRule="auto"/>
        <w:rPr>
          <w:sz w:val="20"/>
          <w:szCs w:val="20"/>
          <w:color w:val="auto"/>
        </w:rPr>
      </w:pPr>
      <w:r>
        <w:rPr>
          <w:rFonts w:ascii="Arial" w:cs="Arial" w:eastAsia="Arial" w:hAnsi="Arial"/>
          <w:sz w:val="16"/>
          <w:szCs w:val="16"/>
          <w:color w:val="auto"/>
        </w:rPr>
        <w:t>General and administrative costs decreased $7 million during the nine months ended September 30, 2022, when compared to the same period in 2021. Personnel and overhead costs decreased $2 million during the nine months ended September 30, 2022, when compared to the same period in 2021, primarily due to a decrease in stock-based compensation expense of $12 million during the nine months ended September 30, 2022, partially offset by additional headcount to help support business growth during the travel demand recovery. Professional service fees and other costs decreased $5 million during the nine months ended September 30, 2022, when compared to the same period in 2021, primarily due to an increase in non-income tax related government assistance benefits related to COVID-19 relief of $10 million during the nine months ended September 30, 2022, as $11 million was received by the Company during the second quarter of 2022, partially offset primarily by an increase in digital service taxes in Europe of $6 million.</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11"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300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02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480" w:type="dxa"/>
            <w:vAlign w:val="bottom"/>
            <w:gridSpan w:val="2"/>
          </w:tcPr>
          <w:p>
            <w:pPr>
              <w:jc w:val="right"/>
              <w:ind w:right="836"/>
              <w:spacing w:after="0"/>
              <w:rPr>
                <w:sz w:val="20"/>
                <w:szCs w:val="20"/>
                <w:color w:val="auto"/>
              </w:rPr>
            </w:pPr>
            <w:r>
              <w:rPr>
                <w:rFonts w:ascii="Arial" w:cs="Arial" w:eastAsia="Arial" w:hAnsi="Arial"/>
                <w:sz w:val="14"/>
                <w:szCs w:val="14"/>
                <w:b w:val="1"/>
                <w:bCs w:val="1"/>
                <w:color w:val="auto"/>
                <w:w w:val="93"/>
              </w:rPr>
              <w:t>millions)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0"/>
              </w:rPr>
              <w:t>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9"/>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4020" w:type="dxa"/>
            <w:vAlign w:val="bottom"/>
          </w:tcPr>
          <w:p>
            <w:pPr>
              <w:ind w:left="200"/>
              <w:spacing w:after="0"/>
              <w:rPr>
                <w:sz w:val="20"/>
                <w:szCs w:val="20"/>
                <w:color w:val="auto"/>
              </w:rPr>
            </w:pPr>
            <w:r>
              <w:rPr>
                <w:rFonts w:ascii="Arial" w:cs="Arial" w:eastAsia="Arial" w:hAnsi="Arial"/>
                <w:sz w:val="18"/>
                <w:szCs w:val="18"/>
                <w:color w:val="auto"/>
              </w:rPr>
              <w:t>% of revenue</w:t>
            </w:r>
          </w:p>
        </w:tc>
        <w:tc>
          <w:tcPr>
            <w:tcW w:w="1100" w:type="dxa"/>
            <w:vAlign w:val="bottom"/>
          </w:tcPr>
          <w:p>
            <w:pPr>
              <w:spacing w:after="0"/>
              <w:rPr>
                <w:sz w:val="18"/>
                <w:szCs w:val="18"/>
                <w:color w:val="auto"/>
              </w:rPr>
            </w:pPr>
          </w:p>
        </w:tc>
        <w:tc>
          <w:tcPr>
            <w:tcW w:w="760" w:type="dxa"/>
            <w:vAlign w:val="bottom"/>
            <w:gridSpan w:val="2"/>
          </w:tcPr>
          <w:p>
            <w:pPr>
              <w:jc w:val="right"/>
              <w:ind w:right="88"/>
              <w:spacing w:after="0"/>
              <w:rPr>
                <w:sz w:val="20"/>
                <w:szCs w:val="20"/>
                <w:color w:val="auto"/>
              </w:rPr>
            </w:pPr>
            <w:r>
              <w:rPr>
                <w:rFonts w:ascii="Arial" w:cs="Arial" w:eastAsia="Arial" w:hAnsi="Arial"/>
                <w:sz w:val="18"/>
                <w:szCs w:val="18"/>
                <w:color w:val="auto"/>
              </w:rPr>
              <w:t xml:space="preserve">5.0 </w:t>
            </w:r>
            <w:r>
              <w:rPr>
                <w:rFonts w:ascii="Arial" w:cs="Arial" w:eastAsia="Arial" w:hAnsi="Arial"/>
                <w:sz w:val="18"/>
                <w:szCs w:val="18"/>
                <w:color w:val="auto"/>
                <w:highlight w:val="white"/>
              </w:rPr>
              <w:t>%</w:t>
            </w:r>
          </w:p>
        </w:tc>
        <w:tc>
          <w:tcPr>
            <w:tcW w:w="1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color w:val="auto"/>
                <w:highlight w:val="white"/>
              </w:rPr>
              <w:t>%</w:t>
            </w:r>
          </w:p>
        </w:tc>
        <w:tc>
          <w:tcPr>
            <w:tcW w:w="360" w:type="dxa"/>
            <w:vAlign w:val="bottom"/>
          </w:tcPr>
          <w:p>
            <w:pPr>
              <w:spacing w:after="0"/>
              <w:rPr>
                <w:sz w:val="18"/>
                <w:szCs w:val="18"/>
                <w:color w:val="auto"/>
              </w:rPr>
            </w:pPr>
          </w:p>
        </w:tc>
        <w:tc>
          <w:tcPr>
            <w:tcW w:w="1460" w:type="dxa"/>
            <w:vAlign w:val="bottom"/>
            <w:gridSpan w:val="2"/>
          </w:tcPr>
          <w:p>
            <w:pPr>
              <w:jc w:val="right"/>
              <w:ind w:right="68"/>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color w:val="auto"/>
                <w:highlight w:val="white"/>
              </w:rPr>
              <w:t>%</w:t>
            </w:r>
          </w:p>
        </w:tc>
        <w:tc>
          <w:tcPr>
            <w:tcW w:w="4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color w:val="auto"/>
                <w:highlight w:val="whit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-171450</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-171450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-171450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-171450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Depreciation and amortization decreased $4 million and $12 million during the three and nine months ended September 30, 2022, respectively, when compared to the same periods in 2021, primarily due to the completion of amortization related to certain intangible assets from business acquisitions and capitalized website development costs in previous years.</w:t>
      </w: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1"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the Credit Facility, 2025 Senior Notes, 2026 Senior Notes, as well as interest on finance leases.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980" w:type="dxa"/>
            <w:vAlign w:val="bottom"/>
            <w:gridSpan w:val="4"/>
          </w:tcPr>
          <w:p>
            <w:pPr>
              <w:ind w:left="620"/>
              <w:spacing w:after="0"/>
              <w:rPr>
                <w:sz w:val="20"/>
                <w:szCs w:val="20"/>
                <w:color w:val="auto"/>
              </w:rPr>
            </w:pPr>
            <w:r>
              <w:rPr>
                <w:rFonts w:ascii="Arial" w:cs="Arial" w:eastAsia="Arial" w:hAnsi="Arial"/>
                <w:sz w:val="14"/>
                <w:szCs w:val="14"/>
                <w:b w:val="1"/>
                <w:bCs w:val="1"/>
                <w:color w:val="auto"/>
                <w:w w:val="98"/>
              </w:rPr>
              <w:t>Three months ended September 30,</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040" w:type="dxa"/>
            <w:vAlign w:val="bottom"/>
          </w:tcPr>
          <w:p>
            <w:pPr>
              <w:spacing w:after="0"/>
              <w:rPr>
                <w:sz w:val="14"/>
                <w:szCs w:val="14"/>
                <w:color w:val="auto"/>
              </w:rPr>
            </w:pPr>
          </w:p>
        </w:tc>
        <w:tc>
          <w:tcPr>
            <w:tcW w:w="11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240"/>
              <w:spacing w:after="0"/>
              <w:rPr>
                <w:sz w:val="20"/>
                <w:szCs w:val="20"/>
                <w:color w:val="auto"/>
              </w:rPr>
            </w:pPr>
            <w:r>
              <w:rPr>
                <w:rFonts w:ascii="Arial" w:cs="Arial" w:eastAsia="Arial" w:hAnsi="Arial"/>
                <w:sz w:val="14"/>
                <w:szCs w:val="14"/>
                <w:b w:val="1"/>
                <w:bCs w:val="1"/>
                <w:color w:val="auto"/>
              </w:rPr>
              <w:t>(in</w:t>
            </w:r>
          </w:p>
        </w:tc>
        <w:tc>
          <w:tcPr>
            <w:tcW w:w="144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auto"/>
                <w:w w:val="90"/>
              </w:rPr>
              <w:t>millions)</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0"/>
              </w:rPr>
              <w:t>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(11 )</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(12 )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(33 )</w:t>
            </w: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(34 )</w:t>
            </w:r>
          </w:p>
        </w:tc>
      </w:tr>
    </w:tbl>
    <w:p>
      <w:pPr>
        <w:spacing w:after="0" w:line="201"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 xml:space="preserve">Interest expense did not change materially during the three and nine months ended September 30, 2022, when compared to the same periods in 2021. The majority of interest expense reported in all periods, was incurred under the 2025 Senior Notes. Refer to “Note 7: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unaudited condensed consolidated financial statements in Item 1 in this Quarterly Report on Form 10-Q for further information.</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319"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Interest income primarily consists of interest earned from bank deposits available on demand, term deposits, money market funds, and marketable securities, including amortization of discounts and premiums on our marketable securities.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3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114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millions)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millions)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60" w:type="dxa"/>
            <w:vAlign w:val="bottom"/>
            <w:gridSpan w:val="2"/>
            <w:shd w:val="clear" w:color="auto" w:fill="CFF0FC"/>
          </w:tcPr>
          <w:p>
            <w:pPr>
              <w:jc w:val="right"/>
              <w:ind w:right="948"/>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220"/>
              <w:spacing w:after="0"/>
              <w:rPr>
                <w:sz w:val="20"/>
                <w:szCs w:val="20"/>
                <w:color w:val="auto"/>
              </w:rPr>
            </w:pPr>
            <w:r>
              <w:rPr>
                <w:rFonts w:ascii="Arial" w:cs="Arial" w:eastAsia="Arial" w:hAnsi="Arial"/>
                <w:sz w:val="18"/>
                <w:szCs w:val="18"/>
                <w:color w:val="auto"/>
                <w:w w:val="88"/>
              </w:rPr>
              <w:t>—</w:t>
            </w:r>
          </w:p>
        </w:tc>
        <w:tc>
          <w:tcPr>
            <w:tcW w:w="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418"/>
        </w:trPr>
        <w:tc>
          <w:tcPr>
            <w:tcW w:w="3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42</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43" w:right="279" w:bottom="1440" w:gutter="0" w:footer="0" w:header="0"/>
        </w:sectPr>
      </w:pPr>
    </w:p>
    <w:bookmarkStart w:id="42" w:name="page43"/>
    <w:bookmarkEnd w:id="42"/>
    <w:p>
      <w:pPr>
        <w:ind w:right="100" w:firstLine="509"/>
        <w:spacing w:after="0" w:line="307" w:lineRule="auto"/>
        <w:rPr>
          <w:sz w:val="20"/>
          <w:szCs w:val="20"/>
          <w:color w:val="auto"/>
        </w:rPr>
      </w:pPr>
      <w:r>
        <w:rPr>
          <w:rFonts w:ascii="Arial" w:cs="Arial" w:eastAsia="Arial" w:hAnsi="Arial"/>
          <w:sz w:val="17"/>
          <w:szCs w:val="17"/>
          <w:color w:val="auto"/>
        </w:rPr>
        <w:t>Interest income increased $4 million and $6 million during the three and nine months ended September 30, 2022, respectively, when compared to the same periods in 2021, primarily due to an increase in the average amount of cash invested and increased interest rates during 2022.</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19" w:lineRule="exact"/>
        <w:rPr>
          <w:sz w:val="20"/>
          <w:szCs w:val="20"/>
          <w:color w:val="auto"/>
        </w:rPr>
      </w:pPr>
    </w:p>
    <w:p>
      <w:pPr>
        <w:ind w:right="140" w:firstLine="554"/>
        <w:spacing w:after="0" w:line="255" w:lineRule="auto"/>
        <w:rPr>
          <w:sz w:val="20"/>
          <w:szCs w:val="20"/>
          <w:color w:val="auto"/>
        </w:rPr>
      </w:pPr>
      <w:r>
        <w:rPr>
          <w:rFonts w:ascii="Arial" w:cs="Arial" w:eastAsia="Arial" w:hAnsi="Arial"/>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980" w:type="dxa"/>
            <w:vAlign w:val="bottom"/>
          </w:tcPr>
          <w:p>
            <w:pPr>
              <w:spacing w:after="0"/>
              <w:rPr>
                <w:sz w:val="14"/>
                <w:szCs w:val="14"/>
                <w:color w:val="auto"/>
              </w:rPr>
            </w:pP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4"/>
                <w:szCs w:val="14"/>
                <w:b w:val="1"/>
                <w:bCs w:val="1"/>
                <w:color w:val="auto"/>
              </w:rPr>
              <w:t>(in</w:t>
            </w:r>
          </w:p>
        </w:tc>
        <w:tc>
          <w:tcPr>
            <w:tcW w:w="1500" w:type="dxa"/>
            <w:vAlign w:val="bottom"/>
            <w:gridSpan w:val="2"/>
          </w:tcPr>
          <w:p>
            <w:pPr>
              <w:jc w:val="right"/>
              <w:ind w:right="879"/>
              <w:spacing w:after="0"/>
              <w:rPr>
                <w:sz w:val="20"/>
                <w:szCs w:val="20"/>
                <w:color w:val="auto"/>
              </w:rPr>
            </w:pPr>
            <w:r>
              <w:rPr>
                <w:rFonts w:ascii="Arial" w:cs="Arial" w:eastAsia="Arial" w:hAnsi="Arial"/>
                <w:sz w:val="14"/>
                <w:szCs w:val="14"/>
                <w:b w:val="1"/>
                <w:bCs w:val="1"/>
                <w:color w:val="auto"/>
                <w:w w:val="90"/>
              </w:rPr>
              <w:t>millions)</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220"/>
              <w:spacing w:after="0"/>
              <w:rPr>
                <w:sz w:val="20"/>
                <w:szCs w:val="20"/>
                <w:color w:val="auto"/>
              </w:rPr>
            </w:pPr>
            <w:r>
              <w:rPr>
                <w:rFonts w:ascii="Arial" w:cs="Arial" w:eastAsia="Arial" w:hAnsi="Arial"/>
                <w:sz w:val="14"/>
                <w:szCs w:val="14"/>
                <w:b w:val="1"/>
                <w:bCs w:val="1"/>
                <w:color w:val="auto"/>
              </w:rPr>
              <w:t>(in</w:t>
            </w:r>
          </w:p>
        </w:tc>
        <w:tc>
          <w:tcPr>
            <w:tcW w:w="1460" w:type="dxa"/>
            <w:vAlign w:val="bottom"/>
            <w:gridSpan w:val="2"/>
          </w:tcPr>
          <w:p>
            <w:pPr>
              <w:jc w:val="right"/>
              <w:ind w:right="859"/>
              <w:spacing w:after="0"/>
              <w:rPr>
                <w:sz w:val="20"/>
                <w:szCs w:val="20"/>
                <w:color w:val="auto"/>
              </w:rPr>
            </w:pPr>
            <w:r>
              <w:rPr>
                <w:rFonts w:ascii="Arial" w:cs="Arial" w:eastAsia="Arial" w:hAnsi="Arial"/>
                <w:sz w:val="14"/>
                <w:szCs w:val="14"/>
                <w:b w:val="1"/>
                <w:bCs w:val="1"/>
                <w:color w:val="auto"/>
                <w:w w:val="86"/>
              </w:rPr>
              <w:t>millions)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1140" w:type="dxa"/>
            <w:vAlign w:val="bottom"/>
            <w:shd w:val="clear" w:color="auto" w:fill="CFF0FC"/>
          </w:tcPr>
          <w:p>
            <w:pPr>
              <w:jc w:val="right"/>
              <w:ind w:right="962"/>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(1 )</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(1 )</w:t>
            </w:r>
          </w:p>
        </w:tc>
        <w:tc>
          <w:tcPr>
            <w:tcW w:w="1120" w:type="dxa"/>
            <w:vAlign w:val="bottom"/>
            <w:shd w:val="clear" w:color="auto" w:fill="CFF0FC"/>
          </w:tcPr>
          <w:p>
            <w:pPr>
              <w:jc w:val="right"/>
              <w:ind w:right="922"/>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(4 )</w:t>
            </w:r>
          </w:p>
        </w:tc>
        <w:tc>
          <w:tcPr>
            <w:tcW w:w="1160" w:type="dxa"/>
            <w:vAlign w:val="bottom"/>
            <w:shd w:val="clear" w:color="auto" w:fill="CFF0FC"/>
          </w:tcPr>
          <w:p>
            <w:pPr>
              <w:jc w:val="right"/>
              <w:ind w:right="979"/>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(2 )</w:t>
            </w:r>
          </w:p>
        </w:tc>
      </w:tr>
    </w:tbl>
    <w:p>
      <w:pPr>
        <w:spacing w:after="0" w:line="309" w:lineRule="exact"/>
        <w:rPr>
          <w:sz w:val="20"/>
          <w:szCs w:val="20"/>
          <w:color w:val="auto"/>
        </w:rPr>
      </w:pPr>
    </w:p>
    <w:p>
      <w:pPr>
        <w:ind w:right="360" w:firstLine="509"/>
        <w:spacing w:after="0" w:line="255" w:lineRule="auto"/>
        <w:rPr>
          <w:sz w:val="20"/>
          <w:szCs w:val="20"/>
          <w:color w:val="auto"/>
        </w:rPr>
      </w:pPr>
      <w:r>
        <w:rPr>
          <w:rFonts w:ascii="Arial" w:cs="Arial" w:eastAsia="Arial" w:hAnsi="Arial"/>
          <w:sz w:val="18"/>
          <w:szCs w:val="18"/>
          <w:color w:val="auto"/>
        </w:rPr>
        <w:t>Other expense, net increased $2 million during the nine months ended September 30, 2022, when compared to the same period in 2021, primarily due to increased net foreign currency transaction losses as a result of the fluctuation of foreign exchange rates during 2022, partially offset by forward contract gains.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96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40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ind w:left="280"/>
              <w:spacing w:after="0"/>
              <w:rPr>
                <w:sz w:val="20"/>
                <w:szCs w:val="20"/>
                <w:color w:val="auto"/>
              </w:rPr>
            </w:pPr>
            <w:r>
              <w:rPr>
                <w:rFonts w:ascii="Arial" w:cs="Arial" w:eastAsia="Arial" w:hAnsi="Arial"/>
                <w:sz w:val="14"/>
                <w:szCs w:val="14"/>
                <w:b w:val="1"/>
                <w:bCs w:val="1"/>
                <w:color w:val="auto"/>
                <w:w w:val="93"/>
              </w:rPr>
              <w:t>(in</w:t>
            </w:r>
          </w:p>
        </w:tc>
        <w:tc>
          <w:tcPr>
            <w:tcW w:w="1440" w:type="dxa"/>
            <w:vAlign w:val="bottom"/>
            <w:gridSpan w:val="2"/>
          </w:tcPr>
          <w:p>
            <w:pPr>
              <w:jc w:val="right"/>
              <w:ind w:right="799"/>
              <w:spacing w:after="0"/>
              <w:rPr>
                <w:sz w:val="20"/>
                <w:szCs w:val="20"/>
                <w:color w:val="auto"/>
              </w:rPr>
            </w:pPr>
            <w:r>
              <w:rPr>
                <w:rFonts w:ascii="Arial" w:cs="Arial" w:eastAsia="Arial" w:hAnsi="Arial"/>
                <w:sz w:val="14"/>
                <w:szCs w:val="14"/>
                <w:b w:val="1"/>
                <w:bCs w:val="1"/>
                <w:color w:val="auto"/>
                <w:w w:val="93"/>
              </w:rPr>
              <w:t>millions)</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millions)</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060" w:type="dxa"/>
            <w:vAlign w:val="bottom"/>
            <w:shd w:val="clear" w:color="auto" w:fill="CFF0FC"/>
          </w:tcPr>
          <w:p>
            <w:pPr>
              <w:jc w:val="right"/>
              <w:ind w:right="88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(37 )</w:t>
            </w:r>
          </w:p>
        </w:tc>
        <w:tc>
          <w:tcPr>
            <w:tcW w:w="1100" w:type="dxa"/>
            <w:vAlign w:val="bottom"/>
            <w:shd w:val="clear" w:color="auto" w:fill="CFF0FC"/>
          </w:tcPr>
          <w:p>
            <w:pPr>
              <w:jc w:val="right"/>
              <w:ind w:right="899"/>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(2 )   $</w:t>
            </w:r>
          </w:p>
        </w:tc>
        <w:tc>
          <w:tcPr>
            <w:tcW w:w="1900" w:type="dxa"/>
            <w:vAlign w:val="bottom"/>
            <w:gridSpan w:val="3"/>
            <w:shd w:val="clear" w:color="auto" w:fill="CFF0FC"/>
          </w:tcPr>
          <w:p>
            <w:pPr>
              <w:jc w:val="right"/>
              <w:ind w:right="340"/>
              <w:spacing w:after="0"/>
              <w:rPr>
                <w:sz w:val="20"/>
                <w:szCs w:val="20"/>
                <w:color w:val="auto"/>
              </w:rPr>
            </w:pPr>
            <w:r>
              <w:rPr>
                <w:rFonts w:ascii="Arial" w:cs="Arial" w:eastAsia="Arial" w:hAnsi="Arial"/>
                <w:sz w:val="18"/>
                <w:szCs w:val="18"/>
                <w:color w:val="auto"/>
              </w:rPr>
              <w:t>(61 )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18"/>
                <w:szCs w:val="18"/>
                <w:color w:val="auto"/>
              </w:rPr>
              <w:t>Effective tax rate</w:t>
            </w:r>
          </w:p>
        </w:tc>
        <w:tc>
          <w:tcPr>
            <w:tcW w:w="1060" w:type="dxa"/>
            <w:vAlign w:val="bottom"/>
          </w:tcPr>
          <w:p>
            <w:pPr>
              <w:spacing w:after="0"/>
              <w:rPr>
                <w:sz w:val="20"/>
                <w:szCs w:val="20"/>
                <w:color w:val="auto"/>
              </w:rPr>
            </w:pPr>
          </w:p>
        </w:tc>
        <w:tc>
          <w:tcPr>
            <w:tcW w:w="800" w:type="dxa"/>
            <w:vAlign w:val="bottom"/>
            <w:gridSpan w:val="2"/>
          </w:tcPr>
          <w:p>
            <w:pPr>
              <w:jc w:val="right"/>
              <w:ind w:right="88"/>
              <w:spacing w:after="0"/>
              <w:rPr>
                <w:sz w:val="20"/>
                <w:szCs w:val="20"/>
                <w:color w:val="auto"/>
              </w:rPr>
            </w:pPr>
            <w:r>
              <w:rPr>
                <w:rFonts w:ascii="Arial" w:cs="Arial" w:eastAsia="Arial" w:hAnsi="Arial"/>
                <w:sz w:val="18"/>
                <w:szCs w:val="18"/>
                <w:color w:val="auto"/>
              </w:rPr>
              <w:t>59.7 %</w:t>
            </w:r>
          </w:p>
        </w:tc>
        <w:tc>
          <w:tcPr>
            <w:tcW w:w="110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66.7 %</w:t>
            </w:r>
          </w:p>
        </w:tc>
        <w:tc>
          <w:tcPr>
            <w:tcW w:w="360" w:type="dxa"/>
            <w:vAlign w:val="bottom"/>
          </w:tcPr>
          <w:p>
            <w:pPr>
              <w:spacing w:after="0"/>
              <w:rPr>
                <w:sz w:val="20"/>
                <w:szCs w:val="20"/>
                <w:color w:val="auto"/>
              </w:rPr>
            </w:pPr>
          </w:p>
        </w:tc>
        <w:tc>
          <w:tcPr>
            <w:tcW w:w="1460" w:type="dxa"/>
            <w:vAlign w:val="bottom"/>
            <w:gridSpan w:val="2"/>
          </w:tcPr>
          <w:p>
            <w:pPr>
              <w:jc w:val="right"/>
              <w:ind w:right="68"/>
              <w:spacing w:after="0"/>
              <w:rPr>
                <w:sz w:val="20"/>
                <w:szCs w:val="20"/>
                <w:color w:val="auto"/>
              </w:rPr>
            </w:pPr>
            <w:r>
              <w:rPr>
                <w:rFonts w:ascii="Arial" w:cs="Arial" w:eastAsia="Arial" w:hAnsi="Arial"/>
                <w:sz w:val="18"/>
                <w:szCs w:val="18"/>
                <w:color w:val="auto"/>
              </w:rPr>
              <w:t>73.5 %</w:t>
            </w:r>
          </w:p>
        </w:tc>
        <w:tc>
          <w:tcPr>
            <w:tcW w:w="4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13.8 %</w:t>
            </w:r>
          </w:p>
        </w:tc>
      </w:tr>
    </w:tbl>
    <w:p>
      <w:pPr>
        <w:spacing w:after="0" w:line="187"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 xml:space="preserve">We recorded total income tax provisions of $37 million and $61 million for the three and nine months ended September 30, 2022, respectively. We recorded a total income tax provision of $2 million for the three months ended September 30, 2021, while we recorded a total income tax benefit of $19 million for the nine months ended September 30, 2021. The change in our income taxes during the three and nine months ended September 30, 2022, when compared to the same periods in 2021, was primarily due to an increase in pretax income recognized during both the three and nine months ended September 30, 2022. Refer to “Note 9: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the notes to our unaudited condensed consolidated financial statements in Item 1 in this Quarterly Report on Form 10-Q for further information.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302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99"/>
              </w:rPr>
              <w:t>Three months ended September 30,</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020" w:type="dxa"/>
            <w:vAlign w:val="bottom"/>
          </w:tcPr>
          <w:p>
            <w:pPr>
              <w:spacing w:after="0"/>
              <w:rPr>
                <w:sz w:val="14"/>
                <w:szCs w:val="14"/>
                <w:color w:val="auto"/>
              </w:rPr>
            </w:pPr>
          </w:p>
        </w:tc>
        <w:tc>
          <w:tcPr>
            <w:tcW w:w="11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440" w:type="dxa"/>
            <w:vAlign w:val="bottom"/>
            <w:gridSpan w:val="2"/>
          </w:tcPr>
          <w:p>
            <w:pPr>
              <w:jc w:val="right"/>
              <w:ind w:right="839"/>
              <w:spacing w:after="0"/>
              <w:rPr>
                <w:sz w:val="20"/>
                <w:szCs w:val="20"/>
                <w:color w:val="auto"/>
              </w:rPr>
            </w:pPr>
            <w:r>
              <w:rPr>
                <w:rFonts w:ascii="Arial" w:cs="Arial" w:eastAsia="Arial" w:hAnsi="Arial"/>
                <w:sz w:val="14"/>
                <w:szCs w:val="14"/>
                <w:b w:val="1"/>
                <w:bCs w:val="1"/>
                <w:color w:val="auto"/>
                <w:w w:val="86"/>
              </w:rPr>
              <w:t>millions)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360" w:type="dxa"/>
            <w:vAlign w:val="bottom"/>
            <w:gridSpan w:val="2"/>
          </w:tcPr>
          <w:p>
            <w:pPr>
              <w:jc w:val="right"/>
              <w:ind w:right="719"/>
              <w:spacing w:after="0"/>
              <w:rPr>
                <w:sz w:val="20"/>
                <w:szCs w:val="20"/>
                <w:color w:val="auto"/>
              </w:rPr>
            </w:pPr>
            <w:r>
              <w:rPr>
                <w:rFonts w:ascii="Arial" w:cs="Arial" w:eastAsia="Arial" w:hAnsi="Arial"/>
                <w:sz w:val="14"/>
                <w:szCs w:val="14"/>
                <w:b w:val="1"/>
                <w:bCs w:val="1"/>
                <w:color w:val="auto"/>
                <w:w w:val="93"/>
              </w:rPr>
              <w:t>millions)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120" w:type="dxa"/>
            <w:vAlign w:val="bottom"/>
            <w:shd w:val="clear" w:color="auto" w:fill="CFF0FC"/>
          </w:tcPr>
          <w:p>
            <w:pPr>
              <w:jc w:val="right"/>
              <w:ind w:right="94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(119 )</w:t>
            </w:r>
          </w:p>
        </w:tc>
        <w:tc>
          <w:tcPr>
            <w:tcW w:w="100" w:type="dxa"/>
            <w:vAlign w:val="bottom"/>
          </w:tcPr>
          <w:p>
            <w:pPr>
              <w:spacing w:after="0"/>
              <w:rPr>
                <w:sz w:val="18"/>
                <w:szCs w:val="18"/>
                <w:color w:val="auto"/>
              </w:rPr>
            </w:pPr>
          </w:p>
        </w:tc>
      </w:tr>
      <w:tr>
        <w:trPr>
          <w:trHeight w:val="230"/>
        </w:trPr>
        <w:tc>
          <w:tcPr>
            <w:tcW w:w="4020" w:type="dxa"/>
            <w:vAlign w:val="bottom"/>
          </w:tcPr>
          <w:p>
            <w:pPr>
              <w:ind w:left="200"/>
              <w:spacing w:after="0"/>
              <w:rPr>
                <w:sz w:val="20"/>
                <w:szCs w:val="20"/>
                <w:color w:val="auto"/>
              </w:rPr>
            </w:pPr>
            <w:r>
              <w:rPr>
                <w:rFonts w:ascii="Arial" w:cs="Arial" w:eastAsia="Arial" w:hAnsi="Arial"/>
                <w:sz w:val="18"/>
                <w:szCs w:val="18"/>
                <w:color w:val="auto"/>
              </w:rPr>
              <w:t>Net income (loss) margin</w:t>
            </w:r>
          </w:p>
        </w:tc>
        <w:tc>
          <w:tcPr>
            <w:tcW w:w="1120" w:type="dxa"/>
            <w:vAlign w:val="bottom"/>
          </w:tcPr>
          <w:p>
            <w:pPr>
              <w:spacing w:after="0"/>
              <w:rPr>
                <w:sz w:val="20"/>
                <w:szCs w:val="20"/>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8"/>
                <w:szCs w:val="18"/>
                <w:color w:val="auto"/>
              </w:rPr>
              <w:t>5.4 %</w:t>
            </w:r>
          </w:p>
        </w:tc>
        <w:tc>
          <w:tcPr>
            <w:tcW w:w="1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0.3 %</w:t>
            </w:r>
          </w:p>
        </w:tc>
        <w:tc>
          <w:tcPr>
            <w:tcW w:w="1060" w:type="dxa"/>
            <w:vAlign w:val="bottom"/>
          </w:tcPr>
          <w:p>
            <w:pPr>
              <w:spacing w:after="0"/>
              <w:rPr>
                <w:sz w:val="20"/>
                <w:szCs w:val="20"/>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8"/>
                <w:szCs w:val="18"/>
                <w:color w:val="auto"/>
              </w:rPr>
              <w:t>1.9 %</w:t>
            </w:r>
          </w:p>
        </w:tc>
        <w:tc>
          <w:tcPr>
            <w:tcW w:w="106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(18.0 %)</w:t>
            </w:r>
          </w:p>
        </w:tc>
      </w:tr>
    </w:tbl>
    <w:p>
      <w:pPr>
        <w:spacing w:after="0" w:line="200"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Net income (loss) improved by $24 million and $141 million during the three and nine months ended September 30, 2022, respectively, when compared to the same periods in 2021, primarily due to an increase in revenue, as described in more detail above under “</w:t>
      </w:r>
      <w:r>
        <w:rPr>
          <w:rFonts w:ascii="Arial" w:cs="Arial" w:eastAsia="Arial" w:hAnsi="Arial"/>
          <w:sz w:val="16"/>
          <w:szCs w:val="16"/>
          <w:i w:val="1"/>
          <w:iCs w:val="1"/>
          <w:color w:val="auto"/>
        </w:rPr>
        <w:t>Revenue and Segment</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largely offset by an increase in selling and marketing expenses in response to increasing consumer travel demand as travel activity</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restrictions eased and the travel industry recovers, and to a lesser extent, an increase in personnel and overhead costs to help support business growth during the consumer travel demand recovery and increased direct costs from credit card payment fees and other revenue-related transaction costs in direct correlation with the increase in revenue during the three and nine months ended September 30, 2022, all of which is described in more detail above under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Expenses.</w:t>
      </w:r>
      <w:r>
        <w:rPr>
          <w:rFonts w:ascii="Arial" w:cs="Arial" w:eastAsia="Arial" w:hAnsi="Arial"/>
          <w:sz w:val="18"/>
          <w:szCs w:val="18"/>
          <w:color w:val="auto"/>
        </w:rPr>
        <w: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07"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jc w:val="center"/>
        <w:ind w:right="1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651" w:right="239" w:bottom="1440" w:gutter="0" w:footer="0" w:header="0"/>
        </w:sectPr>
      </w:pPr>
    </w:p>
    <w:bookmarkStart w:id="43" w:name="page44"/>
    <w:bookmarkEnd w:id="43"/>
    <w:p>
      <w:pPr>
        <w:ind w:firstLine="509"/>
        <w:spacing w:after="0" w:line="259"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intangible asset, and long-lived asset impairments; (6) legal reserves and settlements; (7) restructuring and other related reorganization costs; and (8) other non-recurring expenses and income.</w:t>
      </w:r>
    </w:p>
    <w:p>
      <w:pPr>
        <w:spacing w:after="0" w:line="178"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are:</w:t>
      </w:r>
    </w:p>
    <w:p>
      <w:pPr>
        <w:spacing w:after="0" w:line="103" w:lineRule="exact"/>
        <w:rPr>
          <w:sz w:val="20"/>
          <w:szCs w:val="20"/>
          <w:color w:val="auto"/>
        </w:rPr>
      </w:pPr>
    </w:p>
    <w:p>
      <w:pPr>
        <w:ind w:left="1400" w:hanging="374"/>
        <w:spacing w:after="0"/>
        <w:tabs>
          <w:tab w:leader="none" w:pos="14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39" w:lineRule="exact"/>
        <w:rPr>
          <w:rFonts w:ascii="Arial" w:cs="Arial" w:eastAsia="Arial" w:hAnsi="Arial"/>
          <w:sz w:val="16"/>
          <w:szCs w:val="16"/>
          <w:color w:val="auto"/>
        </w:rPr>
      </w:pPr>
    </w:p>
    <w:p>
      <w:pPr>
        <w:ind w:left="1400" w:hanging="374"/>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3" w:lineRule="exact"/>
        <w:rPr>
          <w:rFonts w:ascii="Arial" w:cs="Arial" w:eastAsia="Arial" w:hAnsi="Arial"/>
          <w:sz w:val="18"/>
          <w:szCs w:val="18"/>
          <w:color w:val="auto"/>
        </w:rPr>
      </w:pPr>
    </w:p>
    <w:p>
      <w:pPr>
        <w:ind w:left="1400" w:right="100" w:hanging="374"/>
        <w:spacing w:after="0" w:line="261"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cash requirements necessary to service interest or principal payments on our debt;</w:t>
      </w:r>
    </w:p>
    <w:p>
      <w:pPr>
        <w:spacing w:after="0" w:line="75" w:lineRule="exact"/>
        <w:rPr>
          <w:rFonts w:ascii="Arial" w:cs="Arial" w:eastAsia="Arial" w:hAnsi="Arial"/>
          <w:sz w:val="18"/>
          <w:szCs w:val="18"/>
          <w:color w:val="auto"/>
        </w:rPr>
      </w:pPr>
    </w:p>
    <w:p>
      <w:pPr>
        <w:ind w:left="1400" w:hanging="374"/>
        <w:spacing w:after="0"/>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EBITDA does not consider the potentially dilutive impact of stock-based compensation or other stock-settled obligations;</w:t>
      </w:r>
    </w:p>
    <w:p>
      <w:pPr>
        <w:spacing w:after="0" w:line="114" w:lineRule="exact"/>
        <w:rPr>
          <w:rFonts w:ascii="Arial" w:cs="Arial" w:eastAsia="Arial" w:hAnsi="Arial"/>
          <w:sz w:val="17"/>
          <w:szCs w:val="17"/>
          <w:color w:val="auto"/>
        </w:rPr>
      </w:pPr>
    </w:p>
    <w:p>
      <w:pPr>
        <w:ind w:left="1400" w:right="80" w:hanging="374"/>
        <w:spacing w:after="0" w:line="255"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8" w:lineRule="exact"/>
        <w:rPr>
          <w:rFonts w:ascii="Arial" w:cs="Arial" w:eastAsia="Arial" w:hAnsi="Arial"/>
          <w:sz w:val="18"/>
          <w:szCs w:val="18"/>
          <w:color w:val="auto"/>
        </w:rPr>
      </w:pPr>
    </w:p>
    <w:p>
      <w:pPr>
        <w:ind w:left="1400" w:right="60" w:hanging="374"/>
        <w:spacing w:after="0" w:line="261"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75" w:lineRule="exact"/>
        <w:rPr>
          <w:rFonts w:ascii="Arial" w:cs="Arial" w:eastAsia="Arial" w:hAnsi="Arial"/>
          <w:sz w:val="18"/>
          <w:szCs w:val="18"/>
          <w:color w:val="auto"/>
        </w:rPr>
      </w:pPr>
    </w:p>
    <w:p>
      <w:pPr>
        <w:ind w:left="1400" w:hanging="374"/>
        <w:spacing w:after="0"/>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w:t>
      </w:r>
    </w:p>
    <w:p>
      <w:pPr>
        <w:spacing w:after="0" w:line="103" w:lineRule="exact"/>
        <w:rPr>
          <w:rFonts w:ascii="Arial" w:cs="Arial" w:eastAsia="Arial" w:hAnsi="Arial"/>
          <w:sz w:val="18"/>
          <w:szCs w:val="18"/>
          <w:color w:val="auto"/>
        </w:rPr>
      </w:pPr>
    </w:p>
    <w:p>
      <w:pPr>
        <w:ind w:left="1400" w:right="560" w:hanging="374"/>
        <w:spacing w:after="0" w:line="261"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EBITDA is unaudited and does not conform to SEC Regulation S-X, and as a result such information may be presented differently in our future filings with the SEC; and</w:t>
      </w:r>
    </w:p>
    <w:p>
      <w:pPr>
        <w:spacing w:after="0" w:line="62" w:lineRule="exact"/>
        <w:rPr>
          <w:rFonts w:ascii="Arial" w:cs="Arial" w:eastAsia="Arial" w:hAnsi="Arial"/>
          <w:sz w:val="18"/>
          <w:szCs w:val="18"/>
          <w:color w:val="auto"/>
        </w:rPr>
      </w:pPr>
    </w:p>
    <w:p>
      <w:pPr>
        <w:ind w:left="1400" w:right="640" w:hanging="374"/>
        <w:spacing w:after="0" w:line="277"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56"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0" w:type="dxa"/>
            <w:vAlign w:val="bottom"/>
          </w:tcPr>
          <w:p>
            <w:pPr>
              <w:spacing w:after="0"/>
              <w:rPr>
                <w:sz w:val="16"/>
                <w:szCs w:val="16"/>
                <w:color w:val="auto"/>
              </w:rPr>
            </w:pPr>
          </w:p>
        </w:tc>
        <w:tc>
          <w:tcPr>
            <w:tcW w:w="31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r>
      <w:tr>
        <w:trPr>
          <w:trHeight w:val="169"/>
        </w:trPr>
        <w:tc>
          <w:tcPr>
            <w:tcW w:w="3800" w:type="dxa"/>
            <w:vAlign w:val="bottom"/>
          </w:tcPr>
          <w:p>
            <w:pPr>
              <w:spacing w:after="0"/>
              <w:rPr>
                <w:sz w:val="14"/>
                <w:szCs w:val="14"/>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50"/>
        </w:trPr>
        <w:tc>
          <w:tcPr>
            <w:tcW w:w="380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ind w:right="72"/>
              <w:spacing w:after="0" w:line="151" w:lineRule="exact"/>
              <w:rPr>
                <w:sz w:val="20"/>
                <w:szCs w:val="20"/>
                <w:color w:val="auto"/>
              </w:rPr>
            </w:pPr>
            <w:r>
              <w:rPr>
                <w:rFonts w:ascii="Arial" w:cs="Arial" w:eastAsia="Arial" w:hAnsi="Arial"/>
                <w:sz w:val="14"/>
                <w:szCs w:val="14"/>
                <w:b w:val="1"/>
                <w:bCs w:val="1"/>
                <w:color w:val="auto"/>
              </w:rPr>
              <w:t>(in</w:t>
            </w:r>
          </w:p>
        </w:tc>
        <w:tc>
          <w:tcPr>
            <w:tcW w:w="320" w:type="dxa"/>
            <w:vAlign w:val="bottom"/>
          </w:tcPr>
          <w:p>
            <w:pPr>
              <w:spacing w:after="0"/>
              <w:rPr>
                <w:sz w:val="20"/>
                <w:szCs w:val="20"/>
                <w:color w:val="auto"/>
              </w:rPr>
            </w:pPr>
            <w:r>
              <w:rPr>
                <w:rFonts w:ascii="Arial" w:cs="Arial" w:eastAsia="Arial" w:hAnsi="Arial"/>
                <w:sz w:val="10"/>
                <w:szCs w:val="10"/>
                <w:b w:val="1"/>
                <w:bCs w:val="1"/>
                <w:color w:val="auto"/>
                <w:w w:val="72"/>
              </w:rPr>
              <w:t>millions)</w:t>
            </w: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38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1140" w:type="dxa"/>
            <w:vAlign w:val="bottom"/>
          </w:tcPr>
          <w:p>
            <w:pPr>
              <w:jc w:val="right"/>
              <w:ind w:right="95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50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(119 )</w:t>
            </w:r>
          </w:p>
        </w:tc>
      </w:tr>
      <w:tr>
        <w:trPr>
          <w:trHeight w:val="21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(Benefit) Provision for income taxes</w:t>
            </w: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(19 )</w:t>
            </w: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Add: Other expense (income), net</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 Stock-based compensation</w:t>
            </w:r>
          </w:p>
        </w:tc>
        <w:tc>
          <w:tcPr>
            <w:tcW w:w="1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20"/>
              <w:spacing w:after="0"/>
              <w:rPr>
                <w:sz w:val="20"/>
                <w:szCs w:val="20"/>
                <w:color w:val="auto"/>
              </w:rPr>
            </w:pPr>
            <w:r>
              <w:rPr>
                <w:rFonts w:ascii="Arial" w:cs="Arial" w:eastAsia="Arial" w:hAnsi="Arial"/>
                <w:sz w:val="18"/>
                <w:szCs w:val="18"/>
                <w:color w:val="auto"/>
              </w:rPr>
              <w:t>Add: Legal reserves and settlements</w:t>
            </w:r>
          </w:p>
        </w:tc>
        <w:tc>
          <w:tcPr>
            <w:tcW w:w="1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Add: Depreciation and amortization</w:t>
            </w:r>
          </w:p>
        </w:tc>
        <w:tc>
          <w:tcPr>
            <w:tcW w:w="11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8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Pr>
          <w:p>
            <w:pPr>
              <w:jc w:val="right"/>
              <w:ind w:right="95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w:t>
            </w:r>
          </w:p>
        </w:tc>
        <w:tc>
          <w:tcPr>
            <w:tcW w:w="15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-170815</wp:posOffset>
            </wp:positionV>
            <wp:extent cx="7683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-170815</wp:posOffset>
            </wp:positionV>
            <wp:extent cx="6858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-170815</wp:posOffset>
            </wp:positionV>
            <wp:extent cx="68580"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07"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nearly 57% of our voting power as of September 30, 2022, refer to “Note 1: </w:t>
      </w:r>
      <w:r>
        <w:rPr>
          <w:rFonts w:ascii="Arial" w:cs="Arial" w:eastAsia="Arial" w:hAnsi="Arial"/>
          <w:sz w:val="18"/>
          <w:szCs w:val="18"/>
          <w:i w:val="1"/>
          <w:iCs w:val="1"/>
          <w:color w:val="auto"/>
        </w:rPr>
        <w:t>Business Description and Basis of Presentation</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nine months ended September 30, 2022 and 2021.</w:t>
      </w: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 xml:space="preserve">Refer to “Note 11: </w:t>
      </w:r>
      <w:r>
        <w:rPr>
          <w:rFonts w:ascii="Arial" w:cs="Arial" w:eastAsia="Arial" w:hAnsi="Arial"/>
          <w:sz w:val="17"/>
          <w:szCs w:val="17"/>
          <w:i w:val="1"/>
          <w:iCs w:val="1"/>
          <w:color w:val="auto"/>
        </w:rPr>
        <w:t>Stock Based Awards and Other Equity Instruments</w:t>
      </w:r>
      <w:r>
        <w:rPr>
          <w:rFonts w:ascii="Arial" w:cs="Arial" w:eastAsia="Arial" w:hAnsi="Arial"/>
          <w:sz w:val="17"/>
          <w:szCs w:val="17"/>
          <w:color w:val="auto"/>
        </w:rPr>
        <w:t>” in the notes to our unaudited condensed consolidated financial statements in Item 1 in this Quarterly Report on Form 10-Q for further information on current year equity award activity, including the issuance of approximately 0.6 million service-based stock options with a weighted average grant-date fair value per option of $9.47 and approximately 6.4 million service-based RSUs with a weighted average grant-date fair value of $25.75 during the nine months ended September 30,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5"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Our principal source of liquidity is cash flow generated from operations and our existing cash and cash equivalents balance. Our liquidity needs can also be met through drawdowns under the Credit Facility. As of September 30, 2022 and December 31, 2021, we had approximately $1.07 billion and $723 million, respectively, of cash and cash equivalents, and $496 million of available borrowing capacity under the Credit Facility. As of September 30, 2022, approximately $224 million of our cash and cash equivalents were held by our international subsidiaries outside of the U.S., of which approximately 55% was held in the U.K. As of September 30, 2022, the significant majority of our cash was denominated in U.S. dollars.</w:t>
      </w:r>
    </w:p>
    <w:p>
      <w:pPr>
        <w:spacing w:after="0" w:line="156"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As of September 30, 2022, we had $479 million of cumulative undistributed earnings in foreign subsidiaries that are no longer considered to be indefinitely reinvested. As of September 30, 2022,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3" w:lineRule="exact"/>
        <w:rPr>
          <w:sz w:val="20"/>
          <w:szCs w:val="20"/>
          <w:color w:val="auto"/>
        </w:rPr>
      </w:pPr>
    </w:p>
    <w:p>
      <w:pPr>
        <w:jc w:val="both"/>
        <w:ind w:right="40" w:firstLine="509"/>
        <w:spacing w:after="0" w:line="277" w:lineRule="auto"/>
        <w:rPr>
          <w:sz w:val="20"/>
          <w:szCs w:val="20"/>
          <w:color w:val="auto"/>
        </w:rPr>
      </w:pPr>
      <w:r>
        <w:rPr>
          <w:rFonts w:ascii="Arial" w:cs="Arial" w:eastAsia="Arial" w:hAnsi="Arial"/>
          <w:sz w:val="17"/>
          <w:szCs w:val="17"/>
          <w:color w:val="auto"/>
        </w:rPr>
        <w:t>As of September 30, 2022, we are party to the Credit Facility, which, among other things, provides for a $500 million revolving credit facility with a maturity date of May 12, 2024. The Company may borrow from the Credit Facility in U.S. dollars and Euros. The Credit Facility requires us to maintain a maximum leverage ratio and contains certain customary affirmative covenants and events of default, including a change of control.</w:t>
      </w:r>
    </w:p>
    <w:p>
      <w:pPr>
        <w:spacing w:after="0" w:line="15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We amended the Credit Facility in May 2020 and December 2020 to, among other things, suspend the leverage ratio covenant for quarterly testing of compliance beginning in the second quarter of 2020, replacing it with a minimum liquidity covenant through June 30, 2021 (requiring the Company to maintain $150 million of unrestricted cash, cash equivalent and short-term investments less deferred merchant payables plus available revolver capacity), until the earlier of (a) the first day after June 30, 2021 through maturity on which borrowings and other revolving credit utilizations under the revolving commitments exceed $200 million, and (b) the election of the Company, at which time the leverage ratio covenant (the “Leverage Covenant Holiday”) will be reinstated.</w:t>
      </w:r>
    </w:p>
    <w:p>
      <w:pPr>
        <w:spacing w:after="0" w:line="183"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The Company remained in the Leverage Covenant Holiday as of September 30, 2022. Based on the Company’s existing leverage ratio, any outstanding or future borrowings under the Credit Facility generally bear interest, at the Company’s option, at a rate per annum equal to either (i) the Eurocurrency Borrowing rate, or the adjusted LIBO rate for the interest period in effect for such borrowing; plus an applicable margin ranging from 1.25% to 2.00% with a London Inter-Bank Offered Rate (“LIBO rate”) floor of 1.00% per annum; or (ii) the Alternate Base Rate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In addition, based on the Company’s existing leverage ratio, we are required to pay a quarterly commitment fee, at an applicable rate ranging from 0.15% to 0.30% as of September 30, 2022, on the daily unused portion of the Credit Facility for each fiscal quarter during the Leverage Covenant Holiday and in connection with the issuance of letters of credit. The Credit Facility includes restrictions on the Company’s ability to make certain payments and distributions, including share repurchases and dividends.</w:t>
      </w:r>
    </w:p>
    <w:p>
      <w:pPr>
        <w:spacing w:after="0" w:line="177"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As of September 30, 2022 and December 31, 2021, we had no outstanding borrowings and were in compliance with our covenant requirements in effect under the Credit Facility. While there can be no assurance that we will be able to meet the leverage ratio covenant after the Leverage Covenant Holiday ceases, based on our current projections, we do not believe there is a material risk we will not remain in compliance throughout the next twelve months.</w:t>
      </w:r>
    </w:p>
    <w:p>
      <w:pPr>
        <w:spacing w:after="0" w:line="196"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As of September 30, 2022, the Company had $845 million in long-term debt, as a result of the issuance of our 2025 Senior Notes in July 2020 and 2026 Senior Notes in March 2021, as discussed below.</w:t>
      </w:r>
    </w:p>
    <w:p>
      <w:pPr>
        <w:spacing w:after="0" w:line="17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July 2020, the Company completed the sale of $500 million of our 2025 Senior Notes. The 2025 Senior Notes provide, among other things, that interest, at an interest rate of 7.0% per annum, is payable on January 15 and July 15 of each year, which began on January 15, 2021, until their maturity on July 15, 2025. The 2025 Senior Notes are senior unsecured obligations of the Company and are guaranteed by certain of the Company’s domestic subsidiaries.</w:t>
      </w: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45" w:name="page46"/>
    <w:bookmarkEnd w:id="45"/>
    <w:p>
      <w:pPr>
        <w:ind w:firstLine="509"/>
        <w:spacing w:after="0" w:line="279" w:lineRule="auto"/>
        <w:rPr>
          <w:sz w:val="20"/>
          <w:szCs w:val="20"/>
          <w:color w:val="auto"/>
        </w:rPr>
      </w:pPr>
      <w:r>
        <w:rPr>
          <w:rFonts w:ascii="Arial" w:cs="Arial" w:eastAsia="Arial" w:hAnsi="Arial"/>
          <w:sz w:val="16"/>
          <w:szCs w:val="16"/>
          <w:color w:val="auto"/>
        </w:rPr>
        <w:t>In March 2021, the Company completed the sale of $345 million of our 2026 Senior Notes. The 2026 Senior Notes provide, among other things, that interest, at an interest rate of 0.25% per annum, is payable on April 1 and October 1 of each year, which began on October 1, 2021, until their maturity on April 1, 2026. Concurrently, the Company used a portion of the proceeds from the 2026 Senior Notes to enter into privately negotiated capped call transactions with certain of the initial purchasers of the 2026 Senior Notes and/or their respective affiliates and/or other financial institutions at a cost of approximately $35 million. The Company intends to use the remainder of the proceeds from this offering for general corporate purposes, which may include repayment of debt, including the partial redemption and/or purchase of the 2025 Senior Notes prior to maturity. The 2026 Senior Notes are senior unsecured obligations of the Company and are guaranteed by certain of the Company’s domestic subsidiaries.</w:t>
      </w:r>
    </w:p>
    <w:p>
      <w:pPr>
        <w:spacing w:after="0" w:line="175"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auto"/>
        </w:rPr>
        <w:t>The 2025 Senior Notes and 2026 Senior Notes are not registered securities and there are currently no plans to register these notes as securities in the future. As a result, no separate financial statements are required for the guarantor subsidiaries of these notes. We may from time to time repurchase our outstanding 2025 Senior Notes or 2026 Senior Notes through tender offers, open market purchases, privately negotiated transactions or otherwise. Such repurchases, if any, will depend on prevailing market conditions, our liquidity requirements, contractual restrictions and other factors.</w:t>
      </w:r>
    </w:p>
    <w:p>
      <w:pPr>
        <w:spacing w:after="0" w:line="170"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 xml:space="preserve">For further information on the Credit Facility, 2025 Senior Notes, and 2026 Senior Notes, refer to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our unaudited condensed consolidated financial statements in Item 1 in this Quarterly Report on Form 10-Q.</w:t>
      </w:r>
    </w:p>
    <w:p>
      <w:pPr>
        <w:spacing w:after="0" w:line="170"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auto"/>
        </w:rPr>
        <w:t>As of September 30, 2022, we had $75 million remaining available to repurchase shares of our common stock under our existing share repurchase program authorized by our Board of Directors. During the three and nine months ended September 30, 2022 and 2021, the Company did not repurchase any shares of outstanding common stock under the share repurchase program. The terms of the Credit Agreement were amended to limit the Company from share repurchases during the Leverage Covenant Holiday and the terms of the 2025 Indenture related to the 2025 Senior Notes also impose certain limitations and restrictions on share repurchases.</w:t>
      </w:r>
    </w:p>
    <w:p>
      <w:pPr>
        <w:spacing w:after="0" w:line="180"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 xml:space="preserve">Our business typically experiences seasonal fluctuations that affect the timing of our annual cash flows during the year related to working capital. In our Experiences and Rentals free-to-list models, we receive cash from travelers at the time of booking or prior to the occurrence of an experience or rental, and we record these amounts, net of commissions, on our consolidated balance sheet as deferred merchant payables. We pay the operator, or the experience supplier and/or property rental owners, after the travelers’ use. Therefore, we generally receive cash from the traveler prior to paying the operator and this operating cycle represents a source or use of cash to us. During the first half of the year, experiences and rentals bookings typically exceed the amount of completed experiences and rental stays, resulting in higher cash flow related to working capital, while during the second half of the year, </w:t>
      </w:r>
      <w:r>
        <w:rPr>
          <w:rFonts w:ascii="Arial" w:cs="Arial" w:eastAsia="Arial" w:hAnsi="Arial"/>
          <w:sz w:val="17"/>
          <w:szCs w:val="17"/>
          <w:color w:val="231F20"/>
        </w:rPr>
        <w:t>particularly in the</w:t>
      </w:r>
      <w:r>
        <w:rPr>
          <w:rFonts w:ascii="Arial" w:cs="Arial" w:eastAsia="Arial" w:hAnsi="Arial"/>
          <w:sz w:val="17"/>
          <w:szCs w:val="17"/>
          <w:color w:val="auto"/>
        </w:rPr>
        <w:t xml:space="preserve"> </w:t>
      </w:r>
      <w:r>
        <w:rPr>
          <w:rFonts w:ascii="Arial" w:cs="Arial" w:eastAsia="Arial" w:hAnsi="Arial"/>
          <w:sz w:val="17"/>
          <w:szCs w:val="17"/>
          <w:color w:val="231F20"/>
        </w:rPr>
        <w:t xml:space="preserve">third quarter, </w:t>
      </w:r>
      <w:r>
        <w:rPr>
          <w:rFonts w:ascii="Arial" w:cs="Arial" w:eastAsia="Arial" w:hAnsi="Arial"/>
          <w:sz w:val="17"/>
          <w:szCs w:val="17"/>
          <w:color w:val="000000"/>
        </w:rPr>
        <w:t>this pattern reverses and cash flows from these transactions are typically negative. Although consumer travel demand remained materially</w:t>
      </w:r>
      <w:r>
        <w:rPr>
          <w:rFonts w:ascii="Arial" w:cs="Arial" w:eastAsia="Arial" w:hAnsi="Arial"/>
          <w:sz w:val="17"/>
          <w:szCs w:val="17"/>
          <w:color w:val="231F20"/>
        </w:rPr>
        <w:t xml:space="preserve"> </w:t>
      </w:r>
      <w:r>
        <w:rPr>
          <w:rFonts w:ascii="Arial" w:cs="Arial" w:eastAsia="Arial" w:hAnsi="Arial"/>
          <w:sz w:val="17"/>
          <w:szCs w:val="17"/>
          <w:color w:val="000000"/>
        </w:rPr>
        <w:t>lower than historic levels due to the impact of COVID-19 on our business during 2020, these trends improved, albeit unevenly, during 2021 from 2020, resulting in increased revenues, and working capital and operating cash flow more akin to typical historical seasonality trends, which continued to improve during the first three quarters of 2022.</w:t>
      </w:r>
    </w:p>
    <w:p>
      <w:pPr>
        <w:spacing w:after="0" w:line="177"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We continue to be subject to risks and uncertainties related to the COVID-19 pandemic. Continued widespread vaccine distributions, efficacy against existing variants (e.g., Delta, Omicron, and BA.5) and future variants, if any, of COVID-19, whether there will be resurgences of the virus and subsequent government restrictions, the extent and effectiveness of containment actions taken, and whether consumers' demand for travel and hospitality services continue to be or become negatively impacted remain uncertain. Although uncertainty remains, we saw continuous, albeit uneven, improvement in the travel market throughout 2021, and during the first three quarters of 2022, including our operating cash flows, given what we believe to be continued pent-up and increasing consumer demand for travel industry related services. Other factors may also impact typical seasonal fluctuations, which include further significant shifts in our business mix or adverse economic conditions unrelated to COVID-19 that could result in future seasonal patterns that are 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which although not used in a majority of bookings to date, may continue to increase, and affect the timing of our future cash flows and working capital.</w:t>
      </w:r>
    </w:p>
    <w:p>
      <w:pPr>
        <w:spacing w:after="0" w:line="192"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 xml:space="preserve">As discussed in “Note 9: </w:t>
      </w:r>
      <w:r>
        <w:rPr>
          <w:rFonts w:ascii="Arial" w:cs="Arial" w:eastAsia="Arial" w:hAnsi="Arial"/>
          <w:sz w:val="17"/>
          <w:szCs w:val="17"/>
          <w:i w:val="1"/>
          <w:iCs w:val="1"/>
          <w:color w:val="auto"/>
        </w:rPr>
        <w:t>Income Taxes</w:t>
      </w:r>
      <w:r>
        <w:rPr>
          <w:rFonts w:ascii="Arial" w:cs="Arial" w:eastAsia="Arial" w:hAnsi="Arial"/>
          <w:sz w:val="17"/>
          <w:szCs w:val="17"/>
          <w:color w:val="auto"/>
        </w:rPr>
        <w:t>” in the notes to our unaudited condensed consolidated financial statements in Item 1 in this Quarterly Report on Form 10-Q, we have received Notices of Proposed Adjustments issued by the IRS for tax years 2009 through 2016, as of September 30, 2022. The statute of limitation of assessment for all years subject to the Notices of Proposed Adjustment remain open, with the exception of the 2012 and 2013 tax years. These proposed adjustments are related to certain transfer pricing arrangements with our foreign subsidiaries and would result in an increase to our worldwide income tax expense, for the open tax years, in an estimated range of $90 million to $100 million, exclusive of interest expense, at the close of the audit if the IRS prevails. In addition, we received from HMRC in the U.K. an issue closure notice relating to adjustments for 2012 through 2016 tax years, as of September 30, 2022. These proposed adjustments are related to certain transfer pricing arrangements with our foreign subsidiaries and would result in an increase to our worldwide income tax expense in an estimated range of $25 million to $35 million, exclusive of interest expense and potential U.S. transition tax adjustments, at the close of the audit if HMRC prevails. We disagree with the proposed adjustments and we intend to defend our positions through applicable administrative and, if necessary, judicial remedies.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color w:val="auto"/>
        </w:rPr>
        <w:t>Although the ultimate timing for resolution of these matters is uncertain, any future payments would negatively impact our operating cash flows.</w:t>
      </w:r>
    </w:p>
    <w:p>
      <w:pPr>
        <w:spacing w:after="0" w:line="236"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auto"/>
        </w:rPr>
        <w:t>The CARES Act, enacted in March 2020, made tax law changes to provide financial relief to companies as a result of the impact to businesses related to COVID-19. Key income tax provisions of the CARES Act include changes in NOL carryback and carryforward rules, increase of the net interest expense deduction limit, and immediate write-off of qualified improvement property. The CARES Act allowed the Company to carryback our U.S. federal NOLs incurred in 2020, generating an expected U.S. federal tax benefit of $76 million, of which $64 million was refunded during the three months ended June 30, 2022. The remaining refund of $12 million is included in current income taxes payable within accrued expenses and other current liabilities on our unaudited condensed consolidated balance sheet as of September 30, 2022 and is expected to be received in the next twelve months. In addition, $25 million of this refund received was recorded to long-term taxes payable within other long-term liabilities on our unaudited condensed consolidated balance sheet as of September 30, 2022, which reflects future transition tax payments expected to be made by the Company related to the 2017 Tax Act.</w:t>
      </w:r>
    </w:p>
    <w:p>
      <w:pPr>
        <w:spacing w:after="0" w:line="1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52"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Our cash flows for the nine months ended September 30, 2022 and 2021, as reflected in our unaudited condensed consolidated statements of cash flows, are summarized in the following table:</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38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520" w:type="dxa"/>
            <w:vAlign w:val="bottom"/>
          </w:tcPr>
          <w:p>
            <w:pPr>
              <w:spacing w:after="0"/>
              <w:rPr>
                <w:sz w:val="14"/>
                <w:szCs w:val="14"/>
                <w:color w:val="auto"/>
              </w:rPr>
            </w:pPr>
          </w:p>
        </w:tc>
        <w:tc>
          <w:tcPr>
            <w:tcW w:w="14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4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780" w:type="dxa"/>
            <w:vAlign w:val="bottom"/>
            <w:gridSpan w:val="2"/>
          </w:tcPr>
          <w:p>
            <w:pPr>
              <w:jc w:val="right"/>
              <w:ind w:right="1168"/>
              <w:spacing w:after="0"/>
              <w:rPr>
                <w:sz w:val="20"/>
                <w:szCs w:val="20"/>
                <w:color w:val="auto"/>
              </w:rPr>
            </w:pPr>
            <w:r>
              <w:rPr>
                <w:rFonts w:ascii="Arial" w:cs="Arial" w:eastAsia="Arial" w:hAnsi="Arial"/>
                <w:sz w:val="14"/>
                <w:szCs w:val="14"/>
                <w:b w:val="1"/>
                <w:bCs w:val="1"/>
                <w:color w:val="auto"/>
                <w:w w:val="90"/>
              </w:rPr>
              <w:t>millions)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activities</w:t>
            </w:r>
          </w:p>
        </w:tc>
        <w:tc>
          <w:tcPr>
            <w:tcW w:w="1440" w:type="dxa"/>
            <w:vAlign w:val="bottom"/>
          </w:tcPr>
          <w:p>
            <w:pPr>
              <w:jc w:val="right"/>
              <w:ind w:right="126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18"/>
                <w:szCs w:val="18"/>
                <w:color w:val="auto"/>
              </w:rPr>
            </w:pPr>
          </w:p>
        </w:tc>
        <w:tc>
          <w:tcPr>
            <w:tcW w:w="1420" w:type="dxa"/>
            <w:vAlign w:val="bottom"/>
          </w:tcPr>
          <w:p>
            <w:pPr>
              <w:jc w:val="right"/>
              <w:ind w:right="126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4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(37 )</w:t>
            </w:r>
          </w:p>
        </w:tc>
        <w:tc>
          <w:tcPr>
            <w:tcW w:w="14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(41 )</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Financing activities</w:t>
            </w:r>
          </w:p>
        </w:tc>
        <w:tc>
          <w:tcPr>
            <w:tcW w:w="1440" w:type="dxa"/>
            <w:vAlign w:val="bottom"/>
          </w:tcPr>
          <w:p>
            <w:pPr>
              <w:spacing w:after="0"/>
              <w:rPr>
                <w:sz w:val="20"/>
                <w:szCs w:val="20"/>
                <w:color w:val="auto"/>
              </w:rPr>
            </w:pPr>
          </w:p>
        </w:tc>
        <w:tc>
          <w:tcPr>
            <w:tcW w:w="940" w:type="dxa"/>
            <w:vAlign w:val="bottom"/>
            <w:gridSpan w:val="2"/>
          </w:tcPr>
          <w:p>
            <w:pPr>
              <w:jc w:val="right"/>
              <w:ind w:right="228"/>
              <w:spacing w:after="0"/>
              <w:rPr>
                <w:sz w:val="20"/>
                <w:szCs w:val="20"/>
                <w:color w:val="auto"/>
              </w:rPr>
            </w:pPr>
            <w:r>
              <w:rPr>
                <w:rFonts w:ascii="Arial" w:cs="Arial" w:eastAsia="Arial" w:hAnsi="Arial"/>
                <w:sz w:val="18"/>
                <w:szCs w:val="18"/>
                <w:color w:val="auto"/>
              </w:rPr>
              <w:t>(23 )</w:t>
            </w:r>
          </w:p>
        </w:tc>
        <w:tc>
          <w:tcPr>
            <w:tcW w:w="1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0"/>
                <w:szCs w:val="20"/>
                <w:color w:val="auto"/>
              </w:rPr>
            </w:pPr>
          </w:p>
        </w:tc>
      </w:tr>
    </w:tbl>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During the nine months ended September 30, 2022, our primary use of cash was from operations, financing activities (including payment of withholding taxes on net share settlements of equity awards of $18 million) and investing activities (including capital expenditures of $41 million). This use of cash was funded with cash and cash equivalents, and operating cash flows.</w:t>
      </w:r>
    </w:p>
    <w:p>
      <w:pPr>
        <w:spacing w:after="0" w:line="176"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During the nine months ended September 30, 2021, our primary use of cash was from operations, financing activities (including payment of withholding taxes on net share settlements of equity awards of $39 million and purchase of Capped Calls of $35 million) and investing activities (including capital expenditures of $40 million). This use of cash was funded primarily with cash on hand, operating cash flow and financing activities, which included $340 million of proceeds from the issuance of our 2026 Senior Notes, net of financing costs.</w:t>
      </w:r>
    </w:p>
    <w:p>
      <w:pPr>
        <w:spacing w:after="0" w:line="183"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Net cash provided by operating activities for the nine months ended September 30, 2022, increased by $397 million when compared to the same period in 2021, primarily due to a decrease in net losses of $141 million and an increase in working capital of $260 million. The increase in working capital was driven primarily by an increase of $53 million in deferred merchant payables and $6 million in deferred revenue reflecting the cash received from travelers principally due to an increase in experiences bookings, net of cancellations, which exceeded our payments to traveler suppliers, a $64 million U.S. federal tax refund related to the CARES Act, and an increase in accounts receivable across the business, largely reflective of the increasing consumer demand for travel activities during the first three quarters of 2022, in addition to timing of vendor payments and collection of receivables. These increases were partially offset by a decrease in non-cash items of $4 million which was primarily due to a decrease in deferred income tax benefits, largely offset by a decrease in stock-based compensation expense.</w:t>
      </w:r>
    </w:p>
    <w:p>
      <w:pPr>
        <w:spacing w:after="0" w:line="187" w:lineRule="exact"/>
        <w:rPr>
          <w:sz w:val="20"/>
          <w:szCs w:val="20"/>
          <w:color w:val="auto"/>
        </w:rPr>
      </w:pPr>
    </w:p>
    <w:p>
      <w:pPr>
        <w:ind w:right="220" w:firstLine="509"/>
        <w:spacing w:after="0" w:line="324" w:lineRule="auto"/>
        <w:rPr>
          <w:sz w:val="20"/>
          <w:szCs w:val="20"/>
          <w:color w:val="auto"/>
        </w:rPr>
      </w:pPr>
      <w:r>
        <w:rPr>
          <w:rFonts w:ascii="Arial" w:cs="Arial" w:eastAsia="Arial" w:hAnsi="Arial"/>
          <w:sz w:val="16"/>
          <w:szCs w:val="16"/>
          <w:color w:val="auto"/>
        </w:rPr>
        <w:t>Net cash used in investing activities for the nine months ended September 30, 2022 decreased by $4 million when compared to the same period in 2021, primarily due to other investing activities, net, resulting from the change in fair value of our settled foreign currency forward contracts.</w:t>
      </w:r>
    </w:p>
    <w:p>
      <w:pPr>
        <w:spacing w:after="0" w:line="124"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Net cash provided by financing activities for the nine months ended September 30, 2022 decreased by $292 million when compared to the same period in 2021, primarily due to proceeds received from the issuance of our 2026 Senior Notes of $340 million, net of financing costs, partially offset by payments of $35 million for the Capped Calls in connection with our 2026 Senior Notes during the first quarter of 2021, both of which did not reoccur during 2022, as well as, and to a lesser extent, cash received for stock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7" w:name="page48"/>
    <w:bookmarkEnd w:id="47"/>
    <w:p>
      <w:pPr>
        <w:ind w:right="380"/>
        <w:spacing w:after="0" w:line="277" w:lineRule="auto"/>
        <w:rPr>
          <w:sz w:val="20"/>
          <w:szCs w:val="20"/>
          <w:color w:val="auto"/>
        </w:rPr>
      </w:pPr>
      <w:r>
        <w:rPr>
          <w:rFonts w:ascii="Arial" w:cs="Arial" w:eastAsia="Arial" w:hAnsi="Arial"/>
          <w:sz w:val="18"/>
          <w:szCs w:val="18"/>
          <w:color w:val="auto"/>
        </w:rPr>
        <w:t>option exercises of $8 million during the nine months ended September 30, 2021, partially offset by a decrease in payment of withholding taxes on net share settlements of equity awards of $21 million during the nine months ended September 30, 2022.</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have been no material changes outside the normal course of business to our contractual obligations and commercial commitments since</w:t>
      </w:r>
    </w:p>
    <w:p>
      <w:pPr>
        <w:spacing w:after="0" w:line="4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December 31, 2021. As of September 30, 2022, other than our contractual obligations and commercial commitments, we did not have any off-balance sheet arrangements, as defined in Item 303(a)(4)(ii) of Regulation S-K promulgated by the SEC.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in Part II, Item 7. Management’s Discussion and Analysis of Financial Condition and Results of Operations of our Annual Report on Form 10-K for the year ended December 31, 2021 for a discussion of our contractual obligations and commercial commitments.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15"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5"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4"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By virtue of consolidated income tax returns previously filed with Expedia, we are currently under an IRS audit for the 2009, 2010 and short-period 2011 tax years. We are separately under examination by the IRS for the short-period 2011, 2014 through 2016, and 2018 tax years, and have various ongoing audits for foreign and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September 30, 2022, no material assessments have resulted, except as noted below regarding our 2009, 2010, and 2011 IRS audit with Expedia, our 2014 through 2016 standalone IRS audit, and our 2012 through 2016 HMRC audit.</w:t>
      </w:r>
    </w:p>
    <w:p>
      <w:pPr>
        <w:spacing w:after="0" w:line="199" w:lineRule="exact"/>
        <w:rPr>
          <w:sz w:val="20"/>
          <w:szCs w:val="20"/>
          <w:color w:val="auto"/>
        </w:rPr>
      </w:pPr>
    </w:p>
    <w:p>
      <w:pPr>
        <w:jc w:val="both"/>
        <w:ind w:right="60" w:firstLine="509"/>
        <w:spacing w:after="0" w:line="275"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Subsequently, in September 2019, as part of Tripadvisor’s standalone audit, we received Notices of Proposed Adjustment from the IRS for the 2012 and 2013 tax years, and in August 2020, we received Notices of Proposed Adjustments from the IRS for the 2014, 2015 and 2016 tax years.</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statute of limitation of assessment for all years subject to the Notices of Proposed Adjustment remain open, with the exception of the 2012 and 2013 tax years. These proposed adjustments are related to certain transfer pricing arrangements with our foreign subsidiaries, and would result in an increase to our worldwide income tax expense, for the open tax years, in an estimated range of $90 million to $100 million at the close of the audit if the IRS prevails. The estimated range takes into consideration competent authority relief and transition tax regulations, and is exclusive of deferred tax consequences and interest expense, which would be significant.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the open years outlined above, if the IRS were to seek transfer pricing adjustments of a similar nature for transactions in subsequent years, we would be subject to significant additional tax liabilities. We have requested competent authority assistance under MAP for tax years 2009 through 2016, for which the statutes remain open for all but the 2012 and 2013 tax years. We expect the competent authorities to</w:t>
      </w: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3" w:right="359" w:bottom="1440"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present a resolution for the 2009 through 2011 tax years in the near future. Upon receipt, we will assess the resolution provided by the competent authorities as well as its impact on our existing income tax reserves for all subsequent years which remain open.</w:t>
      </w:r>
    </w:p>
    <w:p>
      <w:pPr>
        <w:spacing w:after="0" w:line="156"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In January 2021, we received an issue closure notice relating to adjustments for 2012 through 2016 tax years from HMRC. These proposed</w:t>
      </w:r>
    </w:p>
    <w:p>
      <w:pPr>
        <w:spacing w:after="0" w:line="2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adjustments are related to certain transfer pricing arrangements with our foreign subsidiaries and would result in an increase to our worldwide income tax expense in an estimated range of $25 million to $35 million, exclusive of interest expense and potential U.S. transition tax adjustments, at the close of the audit if HMRC prevails.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w:t>
      </w:r>
    </w:p>
    <w:p>
      <w:pPr>
        <w:spacing w:after="0" w:line="157"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Over the last several years, The Organization for Economic Cooperation and Development (“OECD”) has been working on a Base Erosion and Profit Shifting Project to address the tax challenges arising from digitalization. The OECD/G20 Inclusive Framework has issued various guidelines, policy notes, and proposals that if adopted could result in an overhaul of the international taxation system under which our current tax obligations are determined. In October 2021, more than 130 countries tentatively signed on to a framework, which calls for a minimum tax rate on corporations of 15% and a reallocation of profits from the largest and most profitable businesses to countries where they make sales. The proposed framework, once enacted, envisages new international tax rules and the removal of all digital services taxes. As this framework is subject to further negotiation and implementation by each member country, the timing and ultimate impact of any such changes on our tax obligations is uncertain. As the OECD/G20 continues to drive toward a consensus framework, several countries which have previously enacted unilateral digital services tax initiatives, such as France, Italy, Spain, and the U.K., will continue to impose these revenue-based taxes until implementation of the consensus framework. During the three and nine months ended September 30, 2022, we recorded $4 million and $7 million of digital service tax, respectively. During the three months ended September 30, 2021, digital service tax recorded to general and administrative expense on our unaudited condensed consolidated statement of operations was not material, while this amount was $1 million during the nine months ended September 30, 2021.</w:t>
      </w:r>
    </w:p>
    <w:p>
      <w:pPr>
        <w:spacing w:after="0" w:line="176"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September 30, 2022. As of September 30, 2022, $479 million of our cumulative undistributed foreign earnings were no longer considered to be indefinitely reinvested.</w:t>
      </w:r>
    </w:p>
    <w:p>
      <w:pPr>
        <w:spacing w:after="0" w:line="184" w:lineRule="exact"/>
        <w:rPr>
          <w:sz w:val="20"/>
          <w:szCs w:val="20"/>
          <w:color w:val="auto"/>
        </w:rPr>
      </w:pPr>
    </w:p>
    <w:p>
      <w:pPr>
        <w:ind w:right="380" w:firstLine="509"/>
        <w:spacing w:after="0" w:line="255" w:lineRule="auto"/>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potential tax contingencies, including current audits by the IRS and various other domestic and foreign tax authorities, and other income tax and non-income tax matters.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5"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auto"/>
        </w:rPr>
        <w:t>There has been no material change in our market risk profile during the nine months ended September 30, 2022 since December 31, 2021. For a discussion of current market conditions and impacts on the Company’s financials resulting from the COVID-19 pandemic, refer to “Note 1: Business Description and Basis of Presentation” in the notes to our unaudited condensed consolidated financial statements in Item 1 in this Quarterly Report on Form 10-Q, and for further information, Part I, Item 2, "Management's Discussion and Analysis of Financial Condition and Results of Operations,” and to Part II, Item 1A, "Risk Factors”. For additional information about our market risk profile, refer to “Quantitative and Qualitative Disclosures About Market Risk” in Item 7A. in Part II of our Annual Report on Form 10-K for the year ended December 31, 2021.</w:t>
      </w:r>
    </w:p>
    <w:p>
      <w:pPr>
        <w:spacing w:after="0" w:line="171"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which has been heightened during the COVID-19 pandemic. The risk of loss can be assessed from the perspective of adverse changes in our future earnings, cash flows, fair values of our assets, and financial condition. Our exposure to market risk, at any point in time, may include risk, including to any borrowings under the Credit Facility, or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178" w:lineRule="exact"/>
        <w:rPr>
          <w:sz w:val="20"/>
          <w:szCs w:val="20"/>
          <w:color w:val="auto"/>
        </w:rPr>
      </w:pPr>
    </w:p>
    <w:p>
      <w:pPr>
        <w:ind w:right="800" w:firstLine="509"/>
        <w:spacing w:after="0" w:line="250" w:lineRule="auto"/>
        <w:rPr>
          <w:sz w:val="20"/>
          <w:szCs w:val="20"/>
          <w:color w:val="auto"/>
        </w:rPr>
      </w:pPr>
      <w:r>
        <w:rPr>
          <w:rFonts w:ascii="Arial" w:cs="Arial" w:eastAsia="Arial" w:hAnsi="Arial"/>
          <w:sz w:val="18"/>
          <w:szCs w:val="18"/>
          <w:color w:val="auto"/>
        </w:rPr>
        <w:t>We expect that we will continue to increase our operations internationally as, or when, COVID-19 restrictions are fully lifted globally and international markets continue to reopen. Our exposure to potentially volatile movements in foreign currency exchange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49" w:name="page50"/>
    <w:bookmarkEnd w:id="49"/>
    <w:p>
      <w:pPr>
        <w:spacing w:after="0" w:line="258" w:lineRule="auto"/>
        <w:rPr>
          <w:sz w:val="20"/>
          <w:szCs w:val="20"/>
          <w:color w:val="auto"/>
        </w:rPr>
      </w:pPr>
      <w:r>
        <w:rPr>
          <w:rFonts w:ascii="Arial" w:cs="Arial" w:eastAsia="Arial" w:hAnsi="Arial"/>
          <w:sz w:val="17"/>
          <w:szCs w:val="17"/>
          <w:color w:val="auto"/>
        </w:rPr>
        <w:t>rates will increase as we increase our operations in these international markets. The economic impact to us of foreign currency exchange rate movements is linked to variability in real growth, inflation, interest rates, governmental actions, and other factors. We continue to monitor the current economic environment, including the impact of a potential U.S. recession and increased inflation globally, which has been heightened by the conflict between Russia and Ukraine. These changes, if material, could cause us to adjust our foreign currency risk strategies. For example, Brexit (pursuant to which the United Kingdom ceased to be a member of the European Union) has caused volatility in currency exchange rates, including between the U.S. dollar and the British pound. Although, the U.K. and E.U. finalized the terms of the departure on December 24, 2020, certain decisions still need to be made on financial services, among others, and disputes may lead to tariffs being imposed on some goods in the future. Continued uncertainty regarding our international operations and U.K. and E.U. relations may result in future currency exchange rate volatility which may impact our business and results of operations. In addition, the geopolitical tensions resulting from Russia’s invasion of Ukraine, including increased cyberattacks, military conflicts and sanctions may result in additional financial volatility that may adversely affect our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7"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of September 30, 2022,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September 30, 2022,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our Chief Financial Officer, as appropriate to allow timely decisions regarding required disclosure.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2022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7" w:lineRule="exact"/>
        <w:rPr>
          <w:sz w:val="20"/>
          <w:szCs w:val="20"/>
          <w:color w:val="auto"/>
        </w:rPr>
      </w:pPr>
    </w:p>
    <w:p>
      <w:pPr>
        <w:ind w:right="140" w:firstLine="509"/>
        <w:spacing w:after="0" w:line="274" w:lineRule="auto"/>
        <w:rPr>
          <w:sz w:val="20"/>
          <w:szCs w:val="20"/>
          <w:color w:val="auto"/>
        </w:rPr>
      </w:pPr>
      <w:r>
        <w:rPr>
          <w:rFonts w:ascii="Arial" w:cs="Arial" w:eastAsia="Arial" w:hAnsi="Arial"/>
          <w:sz w:val="16"/>
          <w:szCs w:val="16"/>
          <w:color w:val="auto"/>
        </w:rPr>
        <w:t>In the ordinary course of business, we are party to legal, regulatory and administrative matters, including threats thereof, arising out of, or in connection with our operations. These matters may involve claims involving intellectual property rights (including privacy, alleged infringement of third-party intellectual property rights), tax matters (including value-added, excise, transient occupancy and accommodation taxes), regulatory compliance (including competition and consumer protection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Annual Report on Form 10-K for the year ended December 31, 2021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50" w:name="page51"/>
    <w:bookmarkEnd w:id="50"/>
    <w:p>
      <w:pPr>
        <w:ind w:right="480"/>
        <w:spacing w:after="0" w:line="277" w:lineRule="auto"/>
        <w:rPr>
          <w:sz w:val="20"/>
          <w:szCs w:val="20"/>
          <w:color w:val="auto"/>
        </w:rPr>
      </w:pPr>
      <w:r>
        <w:rPr>
          <w:rFonts w:ascii="Arial" w:cs="Arial" w:eastAsia="Arial" w:hAnsi="Arial"/>
          <w:sz w:val="18"/>
          <w:szCs w:val="18"/>
          <w:color w:val="auto"/>
        </w:rPr>
        <w:t>During the quarter ended September 30, 2022, there have been no material changes in our risk factors from those disclosed in Part 1, Item 1A., “Risk Factors” in our Annual Report on Form 10-K for the fiscal year ended December 31,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During the quarter ended September 30, 2022,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15" w:lineRule="exact"/>
        <w:rPr>
          <w:sz w:val="20"/>
          <w:szCs w:val="20"/>
          <w:color w:val="auto"/>
        </w:rPr>
      </w:pPr>
    </w:p>
    <w:p>
      <w:pPr>
        <w:ind w:right="100" w:firstLine="449"/>
        <w:spacing w:after="0" w:line="247" w:lineRule="auto"/>
        <w:rPr>
          <w:sz w:val="20"/>
          <w:szCs w:val="20"/>
          <w:color w:val="auto"/>
        </w:rPr>
      </w:pPr>
      <w:r>
        <w:rPr>
          <w:rFonts w:ascii="Arial" w:cs="Arial" w:eastAsia="Arial" w:hAnsi="Arial"/>
          <w:sz w:val="18"/>
          <w:szCs w:val="18"/>
          <w:color w:val="auto"/>
        </w:rPr>
        <w:t>During the quarter ended September 30, 2022, we did not repurchase any shares of our common stock under our existing share repurchase program. As of September 30, 2022, we had $75 million remaining available to repurchase shares of our common stock under our previously authorized share repurchase program.</w:t>
      </w:r>
    </w:p>
    <w:p>
      <w:pPr>
        <w:spacing w:after="0" w:line="197"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 xml:space="preserve">While the Board of Directors has not suspended or terminated the share repurchase program, the terms of the Credit Agreement limit the Company from engaging in share repurchases and the terms of our 2025 Indenture related to the 2025 Senior Notes impose certain limitations and restrictions on share repurchases. Refer to “Note 7: </w:t>
      </w:r>
      <w:r>
        <w:rPr>
          <w:rFonts w:ascii="Arial" w:cs="Arial" w:eastAsia="Arial" w:hAnsi="Arial"/>
          <w:sz w:val="17"/>
          <w:szCs w:val="17"/>
          <w:i w:val="1"/>
          <w:iCs w:val="1"/>
          <w:color w:val="auto"/>
        </w:rPr>
        <w:t>Debt</w:t>
      </w:r>
      <w:r>
        <w:rPr>
          <w:rFonts w:ascii="Arial" w:cs="Arial" w:eastAsia="Arial" w:hAnsi="Arial"/>
          <w:sz w:val="17"/>
          <w:szCs w:val="17"/>
          <w:color w:val="auto"/>
        </w:rPr>
        <w:t>” in the notes to the unaudited condensed consolidated financial statements in Item 1 in this Quarterly Report on Form 10-Q for further information about the Credit Agreement and the 2025 Indenture.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3"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6"/>
        </w:trPr>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5"/>
          </w:tcPr>
          <w:p>
            <w:pPr>
              <w:ind w:left="1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5"/>
        </w:trPr>
        <w:tc>
          <w:tcPr>
            <w:tcW w:w="780" w:type="dxa"/>
            <w:vAlign w:val="bottom"/>
          </w:tcPr>
          <w:p>
            <w:pPr>
              <w:ind w:left="20"/>
              <w:spacing w:after="0" w:line="17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5"/>
                <w:szCs w:val="15"/>
                <w:color w:val="auto"/>
              </w:rPr>
            </w:pPr>
          </w:p>
        </w:tc>
        <w:tc>
          <w:tcPr>
            <w:tcW w:w="6260" w:type="dxa"/>
            <w:vAlign w:val="bottom"/>
            <w:gridSpan w:val="10"/>
          </w:tcPr>
          <w:p>
            <w:pPr>
              <w:spacing w:after="0" w:line="176" w:lineRule="exact"/>
              <w:rPr>
                <w:rFonts w:ascii="Arial" w:cs="Arial" w:eastAsia="Arial" w:hAnsi="Arial"/>
                <w:sz w:val="18"/>
                <w:szCs w:val="18"/>
                <w:color w:val="0000FF"/>
                <w:w w:val="91"/>
              </w:rPr>
            </w:pPr>
            <w:hyperlink r:id="rId231">
              <w:r>
                <w:rPr>
                  <w:rFonts w:ascii="Arial" w:cs="Arial" w:eastAsia="Arial" w:hAnsi="Arial"/>
                  <w:sz w:val="18"/>
                  <w:szCs w:val="18"/>
                  <w:color w:val="0000FF"/>
                  <w:w w:val="91"/>
                </w:rPr>
                <w:t>Employment Letter Agreement dated October 10, 2022 between Tripadvisor LLC and</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1"/>
              </w:rPr>
            </w:pPr>
            <w:hyperlink r:id="rId231">
              <w:r>
                <w:rPr>
                  <w:rFonts w:ascii="Arial" w:cs="Arial" w:eastAsia="Arial" w:hAnsi="Arial"/>
                  <w:sz w:val="18"/>
                  <w:szCs w:val="18"/>
                  <w:color w:val="0000FF"/>
                  <w:w w:val="91"/>
                </w:rPr>
                <w:t>Michael Noonan.</w:t>
              </w:r>
            </w:hyperlink>
          </w:p>
        </w:tc>
        <w:tc>
          <w:tcPr>
            <w:tcW w:w="20" w:type="dxa"/>
            <w:vAlign w:val="bottom"/>
            <w:tcBorders>
              <w:top w:val="single" w:sz="8" w:color="0000FF"/>
              <w:bottom w:val="single" w:sz="8" w:color="0000EE"/>
            </w:tcBorders>
          </w:tcPr>
          <w:p>
            <w:pPr>
              <w:spacing w:after="0"/>
              <w:rPr>
                <w:sz w:val="14"/>
                <w:szCs w:val="14"/>
                <w:color w:val="auto"/>
              </w:rPr>
            </w:pPr>
          </w:p>
        </w:tc>
        <w:tc>
          <w:tcPr>
            <w:tcW w:w="496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0" w:type="dxa"/>
            <w:vAlign w:val="bottom"/>
          </w:tcPr>
          <w:p>
            <w:pPr>
              <w:ind w:left="20"/>
              <w:spacing w:after="0" w:line="195"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6260" w:type="dxa"/>
            <w:vAlign w:val="bottom"/>
            <w:gridSpan w:val="10"/>
          </w:tcPr>
          <w:p>
            <w:pPr>
              <w:spacing w:after="0" w:line="195" w:lineRule="exact"/>
              <w:rPr>
                <w:rFonts w:ascii="Arial" w:cs="Arial" w:eastAsia="Arial" w:hAnsi="Arial"/>
                <w:sz w:val="18"/>
                <w:szCs w:val="18"/>
                <w:color w:val="0000FF"/>
                <w:w w:val="91"/>
              </w:rPr>
            </w:pPr>
            <w:hyperlink r:id="rId232">
              <w:r>
                <w:rPr>
                  <w:rFonts w:ascii="Arial" w:cs="Arial" w:eastAsia="Arial" w:hAnsi="Arial"/>
                  <w:sz w:val="18"/>
                  <w:szCs w:val="18"/>
                  <w:color w:val="0000FF"/>
                  <w:w w:val="91"/>
                </w:rPr>
                <w:t>Transition Services Agreement dated October 10, 2022 between Tripadvisor LLC and</w:t>
              </w:r>
            </w:hyperlink>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7"/>
              </w:rPr>
            </w:pPr>
            <w:hyperlink r:id="rId232">
              <w:r>
                <w:rPr>
                  <w:rFonts w:ascii="Arial" w:cs="Arial" w:eastAsia="Arial" w:hAnsi="Arial"/>
                  <w:sz w:val="18"/>
                  <w:szCs w:val="18"/>
                  <w:color w:val="0000FF"/>
                  <w:w w:val="87"/>
                </w:rPr>
                <w:t>Ernst Teunissen.</w:t>
              </w:r>
            </w:hyperlink>
          </w:p>
        </w:tc>
        <w:tc>
          <w:tcPr>
            <w:tcW w:w="20" w:type="dxa"/>
            <w:vAlign w:val="bottom"/>
            <w:tcBorders>
              <w:top w:val="single" w:sz="8" w:color="0000FF"/>
              <w:bottom w:val="single" w:sz="8" w:color="0000EE"/>
            </w:tcBorders>
          </w:tcPr>
          <w:p>
            <w:pPr>
              <w:spacing w:after="0"/>
              <w:rPr>
                <w:sz w:val="14"/>
                <w:szCs w:val="14"/>
                <w:color w:val="auto"/>
              </w:rPr>
            </w:pPr>
          </w:p>
        </w:tc>
        <w:tc>
          <w:tcPr>
            <w:tcW w:w="5000" w:type="dxa"/>
            <w:vAlign w:val="bottom"/>
            <w:tcBorders>
              <w:top w:val="single" w:sz="8" w:color="0000FF"/>
            </w:tcBorders>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0000FF"/>
                <w:w w:val="93"/>
              </w:rPr>
              <w:t>Certification of the Chief Executive Officer pursuant to Section 302 of the Sarbanes-</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Oxley Act of 2002</w:t>
            </w: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line="20" w:lineRule="exact"/>
              <w:rPr>
                <w:sz w:val="1"/>
                <w:szCs w:val="1"/>
                <w:color w:val="auto"/>
              </w:rPr>
            </w:pPr>
          </w:p>
        </w:tc>
        <w:tc>
          <w:tcPr>
            <w:tcW w:w="1360" w:type="dxa"/>
            <w:vAlign w:val="bottom"/>
            <w:tcBorders>
              <w:right w:val="single" w:sz="8" w:color="0000EE"/>
            </w:tcBorders>
            <w:gridSpan w:val="5"/>
            <w:shd w:val="clear" w:color="auto" w:fill="0000FF"/>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0000FF"/>
                <w:w w:val="94"/>
              </w:rPr>
              <w:t>Certification of the Chief Financial Officer pursuant to Section 302 of the Sarbanes-</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Oxley Act of 2002</w:t>
            </w:r>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line="20" w:lineRule="exact"/>
              <w:rPr>
                <w:sz w:val="1"/>
                <w:szCs w:val="1"/>
                <w:color w:val="auto"/>
              </w:rPr>
            </w:pPr>
          </w:p>
        </w:tc>
        <w:tc>
          <w:tcPr>
            <w:tcW w:w="1360" w:type="dxa"/>
            <w:vAlign w:val="bottom"/>
            <w:tcBorders>
              <w:right w:val="single" w:sz="8" w:color="0000EE"/>
            </w:tcBorders>
            <w:gridSpan w:val="5"/>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0000FF"/>
                <w:w w:val="93"/>
              </w:rPr>
              <w:t>Certification of the Chief Executive Officer pursuant to Section 906 of the Sarbanes-</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10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8"/>
                <w:szCs w:val="18"/>
                <w:color w:val="0000FF"/>
              </w:rPr>
              <w:t>Oxley Act of 2002</w:t>
            </w: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line="20" w:lineRule="exact"/>
              <w:rPr>
                <w:sz w:val="1"/>
                <w:szCs w:val="1"/>
                <w:color w:val="auto"/>
              </w:rPr>
            </w:pPr>
          </w:p>
        </w:tc>
        <w:tc>
          <w:tcPr>
            <w:tcW w:w="1360" w:type="dxa"/>
            <w:vAlign w:val="bottom"/>
            <w:tcBorders>
              <w:right w:val="single" w:sz="8" w:color="0000EE"/>
            </w:tcBorders>
            <w:gridSpan w:val="5"/>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0000FF"/>
                <w:w w:val="94"/>
              </w:rPr>
              <w:t>Certification of the Chief Financial Officer pursuant to Section 906 of the Sarbanes-</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60" w:type="dxa"/>
            <w:vAlign w:val="bottom"/>
            <w:tcBorders>
              <w:top w:val="single" w:sz="8" w:color="0000FF"/>
            </w:tcBorders>
            <w:gridSpan w:val="6"/>
          </w:tcPr>
          <w:p>
            <w:pPr>
              <w:spacing w:after="0" w:line="169" w:lineRule="exact"/>
              <w:rPr>
                <w:sz w:val="20"/>
                <w:szCs w:val="20"/>
                <w:color w:val="auto"/>
              </w:rPr>
            </w:pPr>
            <w:r>
              <w:rPr>
                <w:rFonts w:ascii="Arial" w:cs="Arial" w:eastAsia="Arial" w:hAnsi="Arial"/>
                <w:sz w:val="18"/>
                <w:szCs w:val="18"/>
                <w:color w:val="0000FF"/>
              </w:rPr>
              <w:t>Oxley Act of 2002</w:t>
            </w:r>
          </w:p>
        </w:tc>
        <w:tc>
          <w:tcPr>
            <w:tcW w:w="2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right w:val="single" w:sz="8" w:color="0000EE"/>
            </w:tcBorders>
            <w:gridSpan w:val="5"/>
            <w:shd w:val="clear" w:color="auto" w:fill="0000FF"/>
          </w:tcPr>
          <w:p>
            <w:pPr>
              <w:spacing w:after="0" w:line="20" w:lineRule="exact"/>
              <w:rPr>
                <w:sz w:val="1"/>
                <w:szCs w:val="1"/>
                <w:color w:val="auto"/>
              </w:rPr>
            </w:pPr>
          </w:p>
        </w:tc>
        <w:tc>
          <w:tcPr>
            <w:tcW w:w="4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w w:val="98"/>
              </w:rPr>
              <w:t>Inline XBRL Instance Document - the instance document does not appear in the</w:t>
            </w:r>
          </w:p>
        </w:tc>
        <w:tc>
          <w:tcPr>
            <w:tcW w:w="0" w:type="dxa"/>
            <w:vAlign w:val="bottom"/>
          </w:tcPr>
          <w:p>
            <w:pPr>
              <w:spacing w:after="0"/>
              <w:rPr>
                <w:sz w:val="1"/>
                <w:szCs w:val="1"/>
                <w:color w:val="auto"/>
              </w:rPr>
            </w:pPr>
          </w:p>
        </w:tc>
      </w:tr>
      <w:tr>
        <w:trPr>
          <w:trHeight w:val="189"/>
        </w:trPr>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60" w:type="dxa"/>
            <w:vAlign w:val="bottom"/>
            <w:gridSpan w:val="10"/>
          </w:tcPr>
          <w:p>
            <w:pPr>
              <w:spacing w:after="0" w:line="189" w:lineRule="exact"/>
              <w:rPr>
                <w:sz w:val="20"/>
                <w:szCs w:val="20"/>
                <w:color w:val="auto"/>
              </w:rPr>
            </w:pPr>
            <w:r>
              <w:rPr>
                <w:rFonts w:ascii="Arial" w:cs="Arial" w:eastAsia="Arial" w:hAnsi="Arial"/>
                <w:sz w:val="18"/>
                <w:szCs w:val="18"/>
                <w:color w:val="auto"/>
                <w:w w:val="96"/>
              </w:rPr>
              <w:t>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626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920" w:hanging="899"/>
        <w:spacing w:after="0"/>
        <w:tabs>
          <w:tab w:leader="none" w:pos="920" w:val="left"/>
        </w:tabs>
        <w:numPr>
          <w:ilvl w:val="1"/>
          <w:numId w:val="24"/>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222" w:lineRule="exact"/>
        <w:rPr>
          <w:rFonts w:ascii="Arial" w:cs="Arial" w:eastAsia="Arial" w:hAnsi="Arial"/>
          <w:sz w:val="17"/>
          <w:szCs w:val="17"/>
          <w:color w:val="auto"/>
        </w:rPr>
      </w:pPr>
    </w:p>
    <w:p>
      <w:pPr>
        <w:ind w:left="180" w:hanging="172"/>
        <w:spacing w:after="0"/>
        <w:tabs>
          <w:tab w:leader="none" w:pos="18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a management contract or a compensatory plan, contract or arrangement.</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Filed</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Incorporated by Reference</w:t>
            </w:r>
          </w:p>
        </w:tc>
      </w:tr>
      <w:tr>
        <w:trPr>
          <w:trHeight w:val="325"/>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0" w:type="dxa"/>
            <w:vAlign w:val="bottom"/>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tcPr>
          <w:p>
            <w:pPr>
              <w:spacing w:after="0"/>
              <w:rPr>
                <w:sz w:val="24"/>
                <w:szCs w:val="24"/>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SEC File No.</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404"/>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7"/>
              </w:rPr>
              <w:t>001-35362</w:t>
            </w:r>
          </w:p>
        </w:tc>
        <w:tc>
          <w:tcPr>
            <w:tcW w:w="6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10.1</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10/11/22</w:t>
            </w:r>
          </w:p>
        </w:tc>
      </w:tr>
      <w:tr>
        <w:trPr>
          <w:trHeight w:val="405"/>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w w:val="97"/>
              </w:rPr>
              <w:t>001-35362</w:t>
            </w:r>
          </w:p>
        </w:tc>
        <w:tc>
          <w:tcPr>
            <w:tcW w:w="6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10.2</w:t>
            </w:r>
          </w:p>
        </w:tc>
        <w:tc>
          <w:tcPr>
            <w:tcW w:w="92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10/11/22</w:t>
            </w:r>
          </w:p>
        </w:tc>
      </w:tr>
    </w:tbl>
    <w:p>
      <w:pPr>
        <w:spacing w:after="0" w:line="3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4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160" w:space="120"/>
            <w:col w:w="3960"/>
          </w:cols>
          <w:pgMar w:left="320" w:top="647"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120" w:type="dxa"/>
            <w:vAlign w:val="bottom"/>
          </w:tcPr>
          <w:p>
            <w:pPr>
              <w:spacing w:after="0"/>
              <w:rPr>
                <w:sz w:val="20"/>
                <w:szCs w:val="20"/>
                <w:color w:val="auto"/>
              </w:rPr>
            </w:pPr>
          </w:p>
        </w:tc>
      </w:tr>
      <w:tr>
        <w:trPr>
          <w:trHeight w:val="445"/>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jc w:val="center"/>
              <w:ind w:right="730"/>
              <w:spacing w:after="0"/>
              <w:rPr>
                <w:sz w:val="20"/>
                <w:szCs w:val="20"/>
                <w:color w:val="auto"/>
              </w:rPr>
            </w:pPr>
            <w:r>
              <w:rPr>
                <w:rFonts w:ascii="Arial" w:cs="Arial" w:eastAsia="Arial" w:hAnsi="Arial"/>
                <w:sz w:val="18"/>
                <w:szCs w:val="18"/>
                <w:color w:val="auto"/>
                <w:w w:val="92"/>
              </w:rPr>
              <w:t>/s/ Michael Noonan</w:t>
            </w:r>
          </w:p>
        </w:tc>
      </w:tr>
      <w:tr>
        <w:trPr>
          <w:trHeight w:val="191"/>
        </w:trPr>
        <w:tc>
          <w:tcPr>
            <w:tcW w:w="4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tcPr>
          <w:p>
            <w:pPr>
              <w:jc w:val="center"/>
              <w:ind w:right="730"/>
              <w:spacing w:after="0" w:line="191" w:lineRule="exact"/>
              <w:rPr>
                <w:sz w:val="20"/>
                <w:szCs w:val="20"/>
                <w:color w:val="auto"/>
              </w:rPr>
            </w:pPr>
            <w:r>
              <w:rPr>
                <w:rFonts w:ascii="Arial" w:cs="Arial" w:eastAsia="Arial" w:hAnsi="Arial"/>
                <w:sz w:val="18"/>
                <w:szCs w:val="18"/>
                <w:b w:val="1"/>
                <w:bCs w:val="1"/>
                <w:color w:val="auto"/>
                <w:w w:val="91"/>
              </w:rPr>
              <w:t>Michael Noonan</w:t>
            </w:r>
          </w:p>
        </w:tc>
      </w:tr>
      <w:tr>
        <w:trPr>
          <w:trHeight w:val="234"/>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20" w:type="dxa"/>
            <w:vAlign w:val="bottom"/>
          </w:tcPr>
          <w:p>
            <w:pPr>
              <w:jc w:val="center"/>
              <w:ind w:right="7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431"/>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120" w:type="dxa"/>
            <w:vAlign w:val="bottom"/>
          </w:tcPr>
          <w:p>
            <w:pPr>
              <w:jc w:val="center"/>
              <w:ind w:right="730"/>
              <w:spacing w:after="0"/>
              <w:rPr>
                <w:sz w:val="20"/>
                <w:szCs w:val="20"/>
                <w:color w:val="auto"/>
              </w:rPr>
            </w:pPr>
            <w:r>
              <w:rPr>
                <w:rFonts w:ascii="Arial" w:cs="Arial" w:eastAsia="Arial" w:hAnsi="Arial"/>
                <w:sz w:val="18"/>
                <w:szCs w:val="18"/>
                <w:color w:val="auto"/>
                <w:w w:val="92"/>
              </w:rPr>
              <w:t>/s/ Geoffrey Gouvalaris</w:t>
            </w:r>
          </w:p>
        </w:tc>
      </w:tr>
      <w:tr>
        <w:trPr>
          <w:trHeight w:val="191"/>
        </w:trPr>
        <w:tc>
          <w:tcPr>
            <w:tcW w:w="4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120" w:type="dxa"/>
            <w:vAlign w:val="bottom"/>
            <w:tcBorders>
              <w:top w:val="single" w:sz="8" w:color="auto"/>
            </w:tcBorders>
          </w:tcPr>
          <w:p>
            <w:pPr>
              <w:jc w:val="center"/>
              <w:ind w:right="750"/>
              <w:spacing w:after="0" w:line="191" w:lineRule="exact"/>
              <w:rPr>
                <w:sz w:val="20"/>
                <w:szCs w:val="20"/>
                <w:color w:val="auto"/>
              </w:rPr>
            </w:pPr>
            <w:r>
              <w:rPr>
                <w:rFonts w:ascii="Arial" w:cs="Arial" w:eastAsia="Arial" w:hAnsi="Arial"/>
                <w:sz w:val="18"/>
                <w:szCs w:val="18"/>
                <w:b w:val="1"/>
                <w:bCs w:val="1"/>
                <w:color w:val="auto"/>
                <w:w w:val="90"/>
              </w:rPr>
              <w:t>Geoffrey Gouvalaris</w:t>
            </w:r>
          </w:p>
        </w:tc>
      </w:tr>
      <w:tr>
        <w:trPr>
          <w:trHeight w:val="234"/>
        </w:trPr>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12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Chief Accounting Officer</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November 7,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53" w:name="page54"/>
    <w:bookmarkEnd w:id="53"/>
    <w:p>
      <w:pPr>
        <w:ind w:left="10260"/>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 Goldberg, Chief Executive Officer of TripAdvisor, Inc., certify that:</w:t>
      </w:r>
    </w:p>
    <w:p>
      <w:pPr>
        <w:spacing w:after="0" w:line="10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TripAdvisor, Inc.;</w:t>
      </w:r>
    </w:p>
    <w:p>
      <w:pPr>
        <w:spacing w:after="0" w:line="103" w:lineRule="exact"/>
        <w:rPr>
          <w:rFonts w:ascii="Arial" w:cs="Arial" w:eastAsia="Arial" w:hAnsi="Arial"/>
          <w:sz w:val="18"/>
          <w:szCs w:val="18"/>
          <w:color w:val="auto"/>
        </w:rPr>
      </w:pPr>
    </w:p>
    <w:p>
      <w:pPr>
        <w:jc w:val="both"/>
        <w:ind w:left="520" w:right="240" w:hanging="512"/>
        <w:spacing w:after="0" w:line="255"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520" w:right="220" w:hanging="512"/>
        <w:spacing w:after="0" w:line="307"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jc w:val="both"/>
        <w:ind w:left="520" w:right="240" w:hanging="512"/>
        <w:spacing w:after="0" w:line="247"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020" w:hanging="503"/>
        <w:spacing w:after="0" w:line="24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020" w:right="320" w:hanging="503"/>
        <w:spacing w:after="0" w:line="24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55"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520" w:right="220" w:hanging="512"/>
        <w:spacing w:after="0" w:line="341" w:lineRule="auto"/>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rFonts w:ascii="Arial" w:cs="Arial" w:eastAsia="Arial" w:hAnsi="Arial"/>
          <w:sz w:val="16"/>
          <w:szCs w:val="16"/>
          <w:color w:val="auto"/>
        </w:rPr>
      </w:pPr>
    </w:p>
    <w:p>
      <w:pPr>
        <w:ind w:left="1020" w:right="720" w:hanging="503"/>
        <w:spacing w:after="0" w:line="324" w:lineRule="auto"/>
        <w:tabs>
          <w:tab w:leader="none" w:pos="10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MATT GOLDBERG</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-130175</wp:posOffset>
            </wp:positionV>
            <wp:extent cx="28511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66"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ind w:left="10260"/>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Noonan, Chief Financial Officer of TripAdvisor, Inc. certify that:</w:t>
      </w:r>
    </w:p>
    <w:p>
      <w:pPr>
        <w:spacing w:after="0" w:line="10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TripAdvisor, Inc.;</w:t>
      </w:r>
    </w:p>
    <w:p>
      <w:pPr>
        <w:spacing w:after="0" w:line="103" w:lineRule="exact"/>
        <w:rPr>
          <w:rFonts w:ascii="Arial" w:cs="Arial" w:eastAsia="Arial" w:hAnsi="Arial"/>
          <w:sz w:val="18"/>
          <w:szCs w:val="18"/>
          <w:color w:val="auto"/>
        </w:rPr>
      </w:pPr>
    </w:p>
    <w:p>
      <w:pPr>
        <w:jc w:val="both"/>
        <w:ind w:left="520" w:right="240" w:hanging="512"/>
        <w:spacing w:after="0" w:line="255"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520" w:right="220" w:hanging="512"/>
        <w:spacing w:after="0" w:line="307"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Arial" w:cs="Arial" w:eastAsia="Arial" w:hAnsi="Arial"/>
          <w:sz w:val="17"/>
          <w:szCs w:val="17"/>
          <w:color w:val="auto"/>
        </w:rPr>
      </w:pPr>
    </w:p>
    <w:p>
      <w:pPr>
        <w:jc w:val="both"/>
        <w:ind w:left="520" w:right="240" w:hanging="512"/>
        <w:spacing w:after="0" w:line="247"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ind w:left="1020" w:hanging="503"/>
        <w:spacing w:after="0" w:line="247"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020" w:right="320" w:hanging="503"/>
        <w:spacing w:after="0" w:line="247"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hanging="503"/>
        <w:spacing w:after="0" w:line="255"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520" w:right="220" w:hanging="512"/>
        <w:spacing w:after="0" w:line="341" w:lineRule="auto"/>
        <w:tabs>
          <w:tab w:leader="none" w:pos="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 w:lineRule="exact"/>
        <w:rPr>
          <w:rFonts w:ascii="Arial" w:cs="Arial" w:eastAsia="Arial" w:hAnsi="Arial"/>
          <w:sz w:val="16"/>
          <w:szCs w:val="16"/>
          <w:color w:val="auto"/>
        </w:rPr>
      </w:pPr>
    </w:p>
    <w:p>
      <w:pPr>
        <w:ind w:left="1020" w:right="720" w:hanging="503"/>
        <w:spacing w:after="0" w:line="324" w:lineRule="auto"/>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Noonan</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ind w:left="10260"/>
        <w:spacing w:after="0"/>
        <w:rPr>
          <w:sz w:val="20"/>
          <w:szCs w:val="20"/>
          <w:color w:val="auto"/>
        </w:rPr>
      </w:pPr>
      <w:r>
        <w:rPr>
          <w:rFonts w:ascii="Arial" w:cs="Arial" w:eastAsia="Arial" w:hAnsi="Arial"/>
          <w:sz w:val="16"/>
          <w:szCs w:val="16"/>
          <w:b w:val="1"/>
          <w:bCs w:val="1"/>
          <w:color w:val="auto"/>
        </w:rPr>
        <w:t>Exhibit 32.1</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2022, as filed with the Securities and Exchange Commission on the date hereof (the “Report”), I, Matt Goldberg, Chief Executive Officer of the Company, certify, pursuant to Section 906 of the Sarbanes-Oxley Act of 2002, 18 U.S.C. Section 1350, that:</w:t>
      </w:r>
    </w:p>
    <w:p>
      <w:pPr>
        <w:spacing w:after="0" w:line="89" w:lineRule="exact"/>
        <w:rPr>
          <w:sz w:val="20"/>
          <w:szCs w:val="20"/>
          <w:color w:val="auto"/>
        </w:rPr>
      </w:pPr>
    </w:p>
    <w:p>
      <w:pPr>
        <w:ind w:left="52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Matt Goldberg</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ind w:left="10260"/>
        <w:spacing w:after="0"/>
        <w:rPr>
          <w:sz w:val="20"/>
          <w:szCs w:val="20"/>
          <w:color w:val="auto"/>
        </w:rPr>
      </w:pPr>
      <w:r>
        <w:rPr>
          <w:rFonts w:ascii="Arial" w:cs="Arial" w:eastAsia="Arial" w:hAnsi="Arial"/>
          <w:sz w:val="16"/>
          <w:szCs w:val="16"/>
          <w:b w:val="1"/>
          <w:bCs w:val="1"/>
          <w:color w:val="auto"/>
        </w:rPr>
        <w:t>Exhibit 32.2</w:t>
      </w:r>
    </w:p>
    <w:p>
      <w:pPr>
        <w:spacing w:after="0" w:line="23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September 30, 2022, as filed with the Securities and Exchange Commission on the date hereof (the “Report”), I, Michael Noonan, Chief Financial Officer of the Company, certify, pursuant to Section 906 of the Sarbanes-Oxley Act of 2002, 18 U.S.C. Section 1350, that:</w:t>
      </w:r>
    </w:p>
    <w:p>
      <w:pPr>
        <w:spacing w:after="0" w:line="89" w:lineRule="exact"/>
        <w:rPr>
          <w:sz w:val="20"/>
          <w:szCs w:val="20"/>
          <w:color w:val="auto"/>
        </w:rPr>
      </w:pPr>
    </w:p>
    <w:p>
      <w:pPr>
        <w:ind w:left="520" w:hanging="512"/>
        <w:spacing w:after="0" w:line="261"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November 7, 2022</w:t>
      </w:r>
      <w:r>
        <w:rPr>
          <w:sz w:val="20"/>
          <w:szCs w:val="20"/>
          <w:color w:val="auto"/>
        </w:rPr>
        <w:tab/>
      </w:r>
      <w:r>
        <w:rPr>
          <w:rFonts w:ascii="Arial" w:cs="Arial" w:eastAsia="Arial" w:hAnsi="Arial"/>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14605</wp:posOffset>
            </wp:positionV>
            <wp:extent cx="285115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19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Michael Noonan</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lvl w:ilvl="1">
      <w:lvlJc w:val="left"/>
      <w:lvlText w:val="%2"/>
      <w:numFmt w:val="decimal"/>
      <w:start w:val="104"/>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31" Type="http://schemas.openxmlformats.org/officeDocument/2006/relationships/hyperlink" Target="https://www.sec.gov/Archives/edgar/data/1526520/000119312522260671/d412345dex101.htm" TargetMode="External"/><Relationship Id="rId232" Type="http://schemas.openxmlformats.org/officeDocument/2006/relationships/hyperlink" Target="https://www.sec.gov/Archives/edgar/data/1526520/000119312522260671/d41234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2022-11-07T15:41:26Z</dcterms:created>
  <dcterms:modified xsi:type="dcterms:W3CDTF">2022-11-07T15:41:26Z</dcterms:modified>
</cp:coreProperties>
</file>